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8"/>
        <w:tblpPr w:leftFromText="180" w:rightFromText="180" w:vertAnchor="text" w:tblpXSpec="center"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03"/>
        <w:gridCol w:w="281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建设项目名称</w:t>
            </w:r>
          </w:p>
        </w:tc>
        <w:tc>
          <w:tcPr>
            <w:tcW w:w="7667" w:type="dxa"/>
            <w:gridSpan w:val="3"/>
            <w:noWrap w:val="0"/>
            <w:vAlign w:val="center"/>
          </w:tcPr>
          <w:p>
            <w:pPr>
              <w:adjustRightInd w:val="0"/>
              <w:snapToGrid w:val="0"/>
              <w:jc w:val="center"/>
              <w:rPr>
                <w:rFonts w:hint="eastAsia" w:ascii="宋体" w:hAnsi="宋体" w:cs="宋体"/>
                <w:szCs w:val="21"/>
                <w:lang w:eastAsia="zh-CN"/>
              </w:rPr>
            </w:pPr>
            <w:r>
              <w:rPr>
                <w:rFonts w:hint="eastAsia" w:ascii="宋体" w:hAnsi="宋体" w:cs="宋体"/>
                <w:szCs w:val="21"/>
                <w:lang w:eastAsia="zh-CN"/>
              </w:rPr>
              <w:t>中国石化销售股份有限公司</w:t>
            </w:r>
          </w:p>
          <w:p>
            <w:pPr>
              <w:adjustRightInd w:val="0"/>
              <w:snapToGrid w:val="0"/>
              <w:jc w:val="center"/>
              <w:rPr>
                <w:rFonts w:hint="eastAsia" w:ascii="宋体" w:hAnsi="宋体" w:cs="宋体"/>
                <w:szCs w:val="21"/>
              </w:rPr>
            </w:pPr>
            <w:r>
              <w:rPr>
                <w:rFonts w:hint="eastAsia" w:ascii="宋体" w:hAnsi="宋体" w:cs="宋体"/>
                <w:szCs w:val="21"/>
                <w:lang w:eastAsia="zh-CN"/>
              </w:rPr>
              <w:t>湖南常德桃源石油分公司新河桥加油站扩建项目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项目代码</w:t>
            </w:r>
          </w:p>
        </w:tc>
        <w:tc>
          <w:tcPr>
            <w:tcW w:w="7667" w:type="dxa"/>
            <w:gridSpan w:val="3"/>
            <w:noWrap w:val="0"/>
            <w:vAlign w:val="center"/>
          </w:tcPr>
          <w:p>
            <w:pPr>
              <w:adjustRightInd w:val="0"/>
              <w:snapToGrid w:val="0"/>
              <w:jc w:val="center"/>
              <w:rPr>
                <w:rFonts w:hint="default" w:eastAsia="宋体"/>
                <w:szCs w:val="21"/>
                <w:lang w:val="en-US" w:eastAsia="zh-CN"/>
              </w:rPr>
            </w:pPr>
            <w:r>
              <w:rPr>
                <w:rFonts w:hint="eastAsia"/>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建设单位联系人</w:t>
            </w:r>
          </w:p>
        </w:tc>
        <w:tc>
          <w:tcPr>
            <w:tcW w:w="2816" w:type="dxa"/>
            <w:noWrap w:val="0"/>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刘江平</w:t>
            </w:r>
          </w:p>
        </w:tc>
        <w:tc>
          <w:tcPr>
            <w:tcW w:w="2212" w:type="dxa"/>
            <w:noWrap w:val="0"/>
            <w:vAlign w:val="center"/>
          </w:tcPr>
          <w:p>
            <w:pPr>
              <w:adjustRightInd w:val="0"/>
              <w:snapToGrid w:val="0"/>
              <w:jc w:val="center"/>
              <w:rPr>
                <w:rFonts w:ascii="宋体" w:hAnsi="宋体" w:cs="宋体"/>
                <w:szCs w:val="21"/>
              </w:rPr>
            </w:pPr>
            <w:r>
              <w:rPr>
                <w:rFonts w:hint="eastAsia" w:ascii="宋体" w:hAnsi="宋体" w:cs="宋体"/>
                <w:szCs w:val="21"/>
              </w:rPr>
              <w:t>联系方式</w:t>
            </w:r>
          </w:p>
        </w:tc>
        <w:tc>
          <w:tcPr>
            <w:tcW w:w="2639" w:type="dxa"/>
            <w:noWrap w:val="0"/>
            <w:vAlign w:val="center"/>
          </w:tcPr>
          <w:p>
            <w:pPr>
              <w:adjustRightInd w:val="0"/>
              <w:snapToGrid w:val="0"/>
              <w:jc w:val="center"/>
              <w:rPr>
                <w:rFonts w:hint="default" w:eastAsia="宋体"/>
                <w:szCs w:val="21"/>
                <w:lang w:val="en-US" w:eastAsia="zh-CN"/>
              </w:rPr>
            </w:pPr>
            <w:r>
              <w:rPr>
                <w:rFonts w:hint="default" w:eastAsia="宋体"/>
                <w:szCs w:val="21"/>
                <w:lang w:val="en-US" w:eastAsia="zh-CN"/>
              </w:rPr>
              <w:t>17363686907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建设地点</w:t>
            </w:r>
          </w:p>
        </w:tc>
        <w:tc>
          <w:tcPr>
            <w:tcW w:w="7667" w:type="dxa"/>
            <w:gridSpan w:val="3"/>
            <w:noWrap w:val="0"/>
            <w:vAlign w:val="center"/>
          </w:tcPr>
          <w:p>
            <w:pPr>
              <w:adjustRightInd w:val="0"/>
              <w:snapToGrid w:val="0"/>
              <w:jc w:val="center"/>
              <w:rPr>
                <w:rFonts w:hint="eastAsia" w:ascii="宋体" w:hAnsi="宋体" w:eastAsia="宋体" w:cs="宋体"/>
                <w:szCs w:val="21"/>
                <w:lang w:eastAsia="zh-CN"/>
              </w:rPr>
            </w:pPr>
            <w:r>
              <w:rPr>
                <w:rFonts w:hint="default" w:ascii="Times New Roman" w:hAnsi="Times New Roman" w:eastAsia="宋体" w:cs="Times New Roman"/>
                <w:szCs w:val="21"/>
                <w:lang w:eastAsia="zh-CN"/>
              </w:rPr>
              <w:t>常德市桃源县漳江镇白佛阁社区漳江北路019号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地理坐标</w:t>
            </w:r>
          </w:p>
        </w:tc>
        <w:tc>
          <w:tcPr>
            <w:tcW w:w="7667" w:type="dxa"/>
            <w:gridSpan w:val="3"/>
            <w:noWrap w:val="0"/>
            <w:vAlign w:val="center"/>
          </w:tcPr>
          <w:p>
            <w:pPr>
              <w:jc w:val="center"/>
              <w:rPr>
                <w:rFonts w:hint="eastAsia" w:ascii="宋体" w:hAnsi="宋体" w:cs="宋体"/>
                <w:szCs w:val="21"/>
              </w:rPr>
            </w:pPr>
            <w:r>
              <w:rPr>
                <w:rFonts w:hint="eastAsia" w:ascii="宋体" w:hAnsi="宋体" w:cs="宋体"/>
                <w:szCs w:val="21"/>
              </w:rPr>
              <w:t>（</w:t>
            </w:r>
            <w:r>
              <w:rPr>
                <w:szCs w:val="21"/>
                <w:u w:val="single"/>
              </w:rPr>
              <w:t xml:space="preserve"> 11</w:t>
            </w:r>
            <w:r>
              <w:rPr>
                <w:rFonts w:hint="eastAsia"/>
                <w:szCs w:val="21"/>
                <w:u w:val="single"/>
                <w:lang w:val="en-US" w:eastAsia="zh-CN"/>
              </w:rPr>
              <w:t>1</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ascii="Times New Roman" w:hAnsi="Times New Roman" w:cs="Times New Roman"/>
                <w:szCs w:val="21"/>
                <w:u w:val="single"/>
                <w:lang w:val="en-US" w:eastAsia="zh-CN"/>
              </w:rPr>
              <w:t>28</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szCs w:val="21"/>
                <w:u w:val="single"/>
                <w:lang w:val="en-US" w:eastAsia="zh-CN"/>
              </w:rPr>
              <w:t>37.27</w:t>
            </w:r>
            <w:r>
              <w:rPr>
                <w:rFonts w:ascii="宋体" w:hAnsi="宋体" w:cs="宋体"/>
                <w:szCs w:val="21"/>
                <w:u w:val="single"/>
              </w:rPr>
              <w:t xml:space="preserve"> </w:t>
            </w:r>
            <w:r>
              <w:rPr>
                <w:rFonts w:hint="eastAsia" w:ascii="宋体" w:hAnsi="宋体" w:cs="宋体"/>
                <w:szCs w:val="21"/>
              </w:rPr>
              <w:t>秒，</w:t>
            </w:r>
            <w:r>
              <w:rPr>
                <w:rFonts w:ascii="宋体" w:hAnsi="宋体" w:cs="宋体"/>
                <w:szCs w:val="21"/>
                <w:u w:val="single"/>
              </w:rPr>
              <w:t xml:space="preserve">  </w:t>
            </w:r>
            <w:r>
              <w:rPr>
                <w:rFonts w:hint="cs"/>
                <w:szCs w:val="21"/>
                <w:u w:val="single"/>
              </w:rPr>
              <w:t>2</w:t>
            </w:r>
            <w:r>
              <w:rPr>
                <w:rFonts w:hint="eastAsia"/>
                <w:szCs w:val="21"/>
                <w:u w:val="single"/>
                <w:lang w:val="en-US" w:eastAsia="zh-CN"/>
              </w:rPr>
              <w:t>8</w:t>
            </w:r>
            <w:r>
              <w:rPr>
                <w:rFonts w:ascii="宋体" w:hAnsi="宋体" w:cs="宋体"/>
                <w:szCs w:val="21"/>
                <w:u w:val="single"/>
              </w:rPr>
              <w:t xml:space="preserve"> </w:t>
            </w:r>
            <w:r>
              <w:rPr>
                <w:rFonts w:hint="eastAsia" w:ascii="宋体" w:hAnsi="宋体" w:cs="宋体"/>
                <w:szCs w:val="21"/>
              </w:rPr>
              <w:t>度</w:t>
            </w:r>
            <w:r>
              <w:rPr>
                <w:rFonts w:ascii="宋体" w:hAnsi="宋体" w:cs="宋体"/>
                <w:szCs w:val="21"/>
                <w:u w:val="single"/>
              </w:rPr>
              <w:t xml:space="preserve">  </w:t>
            </w:r>
            <w:r>
              <w:rPr>
                <w:rFonts w:hint="eastAsia"/>
                <w:szCs w:val="21"/>
                <w:u w:val="single"/>
                <w:lang w:val="en-US" w:eastAsia="zh-CN"/>
              </w:rPr>
              <w:t>55</w:t>
            </w:r>
            <w:r>
              <w:rPr>
                <w:rFonts w:ascii="宋体" w:hAnsi="宋体" w:cs="宋体"/>
                <w:szCs w:val="21"/>
                <w:u w:val="single"/>
              </w:rPr>
              <w:t xml:space="preserve"> </w:t>
            </w:r>
            <w:r>
              <w:rPr>
                <w:rFonts w:hint="eastAsia" w:ascii="宋体" w:hAnsi="宋体" w:cs="宋体"/>
                <w:szCs w:val="21"/>
              </w:rPr>
              <w:t>分</w:t>
            </w:r>
            <w:r>
              <w:rPr>
                <w:rFonts w:ascii="宋体" w:hAnsi="宋体" w:cs="宋体"/>
                <w:szCs w:val="21"/>
                <w:u w:val="single"/>
              </w:rPr>
              <w:t xml:space="preserve"> </w:t>
            </w:r>
            <w:r>
              <w:rPr>
                <w:rFonts w:hint="eastAsia"/>
                <w:szCs w:val="21"/>
                <w:u w:val="single"/>
                <w:lang w:val="en-US" w:eastAsia="zh-CN"/>
              </w:rPr>
              <w:t>4.72</w:t>
            </w:r>
            <w:r>
              <w:rPr>
                <w:rFonts w:hint="eastAsia" w:ascii="宋体" w:hAnsi="宋体" w:cs="宋体"/>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国民经济</w:t>
            </w:r>
          </w:p>
          <w:p>
            <w:pPr>
              <w:adjustRightInd w:val="0"/>
              <w:snapToGrid w:val="0"/>
              <w:jc w:val="center"/>
              <w:rPr>
                <w:rFonts w:ascii="宋体" w:hAnsi="宋体" w:cs="宋体"/>
                <w:szCs w:val="21"/>
              </w:rPr>
            </w:pPr>
            <w:r>
              <w:rPr>
                <w:rFonts w:hint="eastAsia" w:ascii="宋体" w:hAnsi="宋体" w:cs="宋体"/>
                <w:szCs w:val="21"/>
              </w:rPr>
              <w:t>行业类别</w:t>
            </w:r>
          </w:p>
        </w:tc>
        <w:tc>
          <w:tcPr>
            <w:tcW w:w="2816" w:type="dxa"/>
            <w:noWrap w:val="0"/>
            <w:vAlign w:val="center"/>
          </w:tcPr>
          <w:p>
            <w:pPr>
              <w:adjustRightInd w:val="0"/>
              <w:snapToGrid w:val="0"/>
              <w:jc w:val="center"/>
              <w:rPr>
                <w:rFonts w:hint="eastAsia"/>
                <w:szCs w:val="21"/>
              </w:rPr>
            </w:pPr>
            <w:r>
              <w:rPr>
                <w:rFonts w:hint="cs"/>
                <w:szCs w:val="21"/>
              </w:rPr>
              <w:t>F</w:t>
            </w:r>
            <w:r>
              <w:rPr>
                <w:szCs w:val="21"/>
              </w:rPr>
              <w:t>5265</w:t>
            </w:r>
            <w:r>
              <w:rPr>
                <w:rFonts w:hint="eastAsia"/>
                <w:szCs w:val="21"/>
              </w:rPr>
              <w:t>机动车</w:t>
            </w:r>
            <w:r>
              <w:rPr>
                <w:szCs w:val="21"/>
              </w:rPr>
              <w:t>燃油零售</w:t>
            </w:r>
          </w:p>
        </w:tc>
        <w:tc>
          <w:tcPr>
            <w:tcW w:w="2212" w:type="dxa"/>
            <w:noWrap w:val="0"/>
            <w:vAlign w:val="center"/>
          </w:tcPr>
          <w:p>
            <w:pPr>
              <w:adjustRightInd w:val="0"/>
              <w:snapToGrid w:val="0"/>
              <w:jc w:val="center"/>
              <w:rPr>
                <w:rFonts w:ascii="宋体" w:hAnsi="宋体" w:cs="宋体"/>
                <w:szCs w:val="21"/>
              </w:rPr>
            </w:pPr>
            <w:bookmarkStart w:id="0" w:name="_Hlk49843745"/>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行业类别</w:t>
            </w:r>
            <w:bookmarkEnd w:id="0"/>
          </w:p>
        </w:tc>
        <w:tc>
          <w:tcPr>
            <w:tcW w:w="2639" w:type="dxa"/>
            <w:noWrap w:val="0"/>
            <w:vAlign w:val="center"/>
          </w:tcPr>
          <w:p>
            <w:pPr>
              <w:adjustRightInd w:val="0"/>
              <w:snapToGrid w:val="0"/>
              <w:rPr>
                <w:rFonts w:hint="eastAsia"/>
                <w:szCs w:val="21"/>
              </w:rPr>
            </w:pPr>
            <w:r>
              <w:rPr>
                <w:rFonts w:hint="eastAsia" w:ascii="宋体" w:hAnsi="宋体" w:cs="宋体"/>
                <w:szCs w:val="21"/>
              </w:rPr>
              <w:t>五十、</w:t>
            </w:r>
            <w:r>
              <w:rPr>
                <w:rFonts w:ascii="宋体" w:hAnsi="宋体" w:cs="宋体"/>
                <w:szCs w:val="21"/>
              </w:rPr>
              <w:t>社会事业与服务业</w:t>
            </w:r>
            <w:r>
              <w:rPr>
                <w:rFonts w:hint="eastAsia" w:ascii="宋体" w:hAnsi="宋体" w:cs="宋体"/>
                <w:szCs w:val="21"/>
              </w:rPr>
              <w:t xml:space="preserve">   </w:t>
            </w:r>
            <w:r>
              <w:rPr>
                <w:rFonts w:hint="cs"/>
                <w:szCs w:val="21"/>
              </w:rPr>
              <w:t xml:space="preserve">119 </w:t>
            </w:r>
            <w:r>
              <w:rPr>
                <w:rFonts w:hint="eastAsia"/>
                <w:szCs w:val="21"/>
              </w:rPr>
              <w:t>加油</w:t>
            </w:r>
            <w:r>
              <w:rPr>
                <w:szCs w:val="21"/>
              </w:rPr>
              <w:t>、加气站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建设性质</w:t>
            </w:r>
          </w:p>
        </w:tc>
        <w:tc>
          <w:tcPr>
            <w:tcW w:w="2816" w:type="dxa"/>
            <w:noWrap w:val="0"/>
            <w:vAlign w:val="center"/>
          </w:tcPr>
          <w:p>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新建（迁建）</w:t>
            </w:r>
          </w:p>
          <w:p>
            <w:pPr>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改建</w:t>
            </w:r>
          </w:p>
          <w:p>
            <w:pPr>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扩建</w:t>
            </w:r>
          </w:p>
          <w:p>
            <w:pPr>
              <w:jc w:val="left"/>
              <w:rPr>
                <w:rFonts w:ascii="宋体" w:hAnsi="宋体" w:cs="宋体"/>
                <w:szCs w:val="21"/>
              </w:rPr>
            </w:pPr>
            <w:r>
              <w:rPr>
                <w:rFonts w:hint="eastAsia" w:ascii="宋体" w:hAnsi="宋体" w:cs="宋体"/>
                <w:szCs w:val="21"/>
              </w:rPr>
              <w:t>□技术改造</w:t>
            </w:r>
          </w:p>
        </w:tc>
        <w:tc>
          <w:tcPr>
            <w:tcW w:w="221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建设项目</w:t>
            </w:r>
          </w:p>
          <w:p>
            <w:pPr>
              <w:adjustRightInd w:val="0"/>
              <w:snapToGrid w:val="0"/>
              <w:jc w:val="center"/>
              <w:rPr>
                <w:rFonts w:ascii="宋体" w:hAnsi="宋体" w:cs="宋体"/>
                <w:szCs w:val="21"/>
              </w:rPr>
            </w:pPr>
            <w:r>
              <w:rPr>
                <w:rFonts w:hint="eastAsia" w:ascii="宋体" w:hAnsi="宋体" w:cs="宋体"/>
                <w:szCs w:val="21"/>
              </w:rPr>
              <w:t>申报情形</w:t>
            </w:r>
          </w:p>
        </w:tc>
        <w:tc>
          <w:tcPr>
            <w:tcW w:w="2639" w:type="dxa"/>
            <w:noWrap w:val="0"/>
            <w:vAlign w:val="center"/>
          </w:tcPr>
          <w:p>
            <w:pPr>
              <w:jc w:val="left"/>
              <w:rPr>
                <w:rFonts w:ascii="宋体" w:hAnsi="宋体" w:cs="宋体"/>
                <w:szCs w:val="21"/>
              </w:rPr>
            </w:pPr>
            <w:r>
              <w:rPr>
                <w:rFonts w:hint="eastAsia" w:ascii="宋体" w:hAnsi="宋体" w:cs="宋体"/>
                <w:szCs w:val="21"/>
              </w:rPr>
              <w:sym w:font="Wingdings 2" w:char="F052"/>
            </w:r>
            <w:r>
              <w:rPr>
                <w:rFonts w:hint="eastAsia" w:ascii="宋体" w:hAnsi="宋体" w:cs="宋体"/>
                <w:szCs w:val="21"/>
              </w:rPr>
              <w:t>首次申报项目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□不予批准后再次申报项目</w:t>
            </w:r>
          </w:p>
          <w:p>
            <w:pPr>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超五年重新审核项目</w:t>
            </w:r>
            <w:r>
              <w:rPr>
                <w:rFonts w:ascii="宋体" w:hAnsi="宋体" w:cs="宋体"/>
                <w:szCs w:val="21"/>
              </w:rPr>
              <w:t xml:space="preserve">     </w:t>
            </w:r>
          </w:p>
          <w:p>
            <w:pPr>
              <w:jc w:val="left"/>
              <w:rPr>
                <w:rFonts w:ascii="宋体" w:hAnsi="宋体" w:cs="宋体"/>
                <w:szCs w:val="21"/>
              </w:rPr>
            </w:pPr>
            <w:r>
              <w:rPr>
                <w:rFonts w:hint="eastAsia" w:ascii="宋体" w:hAnsi="宋体" w:cs="宋体"/>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ascii="宋体" w:hAnsi="宋体" w:cs="宋体"/>
                <w:szCs w:val="21"/>
              </w:rPr>
            </w:pPr>
            <w:r>
              <w:rPr>
                <w:rFonts w:hint="eastAsia" w:ascii="宋体" w:hAnsi="宋体" w:cs="宋体"/>
                <w:szCs w:val="21"/>
              </w:rPr>
              <w:t>备案）部门（选填）</w:t>
            </w:r>
          </w:p>
        </w:tc>
        <w:tc>
          <w:tcPr>
            <w:tcW w:w="2816" w:type="dxa"/>
            <w:noWrap w:val="0"/>
            <w:vAlign w:val="center"/>
          </w:tcPr>
          <w:p>
            <w:pPr>
              <w:adjustRightInd w:val="0"/>
              <w:snapToGrid w:val="0"/>
              <w:jc w:val="center"/>
              <w:rPr>
                <w:rFonts w:hint="eastAsia" w:ascii="宋体" w:hAnsi="宋体" w:eastAsia="宋体" w:cs="宋体"/>
                <w:szCs w:val="21"/>
                <w:lang w:val="en-US" w:eastAsia="zh-CN"/>
              </w:rPr>
            </w:pPr>
            <w:r>
              <w:rPr>
                <w:rFonts w:hint="eastAsia" w:ascii="宋体" w:hAnsi="宋体" w:cs="宋体"/>
                <w:szCs w:val="21"/>
                <w:lang w:val="en-US" w:eastAsia="zh-CN"/>
              </w:rPr>
              <w:t>/</w:t>
            </w:r>
          </w:p>
        </w:tc>
        <w:tc>
          <w:tcPr>
            <w:tcW w:w="2212"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项目审批（核准</w:t>
            </w:r>
            <w:r>
              <w:rPr>
                <w:rFonts w:ascii="宋体" w:hAnsi="宋体" w:cs="宋体"/>
                <w:szCs w:val="21"/>
              </w:rPr>
              <w:t>/</w:t>
            </w:r>
          </w:p>
          <w:p>
            <w:pPr>
              <w:adjustRightInd w:val="0"/>
              <w:snapToGrid w:val="0"/>
              <w:jc w:val="center"/>
              <w:rPr>
                <w:rFonts w:hint="eastAsia" w:ascii="宋体" w:hAnsi="宋体" w:cs="宋体"/>
                <w:szCs w:val="21"/>
              </w:rPr>
            </w:pPr>
            <w:r>
              <w:rPr>
                <w:rFonts w:hint="eastAsia" w:ascii="宋体" w:hAnsi="宋体" w:cs="宋体"/>
                <w:szCs w:val="21"/>
              </w:rPr>
              <w:t>备案）文号（选填）</w:t>
            </w:r>
          </w:p>
        </w:tc>
        <w:tc>
          <w:tcPr>
            <w:tcW w:w="2639" w:type="dxa"/>
            <w:noWrap w:val="0"/>
            <w:vAlign w:val="center"/>
          </w:tcPr>
          <w:p>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总投资（万元）</w:t>
            </w:r>
          </w:p>
        </w:tc>
        <w:tc>
          <w:tcPr>
            <w:tcW w:w="2816"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20</w:t>
            </w:r>
          </w:p>
        </w:tc>
        <w:tc>
          <w:tcPr>
            <w:tcW w:w="2212"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环保投资（万元）</w:t>
            </w:r>
          </w:p>
        </w:tc>
        <w:tc>
          <w:tcPr>
            <w:tcW w:w="2639"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环保投资占比（</w:t>
            </w:r>
            <w:r>
              <w:rPr>
                <w:rFonts w:ascii="宋体" w:hAnsi="宋体" w:cs="宋体"/>
                <w:szCs w:val="21"/>
              </w:rPr>
              <w:t>%</w:t>
            </w:r>
            <w:r>
              <w:rPr>
                <w:rFonts w:hint="eastAsia" w:ascii="宋体" w:hAnsi="宋体" w:cs="宋体"/>
                <w:szCs w:val="21"/>
              </w:rPr>
              <w:t>）</w:t>
            </w:r>
          </w:p>
        </w:tc>
        <w:tc>
          <w:tcPr>
            <w:tcW w:w="2816"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0</w:t>
            </w:r>
          </w:p>
        </w:tc>
        <w:tc>
          <w:tcPr>
            <w:tcW w:w="2212" w:type="dxa"/>
            <w:noWrap w:val="0"/>
            <w:tcMar>
              <w:top w:w="16" w:type="dxa"/>
              <w:left w:w="16" w:type="dxa"/>
              <w:right w:w="16" w:type="dxa"/>
            </w:tcMar>
            <w:vAlign w:val="center"/>
          </w:tcPr>
          <w:p>
            <w:pPr>
              <w:adjustRightInd w:val="0"/>
              <w:snapToGrid w:val="0"/>
              <w:jc w:val="center"/>
              <w:rPr>
                <w:rFonts w:ascii="宋体" w:hAnsi="宋体" w:cs="宋体"/>
                <w:szCs w:val="21"/>
              </w:rPr>
            </w:pPr>
            <w:r>
              <w:rPr>
                <w:rFonts w:hint="eastAsia" w:ascii="宋体" w:hAnsi="宋体" w:cs="宋体"/>
                <w:szCs w:val="21"/>
              </w:rPr>
              <w:t>施工工期</w:t>
            </w:r>
          </w:p>
        </w:tc>
        <w:tc>
          <w:tcPr>
            <w:tcW w:w="2639" w:type="dxa"/>
            <w:noWrap w:val="0"/>
            <w:vAlign w:val="center"/>
          </w:tcPr>
          <w:p>
            <w:pPr>
              <w:adjustRightInd w:val="0"/>
              <w:snapToGrid w:val="0"/>
              <w:jc w:val="center"/>
              <w:rPr>
                <w:rFonts w:hint="eastAsia" w:ascii="宋体" w:hAnsi="宋体" w:eastAsia="宋体" w:cs="宋体"/>
                <w:szCs w:val="21"/>
                <w:lang w:val="en-US" w:eastAsia="zh-CN"/>
              </w:rPr>
            </w:pPr>
            <w:r>
              <w:rPr>
                <w:rFonts w:hint="default" w:ascii="Times New Roman" w:hAnsi="Times New Roman" w:cs="Times New Roman"/>
                <w:szCs w:val="21"/>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203" w:type="dxa"/>
            <w:noWrap w:val="0"/>
            <w:tcMar>
              <w:top w:w="16" w:type="dxa"/>
              <w:left w:w="16" w:type="dxa"/>
              <w:right w:w="16" w:type="dxa"/>
            </w:tcMar>
            <w:vAlign w:val="center"/>
          </w:tcPr>
          <w:p>
            <w:pPr>
              <w:adjustRightInd w:val="0"/>
              <w:snapToGrid w:val="0"/>
              <w:jc w:val="center"/>
              <w:rPr>
                <w:rFonts w:hint="eastAsia" w:ascii="宋体" w:hAnsi="宋体" w:cs="宋体"/>
                <w:szCs w:val="21"/>
              </w:rPr>
            </w:pPr>
            <w:r>
              <w:rPr>
                <w:rFonts w:hint="eastAsia" w:ascii="宋体" w:hAnsi="宋体" w:cs="宋体"/>
                <w:szCs w:val="21"/>
              </w:rPr>
              <w:t>是否开工建设</w:t>
            </w:r>
          </w:p>
        </w:tc>
        <w:tc>
          <w:tcPr>
            <w:tcW w:w="2816" w:type="dxa"/>
            <w:noWrap w:val="0"/>
            <w:vAlign w:val="center"/>
          </w:tcPr>
          <w:p>
            <w:pPr>
              <w:adjustRightInd w:val="0"/>
              <w:snapToGrid w:val="0"/>
              <w:rPr>
                <w:rFonts w:ascii="宋体" w:hAnsi="宋体" w:cs="宋体"/>
                <w:szCs w:val="21"/>
              </w:rPr>
            </w:pPr>
            <w:r>
              <w:rPr>
                <w:rFonts w:hint="eastAsia" w:ascii="Wingdings 2" w:hAnsi="Wingdings 2"/>
                <w:color w:val="000000"/>
                <w:szCs w:val="21"/>
              </w:rPr>
              <w:sym w:font="Wingdings 2" w:char="00A3"/>
            </w:r>
            <w:r>
              <w:rPr>
                <w:rFonts w:hint="eastAsia" w:ascii="宋体" w:hAnsi="宋体" w:cs="宋体"/>
                <w:szCs w:val="21"/>
              </w:rPr>
              <w:t>否</w:t>
            </w:r>
          </w:p>
          <w:p>
            <w:pPr>
              <w:adjustRightInd w:val="0"/>
              <w:snapToGrid w:val="0"/>
              <w:rPr>
                <w:rFonts w:ascii="宋体" w:hAnsi="宋体" w:cs="宋体"/>
                <w:szCs w:val="21"/>
              </w:rPr>
            </w:pPr>
            <w:r>
              <w:rPr>
                <w:rFonts w:hint="eastAsia" w:ascii="宋体" w:hAnsi="宋体" w:cs="宋体"/>
                <w:szCs w:val="21"/>
              </w:rPr>
              <w:sym w:font="Wingdings 2" w:char="0052"/>
            </w:r>
            <w:r>
              <w:rPr>
                <w:rFonts w:hint="eastAsia" w:ascii="宋体" w:hAnsi="宋体" w:cs="宋体"/>
                <w:szCs w:val="21"/>
              </w:rPr>
              <w:t>是：</w:t>
            </w:r>
            <w:r>
              <w:rPr>
                <w:rFonts w:hint="eastAsia" w:ascii="宋体" w:hAnsi="宋体" w:cs="宋体"/>
                <w:szCs w:val="21"/>
                <w:u w:val="single"/>
              </w:rPr>
              <w:t xml:space="preserve">             </w:t>
            </w:r>
          </w:p>
        </w:tc>
        <w:tc>
          <w:tcPr>
            <w:tcW w:w="2212" w:type="dxa"/>
            <w:noWrap w:val="0"/>
            <w:tcMar>
              <w:top w:w="16" w:type="dxa"/>
              <w:left w:w="16" w:type="dxa"/>
              <w:right w:w="16" w:type="dxa"/>
            </w:tcMar>
            <w:vAlign w:val="center"/>
          </w:tcPr>
          <w:p>
            <w:pPr>
              <w:adjustRightInd w:val="0"/>
              <w:snapToGrid w:val="0"/>
              <w:jc w:val="center"/>
              <w:rPr>
                <w:rFonts w:ascii="宋体" w:hAnsi="宋体" w:cs="宋体"/>
                <w:spacing w:val="-6"/>
                <w:szCs w:val="21"/>
              </w:rPr>
            </w:pPr>
            <w:r>
              <w:rPr>
                <w:rFonts w:hint="eastAsia" w:ascii="宋体" w:hAnsi="宋体" w:cs="宋体"/>
                <w:spacing w:val="-6"/>
                <w:szCs w:val="21"/>
              </w:rPr>
              <w:t>用地（用海）</w:t>
            </w:r>
          </w:p>
          <w:p>
            <w:pPr>
              <w:adjustRightInd w:val="0"/>
              <w:snapToGrid w:val="0"/>
              <w:jc w:val="center"/>
              <w:rPr>
                <w:rFonts w:hint="eastAsia" w:ascii="宋体" w:hAnsi="宋体" w:cs="宋体"/>
                <w:szCs w:val="21"/>
              </w:rPr>
            </w:pPr>
            <w:r>
              <w:rPr>
                <w:rFonts w:hint="eastAsia" w:ascii="宋体" w:hAnsi="宋体" w:cs="宋体"/>
                <w:spacing w:val="-6"/>
                <w:szCs w:val="21"/>
              </w:rPr>
              <w:t>面积（</w:t>
            </w:r>
            <w:r>
              <w:rPr>
                <w:rFonts w:ascii="宋体" w:hAnsi="宋体" w:cs="宋体"/>
                <w:spacing w:val="-6"/>
                <w:szCs w:val="21"/>
              </w:rPr>
              <w:t>m</w:t>
            </w:r>
            <w:r>
              <w:rPr>
                <w:rFonts w:ascii="宋体" w:hAnsi="宋体" w:cs="宋体"/>
                <w:spacing w:val="-6"/>
                <w:szCs w:val="21"/>
                <w:vertAlign w:val="superscript"/>
              </w:rPr>
              <w:t>2</w:t>
            </w:r>
            <w:r>
              <w:rPr>
                <w:rFonts w:hint="eastAsia" w:ascii="宋体" w:hAnsi="宋体" w:cs="宋体"/>
                <w:spacing w:val="-6"/>
                <w:szCs w:val="21"/>
              </w:rPr>
              <w:t>）</w:t>
            </w:r>
          </w:p>
        </w:tc>
        <w:tc>
          <w:tcPr>
            <w:tcW w:w="2639" w:type="dxa"/>
            <w:noWrap w:val="0"/>
            <w:vAlign w:val="center"/>
          </w:tcPr>
          <w:p>
            <w:pPr>
              <w:adjustRightInd w:val="0"/>
              <w:snapToGrid w:val="0"/>
              <w:jc w:val="center"/>
              <w:rPr>
                <w:rFonts w:hint="default" w:eastAsia="宋体"/>
                <w:szCs w:val="21"/>
                <w:lang w:val="en-US" w:eastAsia="zh-CN"/>
              </w:rPr>
            </w:pPr>
            <w:r>
              <w:rPr>
                <w:rFonts w:hint="eastAsia"/>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专项评价设置情况</w:t>
            </w:r>
          </w:p>
        </w:tc>
        <w:tc>
          <w:tcPr>
            <w:tcW w:w="7667" w:type="dxa"/>
            <w:gridSpan w:val="3"/>
            <w:noWrap w:val="0"/>
            <w:vAlign w:val="center"/>
          </w:tcPr>
          <w:p>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szCs w:val="21"/>
              </w:rPr>
              <w:t>规划情况</w:t>
            </w:r>
          </w:p>
        </w:tc>
        <w:tc>
          <w:tcPr>
            <w:tcW w:w="7667" w:type="dxa"/>
            <w:gridSpan w:val="3"/>
            <w:noWrap w:val="0"/>
            <w:vAlign w:val="center"/>
          </w:tcPr>
          <w:p>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djustRightInd w:val="0"/>
              <w:snapToGrid w:val="0"/>
              <w:jc w:val="center"/>
              <w:rPr>
                <w:rFonts w:ascii="宋体" w:hAnsi="宋体" w:cs="宋体"/>
                <w:szCs w:val="21"/>
              </w:rPr>
            </w:pPr>
            <w:r>
              <w:rPr>
                <w:rFonts w:hint="eastAsia" w:ascii="宋体" w:hAnsi="宋体" w:cs="宋体"/>
                <w:szCs w:val="21"/>
              </w:rPr>
              <w:t>规划环境影响</w:t>
            </w:r>
          </w:p>
          <w:p>
            <w:pPr>
              <w:adjustRightInd w:val="0"/>
              <w:snapToGrid w:val="0"/>
              <w:jc w:val="center"/>
              <w:rPr>
                <w:rFonts w:hint="eastAsia" w:ascii="宋体" w:hAnsi="宋体" w:cs="宋体"/>
                <w:kern w:val="0"/>
                <w:szCs w:val="21"/>
              </w:rPr>
            </w:pPr>
            <w:r>
              <w:rPr>
                <w:rFonts w:hint="eastAsia" w:ascii="宋体" w:hAnsi="宋体" w:cs="宋体"/>
                <w:szCs w:val="21"/>
              </w:rPr>
              <w:t>评价情况</w:t>
            </w:r>
          </w:p>
        </w:tc>
        <w:tc>
          <w:tcPr>
            <w:tcW w:w="7667" w:type="dxa"/>
            <w:gridSpan w:val="3"/>
            <w:noWrap w:val="0"/>
            <w:vAlign w:val="center"/>
          </w:tcPr>
          <w:p>
            <w:pPr>
              <w:autoSpaceDE w:val="0"/>
              <w:autoSpaceDN w:val="0"/>
              <w:adjustRightInd w:val="0"/>
              <w:snapToGri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规划及规划环境</w:t>
            </w:r>
          </w:p>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影响评价符合性分析</w:t>
            </w:r>
          </w:p>
        </w:tc>
        <w:tc>
          <w:tcPr>
            <w:tcW w:w="7667" w:type="dxa"/>
            <w:gridSpan w:val="3"/>
            <w:noWrap w:val="0"/>
            <w:vAlign w:val="center"/>
          </w:tcPr>
          <w:p>
            <w:pPr>
              <w:autoSpaceDE w:val="0"/>
              <w:autoSpaceDN w:val="0"/>
              <w:adjustRightInd w:val="0"/>
              <w:snapToGrid w:val="0"/>
              <w:spacing w:line="360" w:lineRule="auto"/>
              <w:ind w:firstLine="42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1203" w:type="dxa"/>
            <w:noWrap w:val="0"/>
            <w:vAlign w:val="center"/>
          </w:tcPr>
          <w:p>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其他符合性分析</w:t>
            </w:r>
          </w:p>
        </w:tc>
        <w:tc>
          <w:tcPr>
            <w:tcW w:w="7667" w:type="dxa"/>
            <w:gridSpan w:val="3"/>
            <w:noWrap w:val="0"/>
            <w:vAlign w:val="center"/>
          </w:tcPr>
          <w:p>
            <w:pPr>
              <w:autoSpaceDE w:val="0"/>
              <w:autoSpaceDN w:val="0"/>
              <w:adjustRightInd w:val="0"/>
              <w:snapToGrid w:val="0"/>
              <w:spacing w:line="360" w:lineRule="auto"/>
              <w:ind w:firstLine="420"/>
              <w:jc w:val="left"/>
              <w:rPr>
                <w:b/>
                <w:kern w:val="0"/>
                <w:szCs w:val="21"/>
              </w:rPr>
            </w:pPr>
            <w:r>
              <w:rPr>
                <w:rFonts w:hint="cs"/>
                <w:b/>
                <w:kern w:val="0"/>
                <w:szCs w:val="21"/>
              </w:rPr>
              <w:t>1</w:t>
            </w:r>
            <w:r>
              <w:rPr>
                <w:rFonts w:hint="eastAsia"/>
                <w:b/>
                <w:kern w:val="0"/>
                <w:szCs w:val="21"/>
              </w:rPr>
              <w:t>、与“三线一单”相符性</w:t>
            </w:r>
            <w:r>
              <w:rPr>
                <w:b/>
                <w:kern w:val="0"/>
                <w:szCs w:val="21"/>
              </w:rPr>
              <w:t>分析</w:t>
            </w:r>
          </w:p>
          <w:p>
            <w:pPr>
              <w:autoSpaceDE w:val="0"/>
              <w:autoSpaceDN w:val="0"/>
              <w:adjustRightInd w:val="0"/>
              <w:snapToGrid w:val="0"/>
              <w:spacing w:line="360" w:lineRule="auto"/>
              <w:ind w:firstLine="420"/>
              <w:jc w:val="left"/>
              <w:rPr>
                <w:b/>
                <w:kern w:val="0"/>
                <w:sz w:val="21"/>
                <w:szCs w:val="21"/>
              </w:rPr>
            </w:pPr>
            <w:r>
              <w:rPr>
                <w:rFonts w:hint="eastAsia"/>
                <w:b/>
                <w:kern w:val="0"/>
                <w:szCs w:val="21"/>
              </w:rPr>
              <w:t>（1）生态红线</w:t>
            </w:r>
          </w:p>
          <w:p>
            <w:pPr>
              <w:autoSpaceDE w:val="0"/>
              <w:autoSpaceDN w:val="0"/>
              <w:adjustRightInd w:val="0"/>
              <w:snapToGrid w:val="0"/>
              <w:spacing w:line="360" w:lineRule="auto"/>
              <w:ind w:firstLine="420"/>
              <w:jc w:val="left"/>
              <w:rPr>
                <w:rFonts w:ascii="宋体" w:hAnsi="宋体"/>
                <w:kern w:val="0"/>
                <w:sz w:val="21"/>
                <w:szCs w:val="21"/>
              </w:rPr>
            </w:pPr>
            <w:r>
              <w:rPr>
                <w:rFonts w:hint="eastAsia"/>
                <w:kern w:val="0"/>
                <w:sz w:val="21"/>
                <w:szCs w:val="21"/>
              </w:rPr>
              <w:t>根据《湖南省人民</w:t>
            </w:r>
            <w:r>
              <w:rPr>
                <w:kern w:val="0"/>
                <w:sz w:val="21"/>
                <w:szCs w:val="21"/>
              </w:rPr>
              <w:t>政府</w:t>
            </w:r>
            <w:r>
              <w:rPr>
                <w:rFonts w:hint="eastAsia"/>
                <w:kern w:val="0"/>
                <w:sz w:val="21"/>
                <w:szCs w:val="21"/>
              </w:rPr>
              <w:t>关于</w:t>
            </w:r>
            <w:r>
              <w:rPr>
                <w:kern w:val="0"/>
                <w:sz w:val="21"/>
                <w:szCs w:val="21"/>
              </w:rPr>
              <w:t>印发</w:t>
            </w:r>
            <w:r>
              <w:rPr>
                <w:rFonts w:hint="eastAsia"/>
                <w:kern w:val="0"/>
                <w:sz w:val="21"/>
                <w:szCs w:val="21"/>
              </w:rPr>
              <w:t>《湖南省生态保护红线</w:t>
            </w:r>
            <w:r>
              <w:rPr>
                <w:kern w:val="0"/>
                <w:sz w:val="21"/>
                <w:szCs w:val="21"/>
              </w:rPr>
              <w:t>的</w:t>
            </w:r>
            <w:r>
              <w:rPr>
                <w:rFonts w:hint="eastAsia"/>
                <w:kern w:val="0"/>
                <w:sz w:val="21"/>
                <w:szCs w:val="21"/>
              </w:rPr>
              <w:t>通知》（湘政发[2018]20号）》，湖南省生态</w:t>
            </w:r>
            <w:r>
              <w:rPr>
                <w:kern w:val="0"/>
                <w:sz w:val="21"/>
                <w:szCs w:val="21"/>
              </w:rPr>
              <w:t>保护红线划定</w:t>
            </w:r>
            <w:r>
              <w:rPr>
                <w:rFonts w:hint="eastAsia"/>
                <w:kern w:val="0"/>
                <w:sz w:val="21"/>
                <w:szCs w:val="21"/>
              </w:rPr>
              <w:t>面积</w:t>
            </w:r>
            <w:r>
              <w:rPr>
                <w:kern w:val="0"/>
                <w:sz w:val="21"/>
                <w:szCs w:val="21"/>
              </w:rPr>
              <w:t>为</w:t>
            </w:r>
            <w:r>
              <w:rPr>
                <w:rFonts w:hint="eastAsia"/>
                <w:kern w:val="0"/>
                <w:sz w:val="21"/>
                <w:szCs w:val="21"/>
              </w:rPr>
              <w:t>4.28万</w:t>
            </w:r>
            <w:r>
              <w:rPr>
                <w:kern w:val="0"/>
                <w:sz w:val="21"/>
                <w:szCs w:val="21"/>
              </w:rPr>
              <w:t>平方公里，</w:t>
            </w:r>
            <w:r>
              <w:rPr>
                <w:rFonts w:hint="eastAsia"/>
                <w:kern w:val="0"/>
                <w:sz w:val="21"/>
                <w:szCs w:val="21"/>
              </w:rPr>
              <w:t>占</w:t>
            </w:r>
            <w:r>
              <w:rPr>
                <w:kern w:val="0"/>
                <w:sz w:val="21"/>
                <w:szCs w:val="21"/>
              </w:rPr>
              <w:t>全省</w:t>
            </w:r>
            <w:r>
              <w:rPr>
                <w:rFonts w:hint="eastAsia"/>
                <w:kern w:val="0"/>
                <w:sz w:val="21"/>
                <w:szCs w:val="21"/>
              </w:rPr>
              <w:t>土地</w:t>
            </w:r>
            <w:r>
              <w:rPr>
                <w:kern w:val="0"/>
                <w:sz w:val="21"/>
                <w:szCs w:val="21"/>
              </w:rPr>
              <w:t>面积的</w:t>
            </w:r>
            <w:r>
              <w:rPr>
                <w:rFonts w:hint="eastAsia"/>
                <w:kern w:val="0"/>
                <w:sz w:val="21"/>
                <w:szCs w:val="21"/>
              </w:rPr>
              <w:t>20.23%。全省</w:t>
            </w:r>
            <w:r>
              <w:rPr>
                <w:kern w:val="0"/>
                <w:sz w:val="21"/>
                <w:szCs w:val="21"/>
              </w:rPr>
              <w:t>生态</w:t>
            </w:r>
            <w:r>
              <w:rPr>
                <w:rFonts w:hint="eastAsia"/>
                <w:kern w:val="0"/>
                <w:sz w:val="21"/>
                <w:szCs w:val="21"/>
              </w:rPr>
              <w:t>保护红线</w:t>
            </w:r>
            <w:r>
              <w:rPr>
                <w:kern w:val="0"/>
                <w:sz w:val="21"/>
                <w:szCs w:val="21"/>
              </w:rPr>
              <w:t>空间</w:t>
            </w:r>
            <w:r>
              <w:rPr>
                <w:rFonts w:hint="eastAsia"/>
                <w:kern w:val="0"/>
                <w:sz w:val="21"/>
                <w:szCs w:val="21"/>
              </w:rPr>
              <w:t>格局</w:t>
            </w:r>
            <w:r>
              <w:rPr>
                <w:kern w:val="0"/>
                <w:sz w:val="21"/>
                <w:szCs w:val="21"/>
              </w:rPr>
              <w:t>为</w:t>
            </w:r>
            <w:r>
              <w:rPr>
                <w:rFonts w:ascii="宋体" w:hAnsi="宋体"/>
                <w:kern w:val="0"/>
                <w:sz w:val="21"/>
                <w:szCs w:val="21"/>
              </w:rPr>
              <w:t>“</w:t>
            </w:r>
            <w:r>
              <w:rPr>
                <w:rFonts w:hint="eastAsia" w:ascii="宋体" w:hAnsi="宋体"/>
                <w:kern w:val="0"/>
                <w:sz w:val="21"/>
                <w:szCs w:val="21"/>
              </w:rPr>
              <w:t>一湖三山四水</w:t>
            </w:r>
            <w:r>
              <w:rPr>
                <w:rFonts w:ascii="宋体" w:hAnsi="宋体"/>
                <w:kern w:val="0"/>
                <w:sz w:val="21"/>
                <w:szCs w:val="21"/>
              </w:rPr>
              <w:t>”</w:t>
            </w:r>
            <w:r>
              <w:rPr>
                <w:rFonts w:hint="eastAsia" w:ascii="宋体" w:hAnsi="宋体"/>
                <w:kern w:val="0"/>
                <w:sz w:val="21"/>
                <w:szCs w:val="21"/>
              </w:rPr>
              <w:t>。</w:t>
            </w:r>
          </w:p>
          <w:p>
            <w:pPr>
              <w:autoSpaceDE w:val="0"/>
              <w:autoSpaceDN w:val="0"/>
              <w:adjustRightInd w:val="0"/>
              <w:snapToGrid w:val="0"/>
              <w:spacing w:line="360" w:lineRule="auto"/>
              <w:ind w:firstLine="420"/>
              <w:jc w:val="left"/>
              <w:rPr>
                <w:rFonts w:ascii="宋体" w:hAnsi="宋体" w:cs="宋体"/>
                <w:sz w:val="21"/>
                <w:szCs w:val="21"/>
              </w:rPr>
            </w:pPr>
            <w:r>
              <w:rPr>
                <w:rFonts w:hint="eastAsia" w:ascii="宋体" w:hAnsi="宋体"/>
                <w:kern w:val="0"/>
                <w:sz w:val="21"/>
                <w:szCs w:val="21"/>
              </w:rPr>
              <w:t>本项目</w:t>
            </w:r>
            <w:r>
              <w:rPr>
                <w:rFonts w:ascii="宋体" w:hAnsi="宋体"/>
                <w:kern w:val="0"/>
                <w:sz w:val="21"/>
                <w:szCs w:val="21"/>
              </w:rPr>
              <w:t>位于</w:t>
            </w:r>
            <w:r>
              <w:rPr>
                <w:rFonts w:hint="eastAsia" w:cs="Times New Roman"/>
                <w:sz w:val="21"/>
                <w:szCs w:val="21"/>
                <w:lang w:eastAsia="zh-CN"/>
              </w:rPr>
              <w:t>常德市桃源县漳江镇白佛阁社区漳江北路019号</w:t>
            </w:r>
            <w:r>
              <w:rPr>
                <w:rFonts w:hint="eastAsia" w:ascii="宋体" w:hAnsi="宋体" w:cs="宋体"/>
                <w:sz w:val="21"/>
                <w:szCs w:val="21"/>
              </w:rPr>
              <w:t>，</w:t>
            </w:r>
            <w:r>
              <w:rPr>
                <w:rFonts w:ascii="宋体" w:hAnsi="宋体" w:cs="宋体"/>
                <w:sz w:val="21"/>
                <w:szCs w:val="21"/>
              </w:rPr>
              <w:t>周边区域不涉及</w:t>
            </w:r>
            <w:r>
              <w:rPr>
                <w:rFonts w:hint="eastAsia" w:ascii="宋体" w:hAnsi="宋体" w:cs="宋体"/>
                <w:sz w:val="21"/>
                <w:szCs w:val="21"/>
              </w:rPr>
              <w:t>重点生态</w:t>
            </w:r>
            <w:r>
              <w:rPr>
                <w:rFonts w:ascii="宋体" w:hAnsi="宋体" w:cs="宋体"/>
                <w:sz w:val="21"/>
                <w:szCs w:val="21"/>
              </w:rPr>
              <w:t>功能区、</w:t>
            </w:r>
            <w:r>
              <w:rPr>
                <w:rFonts w:hint="eastAsia" w:ascii="宋体" w:hAnsi="宋体" w:cs="宋体"/>
                <w:sz w:val="21"/>
                <w:szCs w:val="21"/>
              </w:rPr>
              <w:t>生态敏感区</w:t>
            </w:r>
            <w:r>
              <w:rPr>
                <w:rFonts w:ascii="宋体" w:hAnsi="宋体" w:cs="宋体"/>
                <w:sz w:val="21"/>
                <w:szCs w:val="21"/>
              </w:rPr>
              <w:t>、生态脆弱区、</w:t>
            </w:r>
            <w:r>
              <w:rPr>
                <w:rFonts w:hint="eastAsia" w:ascii="宋体" w:hAnsi="宋体" w:cs="宋体"/>
                <w:sz w:val="21"/>
                <w:szCs w:val="21"/>
              </w:rPr>
              <w:t>禁止开发区以及</w:t>
            </w:r>
            <w:r>
              <w:rPr>
                <w:rFonts w:ascii="宋体" w:hAnsi="宋体" w:cs="宋体"/>
                <w:sz w:val="21"/>
                <w:szCs w:val="21"/>
              </w:rPr>
              <w:t>其他未列入</w:t>
            </w:r>
            <w:r>
              <w:rPr>
                <w:rFonts w:hint="eastAsia" w:ascii="宋体" w:hAnsi="宋体" w:cs="宋体"/>
                <w:sz w:val="21"/>
                <w:szCs w:val="21"/>
              </w:rPr>
              <w:t>上述范围</w:t>
            </w:r>
            <w:r>
              <w:rPr>
                <w:rFonts w:ascii="宋体" w:hAnsi="宋体" w:cs="宋体"/>
                <w:sz w:val="21"/>
                <w:szCs w:val="21"/>
              </w:rPr>
              <w:t>，符合生态红线区域保护规划。</w:t>
            </w:r>
          </w:p>
          <w:p>
            <w:pPr>
              <w:autoSpaceDE w:val="0"/>
              <w:autoSpaceDN w:val="0"/>
              <w:adjustRightInd w:val="0"/>
              <w:snapToGrid w:val="0"/>
              <w:spacing w:line="360" w:lineRule="auto"/>
              <w:ind w:firstLine="420"/>
              <w:jc w:val="left"/>
              <w:rPr>
                <w:rFonts w:ascii="宋体" w:hAnsi="宋体" w:cs="宋体"/>
                <w:b/>
                <w:sz w:val="21"/>
                <w:szCs w:val="21"/>
              </w:rPr>
            </w:pPr>
            <w:r>
              <w:rPr>
                <w:rFonts w:hint="eastAsia" w:ascii="宋体" w:hAnsi="宋体" w:cs="宋体"/>
                <w:b/>
                <w:sz w:val="21"/>
                <w:szCs w:val="21"/>
              </w:rPr>
              <w:t>（</w:t>
            </w:r>
            <w:r>
              <w:rPr>
                <w:b/>
                <w:sz w:val="21"/>
                <w:szCs w:val="21"/>
              </w:rPr>
              <w:t>2</w:t>
            </w:r>
            <w:r>
              <w:rPr>
                <w:rFonts w:hint="eastAsia" w:ascii="宋体" w:hAnsi="宋体" w:cs="宋体"/>
                <w:b/>
                <w:sz w:val="21"/>
                <w:szCs w:val="21"/>
              </w:rPr>
              <w:t>）环境质量底线</w:t>
            </w:r>
          </w:p>
          <w:p>
            <w:pPr>
              <w:autoSpaceDE w:val="0"/>
              <w:autoSpaceDN w:val="0"/>
              <w:adjustRightInd w:val="0"/>
              <w:snapToGrid w:val="0"/>
              <w:spacing w:line="360" w:lineRule="auto"/>
              <w:ind w:firstLine="420"/>
              <w:jc w:val="left"/>
              <w:rPr>
                <w:rFonts w:ascii="宋体" w:hAnsi="宋体" w:cs="宋体"/>
                <w:sz w:val="21"/>
                <w:szCs w:val="21"/>
              </w:rPr>
            </w:pPr>
            <w:r>
              <w:rPr>
                <w:rFonts w:hint="eastAsia" w:ascii="宋体" w:hAnsi="宋体" w:cs="宋体"/>
                <w:sz w:val="21"/>
                <w:szCs w:val="21"/>
              </w:rPr>
              <w:t>由</w:t>
            </w:r>
            <w:r>
              <w:rPr>
                <w:rFonts w:ascii="宋体" w:hAnsi="宋体" w:cs="宋体"/>
                <w:sz w:val="21"/>
                <w:szCs w:val="21"/>
              </w:rPr>
              <w:t>环境现状调查可知</w:t>
            </w:r>
            <w:r>
              <w:rPr>
                <w:rFonts w:hint="eastAsia" w:ascii="宋体" w:hAnsi="宋体" w:cs="宋体"/>
                <w:sz w:val="21"/>
                <w:szCs w:val="21"/>
              </w:rPr>
              <w:t>，</w:t>
            </w:r>
            <w:r>
              <w:rPr>
                <w:rFonts w:ascii="宋体" w:hAnsi="宋体" w:cs="宋体"/>
                <w:sz w:val="21"/>
                <w:szCs w:val="21"/>
              </w:rPr>
              <w:t>建设项目所在区域环境空气满足相应规划功能要求；地表水环境、声环境等均满足相应的功能规划要求，具有一定的环境承载力；项目营运期废水、废气、噪声均得到合理处置，对周边环境影响较小，本项目的建设不会改变区域环境功能属性，项目的建设符合环境质量底线</w:t>
            </w:r>
            <w:r>
              <w:rPr>
                <w:rFonts w:hint="eastAsia" w:ascii="宋体" w:hAnsi="宋体" w:cs="宋体"/>
                <w:sz w:val="21"/>
                <w:szCs w:val="21"/>
              </w:rPr>
              <w:t>标准</w:t>
            </w:r>
            <w:r>
              <w:rPr>
                <w:rFonts w:ascii="宋体" w:hAnsi="宋体" w:cs="宋体"/>
                <w:sz w:val="21"/>
                <w:szCs w:val="21"/>
              </w:rPr>
              <w:t>。</w:t>
            </w:r>
          </w:p>
          <w:p>
            <w:pPr>
              <w:autoSpaceDE w:val="0"/>
              <w:autoSpaceDN w:val="0"/>
              <w:adjustRightInd w:val="0"/>
              <w:snapToGrid w:val="0"/>
              <w:spacing w:line="360" w:lineRule="auto"/>
              <w:ind w:firstLine="420"/>
              <w:jc w:val="left"/>
              <w:rPr>
                <w:b/>
                <w:kern w:val="0"/>
                <w:sz w:val="21"/>
                <w:szCs w:val="21"/>
              </w:rPr>
            </w:pPr>
            <w:r>
              <w:rPr>
                <w:rFonts w:hint="eastAsia"/>
                <w:b/>
                <w:kern w:val="0"/>
                <w:sz w:val="21"/>
                <w:szCs w:val="21"/>
              </w:rPr>
              <w:t>（3）资源</w:t>
            </w:r>
            <w:r>
              <w:rPr>
                <w:b/>
                <w:kern w:val="0"/>
                <w:sz w:val="21"/>
                <w:szCs w:val="21"/>
              </w:rPr>
              <w:t>利用上线</w:t>
            </w:r>
          </w:p>
          <w:p>
            <w:pPr>
              <w:autoSpaceDE w:val="0"/>
              <w:autoSpaceDN w:val="0"/>
              <w:adjustRightInd w:val="0"/>
              <w:snapToGrid w:val="0"/>
              <w:spacing w:line="360" w:lineRule="auto"/>
              <w:ind w:firstLine="420"/>
              <w:jc w:val="left"/>
              <w:rPr>
                <w:kern w:val="0"/>
                <w:sz w:val="21"/>
                <w:szCs w:val="21"/>
              </w:rPr>
            </w:pPr>
            <w:r>
              <w:rPr>
                <w:rFonts w:hint="eastAsia"/>
                <w:kern w:val="0"/>
                <w:sz w:val="21"/>
                <w:szCs w:val="21"/>
              </w:rPr>
              <w:t>本项目</w:t>
            </w:r>
            <w:r>
              <w:rPr>
                <w:kern w:val="0"/>
                <w:sz w:val="21"/>
                <w:szCs w:val="21"/>
              </w:rPr>
              <w:t>所在区域水、电资源丰富，项目水耗、能耗相对来说较小，不会达到区域资源利用上线。因此</w:t>
            </w:r>
            <w:r>
              <w:rPr>
                <w:rFonts w:hint="eastAsia"/>
                <w:kern w:val="0"/>
                <w:sz w:val="21"/>
                <w:szCs w:val="21"/>
              </w:rPr>
              <w:t>，本项目</w:t>
            </w:r>
            <w:r>
              <w:rPr>
                <w:kern w:val="0"/>
                <w:sz w:val="21"/>
                <w:szCs w:val="21"/>
              </w:rPr>
              <w:t>的建设符合资源利用上线的要求。</w:t>
            </w:r>
          </w:p>
          <w:p>
            <w:pPr>
              <w:autoSpaceDE w:val="0"/>
              <w:autoSpaceDN w:val="0"/>
              <w:adjustRightInd w:val="0"/>
              <w:snapToGrid w:val="0"/>
              <w:spacing w:line="360" w:lineRule="auto"/>
              <w:ind w:firstLine="420"/>
              <w:jc w:val="left"/>
              <w:rPr>
                <w:b/>
                <w:kern w:val="0"/>
                <w:sz w:val="21"/>
                <w:szCs w:val="21"/>
              </w:rPr>
            </w:pPr>
            <w:r>
              <w:rPr>
                <w:rFonts w:hint="eastAsia"/>
                <w:b/>
                <w:kern w:val="0"/>
                <w:sz w:val="21"/>
                <w:szCs w:val="21"/>
              </w:rPr>
              <w:t>（4）环境</w:t>
            </w:r>
            <w:r>
              <w:rPr>
                <w:b/>
                <w:kern w:val="0"/>
                <w:sz w:val="21"/>
                <w:szCs w:val="21"/>
              </w:rPr>
              <w:t>准入清单</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kern w:val="0"/>
                <w:sz w:val="21"/>
                <w:szCs w:val="21"/>
              </w:rPr>
            </w:pPr>
            <w:r>
              <w:rPr>
                <w:rFonts w:hint="eastAsia"/>
                <w:kern w:val="0"/>
                <w:sz w:val="21"/>
                <w:szCs w:val="21"/>
                <w:lang w:val="en-US" w:eastAsia="zh-CN"/>
              </w:rPr>
              <w:t xml:space="preserve">    </w:t>
            </w:r>
            <w:r>
              <w:rPr>
                <w:rFonts w:hint="eastAsia"/>
                <w:kern w:val="0"/>
                <w:sz w:val="21"/>
                <w:szCs w:val="21"/>
              </w:rPr>
              <w:t>本项目位于</w:t>
            </w:r>
            <w:r>
              <w:rPr>
                <w:rFonts w:hint="eastAsia" w:cs="Times New Roman"/>
                <w:sz w:val="21"/>
                <w:szCs w:val="21"/>
                <w:lang w:eastAsia="zh-CN"/>
              </w:rPr>
              <w:t>常德市桃源县漳江镇白佛阁社区漳江北路019号</w:t>
            </w:r>
            <w:r>
              <w:rPr>
                <w:rFonts w:hint="eastAsia"/>
                <w:kern w:val="0"/>
                <w:sz w:val="21"/>
                <w:szCs w:val="21"/>
              </w:rPr>
              <w:t>，根据常德市人民政府发布《常德市“三线一单 ”生态环境管控基本要求暨环境管控单元生态环境准入清单》，本项目的环境管控单元编码ZH43072520001青林回族维吾尔族乡/浔阳街道/漳江街道；单元分类为重点管控单元；单元面积103.06km</w:t>
            </w:r>
            <w:r>
              <w:rPr>
                <w:rFonts w:hint="eastAsia"/>
                <w:kern w:val="0"/>
                <w:sz w:val="21"/>
                <w:szCs w:val="21"/>
                <w:vertAlign w:val="superscript"/>
              </w:rPr>
              <w:t>2</w:t>
            </w:r>
            <w:r>
              <w:rPr>
                <w:rFonts w:hint="eastAsia"/>
                <w:kern w:val="0"/>
                <w:sz w:val="21"/>
                <w:szCs w:val="21"/>
              </w:rPr>
              <w:t xml:space="preserve"> ；区域主体功能定位国家级重点生态功能区；经济产业布局为：生态农业、生态旅游等。主要环境问题和重要敏感目标为</w:t>
            </w:r>
            <w:r>
              <w:rPr>
                <w:rFonts w:hint="eastAsia"/>
                <w:kern w:val="0"/>
                <w:sz w:val="21"/>
                <w:szCs w:val="21"/>
                <w:lang w:eastAsia="zh-CN"/>
              </w:rPr>
              <w:t>存</w:t>
            </w:r>
            <w:r>
              <w:rPr>
                <w:rFonts w:hint="eastAsia"/>
                <w:kern w:val="0"/>
                <w:sz w:val="21"/>
                <w:szCs w:val="21"/>
              </w:rPr>
              <w:t>在畜禽养殖污染问题，治理难度较大；秸秆产生量大，综合利用率低；集镇污水处理设施不配套。</w:t>
            </w:r>
          </w:p>
          <w:p>
            <w:pPr>
              <w:autoSpaceDE w:val="0"/>
              <w:autoSpaceDN w:val="0"/>
              <w:adjustRightInd w:val="0"/>
              <w:snapToGrid w:val="0"/>
              <w:spacing w:line="360" w:lineRule="auto"/>
              <w:jc w:val="center"/>
              <w:rPr>
                <w:b/>
                <w:kern w:val="0"/>
                <w:sz w:val="21"/>
                <w:szCs w:val="21"/>
              </w:rPr>
            </w:pPr>
            <w:r>
              <w:rPr>
                <w:rFonts w:hint="eastAsia"/>
                <w:b/>
                <w:kern w:val="0"/>
                <w:sz w:val="21"/>
                <w:szCs w:val="21"/>
              </w:rPr>
              <w:t>表1-1  项目</w:t>
            </w:r>
            <w:r>
              <w:rPr>
                <w:b/>
                <w:kern w:val="0"/>
                <w:sz w:val="21"/>
                <w:szCs w:val="21"/>
              </w:rPr>
              <w:t>与《</w:t>
            </w:r>
            <w:r>
              <w:rPr>
                <w:rFonts w:hint="eastAsia"/>
                <w:b/>
                <w:kern w:val="0"/>
                <w:sz w:val="21"/>
                <w:szCs w:val="21"/>
              </w:rPr>
              <w:t>常德市</w:t>
            </w:r>
            <w:r>
              <w:rPr>
                <w:b/>
                <w:kern w:val="0"/>
                <w:sz w:val="21"/>
                <w:szCs w:val="21"/>
              </w:rPr>
              <w:t>“</w:t>
            </w:r>
            <w:r>
              <w:rPr>
                <w:rFonts w:hint="eastAsia"/>
                <w:b/>
                <w:kern w:val="0"/>
                <w:sz w:val="21"/>
                <w:szCs w:val="21"/>
              </w:rPr>
              <w:t>三线一单</w:t>
            </w:r>
            <w:r>
              <w:rPr>
                <w:b/>
                <w:kern w:val="0"/>
                <w:sz w:val="21"/>
                <w:szCs w:val="21"/>
              </w:rPr>
              <w:t>”</w:t>
            </w:r>
            <w:r>
              <w:rPr>
                <w:rFonts w:hint="eastAsia"/>
                <w:b/>
                <w:kern w:val="0"/>
                <w:sz w:val="21"/>
                <w:szCs w:val="21"/>
              </w:rPr>
              <w:t>生态</w:t>
            </w:r>
            <w:r>
              <w:rPr>
                <w:b/>
                <w:kern w:val="0"/>
                <w:sz w:val="21"/>
                <w:szCs w:val="21"/>
              </w:rPr>
              <w:t>环境管控基本要求</w:t>
            </w:r>
          </w:p>
          <w:p>
            <w:pPr>
              <w:autoSpaceDE w:val="0"/>
              <w:autoSpaceDN w:val="0"/>
              <w:adjustRightInd w:val="0"/>
              <w:snapToGrid w:val="0"/>
              <w:spacing w:line="360" w:lineRule="auto"/>
              <w:jc w:val="center"/>
              <w:rPr>
                <w:b/>
                <w:kern w:val="0"/>
                <w:sz w:val="21"/>
                <w:szCs w:val="21"/>
              </w:rPr>
            </w:pPr>
            <w:r>
              <w:rPr>
                <w:b/>
                <w:kern w:val="0"/>
                <w:sz w:val="21"/>
                <w:szCs w:val="21"/>
              </w:rPr>
              <w:t>暨环境管控单元生态环境准入清单》</w:t>
            </w:r>
            <w:r>
              <w:rPr>
                <w:rFonts w:hint="eastAsia"/>
                <w:b/>
                <w:kern w:val="0"/>
                <w:sz w:val="21"/>
                <w:szCs w:val="21"/>
              </w:rPr>
              <w:t>的相符性</w:t>
            </w:r>
            <w:r>
              <w:rPr>
                <w:b/>
                <w:kern w:val="0"/>
                <w:sz w:val="21"/>
                <w:szCs w:val="21"/>
              </w:rPr>
              <w:t>分析</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03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top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管控</w:t>
                  </w:r>
                  <w:r>
                    <w:rPr>
                      <w:kern w:val="0"/>
                      <w:sz w:val="21"/>
                      <w:szCs w:val="21"/>
                    </w:rPr>
                    <w:t>领域</w:t>
                  </w:r>
                </w:p>
              </w:tc>
              <w:tc>
                <w:tcPr>
                  <w:tcW w:w="3392" w:type="dxa"/>
                  <w:tcBorders>
                    <w:top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管控要求</w:t>
                  </w:r>
                </w:p>
              </w:tc>
              <w:tc>
                <w:tcPr>
                  <w:tcW w:w="2086" w:type="dxa"/>
                  <w:tcBorders>
                    <w:top w:val="single" w:color="auto" w:sz="4" w:space="0"/>
                  </w:tcBorders>
                  <w:shd w:val="clear" w:color="auto" w:fill="auto"/>
                  <w:noWrap w:val="0"/>
                  <w:vAlign w:val="top"/>
                </w:tcPr>
                <w:p>
                  <w:pPr>
                    <w:autoSpaceDE w:val="0"/>
                    <w:autoSpaceDN w:val="0"/>
                    <w:adjustRightInd w:val="0"/>
                    <w:snapToGrid w:val="0"/>
                    <w:jc w:val="center"/>
                    <w:rPr>
                      <w:rFonts w:hint="eastAsia"/>
                      <w:kern w:val="0"/>
                      <w:sz w:val="21"/>
                      <w:szCs w:val="21"/>
                    </w:rPr>
                  </w:pPr>
                  <w:r>
                    <w:rPr>
                      <w:rFonts w:hint="eastAsia"/>
                      <w:kern w:val="0"/>
                      <w:sz w:val="21"/>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空间</w:t>
                  </w:r>
                  <w:r>
                    <w:rPr>
                      <w:kern w:val="0"/>
                      <w:sz w:val="21"/>
                      <w:szCs w:val="21"/>
                    </w:rPr>
                    <w:t>布局约束</w:t>
                  </w:r>
                </w:p>
              </w:tc>
              <w:tc>
                <w:tcPr>
                  <w:tcW w:w="3392" w:type="dxa"/>
                  <w:shd w:val="clear" w:color="auto" w:fill="auto"/>
                  <w:noWrap w:val="0"/>
                  <w:vAlign w:val="center"/>
                </w:tcPr>
                <w:p>
                  <w:pPr>
                    <w:autoSpaceDE w:val="0"/>
                    <w:autoSpaceDN w:val="0"/>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pPr>
                    <w:autoSpaceDE w:val="0"/>
                    <w:autoSpaceDN w:val="0"/>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（1.2）加快清洁能源替代利用。推进热电联产、集中供热和工业余热利用，关停拆除热电联产集中供热管网覆盖区域内的燃煤小锅炉、工业窑炉。</w:t>
                  </w:r>
                </w:p>
                <w:p>
                  <w:pPr>
                    <w:autoSpaceDE w:val="0"/>
                    <w:autoSpaceDN w:val="0"/>
                    <w:adjustRightInd w:val="0"/>
                    <w:snapToGrid w:val="0"/>
                    <w:jc w:val="left"/>
                    <w:rPr>
                      <w:rFonts w:hint="eastAsia"/>
                      <w:kern w:val="0"/>
                      <w:sz w:val="21"/>
                      <w:szCs w:val="21"/>
                    </w:rPr>
                  </w:pPr>
                  <w:r>
                    <w:rPr>
                      <w:rFonts w:hint="eastAsia" w:ascii="Times New Roman" w:hAnsi="Times New Roman" w:eastAsia="宋体" w:cs="Times New Roman"/>
                      <w:kern w:val="2"/>
                      <w:sz w:val="21"/>
                      <w:szCs w:val="21"/>
                      <w:lang w:val="en-US" w:eastAsia="zh-CN" w:bidi="ar-SA"/>
                    </w:rPr>
                    <w:t>（1.3）严格执行相关行业企业布局选址要求，禁止在居住、商业、学校、医疗、养老机构、人口密集区和公共服务设施等周边新建有色金属冶炼、化工等行业企业。</w:t>
                  </w:r>
                </w:p>
              </w:tc>
              <w:tc>
                <w:tcPr>
                  <w:tcW w:w="2086" w:type="dxa"/>
                  <w:shd w:val="clear" w:color="auto" w:fill="auto"/>
                  <w:noWrap w:val="0"/>
                  <w:vAlign w:val="center"/>
                </w:tcPr>
                <w:p>
                  <w:pPr>
                    <w:autoSpaceDE w:val="0"/>
                    <w:autoSpaceDN w:val="0"/>
                    <w:adjustRightInd w:val="0"/>
                    <w:snapToGrid w:val="0"/>
                    <w:jc w:val="center"/>
                    <w:rPr>
                      <w:rFonts w:hint="eastAsia" w:eastAsia="宋体"/>
                      <w:kern w:val="0"/>
                      <w:sz w:val="21"/>
                      <w:szCs w:val="21"/>
                      <w:lang w:eastAsia="zh-CN"/>
                    </w:rPr>
                  </w:pPr>
                  <w:r>
                    <w:rPr>
                      <w:rFonts w:hint="eastAsia"/>
                      <w:kern w:val="0"/>
                      <w:sz w:val="21"/>
                      <w:szCs w:val="21"/>
                    </w:rPr>
                    <w:t>符合。本项目位于</w:t>
                  </w:r>
                  <w:r>
                    <w:rPr>
                      <w:rFonts w:hint="eastAsia"/>
                      <w:kern w:val="0"/>
                      <w:sz w:val="21"/>
                      <w:szCs w:val="21"/>
                      <w:lang w:eastAsia="zh-CN"/>
                    </w:rPr>
                    <w:t>常德市桃源县漳江镇白佛阁社区漳江北路019号</w:t>
                  </w:r>
                  <w:r>
                    <w:rPr>
                      <w:rFonts w:hint="eastAsia"/>
                      <w:kern w:val="0"/>
                      <w:sz w:val="21"/>
                      <w:szCs w:val="21"/>
                    </w:rPr>
                    <w:t>，本项目不属于有色金属冶炼、化工等行业企业；不涉及燃煤小锅炉、工业窑炉；不在生态保护红线内。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污染物</w:t>
                  </w:r>
                  <w:r>
                    <w:rPr>
                      <w:kern w:val="0"/>
                      <w:sz w:val="21"/>
                      <w:szCs w:val="21"/>
                    </w:rPr>
                    <w:t>排放管控</w:t>
                  </w:r>
                </w:p>
              </w:tc>
              <w:tc>
                <w:tcPr>
                  <w:tcW w:w="3392" w:type="dxa"/>
                  <w:shd w:val="clear" w:color="auto" w:fill="auto"/>
                  <w:noWrap w:val="0"/>
                  <w:vAlign w:val="center"/>
                </w:tcPr>
                <w:p>
                  <w:pPr>
                    <w:autoSpaceDE w:val="0"/>
                    <w:autoSpaceDN w:val="0"/>
                    <w:adjustRightInd w:val="0"/>
                    <w:snapToGrid w:val="0"/>
                    <w:jc w:val="left"/>
                    <w:rPr>
                      <w:rFonts w:hint="eastAsia"/>
                      <w:sz w:val="21"/>
                      <w:szCs w:val="21"/>
                    </w:rPr>
                  </w:pPr>
                  <w:r>
                    <w:rPr>
                      <w:rFonts w:hint="eastAsia"/>
                      <w:sz w:val="21"/>
                      <w:szCs w:val="21"/>
                    </w:rPr>
                    <w:t>（2.1）开展土壤污染综合防治先行区建设，建立土壤污染防治长效机制。将建设用地土壤环境管理要求纳入城市规划和供地管理。强化土壤污染治理和修复。加强林地草地园地土壤环境管理。禁止使用高毒、高残留农药。</w:t>
                  </w:r>
                </w:p>
                <w:p>
                  <w:pPr>
                    <w:autoSpaceDE w:val="0"/>
                    <w:autoSpaceDN w:val="0"/>
                    <w:adjustRightInd w:val="0"/>
                    <w:snapToGrid w:val="0"/>
                    <w:jc w:val="left"/>
                    <w:rPr>
                      <w:rFonts w:hint="eastAsia"/>
                      <w:sz w:val="21"/>
                      <w:szCs w:val="21"/>
                    </w:rPr>
                  </w:pPr>
                  <w:r>
                    <w:rPr>
                      <w:rFonts w:hint="eastAsia"/>
                      <w:sz w:val="21"/>
                      <w:szCs w:val="21"/>
                    </w:rPr>
                    <w:t>（2.2）严禁秸秆露天焚烧。全面禁止农作物秸秆（含火土灰）露天焚烧，秸秆综合利用率达到90%以上。</w:t>
                  </w:r>
                </w:p>
                <w:p>
                  <w:pPr>
                    <w:autoSpaceDE w:val="0"/>
                    <w:autoSpaceDN w:val="0"/>
                    <w:adjustRightInd w:val="0"/>
                    <w:snapToGrid w:val="0"/>
                    <w:jc w:val="left"/>
                    <w:rPr>
                      <w:rFonts w:hint="eastAsia"/>
                      <w:sz w:val="21"/>
                      <w:szCs w:val="21"/>
                    </w:rPr>
                  </w:pPr>
                  <w:r>
                    <w:rPr>
                      <w:rFonts w:hint="eastAsia"/>
                      <w:sz w:val="21"/>
                      <w:szCs w:val="21"/>
                    </w:rPr>
                    <w:t>（2.3）产粮（油）大县要制定土壤环境保护方案，实施农药化肥负增长行动，推行农业清洁安全生产。已建成的相关企业应当按照有关标准、规定采取措施，防止对耕地造成污染。</w:t>
                  </w:r>
                </w:p>
                <w:p>
                  <w:pPr>
                    <w:autoSpaceDE w:val="0"/>
                    <w:autoSpaceDN w:val="0"/>
                    <w:adjustRightInd w:val="0"/>
                    <w:snapToGrid w:val="0"/>
                    <w:jc w:val="left"/>
                    <w:rPr>
                      <w:rFonts w:hint="eastAsia"/>
                      <w:kern w:val="0"/>
                      <w:sz w:val="21"/>
                      <w:szCs w:val="21"/>
                    </w:rPr>
                  </w:pPr>
                  <w:r>
                    <w:rPr>
                      <w:rFonts w:hint="eastAsia"/>
                      <w:sz w:val="21"/>
                      <w:szCs w:val="21"/>
                    </w:rPr>
                    <w:t>（2.4）加强船舶污染防治及风险管控。淘汰不符合标准要求的高污染、高能耗、老旧落后船舶，严禁新建不达标船舶进入运输市场，禁止冲滩拆解；禁止生活污水排放达不到要求的内河运输船舶以及单壳化学品船、600载重吨以上的单壳油船进入沅水水域航行。</w:t>
                  </w:r>
                </w:p>
              </w:tc>
              <w:tc>
                <w:tcPr>
                  <w:tcW w:w="2086" w:type="dxa"/>
                  <w:shd w:val="clear" w:color="auto" w:fill="auto"/>
                  <w:noWrap w:val="0"/>
                  <w:vAlign w:val="center"/>
                </w:tcPr>
                <w:p>
                  <w:pPr>
                    <w:autoSpaceDE w:val="0"/>
                    <w:autoSpaceDN w:val="0"/>
                    <w:adjustRightInd w:val="0"/>
                    <w:snapToGrid w:val="0"/>
                    <w:spacing w:line="360" w:lineRule="auto"/>
                    <w:jc w:val="center"/>
                    <w:rPr>
                      <w:rFonts w:hint="eastAsia" w:eastAsia="宋体"/>
                      <w:kern w:val="0"/>
                      <w:sz w:val="21"/>
                      <w:szCs w:val="21"/>
                      <w:lang w:eastAsia="zh-CN"/>
                    </w:rPr>
                  </w:pPr>
                  <w:r>
                    <w:rPr>
                      <w:rFonts w:hint="eastAsia"/>
                      <w:kern w:val="0"/>
                      <w:sz w:val="21"/>
                      <w:szCs w:val="21"/>
                    </w:rPr>
                    <w:t>符合</w:t>
                  </w:r>
                  <w:r>
                    <w:rPr>
                      <w:kern w:val="0"/>
                      <w:sz w:val="21"/>
                      <w:szCs w:val="21"/>
                    </w:rPr>
                    <w:t>。</w:t>
                  </w:r>
                  <w:r>
                    <w:rPr>
                      <w:rFonts w:hint="eastAsia"/>
                      <w:sz w:val="21"/>
                      <w:szCs w:val="21"/>
                    </w:rPr>
                    <w:t>本项目</w:t>
                  </w:r>
                  <w:r>
                    <w:rPr>
                      <w:sz w:val="21"/>
                      <w:szCs w:val="21"/>
                    </w:rPr>
                    <w:t>按照规范和要求对罐区、危险废物贮存间等采取有效的防雨、防渗漏、防溢流措施，并加强对原料运输和危险废物储存的管理，在正常运行工况下，不会对土壤环境质量造成显著的不利影响。废水经预处理后达标排放</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环境</w:t>
                  </w:r>
                  <w:r>
                    <w:rPr>
                      <w:kern w:val="0"/>
                      <w:sz w:val="21"/>
                      <w:szCs w:val="21"/>
                    </w:rPr>
                    <w:t>风险防控</w:t>
                  </w:r>
                </w:p>
              </w:tc>
              <w:tc>
                <w:tcPr>
                  <w:tcW w:w="3392" w:type="dxa"/>
                  <w:tcBorders>
                    <w:bottom w:val="single" w:color="auto" w:sz="4" w:space="0"/>
                  </w:tcBorders>
                  <w:shd w:val="clear" w:color="auto" w:fill="auto"/>
                  <w:noWrap w:val="0"/>
                  <w:vAlign w:val="center"/>
                </w:tcPr>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（3.1）采取种植重金属低积累作物、调节土壤理化性状、科学管理水分、施用功能性肥料等措施降低农产品重金属超标风险。</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3.2）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制定环境应急预案专章，并备案。</w:t>
                  </w:r>
                </w:p>
              </w:tc>
              <w:tc>
                <w:tcPr>
                  <w:tcW w:w="2086" w:type="dxa"/>
                  <w:tcBorders>
                    <w:bottom w:val="single" w:color="auto" w:sz="4" w:space="0"/>
                  </w:tcBorders>
                  <w:shd w:val="clear" w:color="auto" w:fill="auto"/>
                  <w:noWrap w:val="0"/>
                  <w:vAlign w:val="center"/>
                </w:tcPr>
                <w:p>
                  <w:pPr>
                    <w:autoSpaceDE w:val="0"/>
                    <w:autoSpaceDN w:val="0"/>
                    <w:adjustRightInd w:val="0"/>
                    <w:snapToGrid w:val="0"/>
                    <w:spacing w:line="360" w:lineRule="auto"/>
                    <w:jc w:val="center"/>
                    <w:rPr>
                      <w:rFonts w:hint="eastAsia" w:eastAsia="宋体"/>
                      <w:kern w:val="0"/>
                      <w:sz w:val="21"/>
                      <w:szCs w:val="21"/>
                      <w:lang w:eastAsia="zh-CN"/>
                    </w:rPr>
                  </w:pPr>
                  <w:r>
                    <w:rPr>
                      <w:kern w:val="0"/>
                      <w:sz w:val="21"/>
                      <w:szCs w:val="21"/>
                    </w:rPr>
                    <w:t>符合。</w:t>
                  </w:r>
                  <w:r>
                    <w:rPr>
                      <w:rFonts w:hint="eastAsia"/>
                      <w:kern w:val="0"/>
                      <w:sz w:val="21"/>
                      <w:szCs w:val="21"/>
                      <w:lang w:eastAsia="zh-CN"/>
                    </w:rPr>
                    <w:t>本</w:t>
                  </w:r>
                  <w:r>
                    <w:rPr>
                      <w:rFonts w:hint="eastAsia"/>
                      <w:kern w:val="0"/>
                      <w:sz w:val="21"/>
                      <w:szCs w:val="21"/>
                    </w:rPr>
                    <w:t>项目</w:t>
                  </w:r>
                  <w:r>
                    <w:rPr>
                      <w:rFonts w:hint="eastAsia"/>
                      <w:kern w:val="0"/>
                      <w:sz w:val="21"/>
                      <w:szCs w:val="21"/>
                      <w:lang w:eastAsia="zh-CN"/>
                    </w:rPr>
                    <w:t>属于扩建项目</w:t>
                  </w:r>
                  <w:r>
                    <w:rPr>
                      <w:rFonts w:hint="eastAsia"/>
                      <w:kern w:val="0"/>
                      <w:sz w:val="21"/>
                      <w:szCs w:val="21"/>
                    </w:rPr>
                    <w:t>，企业</w:t>
                  </w:r>
                  <w:r>
                    <w:rPr>
                      <w:rFonts w:hint="eastAsia"/>
                      <w:kern w:val="0"/>
                      <w:sz w:val="21"/>
                      <w:szCs w:val="21"/>
                      <w:lang w:eastAsia="zh-CN"/>
                    </w:rPr>
                    <w:t>已</w:t>
                  </w:r>
                  <w:r>
                    <w:rPr>
                      <w:rFonts w:hint="eastAsia"/>
                      <w:kern w:val="0"/>
                      <w:sz w:val="21"/>
                      <w:szCs w:val="21"/>
                    </w:rPr>
                    <w:t>健全环境风险事故防范措施</w:t>
                  </w:r>
                  <w:r>
                    <w:rPr>
                      <w:rFonts w:hint="eastAsia"/>
                      <w:kern w:val="0"/>
                      <w:sz w:val="21"/>
                      <w:szCs w:val="21"/>
                      <w:lang w:val="en-US" w:eastAsia="zh-CN"/>
                    </w:rPr>
                    <w:t>并且按照要求编制突发环境事件</w:t>
                  </w:r>
                  <w:r>
                    <w:rPr>
                      <w:rFonts w:hint="eastAsia"/>
                      <w:kern w:val="0"/>
                      <w:sz w:val="21"/>
                      <w:szCs w:val="21"/>
                    </w:rPr>
                    <w:t>应急预案</w:t>
                  </w:r>
                  <w:r>
                    <w:rPr>
                      <w:rFonts w:hint="eastAsia"/>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资源</w:t>
                  </w:r>
                  <w:r>
                    <w:rPr>
                      <w:kern w:val="0"/>
                      <w:sz w:val="21"/>
                      <w:szCs w:val="21"/>
                    </w:rPr>
                    <w:t>开发效率要求</w:t>
                  </w:r>
                </w:p>
              </w:tc>
              <w:tc>
                <w:tcPr>
                  <w:tcW w:w="3392" w:type="dxa"/>
                  <w:tcBorders>
                    <w:bottom w:val="single" w:color="auto" w:sz="4" w:space="0"/>
                  </w:tcBorders>
                  <w:shd w:val="clear" w:color="auto" w:fill="auto"/>
                  <w:noWrap w:val="0"/>
                  <w:vAlign w:val="center"/>
                </w:tcPr>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（4.1）水资源</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（4.1.2）到2020年，全县农田灌溉水有效利用系数达到0.539，全县万元工业增加值用水量下降到52立方米以下。</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4.1.3）调整种植结构，发展节水型农业，普及先进灌溉技术。修订、完善桃源县行业用水标准。依靠科技进步，挖掘工业节水潜力，提高工业用水重复利用率。加强管理体系建设，提高社会节水意识，促进节约用水，提高用水效率。</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（4.2）土地资源</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4.2.2）到2020年，青林回族维吾尔族乡耕地保有量不低于3300.00公顷，基本农田保护面积不低于3221.13公顷，城乡用地总规模控制在1566.74公顷以内，城乡建设用地规模不低于1414.00公顷，城镇工矿用地规模不低于486.78公顷。漳江街道及浔阳街道耕地保有量不低于7354.54公顷，基本农田保护面积不低于6320.35公顷，城乡用地总规模控制在3966.93公顷以内，城乡建设用地规模不低于3379.99公顷，城镇工矿用地规模不低于1597.99公顷。</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4.2.3）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（4.3）能源</w:t>
                  </w:r>
                </w:p>
                <w:p>
                  <w:pPr>
                    <w:autoSpaceDE w:val="0"/>
                    <w:autoSpaceDN w:val="0"/>
                    <w:adjustRightInd w:val="0"/>
                    <w:snapToGrid w:val="0"/>
                    <w:jc w:val="left"/>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4.3.1）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2086" w:type="dxa"/>
                  <w:tcBorders>
                    <w:bottom w:val="single" w:color="auto" w:sz="4" w:space="0"/>
                  </w:tcBorders>
                  <w:shd w:val="clear" w:color="auto" w:fill="auto"/>
                  <w:noWrap w:val="0"/>
                  <w:vAlign w:val="center"/>
                </w:tcPr>
                <w:p>
                  <w:pPr>
                    <w:autoSpaceDE w:val="0"/>
                    <w:autoSpaceDN w:val="0"/>
                    <w:adjustRightInd w:val="0"/>
                    <w:snapToGrid w:val="0"/>
                    <w:jc w:val="center"/>
                    <w:rPr>
                      <w:rFonts w:hint="eastAsia" w:eastAsia="宋体"/>
                      <w:sz w:val="21"/>
                      <w:szCs w:val="21"/>
                      <w:lang w:eastAsia="zh-CN"/>
                    </w:rPr>
                  </w:pPr>
                  <w:r>
                    <w:rPr>
                      <w:kern w:val="0"/>
                      <w:sz w:val="21"/>
                      <w:szCs w:val="21"/>
                    </w:rPr>
                    <w:t>符合。</w:t>
                  </w:r>
                  <w:r>
                    <w:rPr>
                      <w:sz w:val="21"/>
                      <w:szCs w:val="21"/>
                    </w:rPr>
                    <w:t>本加油站为</w:t>
                  </w:r>
                  <w:r>
                    <w:rPr>
                      <w:rFonts w:hint="eastAsia"/>
                      <w:sz w:val="21"/>
                      <w:szCs w:val="21"/>
                      <w:lang w:eastAsia="zh-CN"/>
                    </w:rPr>
                    <w:t>扩</w:t>
                  </w:r>
                  <w:r>
                    <w:rPr>
                      <w:sz w:val="21"/>
                      <w:szCs w:val="21"/>
                    </w:rPr>
                    <w:t>建项目，使用能源主要为电能，项目供水来自市政供水管网不自行取水，用地不占用耕地</w:t>
                  </w:r>
                  <w:r>
                    <w:rPr>
                      <w:rFonts w:hint="eastAsia"/>
                      <w:sz w:val="21"/>
                      <w:szCs w:val="21"/>
                      <w:lang w:eastAsia="zh-CN"/>
                    </w:rPr>
                    <w:t>。</w:t>
                  </w:r>
                </w:p>
                <w:p>
                  <w:pPr>
                    <w:autoSpaceDE w:val="0"/>
                    <w:autoSpaceDN w:val="0"/>
                    <w:adjustRightInd w:val="0"/>
                    <w:snapToGrid w:val="0"/>
                    <w:spacing w:line="360" w:lineRule="auto"/>
                    <w:jc w:val="center"/>
                    <w:rPr>
                      <w:rFonts w:hint="eastAsia"/>
                      <w:kern w:val="0"/>
                      <w:sz w:val="21"/>
                      <w:szCs w:val="21"/>
                    </w:rPr>
                  </w:pPr>
                </w:p>
              </w:tc>
            </w:tr>
          </w:tbl>
          <w:p>
            <w:pPr>
              <w:autoSpaceDE w:val="0"/>
              <w:autoSpaceDN w:val="0"/>
              <w:adjustRightInd w:val="0"/>
              <w:snapToGrid w:val="0"/>
              <w:spacing w:line="360" w:lineRule="auto"/>
              <w:ind w:firstLine="435"/>
              <w:jc w:val="left"/>
              <w:rPr>
                <w:kern w:val="0"/>
                <w:sz w:val="21"/>
                <w:szCs w:val="21"/>
              </w:rPr>
            </w:pPr>
            <w:r>
              <w:rPr>
                <w:rFonts w:hint="eastAsia"/>
                <w:kern w:val="0"/>
                <w:sz w:val="21"/>
                <w:szCs w:val="21"/>
              </w:rPr>
              <w:t>综上所述</w:t>
            </w:r>
            <w:r>
              <w:rPr>
                <w:kern w:val="0"/>
                <w:sz w:val="21"/>
                <w:szCs w:val="21"/>
              </w:rPr>
              <w:t>，本项目与《</w:t>
            </w:r>
            <w:r>
              <w:rPr>
                <w:rFonts w:hint="eastAsia"/>
                <w:kern w:val="0"/>
                <w:sz w:val="21"/>
                <w:szCs w:val="21"/>
              </w:rPr>
              <w:t>常德市</w:t>
            </w:r>
            <w:r>
              <w:rPr>
                <w:rFonts w:ascii="宋体" w:hAnsi="宋体"/>
                <w:kern w:val="0"/>
                <w:sz w:val="21"/>
                <w:szCs w:val="21"/>
              </w:rPr>
              <w:t>“</w:t>
            </w:r>
            <w:r>
              <w:rPr>
                <w:rFonts w:hint="eastAsia" w:ascii="宋体" w:hAnsi="宋体"/>
                <w:kern w:val="0"/>
                <w:sz w:val="21"/>
                <w:szCs w:val="21"/>
              </w:rPr>
              <w:t>三线一单</w:t>
            </w:r>
            <w:r>
              <w:rPr>
                <w:rFonts w:ascii="宋体" w:hAnsi="宋体"/>
                <w:kern w:val="0"/>
                <w:sz w:val="21"/>
                <w:szCs w:val="21"/>
              </w:rPr>
              <w:t>”</w:t>
            </w:r>
            <w:r>
              <w:rPr>
                <w:rFonts w:hint="eastAsia"/>
                <w:kern w:val="0"/>
                <w:sz w:val="21"/>
                <w:szCs w:val="21"/>
              </w:rPr>
              <w:t>生态环境管控</w:t>
            </w:r>
            <w:r>
              <w:rPr>
                <w:kern w:val="0"/>
                <w:sz w:val="21"/>
                <w:szCs w:val="21"/>
              </w:rPr>
              <w:t>基本要求暨环境管控单元生态环境准入清单》</w:t>
            </w:r>
            <w:r>
              <w:rPr>
                <w:rFonts w:hint="eastAsia"/>
                <w:kern w:val="0"/>
                <w:sz w:val="21"/>
                <w:szCs w:val="21"/>
              </w:rPr>
              <w:t>相符</w:t>
            </w:r>
            <w:r>
              <w:rPr>
                <w:kern w:val="0"/>
                <w:sz w:val="21"/>
                <w:szCs w:val="21"/>
              </w:rPr>
              <w:t>。</w:t>
            </w:r>
          </w:p>
          <w:p>
            <w:pPr>
              <w:autoSpaceDE w:val="0"/>
              <w:autoSpaceDN w:val="0"/>
              <w:adjustRightInd w:val="0"/>
              <w:snapToGrid w:val="0"/>
              <w:spacing w:line="360" w:lineRule="auto"/>
              <w:ind w:firstLine="435"/>
              <w:jc w:val="left"/>
              <w:rPr>
                <w:b/>
                <w:kern w:val="0"/>
                <w:sz w:val="21"/>
                <w:szCs w:val="21"/>
              </w:rPr>
            </w:pPr>
            <w:r>
              <w:rPr>
                <w:b/>
                <w:kern w:val="0"/>
                <w:sz w:val="21"/>
                <w:szCs w:val="21"/>
              </w:rPr>
              <w:t>2.</w:t>
            </w:r>
            <w:r>
              <w:rPr>
                <w:rFonts w:hint="eastAsia"/>
                <w:b/>
                <w:kern w:val="0"/>
                <w:sz w:val="21"/>
                <w:szCs w:val="21"/>
              </w:rPr>
              <w:t>产业</w:t>
            </w:r>
            <w:r>
              <w:rPr>
                <w:b/>
                <w:kern w:val="0"/>
                <w:sz w:val="21"/>
                <w:szCs w:val="21"/>
              </w:rPr>
              <w:t>政策符合性分析</w:t>
            </w:r>
          </w:p>
          <w:p>
            <w:pPr>
              <w:autoSpaceDE w:val="0"/>
              <w:autoSpaceDN w:val="0"/>
              <w:adjustRightInd w:val="0"/>
              <w:snapToGrid w:val="0"/>
              <w:spacing w:line="360" w:lineRule="auto"/>
              <w:ind w:firstLine="435"/>
              <w:jc w:val="left"/>
              <w:rPr>
                <w:kern w:val="0"/>
                <w:sz w:val="21"/>
                <w:szCs w:val="21"/>
              </w:rPr>
            </w:pPr>
            <w:r>
              <w:rPr>
                <w:rFonts w:hint="eastAsia"/>
                <w:kern w:val="0"/>
                <w:sz w:val="21"/>
                <w:szCs w:val="21"/>
              </w:rPr>
              <w:t>本项目</w:t>
            </w:r>
            <w:r>
              <w:rPr>
                <w:kern w:val="0"/>
                <w:sz w:val="21"/>
                <w:szCs w:val="21"/>
              </w:rPr>
              <w:t>从事车用汽油、柴油销售，</w:t>
            </w:r>
            <w:r>
              <w:rPr>
                <w:rFonts w:hint="eastAsia"/>
                <w:kern w:val="0"/>
                <w:sz w:val="21"/>
                <w:szCs w:val="21"/>
              </w:rPr>
              <w:t>根据2023年12月27日国家发展改革委令第7号公布的《产业结构调整指导目录（</w:t>
            </w:r>
            <w:r>
              <w:rPr>
                <w:kern w:val="0"/>
                <w:sz w:val="21"/>
                <w:szCs w:val="21"/>
              </w:rPr>
              <w:t>20</w:t>
            </w:r>
            <w:r>
              <w:rPr>
                <w:rFonts w:hint="eastAsia"/>
                <w:kern w:val="0"/>
                <w:sz w:val="21"/>
                <w:szCs w:val="21"/>
                <w:lang w:val="en-US" w:eastAsia="zh-CN"/>
              </w:rPr>
              <w:t>24</w:t>
            </w:r>
            <w:r>
              <w:rPr>
                <w:kern w:val="0"/>
                <w:sz w:val="21"/>
                <w:szCs w:val="21"/>
              </w:rPr>
              <w:t xml:space="preserve"> </w:t>
            </w:r>
            <w:r>
              <w:rPr>
                <w:rFonts w:hint="eastAsia"/>
                <w:kern w:val="0"/>
                <w:sz w:val="21"/>
                <w:szCs w:val="21"/>
              </w:rPr>
              <w:t>年本）》，本项目不属于限制类、淘汰类及鼓励类，属于允许类，故本项目符合国家产业政策。</w:t>
            </w:r>
          </w:p>
          <w:p>
            <w:pPr>
              <w:autoSpaceDE w:val="0"/>
              <w:autoSpaceDN w:val="0"/>
              <w:adjustRightInd w:val="0"/>
              <w:snapToGrid w:val="0"/>
              <w:spacing w:line="360" w:lineRule="auto"/>
              <w:ind w:firstLine="435"/>
              <w:jc w:val="left"/>
              <w:rPr>
                <w:b/>
                <w:kern w:val="0"/>
                <w:sz w:val="21"/>
                <w:szCs w:val="21"/>
              </w:rPr>
            </w:pPr>
            <w:r>
              <w:rPr>
                <w:rFonts w:hint="eastAsia"/>
                <w:b/>
                <w:kern w:val="0"/>
                <w:sz w:val="21"/>
                <w:szCs w:val="21"/>
              </w:rPr>
              <w:t>3.选址</w:t>
            </w:r>
            <w:r>
              <w:rPr>
                <w:b/>
                <w:kern w:val="0"/>
                <w:sz w:val="21"/>
                <w:szCs w:val="21"/>
              </w:rPr>
              <w:t>合理性分析</w:t>
            </w:r>
          </w:p>
          <w:p>
            <w:pPr>
              <w:autoSpaceDE w:val="0"/>
              <w:autoSpaceDN w:val="0"/>
              <w:adjustRightInd w:val="0"/>
              <w:snapToGrid w:val="0"/>
              <w:spacing w:line="360" w:lineRule="auto"/>
              <w:ind w:firstLine="435"/>
              <w:jc w:val="left"/>
              <w:rPr>
                <w:color w:val="auto"/>
                <w:sz w:val="21"/>
                <w:szCs w:val="21"/>
              </w:rPr>
            </w:pPr>
            <w:r>
              <w:rPr>
                <w:color w:val="auto"/>
                <w:kern w:val="0"/>
                <w:sz w:val="21"/>
                <w:szCs w:val="21"/>
              </w:rPr>
              <w:t>本项目场地位于</w:t>
            </w:r>
            <w:r>
              <w:rPr>
                <w:rFonts w:hint="eastAsia"/>
                <w:color w:val="auto"/>
                <w:sz w:val="21"/>
                <w:szCs w:val="21"/>
                <w:lang w:eastAsia="zh-CN"/>
              </w:rPr>
              <w:t>常德市桃源县漳江镇白佛阁社区漳江北路019号</w:t>
            </w:r>
            <w:r>
              <w:rPr>
                <w:color w:val="auto"/>
                <w:sz w:val="21"/>
                <w:szCs w:val="21"/>
              </w:rPr>
              <w:t>，规划用地性质属于</w:t>
            </w:r>
            <w:r>
              <w:rPr>
                <w:rFonts w:hint="eastAsia"/>
                <w:color w:val="auto"/>
                <w:sz w:val="21"/>
                <w:szCs w:val="21"/>
                <w:lang w:val="en-US" w:eastAsia="zh-CN"/>
              </w:rPr>
              <w:t>商业设施用地</w:t>
            </w:r>
            <w:r>
              <w:rPr>
                <w:color w:val="auto"/>
                <w:sz w:val="21"/>
                <w:szCs w:val="21"/>
              </w:rPr>
              <w:t>；加油站及储罐选址、平面布置符合《汽车加油加气加氢站设计标准（GB50516-2021）的相关标准要求，本项目建设情况与相关要求合理性分析情况见表1-2。</w:t>
            </w:r>
          </w:p>
          <w:p>
            <w:pPr>
              <w:autoSpaceDE w:val="0"/>
              <w:autoSpaceDN w:val="0"/>
              <w:adjustRightInd w:val="0"/>
              <w:snapToGrid w:val="0"/>
              <w:spacing w:line="360" w:lineRule="auto"/>
              <w:jc w:val="center"/>
              <w:rPr>
                <w:rFonts w:hint="eastAsia" w:ascii="宋体" w:hAnsi="宋体" w:cs="宋体"/>
                <w:b/>
                <w:sz w:val="21"/>
                <w:szCs w:val="21"/>
              </w:rPr>
            </w:pPr>
            <w:r>
              <w:rPr>
                <w:rFonts w:ascii="宋体" w:hAnsi="宋体" w:cs="宋体"/>
                <w:b/>
                <w:sz w:val="21"/>
                <w:szCs w:val="21"/>
              </w:rPr>
              <w:t>表</w:t>
            </w:r>
            <w:r>
              <w:rPr>
                <w:b/>
                <w:sz w:val="21"/>
                <w:szCs w:val="21"/>
              </w:rPr>
              <w:t>1-2</w:t>
            </w:r>
            <w:r>
              <w:rPr>
                <w:rFonts w:ascii="宋体" w:hAnsi="宋体" w:cs="宋体"/>
                <w:b/>
                <w:sz w:val="21"/>
                <w:szCs w:val="21"/>
              </w:rPr>
              <w:t xml:space="preserve">  本项目选址与标准对比情况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854"/>
              <w:gridCol w:w="4046"/>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序号</w:t>
                  </w:r>
                </w:p>
              </w:tc>
              <w:tc>
                <w:tcPr>
                  <w:tcW w:w="1559" w:type="dxa"/>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标准要求</w:t>
                  </w:r>
                </w:p>
              </w:tc>
              <w:tc>
                <w:tcPr>
                  <w:tcW w:w="3402" w:type="dxa"/>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实际情况</w:t>
                  </w:r>
                </w:p>
              </w:tc>
              <w:tc>
                <w:tcPr>
                  <w:tcW w:w="801" w:type="dxa"/>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1</w:t>
                  </w:r>
                </w:p>
              </w:tc>
              <w:tc>
                <w:tcPr>
                  <w:tcW w:w="155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选址</w:t>
                  </w:r>
                  <w:r>
                    <w:rPr>
                      <w:kern w:val="0"/>
                      <w:sz w:val="21"/>
                      <w:szCs w:val="21"/>
                    </w:rPr>
                    <w:t>应符合城乡规划要求</w:t>
                  </w:r>
                </w:p>
              </w:tc>
              <w:tc>
                <w:tcPr>
                  <w:tcW w:w="3402"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本项目为</w:t>
                  </w:r>
                  <w:r>
                    <w:rPr>
                      <w:rFonts w:hint="eastAsia"/>
                      <w:kern w:val="0"/>
                      <w:sz w:val="21"/>
                      <w:szCs w:val="21"/>
                      <w:lang w:eastAsia="zh-CN"/>
                    </w:rPr>
                    <w:t>扩建</w:t>
                  </w:r>
                  <w:r>
                    <w:rPr>
                      <w:rFonts w:hint="eastAsia"/>
                      <w:kern w:val="0"/>
                      <w:sz w:val="21"/>
                      <w:szCs w:val="21"/>
                    </w:rPr>
                    <w:t>项目，符合《</w:t>
                  </w:r>
                  <w:r>
                    <w:rPr>
                      <w:rFonts w:hint="eastAsia"/>
                      <w:kern w:val="0"/>
                      <w:sz w:val="21"/>
                      <w:szCs w:val="21"/>
                      <w:lang w:eastAsia="zh-CN"/>
                    </w:rPr>
                    <w:t>桃源</w:t>
                  </w:r>
                  <w:r>
                    <w:rPr>
                      <w:rFonts w:hint="eastAsia"/>
                      <w:kern w:val="0"/>
                      <w:sz w:val="21"/>
                      <w:szCs w:val="21"/>
                    </w:rPr>
                    <w:t>县城总体规划（20</w:t>
                  </w:r>
                  <w:r>
                    <w:rPr>
                      <w:rFonts w:hint="eastAsia"/>
                      <w:kern w:val="0"/>
                      <w:sz w:val="21"/>
                      <w:szCs w:val="21"/>
                      <w:lang w:val="en-US" w:eastAsia="zh-CN"/>
                    </w:rPr>
                    <w:t>11</w:t>
                  </w:r>
                  <w:r>
                    <w:rPr>
                      <w:rFonts w:hint="eastAsia"/>
                      <w:kern w:val="0"/>
                      <w:sz w:val="21"/>
                      <w:szCs w:val="21"/>
                    </w:rPr>
                    <w:t>-2020年）》要求</w:t>
                  </w:r>
                </w:p>
              </w:tc>
              <w:tc>
                <w:tcPr>
                  <w:tcW w:w="801"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2</w:t>
                  </w:r>
                </w:p>
              </w:tc>
              <w:tc>
                <w:tcPr>
                  <w:tcW w:w="155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选址</w:t>
                  </w:r>
                  <w:r>
                    <w:rPr>
                      <w:kern w:val="0"/>
                      <w:sz w:val="21"/>
                      <w:szCs w:val="21"/>
                    </w:rPr>
                    <w:t>应符合环境保护要求</w:t>
                  </w:r>
                </w:p>
              </w:tc>
              <w:tc>
                <w:tcPr>
                  <w:tcW w:w="3402"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区域</w:t>
                  </w:r>
                  <w:r>
                    <w:rPr>
                      <w:kern w:val="0"/>
                      <w:sz w:val="21"/>
                      <w:szCs w:val="21"/>
                    </w:rPr>
                    <w:t>有一定的环境容量，同时采取相应的环保措施</w:t>
                  </w:r>
                </w:p>
              </w:tc>
              <w:tc>
                <w:tcPr>
                  <w:tcW w:w="801"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3</w:t>
                  </w:r>
                </w:p>
              </w:tc>
              <w:tc>
                <w:tcPr>
                  <w:tcW w:w="155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选址</w:t>
                  </w:r>
                  <w:r>
                    <w:rPr>
                      <w:kern w:val="0"/>
                      <w:sz w:val="21"/>
                      <w:szCs w:val="21"/>
                    </w:rPr>
                    <w:t>符合防火安全的要求</w:t>
                  </w:r>
                </w:p>
              </w:tc>
              <w:tc>
                <w:tcPr>
                  <w:tcW w:w="3402"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满足</w:t>
                  </w:r>
                  <w:r>
                    <w:rPr>
                      <w:kern w:val="0"/>
                      <w:sz w:val="21"/>
                      <w:szCs w:val="21"/>
                    </w:rPr>
                    <w:t>各防火间距要求</w:t>
                  </w:r>
                </w:p>
              </w:tc>
              <w:tc>
                <w:tcPr>
                  <w:tcW w:w="801"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4</w:t>
                  </w:r>
                </w:p>
              </w:tc>
              <w:tc>
                <w:tcPr>
                  <w:tcW w:w="155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选址</w:t>
                  </w:r>
                  <w:r>
                    <w:rPr>
                      <w:kern w:val="0"/>
                      <w:sz w:val="21"/>
                      <w:szCs w:val="21"/>
                    </w:rPr>
                    <w:t>应在交通便利的地方</w:t>
                  </w:r>
                </w:p>
              </w:tc>
              <w:tc>
                <w:tcPr>
                  <w:tcW w:w="3402" w:type="dxa"/>
                  <w:shd w:val="clear" w:color="auto" w:fill="auto"/>
                  <w:noWrap w:val="0"/>
                  <w:vAlign w:val="center"/>
                </w:tcPr>
                <w:p>
                  <w:pPr>
                    <w:autoSpaceDE w:val="0"/>
                    <w:autoSpaceDN w:val="0"/>
                    <w:adjustRightInd w:val="0"/>
                    <w:snapToGrid w:val="0"/>
                    <w:jc w:val="center"/>
                    <w:rPr>
                      <w:rFonts w:hint="eastAsia" w:eastAsia="宋体"/>
                      <w:kern w:val="0"/>
                      <w:sz w:val="21"/>
                      <w:szCs w:val="21"/>
                      <w:lang w:eastAsia="zh-CN"/>
                    </w:rPr>
                  </w:pPr>
                  <w:r>
                    <w:rPr>
                      <w:rFonts w:hint="eastAsia"/>
                      <w:kern w:val="0"/>
                      <w:sz w:val="21"/>
                      <w:szCs w:val="21"/>
                    </w:rPr>
                    <w:t>项</w:t>
                  </w:r>
                  <w:r>
                    <w:rPr>
                      <w:rFonts w:hint="eastAsia"/>
                      <w:kern w:val="0"/>
                      <w:sz w:val="21"/>
                      <w:szCs w:val="21"/>
                      <w:lang w:eastAsia="zh-CN"/>
                    </w:rPr>
                    <w:t>目西面为漳江北路</w:t>
                  </w:r>
                </w:p>
              </w:tc>
              <w:tc>
                <w:tcPr>
                  <w:tcW w:w="801"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5</w:t>
                  </w:r>
                </w:p>
              </w:tc>
              <w:tc>
                <w:tcPr>
                  <w:tcW w:w="1559"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城区市中心内</w:t>
                  </w:r>
                  <w:r>
                    <w:rPr>
                      <w:kern w:val="0"/>
                      <w:sz w:val="21"/>
                      <w:szCs w:val="21"/>
                    </w:rPr>
                    <w:t>不应建一级加油站</w:t>
                  </w:r>
                </w:p>
              </w:tc>
              <w:tc>
                <w:tcPr>
                  <w:tcW w:w="3402"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本项目</w:t>
                  </w:r>
                  <w:r>
                    <w:rPr>
                      <w:rFonts w:hint="eastAsia"/>
                      <w:kern w:val="0"/>
                      <w:sz w:val="21"/>
                      <w:szCs w:val="21"/>
                      <w:lang w:eastAsia="zh-CN"/>
                    </w:rPr>
                    <w:t>扩建后</w:t>
                  </w:r>
                  <w:r>
                    <w:rPr>
                      <w:kern w:val="0"/>
                      <w:sz w:val="21"/>
                      <w:szCs w:val="21"/>
                    </w:rPr>
                    <w:t>为</w:t>
                  </w:r>
                  <w:r>
                    <w:rPr>
                      <w:rFonts w:hint="eastAsia"/>
                      <w:kern w:val="0"/>
                      <w:sz w:val="21"/>
                      <w:szCs w:val="21"/>
                      <w:lang w:eastAsia="zh-CN"/>
                    </w:rPr>
                    <w:t>二</w:t>
                  </w:r>
                  <w:r>
                    <w:rPr>
                      <w:kern w:val="0"/>
                      <w:sz w:val="21"/>
                      <w:szCs w:val="21"/>
                    </w:rPr>
                    <w:t>级加油站</w:t>
                  </w:r>
                </w:p>
              </w:tc>
              <w:tc>
                <w:tcPr>
                  <w:tcW w:w="801"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2" w:firstLineChars="200"/>
              <w:textAlignment w:val="auto"/>
              <w:rPr>
                <w:b/>
                <w:bCs/>
                <w:sz w:val="21"/>
                <w:szCs w:val="21"/>
              </w:rPr>
            </w:pPr>
            <w:r>
              <w:rPr>
                <w:rFonts w:hint="eastAsia"/>
                <w:b/>
                <w:bCs/>
                <w:sz w:val="21"/>
                <w:szCs w:val="21"/>
              </w:rPr>
              <w:t>4.平面</w:t>
            </w:r>
            <w:r>
              <w:rPr>
                <w:b/>
                <w:bCs/>
                <w:sz w:val="21"/>
                <w:szCs w:val="21"/>
              </w:rPr>
              <w:t>布局合理性分析</w:t>
            </w:r>
          </w:p>
          <w:p>
            <w:pPr>
              <w:autoSpaceDE w:val="0"/>
              <w:autoSpaceDN w:val="0"/>
              <w:adjustRightInd w:val="0"/>
              <w:snapToGrid w:val="0"/>
              <w:spacing w:line="360" w:lineRule="auto"/>
              <w:ind w:firstLine="435"/>
              <w:jc w:val="left"/>
              <w:rPr>
                <w:rFonts w:hint="eastAsia"/>
                <w:kern w:val="0"/>
                <w:sz w:val="21"/>
                <w:szCs w:val="21"/>
              </w:rPr>
            </w:pPr>
            <w:r>
              <w:rPr>
                <w:rFonts w:hint="eastAsia"/>
                <w:kern w:val="0"/>
                <w:sz w:val="21"/>
                <w:szCs w:val="21"/>
              </w:rPr>
              <w:t>加油站主出入口均临漳江北路设置，交通方便。站内中部布置加油区、办公营业区，东面为生活区，生活区与加油区保持了足够的安全防护距离。本项目储油罐、油气回收设施排气筒均布置在项目南侧，有利于减轻对周围的环</w:t>
            </w:r>
            <w:r>
              <w:rPr>
                <w:rFonts w:hint="default" w:ascii="Times New Roman" w:hAnsi="Times New Roman" w:cs="Times New Roman"/>
                <w:kern w:val="0"/>
                <w:sz w:val="21"/>
                <w:szCs w:val="21"/>
              </w:rPr>
              <w:t>境影响。（具体总平面图布置图见附图）。 建设项目站内建构筑物及场地布局符合《汽车加油加气加氢站设计标准》（GB50516-2021）和《建筑设计防火规范》（GB50016-2014）（2018年版）标准的要求。综上所述，本项目的平面布置合理。</w:t>
            </w:r>
          </w:p>
          <w:p>
            <w:pPr>
              <w:pStyle w:val="14"/>
              <w:numPr>
                <w:ilvl w:val="0"/>
                <w:numId w:val="0"/>
              </w:numPr>
              <w:ind w:firstLine="422" w:firstLineChars="200"/>
              <w:rPr>
                <w:rFonts w:hint="default" w:ascii="Times New Roman" w:hAnsi="Times New Roman" w:cs="Times New Roman"/>
                <w:b/>
                <w:bCs/>
                <w:sz w:val="21"/>
                <w:szCs w:val="21"/>
                <w:lang w:val="en-US" w:eastAsia="zh-CN"/>
              </w:rPr>
            </w:pPr>
          </w:p>
          <w:p>
            <w:pPr>
              <w:pStyle w:val="14"/>
              <w:numPr>
                <w:ilvl w:val="0"/>
                <w:numId w:val="0"/>
              </w:numPr>
              <w:ind w:firstLine="422" w:firstLineChars="200"/>
              <w:rPr>
                <w:rFonts w:hint="eastAsia" w:ascii="宋体" w:hAnsi="宋体" w:eastAsia="宋体" w:cs="宋体"/>
                <w:b/>
                <w:bCs/>
                <w:sz w:val="21"/>
                <w:szCs w:val="21"/>
                <w:lang w:val="en-US" w:eastAsia="zh-CN"/>
              </w:rPr>
            </w:pPr>
            <w:r>
              <w:rPr>
                <w:rFonts w:hint="default" w:ascii="Times New Roman" w:hAnsi="Times New Roman" w:cs="Times New Roman"/>
                <w:b/>
                <w:bCs/>
                <w:sz w:val="21"/>
                <w:szCs w:val="21"/>
                <w:lang w:val="en-US" w:eastAsia="zh-CN"/>
              </w:rPr>
              <w:t>5</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加油工艺及设施合理性分析</w:t>
            </w:r>
          </w:p>
          <w:p>
            <w:pPr>
              <w:numPr>
                <w:ilvl w:val="0"/>
                <w:numId w:val="0"/>
              </w:numPr>
              <w:jc w:val="center"/>
              <w:rPr>
                <w:rFonts w:hint="default"/>
                <w:b/>
                <w:bCs/>
                <w:sz w:val="21"/>
                <w:szCs w:val="21"/>
                <w:lang w:val="en-US" w:eastAsia="zh-CN"/>
              </w:rPr>
            </w:pPr>
            <w:r>
              <w:rPr>
                <w:rFonts w:hint="eastAsia"/>
                <w:b/>
                <w:bCs/>
                <w:sz w:val="21"/>
                <w:szCs w:val="21"/>
                <w:lang w:val="en-US" w:eastAsia="zh-CN"/>
              </w:rPr>
              <w:t>表1-4   加油工艺及设施合理性分析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3043"/>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pStyle w:val="14"/>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w:t>
                  </w:r>
                </w:p>
              </w:tc>
              <w:tc>
                <w:tcPr>
                  <w:tcW w:w="2565" w:type="dxa"/>
                  <w:vAlign w:val="top"/>
                </w:tcPr>
                <w:p>
                  <w:pPr>
                    <w:pStyle w:val="14"/>
                    <w:jc w:val="both"/>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该站实际情况</w:t>
                  </w:r>
                </w:p>
              </w:tc>
              <w:tc>
                <w:tcPr>
                  <w:tcW w:w="1283" w:type="dxa"/>
                  <w:vAlign w:val="top"/>
                </w:tcPr>
                <w:p>
                  <w:pPr>
                    <w:pStyle w:val="14"/>
                    <w:ind w:left="0" w:leftChars="0" w:firstLine="211" w:firstLineChars="100"/>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除撬装式加油装置所配置的防火防爆油罐外，加油站的汽油罐和柴油罐应埋地设置，严禁设在室内或地下室内</w:t>
                  </w:r>
                </w:p>
              </w:tc>
              <w:tc>
                <w:tcPr>
                  <w:tcW w:w="2565"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该加油站的汽油罐和柴油罐均埋地设置</w:t>
                  </w:r>
                </w:p>
              </w:tc>
              <w:tc>
                <w:tcPr>
                  <w:tcW w:w="1283" w:type="dxa"/>
                  <w:vAlign w:val="center"/>
                </w:tcPr>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加油机不得设置在室内</w:t>
                  </w:r>
                </w:p>
              </w:tc>
              <w:tc>
                <w:tcPr>
                  <w:tcW w:w="2565"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该加油站的加油机均设置在室外</w:t>
                  </w:r>
                </w:p>
              </w:tc>
              <w:tc>
                <w:tcPr>
                  <w:tcW w:w="1283" w:type="dxa"/>
                  <w:vAlign w:val="center"/>
                </w:tcPr>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汽油和柴油油罐车卸油必须采用密闭卸油方式。汽油油罐车应具有卸油油气回收装置。</w:t>
                  </w:r>
                </w:p>
              </w:tc>
              <w:tc>
                <w:tcPr>
                  <w:tcW w:w="2565"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该加油站采用密闭卸油方式，且配备有卸油油气回收系统。</w:t>
                  </w:r>
                </w:p>
              </w:tc>
              <w:tc>
                <w:tcPr>
                  <w:tcW w:w="1283" w:type="dxa"/>
                  <w:vAlign w:val="center"/>
                </w:tcPr>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加油站应采用加油油气回收系统</w:t>
                  </w:r>
                </w:p>
              </w:tc>
              <w:tc>
                <w:tcPr>
                  <w:tcW w:w="2565"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该加油站加油机均配备加油油气回收系统</w:t>
                  </w:r>
                </w:p>
              </w:tc>
              <w:tc>
                <w:tcPr>
                  <w:tcW w:w="1283" w:type="dxa"/>
                  <w:vAlign w:val="center"/>
                </w:tcPr>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center"/>
                </w:tcPr>
                <w:p>
                  <w:pPr>
                    <w:pStyle w:val="14"/>
                    <w:ind w:left="0" w:leftChars="0" w:firstLine="0" w:firstLineChars="0"/>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加油站内的工艺管道除必须露出地面的以外，均应埋地敷设，当采用管沟敷设时，管沟必须用中性沙子或细土填满、填实。</w:t>
                  </w:r>
                </w:p>
              </w:tc>
              <w:tc>
                <w:tcPr>
                  <w:tcW w:w="2565" w:type="dxa"/>
                  <w:vAlign w:val="center"/>
                </w:tcPr>
                <w:p>
                  <w:pPr>
                    <w:pStyle w:val="14"/>
                    <w:ind w:left="0" w:leftChars="0" w:firstLine="0" w:firstLineChars="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加油站内的工艺管道除必须露出地面的以外，均</w:t>
                  </w:r>
                  <w:r>
                    <w:rPr>
                      <w:rFonts w:hint="eastAsia" w:ascii="宋体" w:hAnsi="宋体" w:cs="宋体"/>
                      <w:b w:val="0"/>
                      <w:bCs w:val="0"/>
                      <w:sz w:val="21"/>
                      <w:szCs w:val="21"/>
                      <w:vertAlign w:val="baseline"/>
                      <w:lang w:val="en-US" w:eastAsia="zh-CN"/>
                    </w:rPr>
                    <w:t>已</w:t>
                  </w:r>
                  <w:r>
                    <w:rPr>
                      <w:rFonts w:hint="eastAsia" w:ascii="宋体" w:hAnsi="宋体" w:eastAsia="宋体" w:cs="宋体"/>
                      <w:b w:val="0"/>
                      <w:bCs w:val="0"/>
                      <w:sz w:val="21"/>
                      <w:szCs w:val="21"/>
                      <w:vertAlign w:val="baseline"/>
                      <w:lang w:val="en-US" w:eastAsia="zh-CN"/>
                    </w:rPr>
                    <w:t>埋地敷。</w:t>
                  </w:r>
                </w:p>
              </w:tc>
              <w:tc>
                <w:tcPr>
                  <w:tcW w:w="1283" w:type="dxa"/>
                  <w:vAlign w:val="center"/>
                </w:tcPr>
                <w:p>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符合</w:t>
                  </w:r>
                </w:p>
              </w:tc>
            </w:tr>
          </w:tbl>
          <w:p>
            <w:pPr>
              <w:autoSpaceDE w:val="0"/>
              <w:autoSpaceDN w:val="0"/>
              <w:adjustRightInd w:val="0"/>
              <w:snapToGrid w:val="0"/>
              <w:spacing w:line="360" w:lineRule="auto"/>
              <w:ind w:firstLine="420" w:firstLineChars="200"/>
              <w:jc w:val="left"/>
              <w:rPr>
                <w:rFonts w:hint="default"/>
                <w:kern w:val="0"/>
                <w:sz w:val="21"/>
                <w:szCs w:val="21"/>
                <w:lang w:val="en-US" w:eastAsia="zh-CN"/>
              </w:rPr>
            </w:pPr>
            <w:r>
              <w:rPr>
                <w:rFonts w:hint="eastAsia"/>
                <w:kern w:val="0"/>
                <w:sz w:val="21"/>
                <w:szCs w:val="21"/>
                <w:lang w:val="en-US" w:eastAsia="zh-CN"/>
              </w:rPr>
              <w:t>综上所述，本项目的加油工艺及设施合理性分析符合</w:t>
            </w:r>
            <w:r>
              <w:rPr>
                <w:rFonts w:hint="eastAsia"/>
                <w:kern w:val="0"/>
                <w:sz w:val="21"/>
                <w:szCs w:val="21"/>
              </w:rPr>
              <w:t>《汽车加油加气加氢站设计标准》（GB50516-2021）</w:t>
            </w:r>
            <w:r>
              <w:rPr>
                <w:rFonts w:hint="eastAsia"/>
                <w:kern w:val="0"/>
                <w:sz w:val="21"/>
                <w:szCs w:val="21"/>
                <w:lang w:val="en-US" w:eastAsia="zh-CN"/>
              </w:rPr>
              <w:t>的要求。</w:t>
            </w:r>
          </w:p>
          <w:p>
            <w:pPr>
              <w:autoSpaceDE w:val="0"/>
              <w:autoSpaceDN w:val="0"/>
              <w:adjustRightInd w:val="0"/>
              <w:snapToGrid w:val="0"/>
              <w:spacing w:line="360" w:lineRule="auto"/>
              <w:ind w:firstLine="435"/>
              <w:jc w:val="left"/>
              <w:rPr>
                <w:b/>
                <w:kern w:val="0"/>
                <w:sz w:val="21"/>
                <w:szCs w:val="21"/>
              </w:rPr>
            </w:pPr>
            <w:r>
              <w:rPr>
                <w:rFonts w:hint="eastAsia"/>
                <w:b/>
                <w:kern w:val="0"/>
                <w:sz w:val="21"/>
                <w:szCs w:val="21"/>
                <w:lang w:val="en-US" w:eastAsia="zh-CN"/>
              </w:rPr>
              <w:t>6</w:t>
            </w:r>
            <w:r>
              <w:rPr>
                <w:b/>
                <w:kern w:val="0"/>
                <w:sz w:val="21"/>
                <w:szCs w:val="21"/>
              </w:rPr>
              <w:t>.VOC</w:t>
            </w:r>
            <w:r>
              <w:rPr>
                <w:b/>
                <w:kern w:val="0"/>
                <w:sz w:val="21"/>
                <w:szCs w:val="21"/>
                <w:vertAlign w:val="subscript"/>
              </w:rPr>
              <w:t>S</w:t>
            </w:r>
            <w:r>
              <w:rPr>
                <w:rFonts w:hint="eastAsia"/>
                <w:b/>
                <w:kern w:val="0"/>
                <w:sz w:val="21"/>
                <w:szCs w:val="21"/>
              </w:rPr>
              <w:t>相关</w:t>
            </w:r>
            <w:r>
              <w:rPr>
                <w:b/>
                <w:kern w:val="0"/>
                <w:sz w:val="21"/>
                <w:szCs w:val="21"/>
              </w:rPr>
              <w:t>环保政策相符性分析</w:t>
            </w:r>
          </w:p>
          <w:p>
            <w:pPr>
              <w:autoSpaceDE w:val="0"/>
              <w:autoSpaceDN w:val="0"/>
              <w:adjustRightInd w:val="0"/>
              <w:snapToGrid w:val="0"/>
              <w:spacing w:line="360" w:lineRule="auto"/>
              <w:ind w:firstLine="435"/>
              <w:jc w:val="left"/>
              <w:rPr>
                <w:b/>
                <w:bCs/>
                <w:color w:val="000000"/>
                <w:sz w:val="21"/>
                <w:szCs w:val="21"/>
              </w:rPr>
            </w:pPr>
            <w:r>
              <w:rPr>
                <w:b/>
                <w:bCs/>
                <w:kern w:val="0"/>
                <w:sz w:val="21"/>
                <w:szCs w:val="21"/>
              </w:rPr>
              <w:t>（</w:t>
            </w:r>
            <w:r>
              <w:rPr>
                <w:rFonts w:hint="eastAsia"/>
                <w:b/>
                <w:bCs/>
                <w:kern w:val="0"/>
                <w:sz w:val="21"/>
                <w:szCs w:val="21"/>
                <w:lang w:val="en-US" w:eastAsia="zh-CN"/>
              </w:rPr>
              <w:t>1</w:t>
            </w:r>
            <w:r>
              <w:rPr>
                <w:b/>
                <w:bCs/>
                <w:kern w:val="0"/>
                <w:sz w:val="21"/>
                <w:szCs w:val="21"/>
              </w:rPr>
              <w:t>）</w:t>
            </w:r>
            <w:r>
              <w:rPr>
                <w:rFonts w:hint="eastAsia"/>
                <w:b/>
                <w:bCs/>
                <w:color w:val="000000"/>
                <w:sz w:val="21"/>
                <w:szCs w:val="21"/>
              </w:rPr>
              <w:t>《挥发性有机物</w:t>
            </w:r>
            <w:r>
              <w:rPr>
                <w:rFonts w:ascii="Calibri" w:hAnsi="Calibri"/>
                <w:b/>
                <w:bCs/>
                <w:color w:val="000000"/>
                <w:sz w:val="21"/>
                <w:szCs w:val="21"/>
              </w:rPr>
              <w:t>(VOCs)</w:t>
            </w:r>
            <w:r>
              <w:rPr>
                <w:rFonts w:hint="eastAsia"/>
                <w:b/>
                <w:bCs/>
                <w:color w:val="000000"/>
                <w:sz w:val="21"/>
                <w:szCs w:val="21"/>
              </w:rPr>
              <w:t>污染防治技术政策》</w:t>
            </w:r>
          </w:p>
          <w:p>
            <w:pPr>
              <w:autoSpaceDE w:val="0"/>
              <w:autoSpaceDN w:val="0"/>
              <w:adjustRightInd w:val="0"/>
              <w:snapToGrid w:val="0"/>
              <w:spacing w:line="360" w:lineRule="auto"/>
              <w:ind w:firstLine="435"/>
              <w:jc w:val="left"/>
              <w:rPr>
                <w:kern w:val="0"/>
                <w:sz w:val="21"/>
                <w:szCs w:val="21"/>
              </w:rPr>
            </w:pPr>
            <w:r>
              <w:rPr>
                <w:rFonts w:hint="eastAsia"/>
                <w:kern w:val="0"/>
                <w:sz w:val="21"/>
                <w:szCs w:val="21"/>
              </w:rPr>
              <w:t>根据《挥发性有机物</w:t>
            </w:r>
            <w:r>
              <w:rPr>
                <w:kern w:val="0"/>
                <w:sz w:val="21"/>
                <w:szCs w:val="21"/>
              </w:rPr>
              <w:t>(VOCs)</w:t>
            </w:r>
            <w:r>
              <w:rPr>
                <w:rFonts w:hint="eastAsia"/>
                <w:kern w:val="0"/>
                <w:sz w:val="21"/>
                <w:szCs w:val="21"/>
              </w:rPr>
              <w:t>污染防治技术政策》，</w:t>
            </w:r>
            <w:r>
              <w:rPr>
                <w:kern w:val="0"/>
                <w:sz w:val="21"/>
                <w:szCs w:val="21"/>
              </w:rPr>
              <w:t>“</w:t>
            </w:r>
            <w:r>
              <w:rPr>
                <w:rFonts w:hint="eastAsia"/>
                <w:kern w:val="0"/>
                <w:sz w:val="21"/>
                <w:szCs w:val="21"/>
              </w:rPr>
              <w:t xml:space="preserve">（八）在油类（燃油、溶剂）的储存、运输和销售过程中的 </w:t>
            </w:r>
            <w:r>
              <w:rPr>
                <w:kern w:val="0"/>
                <w:sz w:val="21"/>
                <w:szCs w:val="21"/>
              </w:rPr>
              <w:t xml:space="preserve">VOCs </w:t>
            </w:r>
            <w:r>
              <w:rPr>
                <w:rFonts w:hint="eastAsia"/>
                <w:kern w:val="0"/>
                <w:sz w:val="21"/>
                <w:szCs w:val="21"/>
              </w:rPr>
              <w:t>污染防治技术措施包括：</w:t>
            </w:r>
            <w:r>
              <w:rPr>
                <w:kern w:val="0"/>
                <w:sz w:val="21"/>
                <w:szCs w:val="21"/>
              </w:rPr>
              <w:t>1.</w:t>
            </w:r>
            <w:r>
              <w:rPr>
                <w:rFonts w:hint="eastAsia"/>
                <w:kern w:val="0"/>
                <w:sz w:val="21"/>
                <w:szCs w:val="21"/>
              </w:rPr>
              <w:t>储油库、加油站和油罐车宜配备相应的油气收集系统， 储油库、加油站宜配备相应的油气回收系统；</w:t>
            </w:r>
            <w:r>
              <w:rPr>
                <w:kern w:val="0"/>
                <w:sz w:val="21"/>
                <w:szCs w:val="21"/>
              </w:rPr>
              <w:t>2.</w:t>
            </w:r>
            <w:r>
              <w:rPr>
                <w:rFonts w:hint="eastAsia"/>
                <w:kern w:val="0"/>
                <w:sz w:val="21"/>
                <w:szCs w:val="21"/>
              </w:rPr>
              <w:t xml:space="preserve">油类（燃油、溶剂等）储罐宜采用高效密封的内（外）浮顶罐，当采用固定顶罐时，通过密闭排气系统将含 </w:t>
            </w:r>
            <w:r>
              <w:rPr>
                <w:kern w:val="0"/>
                <w:sz w:val="21"/>
                <w:szCs w:val="21"/>
              </w:rPr>
              <w:t xml:space="preserve">VOCs </w:t>
            </w:r>
            <w:r>
              <w:rPr>
                <w:rFonts w:hint="eastAsia"/>
                <w:kern w:val="0"/>
                <w:sz w:val="21"/>
                <w:szCs w:val="21"/>
              </w:rPr>
              <w:t>气体输送至回收设备；</w:t>
            </w:r>
            <w:r>
              <w:rPr>
                <w:kern w:val="0"/>
                <w:sz w:val="21"/>
                <w:szCs w:val="21"/>
              </w:rPr>
              <w:t>3.</w:t>
            </w:r>
            <w:r>
              <w:rPr>
                <w:rFonts w:hint="eastAsia"/>
                <w:kern w:val="0"/>
                <w:sz w:val="21"/>
                <w:szCs w:val="21"/>
              </w:rPr>
              <w:t xml:space="preserve">油类（燃油、溶剂等）运载工具（汽车油罐车、铁路油槽车、油轮等）在装载过程中排放的 </w:t>
            </w:r>
          </w:p>
          <w:p>
            <w:pPr>
              <w:autoSpaceDE w:val="0"/>
              <w:autoSpaceDN w:val="0"/>
              <w:adjustRightInd w:val="0"/>
              <w:snapToGrid w:val="0"/>
              <w:spacing w:line="360" w:lineRule="auto"/>
              <w:jc w:val="left"/>
              <w:rPr>
                <w:kern w:val="0"/>
                <w:sz w:val="21"/>
                <w:szCs w:val="21"/>
              </w:rPr>
            </w:pPr>
            <w:r>
              <w:rPr>
                <w:kern w:val="0"/>
                <w:sz w:val="21"/>
                <w:szCs w:val="21"/>
              </w:rPr>
              <w:t xml:space="preserve">VOCs </w:t>
            </w:r>
            <w:r>
              <w:rPr>
                <w:rFonts w:hint="eastAsia"/>
                <w:kern w:val="0"/>
                <w:sz w:val="21"/>
                <w:szCs w:val="21"/>
              </w:rPr>
              <w:t>密闭收集输送至回收设备，也可返回储罐或送入气体管网。</w:t>
            </w:r>
            <w:r>
              <w:rPr>
                <w:kern w:val="0"/>
                <w:sz w:val="21"/>
                <w:szCs w:val="21"/>
              </w:rPr>
              <w:t xml:space="preserve">” </w:t>
            </w:r>
          </w:p>
          <w:p>
            <w:pPr>
              <w:autoSpaceDE w:val="0"/>
              <w:autoSpaceDN w:val="0"/>
              <w:adjustRightInd w:val="0"/>
              <w:snapToGrid w:val="0"/>
              <w:spacing w:line="360" w:lineRule="auto"/>
              <w:ind w:firstLine="435"/>
              <w:jc w:val="left"/>
              <w:rPr>
                <w:rFonts w:hint="eastAsia"/>
                <w:kern w:val="0"/>
                <w:sz w:val="21"/>
                <w:szCs w:val="21"/>
              </w:rPr>
            </w:pPr>
            <w:r>
              <w:rPr>
                <w:rFonts w:hint="eastAsia"/>
                <w:kern w:val="0"/>
                <w:sz w:val="21"/>
                <w:szCs w:val="21"/>
              </w:rPr>
              <w:t xml:space="preserve">本项目采用 </w:t>
            </w:r>
            <w:r>
              <w:rPr>
                <w:rFonts w:hint="eastAsia"/>
                <w:kern w:val="0"/>
                <w:sz w:val="21"/>
                <w:szCs w:val="21"/>
                <w:lang w:val="en-US" w:eastAsia="zh-CN"/>
              </w:rPr>
              <w:t>S</w:t>
            </w:r>
            <w:r>
              <w:rPr>
                <w:kern w:val="0"/>
                <w:sz w:val="21"/>
                <w:szCs w:val="21"/>
              </w:rPr>
              <w:t xml:space="preserve">F </w:t>
            </w:r>
            <w:r>
              <w:rPr>
                <w:rFonts w:hint="eastAsia"/>
                <w:kern w:val="0"/>
                <w:sz w:val="21"/>
                <w:szCs w:val="21"/>
              </w:rPr>
              <w:t xml:space="preserve">双层油罐，对油罐、加油枪等安装油气回收装置，每年需展开油气回收系统外观检测等，油气回收效率 </w:t>
            </w:r>
            <w:r>
              <w:rPr>
                <w:kern w:val="0"/>
                <w:sz w:val="21"/>
                <w:szCs w:val="21"/>
              </w:rPr>
              <w:t>90%</w:t>
            </w:r>
            <w:r>
              <w:rPr>
                <w:rFonts w:hint="eastAsia"/>
                <w:kern w:val="0"/>
                <w:sz w:val="21"/>
                <w:szCs w:val="21"/>
              </w:rPr>
              <w:t>，符合要求。</w:t>
            </w:r>
          </w:p>
          <w:p>
            <w:pPr>
              <w:autoSpaceDE w:val="0"/>
              <w:autoSpaceDN w:val="0"/>
              <w:adjustRightInd w:val="0"/>
              <w:snapToGrid w:val="0"/>
              <w:spacing w:line="360" w:lineRule="auto"/>
              <w:ind w:firstLine="435"/>
              <w:jc w:val="left"/>
              <w:rPr>
                <w:b/>
                <w:kern w:val="0"/>
                <w:sz w:val="21"/>
                <w:szCs w:val="21"/>
              </w:rPr>
            </w:pPr>
            <w:r>
              <w:rPr>
                <w:rFonts w:hint="eastAsia"/>
                <w:b/>
                <w:kern w:val="0"/>
                <w:sz w:val="21"/>
                <w:szCs w:val="21"/>
                <w:lang w:val="en-US" w:eastAsia="zh-CN"/>
              </w:rPr>
              <w:t>7</w:t>
            </w:r>
            <w:r>
              <w:rPr>
                <w:b/>
                <w:kern w:val="0"/>
                <w:sz w:val="21"/>
                <w:szCs w:val="21"/>
              </w:rPr>
              <w:t>.</w:t>
            </w:r>
            <w:r>
              <w:rPr>
                <w:rFonts w:hint="eastAsia"/>
                <w:b/>
                <w:kern w:val="0"/>
                <w:sz w:val="21"/>
                <w:szCs w:val="21"/>
              </w:rPr>
              <w:t>与</w:t>
            </w:r>
            <w:r>
              <w:rPr>
                <w:b/>
                <w:kern w:val="0"/>
                <w:sz w:val="21"/>
                <w:szCs w:val="21"/>
              </w:rPr>
              <w:t>《</w:t>
            </w:r>
            <w:r>
              <w:rPr>
                <w:rFonts w:hint="eastAsia"/>
                <w:b/>
                <w:kern w:val="0"/>
                <w:sz w:val="21"/>
                <w:szCs w:val="21"/>
              </w:rPr>
              <w:t>建设</w:t>
            </w:r>
            <w:r>
              <w:rPr>
                <w:b/>
                <w:kern w:val="0"/>
                <w:sz w:val="21"/>
                <w:szCs w:val="21"/>
              </w:rPr>
              <w:t>项目环境保护管理条例》</w:t>
            </w:r>
            <w:r>
              <w:rPr>
                <w:rFonts w:hint="eastAsia"/>
                <w:b/>
                <w:kern w:val="0"/>
                <w:sz w:val="21"/>
                <w:szCs w:val="21"/>
              </w:rPr>
              <w:t>的</w:t>
            </w:r>
            <w:r>
              <w:rPr>
                <w:b/>
                <w:kern w:val="0"/>
                <w:sz w:val="21"/>
                <w:szCs w:val="21"/>
              </w:rPr>
              <w:t>符合性分析</w:t>
            </w:r>
          </w:p>
          <w:p>
            <w:pPr>
              <w:autoSpaceDE w:val="0"/>
              <w:autoSpaceDN w:val="0"/>
              <w:adjustRightInd w:val="0"/>
              <w:snapToGrid w:val="0"/>
              <w:spacing w:line="360" w:lineRule="auto"/>
              <w:ind w:firstLine="435"/>
              <w:jc w:val="left"/>
              <w:rPr>
                <w:kern w:val="0"/>
                <w:sz w:val="21"/>
                <w:szCs w:val="21"/>
              </w:rPr>
            </w:pPr>
            <w:r>
              <w:rPr>
                <w:rFonts w:hint="eastAsia"/>
                <w:kern w:val="0"/>
                <w:sz w:val="21"/>
                <w:szCs w:val="21"/>
              </w:rPr>
              <w:t>根据《建设项目环境保护管理条例》第十一条建设项目有下列情形之一的，环境保护行政主管部门应当对环境影响报告书、环境影响报告表作出不予批准的决定：</w:t>
            </w:r>
          </w:p>
          <w:p>
            <w:pPr>
              <w:autoSpaceDE w:val="0"/>
              <w:autoSpaceDN w:val="0"/>
              <w:adjustRightInd w:val="0"/>
              <w:snapToGrid w:val="0"/>
              <w:spacing w:line="360" w:lineRule="auto"/>
              <w:jc w:val="center"/>
              <w:rPr>
                <w:b/>
                <w:kern w:val="0"/>
                <w:sz w:val="21"/>
                <w:szCs w:val="21"/>
              </w:rPr>
            </w:pPr>
          </w:p>
          <w:p>
            <w:pPr>
              <w:autoSpaceDE w:val="0"/>
              <w:autoSpaceDN w:val="0"/>
              <w:adjustRightInd w:val="0"/>
              <w:snapToGrid w:val="0"/>
              <w:spacing w:line="360" w:lineRule="auto"/>
              <w:jc w:val="center"/>
              <w:rPr>
                <w:b/>
                <w:kern w:val="0"/>
                <w:sz w:val="21"/>
                <w:szCs w:val="21"/>
              </w:rPr>
            </w:pPr>
          </w:p>
          <w:p>
            <w:pPr>
              <w:autoSpaceDE w:val="0"/>
              <w:autoSpaceDN w:val="0"/>
              <w:adjustRightInd w:val="0"/>
              <w:snapToGrid w:val="0"/>
              <w:spacing w:line="360" w:lineRule="auto"/>
              <w:jc w:val="center"/>
              <w:rPr>
                <w:b/>
                <w:kern w:val="0"/>
                <w:sz w:val="21"/>
                <w:szCs w:val="21"/>
              </w:rPr>
            </w:pPr>
            <w:r>
              <w:rPr>
                <w:b/>
                <w:kern w:val="0"/>
                <w:sz w:val="21"/>
                <w:szCs w:val="21"/>
              </w:rPr>
              <w:t>表</w:t>
            </w:r>
            <w:r>
              <w:rPr>
                <w:rFonts w:hint="eastAsia"/>
                <w:b/>
                <w:kern w:val="0"/>
                <w:sz w:val="21"/>
                <w:szCs w:val="21"/>
              </w:rPr>
              <w:t>1</w:t>
            </w:r>
            <w:r>
              <w:rPr>
                <w:b/>
                <w:kern w:val="0"/>
                <w:sz w:val="21"/>
                <w:szCs w:val="21"/>
              </w:rPr>
              <w:t>-</w:t>
            </w:r>
            <w:r>
              <w:rPr>
                <w:rFonts w:hint="eastAsia"/>
                <w:b/>
                <w:kern w:val="0"/>
                <w:sz w:val="21"/>
                <w:szCs w:val="21"/>
                <w:lang w:val="en-US" w:eastAsia="zh-CN"/>
              </w:rPr>
              <w:t>5</w:t>
            </w:r>
            <w:r>
              <w:rPr>
                <w:b/>
                <w:kern w:val="0"/>
                <w:sz w:val="21"/>
                <w:szCs w:val="21"/>
              </w:rPr>
              <w:t xml:space="preserve">  与《建设项目环境保护管理条例》比较</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358"/>
              <w:gridCol w:w="354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top w:val="single" w:color="auto" w:sz="4" w:space="0"/>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序号</w:t>
                  </w:r>
                </w:p>
              </w:tc>
              <w:tc>
                <w:tcPr>
                  <w:tcW w:w="1983" w:type="dxa"/>
                  <w:tcBorders>
                    <w:top w:val="single" w:color="auto" w:sz="4" w:space="0"/>
                  </w:tcBorders>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《建设项目环境保护管理条例》</w:t>
                  </w:r>
                </w:p>
              </w:tc>
              <w:tc>
                <w:tcPr>
                  <w:tcW w:w="2978" w:type="dxa"/>
                  <w:tcBorders>
                    <w:top w:val="single" w:color="auto" w:sz="4" w:space="0"/>
                  </w:tcBorders>
                  <w:shd w:val="clear" w:color="auto" w:fill="auto"/>
                  <w:noWrap w:val="0"/>
                  <w:vAlign w:val="center"/>
                </w:tcPr>
                <w:p>
                  <w:pPr>
                    <w:autoSpaceDE w:val="0"/>
                    <w:autoSpaceDN w:val="0"/>
                    <w:adjustRightInd w:val="0"/>
                    <w:snapToGrid w:val="0"/>
                    <w:jc w:val="center"/>
                    <w:rPr>
                      <w:rFonts w:hint="eastAsia"/>
                      <w:b/>
                      <w:kern w:val="0"/>
                      <w:sz w:val="21"/>
                      <w:szCs w:val="21"/>
                    </w:rPr>
                  </w:pPr>
                  <w:r>
                    <w:rPr>
                      <w:b/>
                      <w:kern w:val="0"/>
                      <w:sz w:val="21"/>
                      <w:szCs w:val="21"/>
                    </w:rPr>
                    <w:t>本项目</w:t>
                  </w:r>
                </w:p>
              </w:tc>
              <w:tc>
                <w:tcPr>
                  <w:tcW w:w="801" w:type="dxa"/>
                  <w:tcBorders>
                    <w:top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b/>
                      <w:kern w:val="0"/>
                      <w:sz w:val="21"/>
                      <w:szCs w:val="21"/>
                    </w:rPr>
                  </w:pPr>
                  <w:r>
                    <w:rPr>
                      <w:rFonts w:hint="eastAsia"/>
                      <w:b/>
                      <w:kern w:val="0"/>
                      <w:sz w:val="21"/>
                      <w:szCs w:val="21"/>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1</w:t>
                  </w:r>
                </w:p>
              </w:tc>
              <w:tc>
                <w:tcPr>
                  <w:tcW w:w="1983" w:type="dxa"/>
                  <w:shd w:val="clear" w:color="auto" w:fill="auto"/>
                  <w:noWrap w:val="0"/>
                  <w:vAlign w:val="center"/>
                </w:tcPr>
                <w:p>
                  <w:pPr>
                    <w:widowControl/>
                    <w:jc w:val="left"/>
                    <w:rPr>
                      <w:rFonts w:hint="eastAsia" w:ascii="宋体" w:hAnsi="宋体" w:cs="宋体"/>
                      <w:kern w:val="0"/>
                      <w:sz w:val="21"/>
                      <w:szCs w:val="21"/>
                    </w:rPr>
                  </w:pPr>
                  <w:r>
                    <w:rPr>
                      <w:rFonts w:hint="eastAsia" w:ascii="宋体" w:hAnsi="宋体" w:cs="宋体"/>
                      <w:color w:val="000000"/>
                      <w:kern w:val="0"/>
                      <w:sz w:val="21"/>
                      <w:szCs w:val="21"/>
                    </w:rPr>
                    <w:t>建设项目类型及其选址、布局、规模等不符合环境保护法律法规和相关法定规划</w:t>
                  </w:r>
                </w:p>
              </w:tc>
              <w:tc>
                <w:tcPr>
                  <w:tcW w:w="2978" w:type="dxa"/>
                  <w:shd w:val="clear" w:color="auto" w:fill="auto"/>
                  <w:noWrap w:val="0"/>
                  <w:vAlign w:val="center"/>
                </w:tcPr>
                <w:p>
                  <w:pPr>
                    <w:autoSpaceDE w:val="0"/>
                    <w:autoSpaceDN w:val="0"/>
                    <w:adjustRightInd w:val="0"/>
                    <w:snapToGrid w:val="0"/>
                    <w:jc w:val="left"/>
                    <w:rPr>
                      <w:rFonts w:hint="eastAsia"/>
                      <w:kern w:val="0"/>
                      <w:sz w:val="21"/>
                      <w:szCs w:val="21"/>
                    </w:rPr>
                  </w:pPr>
                  <w:r>
                    <w:rPr>
                      <w:rFonts w:hint="eastAsia"/>
                      <w:kern w:val="0"/>
                      <w:sz w:val="21"/>
                      <w:szCs w:val="21"/>
                    </w:rPr>
                    <w:t>项目场地位于</w:t>
                  </w:r>
                  <w:r>
                    <w:rPr>
                      <w:rFonts w:hint="eastAsia"/>
                      <w:kern w:val="0"/>
                      <w:sz w:val="21"/>
                      <w:szCs w:val="21"/>
                      <w:lang w:eastAsia="zh-CN"/>
                    </w:rPr>
                    <w:t>常德市桃源县漳江镇白佛阁社区漳江北路019号</w:t>
                  </w:r>
                  <w:r>
                    <w:rPr>
                      <w:rFonts w:hint="eastAsia"/>
                      <w:kern w:val="0"/>
                      <w:sz w:val="21"/>
                      <w:szCs w:val="21"/>
                    </w:rPr>
                    <w:t>，加油站及储罐选址、平面布置符合</w:t>
                  </w:r>
                  <w:r>
                    <w:rPr>
                      <w:rFonts w:ascii="宋体" w:hAnsi="宋体" w:cs="宋体"/>
                      <w:sz w:val="21"/>
                      <w:szCs w:val="21"/>
                    </w:rPr>
                    <w:t>《汽车加油加气</w:t>
                  </w:r>
                  <w:r>
                    <w:rPr>
                      <w:rFonts w:hint="eastAsia" w:ascii="宋体" w:hAnsi="宋体" w:cs="宋体"/>
                      <w:sz w:val="21"/>
                      <w:szCs w:val="21"/>
                    </w:rPr>
                    <w:t>加氢</w:t>
                  </w:r>
                  <w:r>
                    <w:rPr>
                      <w:rFonts w:ascii="宋体" w:hAnsi="宋体" w:cs="宋体"/>
                      <w:sz w:val="21"/>
                      <w:szCs w:val="21"/>
                    </w:rPr>
                    <w:t>站设计</w:t>
                  </w:r>
                  <w:r>
                    <w:rPr>
                      <w:rFonts w:hint="eastAsia" w:ascii="宋体" w:hAnsi="宋体" w:cs="宋体"/>
                      <w:sz w:val="21"/>
                      <w:szCs w:val="21"/>
                    </w:rPr>
                    <w:t>标准》（</w:t>
                  </w:r>
                  <w:r>
                    <w:rPr>
                      <w:sz w:val="21"/>
                      <w:szCs w:val="21"/>
                    </w:rPr>
                    <w:t>GB50516-2021</w:t>
                  </w:r>
                  <w:r>
                    <w:rPr>
                      <w:rFonts w:hint="eastAsia" w:ascii="宋体" w:hAnsi="宋体" w:cs="宋体"/>
                      <w:sz w:val="21"/>
                      <w:szCs w:val="21"/>
                    </w:rPr>
                    <w:t>）</w:t>
                  </w:r>
                  <w:r>
                    <w:rPr>
                      <w:rFonts w:hint="eastAsia"/>
                      <w:kern w:val="0"/>
                      <w:sz w:val="21"/>
                      <w:szCs w:val="21"/>
                    </w:rPr>
                    <w:t>的相关标准要求</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2</w:t>
                  </w:r>
                </w:p>
              </w:tc>
              <w:tc>
                <w:tcPr>
                  <w:tcW w:w="1983"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所在区域环境质量未达到国家或者地方环境质量标准，且建设项目拟采取的措施不能满足区域环境质量改善目标管理要求</w:t>
                  </w:r>
                </w:p>
              </w:tc>
              <w:tc>
                <w:tcPr>
                  <w:tcW w:w="2978"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项目所在区域环境质量能达到环境质量标准</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3</w:t>
                  </w:r>
                </w:p>
              </w:tc>
              <w:tc>
                <w:tcPr>
                  <w:tcW w:w="1983" w:type="dxa"/>
                  <w:shd w:val="clear" w:color="auto" w:fill="auto"/>
                  <w:noWrap w:val="0"/>
                  <w:vAlign w:val="center"/>
                </w:tcPr>
                <w:p>
                  <w:pPr>
                    <w:autoSpaceDE w:val="0"/>
                    <w:autoSpaceDN w:val="0"/>
                    <w:adjustRightInd w:val="0"/>
                    <w:snapToGrid w:val="0"/>
                    <w:jc w:val="center"/>
                    <w:rPr>
                      <w:kern w:val="0"/>
                      <w:sz w:val="21"/>
                      <w:szCs w:val="21"/>
                    </w:rPr>
                  </w:pPr>
                  <w:r>
                    <w:rPr>
                      <w:rFonts w:hint="eastAsia"/>
                      <w:kern w:val="0"/>
                      <w:sz w:val="21"/>
                      <w:szCs w:val="21"/>
                    </w:rPr>
                    <w:t xml:space="preserve">建设项目采取的污染防治措施无法确保污染物排放达到 </w:t>
                  </w:r>
                </w:p>
                <w:p>
                  <w:pPr>
                    <w:autoSpaceDE w:val="0"/>
                    <w:autoSpaceDN w:val="0"/>
                    <w:adjustRightInd w:val="0"/>
                    <w:snapToGrid w:val="0"/>
                    <w:jc w:val="center"/>
                    <w:rPr>
                      <w:rFonts w:hint="eastAsia"/>
                      <w:kern w:val="0"/>
                      <w:sz w:val="21"/>
                      <w:szCs w:val="21"/>
                    </w:rPr>
                  </w:pPr>
                  <w:r>
                    <w:rPr>
                      <w:rFonts w:hint="eastAsia"/>
                      <w:kern w:val="0"/>
                      <w:sz w:val="21"/>
                      <w:szCs w:val="21"/>
                    </w:rPr>
                    <w:t>国家和地方排放标准，或者未采取必要措施预防和控制生态破坏</w:t>
                  </w:r>
                </w:p>
              </w:tc>
              <w:tc>
                <w:tcPr>
                  <w:tcW w:w="2978" w:type="dxa"/>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项目采取的污染防治措施可以确保污染物排放达标</w:t>
                  </w:r>
                </w:p>
              </w:tc>
              <w:tc>
                <w:tcPr>
                  <w:tcW w:w="801" w:type="dxa"/>
                  <w:tcBorders>
                    <w:righ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4</w:t>
                  </w:r>
                </w:p>
              </w:tc>
              <w:tc>
                <w:tcPr>
                  <w:tcW w:w="1983" w:type="dxa"/>
                  <w:tcBorders>
                    <w:bottom w:val="single" w:color="auto" w:sz="4" w:space="0"/>
                  </w:tcBorders>
                  <w:shd w:val="clear" w:color="auto" w:fill="auto"/>
                  <w:noWrap w:val="0"/>
                  <w:vAlign w:val="center"/>
                </w:tcPr>
                <w:p>
                  <w:pPr>
                    <w:autoSpaceDE w:val="0"/>
                    <w:autoSpaceDN w:val="0"/>
                    <w:adjustRightInd w:val="0"/>
                    <w:snapToGrid w:val="0"/>
                    <w:jc w:val="left"/>
                    <w:rPr>
                      <w:rFonts w:hint="eastAsia"/>
                      <w:kern w:val="0"/>
                      <w:sz w:val="21"/>
                      <w:szCs w:val="21"/>
                    </w:rPr>
                  </w:pPr>
                  <w:r>
                    <w:rPr>
                      <w:rFonts w:hint="eastAsia"/>
                      <w:kern w:val="0"/>
                      <w:sz w:val="21"/>
                      <w:szCs w:val="21"/>
                    </w:rPr>
                    <w:t>改建、扩建和技术改造项目，未针对目原有环境污染和生态破坏提出有效防治措施</w:t>
                  </w:r>
                </w:p>
              </w:tc>
              <w:tc>
                <w:tcPr>
                  <w:tcW w:w="2978" w:type="dxa"/>
                  <w:tcBorders>
                    <w:bottom w:val="single" w:color="auto" w:sz="4" w:space="0"/>
                  </w:tcBorders>
                  <w:shd w:val="clear" w:color="auto" w:fill="auto"/>
                  <w:noWrap w:val="0"/>
                  <w:vAlign w:val="center"/>
                </w:tcPr>
                <w:p>
                  <w:pPr>
                    <w:autoSpaceDE w:val="0"/>
                    <w:autoSpaceDN w:val="0"/>
                    <w:adjustRightInd w:val="0"/>
                    <w:snapToGrid w:val="0"/>
                    <w:jc w:val="center"/>
                    <w:rPr>
                      <w:rFonts w:hint="eastAsia" w:eastAsia="宋体"/>
                      <w:kern w:val="0"/>
                      <w:sz w:val="21"/>
                      <w:szCs w:val="21"/>
                      <w:lang w:eastAsia="zh-CN"/>
                    </w:rPr>
                  </w:pPr>
                  <w:r>
                    <w:rPr>
                      <w:rFonts w:hint="eastAsia"/>
                      <w:color w:val="000000"/>
                      <w:sz w:val="21"/>
                      <w:szCs w:val="21"/>
                    </w:rPr>
                    <w:t>本项目属于</w:t>
                  </w:r>
                  <w:r>
                    <w:rPr>
                      <w:rFonts w:hint="eastAsia"/>
                      <w:color w:val="000000"/>
                      <w:sz w:val="21"/>
                      <w:szCs w:val="21"/>
                      <w:lang w:eastAsia="zh-CN"/>
                    </w:rPr>
                    <w:t>改扩</w:t>
                  </w:r>
                  <w:r>
                    <w:rPr>
                      <w:rFonts w:hint="eastAsia"/>
                      <w:color w:val="000000"/>
                      <w:sz w:val="21"/>
                      <w:szCs w:val="21"/>
                    </w:rPr>
                    <w:t>建项目</w:t>
                  </w:r>
                  <w:r>
                    <w:rPr>
                      <w:rFonts w:hint="eastAsia"/>
                      <w:color w:val="000000"/>
                      <w:sz w:val="21"/>
                      <w:szCs w:val="21"/>
                      <w:lang w:eastAsia="zh-CN"/>
                    </w:rPr>
                    <w:t>，原项目不存在环境污染和生态破坏</w:t>
                  </w:r>
                </w:p>
              </w:tc>
              <w:tc>
                <w:tcPr>
                  <w:tcW w:w="801" w:type="dxa"/>
                  <w:tcBorders>
                    <w:bottom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tcBorders>
                    <w:left w:val="single" w:color="auto" w:sz="4" w:space="0"/>
                    <w:bottom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5</w:t>
                  </w:r>
                </w:p>
              </w:tc>
              <w:tc>
                <w:tcPr>
                  <w:tcW w:w="1983" w:type="dxa"/>
                  <w:tcBorders>
                    <w:bottom w:val="single" w:color="auto" w:sz="4" w:space="0"/>
                  </w:tcBorders>
                  <w:shd w:val="clear" w:color="auto" w:fill="auto"/>
                  <w:noWrap w:val="0"/>
                  <w:vAlign w:val="center"/>
                </w:tcPr>
                <w:p>
                  <w:pPr>
                    <w:autoSpaceDE w:val="0"/>
                    <w:autoSpaceDN w:val="0"/>
                    <w:adjustRightInd w:val="0"/>
                    <w:snapToGrid w:val="0"/>
                    <w:jc w:val="left"/>
                    <w:rPr>
                      <w:rFonts w:hint="eastAsia"/>
                      <w:kern w:val="0"/>
                      <w:sz w:val="21"/>
                      <w:szCs w:val="21"/>
                    </w:rPr>
                  </w:pPr>
                  <w:r>
                    <w:rPr>
                      <w:rFonts w:hint="eastAsia"/>
                      <w:kern w:val="0"/>
                      <w:sz w:val="21"/>
                      <w:szCs w:val="21"/>
                    </w:rPr>
                    <w:t>建设项目的环境影响报告书、环境影响报告表的基础资料数据明显不实，内容存在重大缺陷、遗漏，或者环境影响评价结论不明确、不合理</w:t>
                  </w:r>
                </w:p>
              </w:tc>
              <w:tc>
                <w:tcPr>
                  <w:tcW w:w="2978" w:type="dxa"/>
                  <w:tcBorders>
                    <w:bottom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本项目基础资料数据为业主提供，内容不存在重大缺陷、遗漏，环境影响评价结论明确、合理。</w:t>
                  </w:r>
                </w:p>
              </w:tc>
              <w:tc>
                <w:tcPr>
                  <w:tcW w:w="801" w:type="dxa"/>
                  <w:tcBorders>
                    <w:bottom w:val="single" w:color="auto" w:sz="4" w:space="0"/>
                    <w:right w:val="single" w:color="auto" w:sz="4" w:space="0"/>
                  </w:tcBorders>
                  <w:shd w:val="clear" w:color="auto" w:fill="auto"/>
                  <w:noWrap w:val="0"/>
                  <w:vAlign w:val="center"/>
                </w:tcPr>
                <w:p>
                  <w:pPr>
                    <w:autoSpaceDE w:val="0"/>
                    <w:autoSpaceDN w:val="0"/>
                    <w:adjustRightInd w:val="0"/>
                    <w:snapToGrid w:val="0"/>
                    <w:jc w:val="center"/>
                    <w:rPr>
                      <w:rFonts w:hint="eastAsia"/>
                      <w:kern w:val="0"/>
                      <w:sz w:val="21"/>
                      <w:szCs w:val="21"/>
                    </w:rPr>
                  </w:pPr>
                  <w:r>
                    <w:rPr>
                      <w:rFonts w:hint="eastAsia"/>
                      <w:kern w:val="0"/>
                      <w:sz w:val="21"/>
                      <w:szCs w:val="21"/>
                    </w:rPr>
                    <w:t>符合</w:t>
                  </w:r>
                </w:p>
              </w:tc>
            </w:tr>
          </w:tbl>
          <w:p>
            <w:pPr>
              <w:autoSpaceDE w:val="0"/>
              <w:autoSpaceDN w:val="0"/>
              <w:adjustRightInd w:val="0"/>
              <w:snapToGrid w:val="0"/>
              <w:spacing w:line="360" w:lineRule="auto"/>
              <w:jc w:val="left"/>
              <w:rPr>
                <w:rFonts w:hint="eastAsia"/>
                <w:kern w:val="0"/>
                <w:szCs w:val="21"/>
              </w:rPr>
            </w:pPr>
            <w:r>
              <w:rPr>
                <w:rFonts w:hint="eastAsia"/>
                <w:b/>
                <w:kern w:val="0"/>
                <w:sz w:val="21"/>
                <w:szCs w:val="21"/>
              </w:rPr>
              <w:t xml:space="preserve"> </w:t>
            </w:r>
            <w:r>
              <w:rPr>
                <w:b/>
                <w:kern w:val="0"/>
                <w:sz w:val="21"/>
                <w:szCs w:val="21"/>
              </w:rPr>
              <w:t xml:space="preserve">   </w:t>
            </w:r>
            <w:r>
              <w:rPr>
                <w:kern w:val="0"/>
                <w:sz w:val="21"/>
                <w:szCs w:val="21"/>
              </w:rPr>
              <w:t>综上，本项目符合建设项目环境保护管理条例的要求。</w:t>
            </w:r>
          </w:p>
        </w:tc>
      </w:tr>
    </w:tbl>
    <w:p>
      <w:pPr>
        <w:pStyle w:val="6"/>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6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618" w:type="dxa"/>
            <w:noWrap w:val="0"/>
            <w:vAlign w:val="center"/>
          </w:tcPr>
          <w:p>
            <w:pPr>
              <w:pStyle w:val="6"/>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443" w:type="dxa"/>
            <w:noWrap w:val="0"/>
            <w:vAlign w:val="top"/>
          </w:tcPr>
          <w:p>
            <w:pPr>
              <w:adjustRightInd w:val="0"/>
              <w:snapToGrid w:val="0"/>
              <w:spacing w:line="360" w:lineRule="auto"/>
              <w:jc w:val="left"/>
              <w:rPr>
                <w:rFonts w:ascii="宋体" w:hAnsi="宋体" w:cs="宋体"/>
                <w:b/>
                <w:bCs/>
                <w:szCs w:val="21"/>
              </w:rPr>
            </w:pPr>
            <w:r>
              <w:rPr>
                <w:rFonts w:hint="eastAsia" w:ascii="宋体" w:hAnsi="宋体" w:cs="宋体"/>
                <w:bCs/>
                <w:szCs w:val="21"/>
              </w:rPr>
              <w:t xml:space="preserve">   </w:t>
            </w:r>
            <w:r>
              <w:rPr>
                <w:rFonts w:hint="eastAsia" w:ascii="宋体" w:hAnsi="宋体" w:cs="宋体"/>
                <w:b/>
                <w:bCs/>
                <w:szCs w:val="21"/>
              </w:rPr>
              <w:t xml:space="preserve"> </w:t>
            </w:r>
            <w:r>
              <w:rPr>
                <w:b/>
                <w:bCs/>
                <w:szCs w:val="21"/>
              </w:rPr>
              <w:t>1</w:t>
            </w:r>
            <w:r>
              <w:rPr>
                <w:rFonts w:hint="eastAsia" w:ascii="宋体" w:hAnsi="宋体" w:cs="宋体"/>
                <w:b/>
                <w:bCs/>
                <w:szCs w:val="21"/>
              </w:rPr>
              <w:t>.建设</w:t>
            </w:r>
            <w:r>
              <w:rPr>
                <w:rFonts w:ascii="宋体" w:hAnsi="宋体" w:cs="宋体"/>
                <w:b/>
                <w:bCs/>
                <w:szCs w:val="21"/>
              </w:rPr>
              <w:t>内容及规模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bCs/>
                <w:szCs w:val="21"/>
              </w:rPr>
            </w:pPr>
            <w:r>
              <w:rPr>
                <w:rFonts w:hint="default" w:ascii="Times New Roman" w:hAnsi="Times New Roman" w:cs="Times New Roman"/>
                <w:bCs/>
                <w:szCs w:val="21"/>
              </w:rPr>
              <w:t>中国石化销售股份有限公司湖南常德</w:t>
            </w:r>
            <w:r>
              <w:rPr>
                <w:rFonts w:hint="eastAsia" w:cs="Times New Roman"/>
                <w:bCs/>
                <w:szCs w:val="21"/>
                <w:lang w:eastAsia="zh-CN"/>
              </w:rPr>
              <w:t>桃源新河桥</w:t>
            </w:r>
            <w:r>
              <w:rPr>
                <w:rFonts w:hint="default" w:ascii="Times New Roman" w:hAnsi="Times New Roman" w:cs="Times New Roman"/>
                <w:bCs/>
                <w:szCs w:val="21"/>
              </w:rPr>
              <w:t>加油站位于桃源县漳江北路新河桥白佛阁社区附近（GPS坐标：北纬28.918086、东经111.477142）西侧临桃源县漳江北路，于 2000 年 05月建成投产。该加</w:t>
            </w:r>
            <w:r>
              <w:rPr>
                <w:rFonts w:hint="default" w:ascii="Times New Roman" w:hAnsi="Times New Roman" w:cs="Times New Roman"/>
                <w:bCs/>
                <w:color w:val="000000" w:themeColor="text1"/>
                <w:szCs w:val="21"/>
                <w:highlight w:val="none"/>
                <w14:textFill>
                  <w14:solidFill>
                    <w14:schemeClr w14:val="tx1"/>
                  </w14:solidFill>
                </w14:textFill>
              </w:rPr>
              <w:t>油站总投资</w:t>
            </w:r>
            <w:r>
              <w:rPr>
                <w:rFonts w:hint="eastAsia" w:cs="Times New Roman"/>
                <w:bCs/>
                <w:color w:val="000000" w:themeColor="text1"/>
                <w:szCs w:val="21"/>
                <w:highlight w:val="none"/>
                <w:lang w:val="en-US" w:eastAsia="zh-CN"/>
                <w14:textFill>
                  <w14:solidFill>
                    <w14:schemeClr w14:val="tx1"/>
                  </w14:solidFill>
                </w14:textFill>
              </w:rPr>
              <w:t>1000</w:t>
            </w:r>
            <w:r>
              <w:rPr>
                <w:rFonts w:hint="default" w:ascii="Times New Roman" w:hAnsi="Times New Roman" w:cs="Times New Roman"/>
                <w:bCs/>
                <w:color w:val="000000" w:themeColor="text1"/>
                <w:szCs w:val="21"/>
                <w:highlight w:val="none"/>
                <w14:textFill>
                  <w14:solidFill>
                    <w14:schemeClr w14:val="tx1"/>
                  </w14:solidFill>
                </w14:textFill>
              </w:rPr>
              <w:t xml:space="preserve"> 万元，年零售石油 </w:t>
            </w:r>
            <w:r>
              <w:rPr>
                <w:rFonts w:hint="eastAsia" w:cs="Times New Roman"/>
                <w:bCs/>
                <w:color w:val="000000" w:themeColor="text1"/>
                <w:szCs w:val="21"/>
                <w:highlight w:val="none"/>
                <w:lang w:val="en-US" w:eastAsia="zh-CN"/>
                <w14:textFill>
                  <w14:solidFill>
                    <w14:schemeClr w14:val="tx1"/>
                  </w14:solidFill>
                </w14:textFill>
              </w:rPr>
              <w:t>1100</w:t>
            </w:r>
            <w:r>
              <w:rPr>
                <w:rFonts w:hint="default" w:ascii="Times New Roman" w:hAnsi="Times New Roman" w:cs="Times New Roman"/>
                <w:bCs/>
                <w:color w:val="000000" w:themeColor="text1"/>
                <w:szCs w:val="21"/>
                <w:highlight w:val="none"/>
                <w14:textFill>
                  <w14:solidFill>
                    <w14:schemeClr w14:val="tx1"/>
                  </w14:solidFill>
                </w14:textFill>
              </w:rPr>
              <w:t xml:space="preserve">吨，其中柴油 100 吨，汽油 </w:t>
            </w:r>
            <w:r>
              <w:rPr>
                <w:rFonts w:hint="eastAsia" w:cs="Times New Roman"/>
                <w:bCs/>
                <w:color w:val="000000" w:themeColor="text1"/>
                <w:szCs w:val="21"/>
                <w:highlight w:val="none"/>
                <w:lang w:val="en-US" w:eastAsia="zh-CN"/>
                <w14:textFill>
                  <w14:solidFill>
                    <w14:schemeClr w14:val="tx1"/>
                  </w14:solidFill>
                </w14:textFill>
              </w:rPr>
              <w:t>1000</w:t>
            </w:r>
            <w:r>
              <w:rPr>
                <w:rFonts w:hint="default" w:ascii="Times New Roman" w:hAnsi="Times New Roman" w:cs="Times New Roman"/>
                <w:bCs/>
                <w:color w:val="000000" w:themeColor="text1"/>
                <w:szCs w:val="21"/>
                <w:highlight w:val="none"/>
                <w14:textFill>
                  <w14:solidFill>
                    <w14:schemeClr w14:val="tx1"/>
                  </w14:solidFill>
                </w14:textFill>
              </w:rPr>
              <w:t>吨。常德</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加油站于 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年 0</w:t>
            </w:r>
            <w:r>
              <w:rPr>
                <w:rFonts w:hint="eastAsia" w:cs="Times New Roman"/>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Cs/>
                <w:color w:val="000000" w:themeColor="text1"/>
                <w:szCs w:val="21"/>
                <w:highlight w:val="none"/>
                <w14:textFill>
                  <w14:solidFill>
                    <w14:schemeClr w14:val="tx1"/>
                  </w14:solidFill>
                </w14:textFill>
              </w:rPr>
              <w:t>月委托湖南志远环境咨询服务有限公司编制了《中国石化销售有限公司湖南常德石油分公司桃源新河桥加油站建设项目环境影响报告表》，201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年 </w:t>
            </w:r>
            <w:r>
              <w:rPr>
                <w:rFonts w:hint="eastAsia" w:cs="Times New Roman"/>
                <w:bCs/>
                <w:color w:val="000000" w:themeColor="text1"/>
                <w:szCs w:val="21"/>
                <w:highlight w:val="none"/>
                <w:lang w:val="en-US" w:eastAsia="zh-CN"/>
                <w14:textFill>
                  <w14:solidFill>
                    <w14:schemeClr w14:val="tx1"/>
                  </w14:solidFill>
                </w14:textFill>
              </w:rPr>
              <w:t>12</w:t>
            </w:r>
            <w:r>
              <w:rPr>
                <w:rFonts w:hint="default" w:ascii="Times New Roman" w:hAnsi="Times New Roman" w:cs="Times New Roman"/>
                <w:bCs/>
                <w:color w:val="000000" w:themeColor="text1"/>
                <w:szCs w:val="21"/>
                <w:highlight w:val="none"/>
                <w14:textFill>
                  <w14:solidFill>
                    <w14:schemeClr w14:val="tx1"/>
                  </w14:solidFill>
                </w14:textFill>
              </w:rPr>
              <w:t xml:space="preserve"> 月</w:t>
            </w:r>
            <w:r>
              <w:rPr>
                <w:rFonts w:hint="eastAsia" w:cs="Times New Roman"/>
                <w:bCs/>
                <w:color w:val="000000" w:themeColor="text1"/>
                <w:szCs w:val="21"/>
                <w:highlight w:val="none"/>
                <w:lang w:val="en-US" w:eastAsia="zh-CN"/>
                <w14:textFill>
                  <w14:solidFill>
                    <w14:schemeClr w14:val="tx1"/>
                  </w14:solidFill>
                </w14:textFill>
              </w:rPr>
              <w:t>29</w:t>
            </w:r>
            <w:r>
              <w:rPr>
                <w:rFonts w:hint="default" w:ascii="Times New Roman" w:hAnsi="Times New Roman" w:cs="Times New Roman"/>
                <w:bCs/>
                <w:color w:val="000000" w:themeColor="text1"/>
                <w:szCs w:val="21"/>
                <w:highlight w:val="none"/>
                <w14:textFill>
                  <w14:solidFill>
                    <w14:schemeClr w14:val="tx1"/>
                  </w14:solidFill>
                </w14:textFill>
              </w:rPr>
              <w:t xml:space="preserve"> 日</w:t>
            </w:r>
            <w:r>
              <w:rPr>
                <w:rFonts w:hint="eastAsia" w:cs="Times New Roman"/>
                <w:bCs/>
                <w:color w:val="000000" w:themeColor="text1"/>
                <w:szCs w:val="21"/>
                <w:highlight w:val="none"/>
                <w:lang w:eastAsia="zh-CN"/>
                <w14:textFill>
                  <w14:solidFill>
                    <w14:schemeClr w14:val="tx1"/>
                  </w14:solidFill>
                </w14:textFill>
              </w:rPr>
              <w:t>桃源县</w:t>
            </w:r>
            <w:r>
              <w:rPr>
                <w:rFonts w:hint="default" w:ascii="Times New Roman" w:hAnsi="Times New Roman" w:cs="Times New Roman"/>
                <w:bCs/>
                <w:color w:val="000000" w:themeColor="text1"/>
                <w:szCs w:val="21"/>
                <w:highlight w:val="none"/>
                <w14:textFill>
                  <w14:solidFill>
                    <w14:schemeClr w14:val="tx1"/>
                  </w14:solidFill>
                </w14:textFill>
              </w:rPr>
              <w:t>环境保护局下发了该报告表的审批：《关于湖南常德</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加油站建设项目环境影响报告表的批复》，</w:t>
            </w:r>
            <w:r>
              <w:rPr>
                <w:rFonts w:hint="eastAsia" w:cs="Times New Roman"/>
                <w:bCs/>
                <w:color w:val="000000" w:themeColor="text1"/>
                <w:szCs w:val="21"/>
                <w:highlight w:val="none"/>
                <w:lang w:eastAsia="zh-CN"/>
                <w14:textFill>
                  <w14:solidFill>
                    <w14:schemeClr w14:val="tx1"/>
                  </w14:solidFill>
                </w14:textFill>
              </w:rPr>
              <w:t>桃环评</w:t>
            </w:r>
            <w:r>
              <w:rPr>
                <w:rFonts w:hint="default" w:ascii="Times New Roman" w:hAnsi="Times New Roman" w:cs="Times New Roman"/>
                <w:bCs/>
                <w:color w:val="000000" w:themeColor="text1"/>
                <w:szCs w:val="21"/>
                <w:highlight w:val="none"/>
                <w14:textFill>
                  <w14:solidFill>
                    <w14:schemeClr w14:val="tx1"/>
                  </w14:solidFill>
                </w14:textFill>
              </w:rPr>
              <w:t>（201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w:t>
            </w:r>
            <w:r>
              <w:rPr>
                <w:rFonts w:hint="eastAsia" w:cs="Times New Roman"/>
                <w:bCs/>
                <w:color w:val="000000" w:themeColor="text1"/>
                <w:szCs w:val="21"/>
                <w:highlight w:val="none"/>
                <w:lang w:val="en-US" w:eastAsia="zh-CN"/>
                <w14:textFill>
                  <w14:solidFill>
                    <w14:schemeClr w14:val="tx1"/>
                  </w14:solidFill>
                </w14:textFill>
              </w:rPr>
              <w:t>6</w:t>
            </w:r>
            <w:r>
              <w:rPr>
                <w:rFonts w:hint="default" w:ascii="Times New Roman" w:hAnsi="Times New Roman" w:cs="Times New Roman"/>
                <w:bCs/>
                <w:color w:val="000000" w:themeColor="text1"/>
                <w:szCs w:val="21"/>
                <w:highlight w:val="none"/>
                <w14:textFill>
                  <w14:solidFill>
                    <w14:schemeClr w14:val="tx1"/>
                  </w14:solidFill>
                </w14:textFill>
              </w:rPr>
              <w:t>8 号。</w:t>
            </w:r>
            <w:r>
              <w:rPr>
                <w:rFonts w:hint="eastAsia" w:cs="Times New Roman"/>
                <w:bCs/>
                <w:color w:val="000000" w:themeColor="text1"/>
                <w:szCs w:val="21"/>
                <w:highlight w:val="none"/>
                <w:lang w:eastAsia="zh-CN"/>
                <w14:textFill>
                  <w14:solidFill>
                    <w14:schemeClr w14:val="tx1"/>
                  </w14:solidFill>
                </w14:textFill>
              </w:rPr>
              <w:t>湖南</w:t>
            </w:r>
            <w:r>
              <w:rPr>
                <w:rFonts w:hint="default" w:ascii="Times New Roman" w:hAnsi="Times New Roman" w:cs="Times New Roman"/>
                <w:bCs/>
                <w:color w:val="000000" w:themeColor="text1"/>
                <w:szCs w:val="21"/>
                <w:highlight w:val="none"/>
                <w14:textFill>
                  <w14:solidFill>
                    <w14:schemeClr w14:val="tx1"/>
                  </w14:solidFill>
                </w14:textFill>
              </w:rPr>
              <w:t>常德市德环环境检测中心负责常德汉</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加油站建设项目竣工环境保护验收监测工作。于 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年</w:t>
            </w:r>
            <w:r>
              <w:rPr>
                <w:rFonts w:hint="eastAsia" w:cs="Times New Roman"/>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Cs/>
                <w:color w:val="000000" w:themeColor="text1"/>
                <w:szCs w:val="21"/>
                <w:highlight w:val="none"/>
                <w14:textFill>
                  <w14:solidFill>
                    <w14:schemeClr w14:val="tx1"/>
                  </w14:solidFill>
                </w14:textFill>
              </w:rPr>
              <w:t>月</w:t>
            </w:r>
            <w:r>
              <w:rPr>
                <w:rFonts w:hint="eastAsia" w:cs="Times New Roman"/>
                <w:bCs/>
                <w:color w:val="000000" w:themeColor="text1"/>
                <w:szCs w:val="21"/>
                <w:highlight w:val="none"/>
                <w:lang w:val="en-US" w:eastAsia="zh-CN"/>
                <w14:textFill>
                  <w14:solidFill>
                    <w14:schemeClr w14:val="tx1"/>
                  </w14:solidFill>
                </w14:textFill>
              </w:rPr>
              <w:t>26</w:t>
            </w:r>
            <w:r>
              <w:rPr>
                <w:rFonts w:hint="default" w:ascii="Times New Roman" w:hAnsi="Times New Roman" w:cs="Times New Roman"/>
                <w:bCs/>
                <w:color w:val="000000" w:themeColor="text1"/>
                <w:szCs w:val="21"/>
                <w:highlight w:val="none"/>
                <w14:textFill>
                  <w14:solidFill>
                    <w14:schemeClr w14:val="tx1"/>
                  </w14:solidFill>
                </w14:textFill>
              </w:rPr>
              <w:t>日-</w:t>
            </w:r>
            <w:r>
              <w:rPr>
                <w:rFonts w:hint="eastAsia" w:cs="Times New Roman"/>
                <w:bCs/>
                <w:color w:val="000000" w:themeColor="text1"/>
                <w:szCs w:val="21"/>
                <w:highlight w:val="none"/>
                <w:lang w:val="en-US" w:eastAsia="zh-CN"/>
                <w14:textFill>
                  <w14:solidFill>
                    <w14:schemeClr w14:val="tx1"/>
                  </w14:solidFill>
                </w14:textFill>
              </w:rPr>
              <w:t>28</w:t>
            </w:r>
            <w:r>
              <w:rPr>
                <w:rFonts w:hint="default" w:ascii="Times New Roman" w:hAnsi="Times New Roman" w:cs="Times New Roman"/>
                <w:bCs/>
                <w:color w:val="000000" w:themeColor="text1"/>
                <w:szCs w:val="21"/>
                <w:highlight w:val="none"/>
                <w14:textFill>
                  <w14:solidFill>
                    <w14:schemeClr w14:val="tx1"/>
                  </w14:solidFill>
                </w14:textFill>
              </w:rPr>
              <w:t>日</w:t>
            </w:r>
            <w:r>
              <w:rPr>
                <w:rFonts w:hint="default" w:ascii="Times New Roman" w:hAnsi="Times New Roman" w:cs="Times New Roman"/>
                <w:bCs/>
                <w:szCs w:val="21"/>
              </w:rPr>
              <w:t>，对验收项目实施了现场监测及环境管理检查，在此基础上编制完成验收监测报告。</w:t>
            </w:r>
          </w:p>
          <w:p>
            <w:pPr>
              <w:adjustRightInd w:val="0"/>
              <w:snapToGrid w:val="0"/>
              <w:spacing w:line="360" w:lineRule="auto"/>
              <w:ind w:firstLine="420" w:firstLineChars="200"/>
              <w:jc w:val="left"/>
              <w:rPr>
                <w:rFonts w:hint="eastAsia" w:ascii="Times New Roman" w:hAnsi="Times New Roman" w:eastAsia="宋体" w:cs="Times New Roman"/>
                <w:bCs/>
                <w:szCs w:val="21"/>
                <w:lang w:eastAsia="zh-CN"/>
              </w:rPr>
            </w:pPr>
            <w:r>
              <w:rPr>
                <w:rFonts w:hint="eastAsia" w:cs="Times New Roman"/>
                <w:bCs/>
                <w:szCs w:val="21"/>
                <w:lang w:eastAsia="zh-CN"/>
              </w:rPr>
              <w:t>（</w:t>
            </w:r>
            <w:r>
              <w:rPr>
                <w:rFonts w:hint="eastAsia" w:cs="Times New Roman"/>
                <w:bCs/>
                <w:szCs w:val="21"/>
                <w:lang w:val="en-US" w:eastAsia="zh-CN"/>
              </w:rPr>
              <w:t>1</w:t>
            </w:r>
            <w:r>
              <w:rPr>
                <w:rFonts w:hint="eastAsia" w:cs="Times New Roman"/>
                <w:bCs/>
                <w:szCs w:val="21"/>
                <w:lang w:eastAsia="zh-CN"/>
              </w:rPr>
              <w:t>）建设内容</w:t>
            </w:r>
          </w:p>
          <w:p>
            <w:pPr>
              <w:adjustRightInd w:val="0"/>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该项目加油站</w:t>
            </w:r>
            <w:r>
              <w:rPr>
                <w:rFonts w:hint="eastAsia" w:cs="Times New Roman"/>
                <w:bCs/>
                <w:szCs w:val="21"/>
                <w:lang w:eastAsia="zh-CN"/>
              </w:rPr>
              <w:t>新建时</w:t>
            </w:r>
            <w:r>
              <w:rPr>
                <w:rFonts w:hint="default" w:ascii="Times New Roman" w:hAnsi="Times New Roman" w:cs="Times New Roman"/>
                <w:bCs/>
                <w:szCs w:val="21"/>
              </w:rPr>
              <w:t xml:space="preserve">共设置 3 个埋地钢制卧式油罐、4台双枪双油品潜油泵式加油机，其中 </w:t>
            </w:r>
            <w:r>
              <w:rPr>
                <w:rFonts w:hint="eastAsia" w:cs="Times New Roman"/>
                <w:bCs/>
                <w:szCs w:val="21"/>
                <w:lang w:val="en-US" w:eastAsia="zh-CN"/>
              </w:rPr>
              <w:t>3</w:t>
            </w:r>
            <w:r>
              <w:rPr>
                <w:rFonts w:hint="default" w:ascii="Times New Roman" w:hAnsi="Times New Roman" w:cs="Times New Roman"/>
                <w:bCs/>
                <w:szCs w:val="21"/>
              </w:rPr>
              <w:t>0m</w:t>
            </w:r>
            <w:r>
              <w:rPr>
                <w:rFonts w:hint="default" w:ascii="Times New Roman" w:hAnsi="Times New Roman" w:cs="Times New Roman"/>
                <w:bCs/>
                <w:szCs w:val="21"/>
                <w:vertAlign w:val="superscript"/>
              </w:rPr>
              <w:t>3</w:t>
            </w:r>
            <w:r>
              <w:rPr>
                <w:rFonts w:hint="eastAsia" w:cs="Times New Roman"/>
                <w:bCs/>
                <w:szCs w:val="21"/>
                <w:vertAlign w:val="superscript"/>
                <w:lang w:val="en-US" w:eastAsia="zh-CN"/>
              </w:rPr>
              <w:t xml:space="preserve"> </w:t>
            </w:r>
            <w:r>
              <w:rPr>
                <w:rFonts w:hint="default" w:ascii="Times New Roman" w:hAnsi="Times New Roman" w:cs="Times New Roman"/>
                <w:bCs/>
                <w:szCs w:val="21"/>
              </w:rPr>
              <w:t>92#汽油罐 1台，</w:t>
            </w:r>
            <w:r>
              <w:rPr>
                <w:rFonts w:hint="eastAsia" w:cs="Times New Roman"/>
                <w:bCs/>
                <w:szCs w:val="21"/>
                <w:lang w:val="en-US" w:eastAsia="zh-CN"/>
              </w:rPr>
              <w:t>3</w:t>
            </w:r>
            <w:r>
              <w:rPr>
                <w:rFonts w:hint="default" w:ascii="Times New Roman" w:hAnsi="Times New Roman" w:cs="Times New Roman"/>
                <w:bCs/>
                <w:szCs w:val="21"/>
              </w:rPr>
              <w:t>0m</w:t>
            </w:r>
            <w:r>
              <w:rPr>
                <w:rFonts w:hint="default" w:ascii="Times New Roman" w:hAnsi="Times New Roman" w:cs="Times New Roman"/>
                <w:bCs/>
                <w:szCs w:val="21"/>
                <w:vertAlign w:val="superscript"/>
              </w:rPr>
              <w:t>3</w:t>
            </w:r>
            <w:r>
              <w:rPr>
                <w:rFonts w:hint="eastAsia" w:cs="Times New Roman"/>
                <w:bCs/>
                <w:szCs w:val="21"/>
                <w:vertAlign w:val="superscript"/>
                <w:lang w:val="en-US" w:eastAsia="zh-CN"/>
              </w:rPr>
              <w:t xml:space="preserve"> </w:t>
            </w:r>
            <w:r>
              <w:rPr>
                <w:rFonts w:hint="default" w:ascii="Times New Roman" w:hAnsi="Times New Roman" w:cs="Times New Roman"/>
                <w:bCs/>
                <w:szCs w:val="21"/>
              </w:rPr>
              <w:t>95#汽油罐 1 台，</w:t>
            </w:r>
            <w:r>
              <w:rPr>
                <w:rFonts w:hint="eastAsia" w:cs="Times New Roman"/>
                <w:bCs/>
                <w:szCs w:val="21"/>
                <w:lang w:val="en-US" w:eastAsia="zh-CN"/>
              </w:rPr>
              <w:t>3</w:t>
            </w:r>
            <w:r>
              <w:rPr>
                <w:rFonts w:hint="default" w:ascii="Times New Roman" w:hAnsi="Times New Roman" w:cs="Times New Roman"/>
                <w:bCs/>
                <w:szCs w:val="21"/>
              </w:rPr>
              <w:t>0m</w:t>
            </w:r>
            <w:r>
              <w:rPr>
                <w:rFonts w:hint="default" w:ascii="Times New Roman" w:hAnsi="Times New Roman" w:cs="Times New Roman"/>
                <w:bCs/>
                <w:szCs w:val="21"/>
                <w:vertAlign w:val="superscript"/>
              </w:rPr>
              <w:t>3</w:t>
            </w:r>
            <w:r>
              <w:rPr>
                <w:rFonts w:hint="eastAsia" w:cs="Times New Roman"/>
                <w:bCs/>
                <w:szCs w:val="21"/>
                <w:lang w:val="en-US" w:eastAsia="zh-CN"/>
              </w:rPr>
              <w:t xml:space="preserve"> 0</w:t>
            </w:r>
            <w:r>
              <w:rPr>
                <w:rFonts w:hint="default" w:ascii="Times New Roman" w:hAnsi="Times New Roman" w:cs="Times New Roman"/>
                <w:bCs/>
                <w:szCs w:val="21"/>
              </w:rPr>
              <w:t>#柴油罐 1 台，加油站配套建设二次油气回收系统等环保设施</w:t>
            </w:r>
            <w:r>
              <w:rPr>
                <w:rFonts w:hint="eastAsia" w:cs="Times New Roman"/>
                <w:bCs/>
                <w:szCs w:val="21"/>
                <w:lang w:eastAsia="zh-CN"/>
              </w:rPr>
              <w:t>。近期，该加油站预计</w:t>
            </w:r>
            <w:r>
              <w:rPr>
                <w:rFonts w:hint="eastAsia" w:ascii="Times New Roman" w:hAnsi="Times New Roman" w:cs="Times New Roman"/>
                <w:bCs/>
                <w:szCs w:val="21"/>
                <w:lang w:eastAsia="zh-CN"/>
              </w:rPr>
              <w:t>改造增加了一个</w:t>
            </w:r>
            <w:r>
              <w:rPr>
                <w:rFonts w:hint="eastAsia" w:cs="Times New Roman"/>
                <w:bCs/>
                <w:szCs w:val="21"/>
                <w:lang w:val="en-US" w:eastAsia="zh-CN"/>
              </w:rPr>
              <w:t>3</w:t>
            </w:r>
            <w:r>
              <w:rPr>
                <w:rFonts w:hint="default" w:ascii="Times New Roman" w:hAnsi="Times New Roman" w:cs="Times New Roman"/>
                <w:bCs/>
                <w:szCs w:val="21"/>
              </w:rPr>
              <w:t>0m</w:t>
            </w:r>
            <w:r>
              <w:rPr>
                <w:rFonts w:hint="default" w:ascii="Times New Roman" w:hAnsi="Times New Roman" w:cs="Times New Roman"/>
                <w:bCs/>
                <w:szCs w:val="21"/>
                <w:vertAlign w:val="superscript"/>
              </w:rPr>
              <w:t>3</w:t>
            </w:r>
            <w:r>
              <w:rPr>
                <w:rFonts w:hint="eastAsia" w:cs="Times New Roman"/>
                <w:bCs/>
                <w:szCs w:val="21"/>
                <w:vertAlign w:val="superscript"/>
                <w:lang w:val="en-US" w:eastAsia="zh-CN"/>
              </w:rPr>
              <w:t xml:space="preserve"> </w:t>
            </w:r>
            <w:r>
              <w:rPr>
                <w:rFonts w:hint="eastAsia" w:cs="Times New Roman"/>
                <w:bCs/>
                <w:szCs w:val="21"/>
                <w:lang w:val="en-US" w:eastAsia="zh-CN"/>
              </w:rPr>
              <w:t>98#</w:t>
            </w:r>
            <w:r>
              <w:rPr>
                <w:rFonts w:hint="eastAsia" w:ascii="Times New Roman" w:hAnsi="Times New Roman" w:cs="Times New Roman"/>
                <w:bCs/>
                <w:szCs w:val="21"/>
                <w:lang w:eastAsia="zh-CN"/>
              </w:rPr>
              <w:t>汽油罐，增加</w:t>
            </w:r>
            <w:r>
              <w:rPr>
                <w:rFonts w:hint="eastAsia" w:cs="Times New Roman"/>
                <w:bCs/>
                <w:szCs w:val="21"/>
                <w:lang w:eastAsia="zh-CN"/>
              </w:rPr>
              <w:t>销售</w:t>
            </w:r>
            <w:r>
              <w:rPr>
                <w:rFonts w:hint="eastAsia" w:ascii="Times New Roman" w:hAnsi="Times New Roman" w:cs="Times New Roman"/>
                <w:bCs/>
                <w:szCs w:val="21"/>
                <w:lang w:eastAsia="zh-CN"/>
              </w:rPr>
              <w:t>98#汽油</w:t>
            </w:r>
            <w:r>
              <w:rPr>
                <w:rFonts w:hint="eastAsia" w:cs="Times New Roman"/>
                <w:bCs/>
                <w:szCs w:val="21"/>
                <w:lang w:eastAsia="zh-CN"/>
              </w:rPr>
              <w:t>，</w:t>
            </w:r>
            <w:r>
              <w:rPr>
                <w:rFonts w:hint="eastAsia" w:ascii="Times New Roman" w:hAnsi="Times New Roman" w:cs="Times New Roman"/>
                <w:bCs/>
                <w:szCs w:val="21"/>
                <w:lang w:eastAsia="zh-CN"/>
              </w:rPr>
              <w:t>根据《</w:t>
            </w:r>
            <w:r>
              <w:rPr>
                <w:rFonts w:hint="eastAsia" w:cs="Times New Roman"/>
                <w:bCs/>
                <w:szCs w:val="21"/>
                <w:lang w:eastAsia="zh-CN"/>
              </w:rPr>
              <w:t>建设项目环境影响分类管理名录</w:t>
            </w:r>
            <w:r>
              <w:rPr>
                <w:rFonts w:hint="eastAsia" w:ascii="Times New Roman" w:hAnsi="Times New Roman" w:cs="Times New Roman"/>
                <w:bCs/>
                <w:szCs w:val="21"/>
                <w:lang w:eastAsia="zh-CN"/>
              </w:rPr>
              <w:t>》内容要求，</w:t>
            </w:r>
            <w:r>
              <w:rPr>
                <w:rFonts w:hint="eastAsia" w:cs="Times New Roman"/>
                <w:bCs/>
                <w:szCs w:val="21"/>
                <w:lang w:eastAsia="zh-CN"/>
              </w:rPr>
              <w:t>建成区扩建加油站</w:t>
            </w:r>
            <w:r>
              <w:rPr>
                <w:rFonts w:hint="eastAsia" w:ascii="Times New Roman" w:hAnsi="Times New Roman" w:cs="Times New Roman"/>
                <w:bCs/>
                <w:szCs w:val="21"/>
                <w:lang w:eastAsia="zh-CN"/>
              </w:rPr>
              <w:t>需要</w:t>
            </w:r>
            <w:r>
              <w:rPr>
                <w:rFonts w:hint="eastAsia" w:cs="Times New Roman"/>
                <w:bCs/>
                <w:szCs w:val="21"/>
                <w:lang w:eastAsia="zh-CN"/>
              </w:rPr>
              <w:t>编制环境影响评价报告表。因此，中国石化销售股份有限公司常德桃源新河桥加油站委托湖南志远环境咨询服务有限公司，负责该项目的环境影响评价工作，我公司接受委托后，组织技术人员对项目现场进行了查看，并编制了《中国石化销售股份有限公司湖南常德桃源石油分公司新河桥加油站扩建项目》。</w:t>
            </w:r>
            <w:r>
              <w:rPr>
                <w:rFonts w:hint="default" w:ascii="Times New Roman" w:hAnsi="Times New Roman" w:cs="Times New Roman"/>
                <w:bCs/>
                <w:szCs w:val="21"/>
              </w:rPr>
              <w:t>项目组成详见表2-1。</w:t>
            </w:r>
          </w:p>
          <w:p>
            <w:pPr>
              <w:adjustRightInd w:val="0"/>
              <w:snapToGrid w:val="0"/>
              <w:spacing w:line="360" w:lineRule="auto"/>
              <w:jc w:val="center"/>
              <w:rPr>
                <w:rFonts w:ascii="宋体" w:hAnsi="宋体" w:cs="宋体"/>
                <w:b/>
                <w:bCs/>
                <w:szCs w:val="21"/>
              </w:rPr>
            </w:pPr>
            <w:r>
              <w:rPr>
                <w:rFonts w:hint="eastAsia" w:ascii="宋体" w:hAnsi="宋体" w:cs="宋体"/>
                <w:b/>
                <w:bCs/>
                <w:szCs w:val="21"/>
              </w:rPr>
              <w:t>表</w:t>
            </w:r>
            <w:r>
              <w:rPr>
                <w:b/>
                <w:bCs/>
                <w:szCs w:val="21"/>
              </w:rPr>
              <w:t xml:space="preserve">2-1 </w:t>
            </w:r>
            <w:r>
              <w:rPr>
                <w:rFonts w:hint="eastAsia" w:ascii="宋体" w:hAnsi="宋体" w:cs="宋体"/>
                <w:b/>
                <w:bCs/>
                <w:szCs w:val="21"/>
              </w:rPr>
              <w:t xml:space="preserve"> 项目</w:t>
            </w:r>
            <w:r>
              <w:rPr>
                <w:rFonts w:ascii="宋体" w:hAnsi="宋体" w:cs="宋体"/>
                <w:b/>
                <w:bCs/>
                <w:szCs w:val="21"/>
              </w:rPr>
              <w:t>组成一览表</w:t>
            </w:r>
          </w:p>
          <w:tbl>
            <w:tblPr>
              <w:tblStyle w:val="8"/>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752"/>
              <w:gridCol w:w="2243"/>
              <w:gridCol w:w="240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7" w:type="pct"/>
                  <w:gridSpan w:val="2"/>
                  <w:tcBorders>
                    <w:top w:val="single" w:color="auto" w:sz="4" w:space="0"/>
                    <w:left w:val="single" w:color="auto" w:sz="4" w:space="0"/>
                  </w:tcBorders>
                  <w:shd w:val="clear" w:color="auto" w:fill="auto"/>
                  <w:noWrap w:val="0"/>
                  <w:vAlign w:val="center"/>
                </w:tcPr>
                <w:p>
                  <w:pPr>
                    <w:adjustRightInd w:val="0"/>
                    <w:snapToGrid w:val="0"/>
                    <w:spacing w:line="276" w:lineRule="auto"/>
                    <w:jc w:val="center"/>
                    <w:rPr>
                      <w:rFonts w:hint="eastAsia" w:ascii="宋体" w:hAnsi="宋体" w:cs="宋体"/>
                      <w:b/>
                      <w:bCs/>
                      <w:szCs w:val="21"/>
                    </w:rPr>
                  </w:pPr>
                  <w:r>
                    <w:rPr>
                      <w:rFonts w:hint="eastAsia" w:ascii="宋体" w:hAnsi="宋体" w:cs="宋体"/>
                      <w:b/>
                      <w:bCs/>
                      <w:szCs w:val="21"/>
                    </w:rPr>
                    <w:t>工程类别</w:t>
                  </w:r>
                </w:p>
              </w:tc>
              <w:tc>
                <w:tcPr>
                  <w:tcW w:w="1373" w:type="pct"/>
                  <w:tcBorders>
                    <w:top w:val="single" w:color="auto" w:sz="4" w:space="0"/>
                  </w:tcBorders>
                  <w:shd w:val="clear" w:color="auto" w:fill="auto"/>
                  <w:noWrap w:val="0"/>
                  <w:vAlign w:val="center"/>
                </w:tcPr>
                <w:p>
                  <w:pPr>
                    <w:adjustRightInd w:val="0"/>
                    <w:snapToGrid w:val="0"/>
                    <w:spacing w:line="276" w:lineRule="auto"/>
                    <w:jc w:val="center"/>
                    <w:rPr>
                      <w:rFonts w:hint="eastAsia" w:ascii="宋体" w:hAnsi="宋体" w:eastAsia="宋体" w:cs="宋体"/>
                      <w:b/>
                      <w:bCs/>
                      <w:szCs w:val="21"/>
                      <w:lang w:eastAsia="zh-CN"/>
                    </w:rPr>
                  </w:pPr>
                  <w:r>
                    <w:rPr>
                      <w:rFonts w:hint="eastAsia" w:ascii="宋体" w:hAnsi="宋体" w:cs="宋体"/>
                      <w:b/>
                      <w:bCs/>
                      <w:szCs w:val="21"/>
                      <w:lang w:eastAsia="zh-CN"/>
                    </w:rPr>
                    <w:t>扩建前</w:t>
                  </w:r>
                </w:p>
              </w:tc>
              <w:tc>
                <w:tcPr>
                  <w:tcW w:w="1474" w:type="pct"/>
                  <w:tcBorders>
                    <w:top w:val="single" w:color="auto" w:sz="4" w:space="0"/>
                  </w:tcBorders>
                  <w:shd w:val="clear" w:color="auto" w:fill="auto"/>
                  <w:noWrap w:val="0"/>
                  <w:vAlign w:val="center"/>
                </w:tcPr>
                <w:p>
                  <w:pPr>
                    <w:adjustRightInd w:val="0"/>
                    <w:snapToGrid w:val="0"/>
                    <w:spacing w:line="276" w:lineRule="auto"/>
                    <w:jc w:val="center"/>
                    <w:rPr>
                      <w:rFonts w:hint="eastAsia" w:ascii="宋体" w:hAnsi="宋体" w:eastAsia="宋体" w:cs="宋体"/>
                      <w:b/>
                      <w:bCs/>
                      <w:szCs w:val="21"/>
                      <w:lang w:eastAsia="zh-CN"/>
                    </w:rPr>
                  </w:pPr>
                  <w:r>
                    <w:rPr>
                      <w:rFonts w:hint="eastAsia" w:ascii="宋体" w:hAnsi="宋体" w:cs="宋体"/>
                      <w:b/>
                      <w:bCs/>
                      <w:szCs w:val="21"/>
                      <w:lang w:eastAsia="zh-CN"/>
                    </w:rPr>
                    <w:t>扩建后</w:t>
                  </w:r>
                </w:p>
              </w:tc>
              <w:tc>
                <w:tcPr>
                  <w:tcW w:w="1015" w:type="pct"/>
                  <w:tcBorders>
                    <w:top w:val="single" w:color="auto" w:sz="4" w:space="0"/>
                    <w:bottom w:val="single" w:color="auto" w:sz="4" w:space="0"/>
                    <w:right w:val="single" w:color="auto" w:sz="4" w:space="0"/>
                  </w:tcBorders>
                  <w:shd w:val="clear" w:color="auto" w:fill="auto"/>
                  <w:noWrap w:val="0"/>
                  <w:vAlign w:val="center"/>
                </w:tcPr>
                <w:p>
                  <w:pPr>
                    <w:adjustRightInd w:val="0"/>
                    <w:snapToGrid w:val="0"/>
                    <w:spacing w:line="276" w:lineRule="auto"/>
                    <w:jc w:val="center"/>
                    <w:rPr>
                      <w:rFonts w:hint="eastAsia" w:ascii="宋体" w:hAnsi="宋体" w:eastAsia="宋体" w:cs="宋体"/>
                      <w:b/>
                      <w:bCs/>
                      <w:szCs w:val="21"/>
                      <w:lang w:eastAsia="zh-CN"/>
                    </w:rPr>
                  </w:pPr>
                  <w:r>
                    <w:rPr>
                      <w:rFonts w:hint="eastAsia" w:ascii="宋体" w:hAnsi="宋体" w:cs="宋体"/>
                      <w:b/>
                      <w:bCs/>
                      <w:szCs w:val="21"/>
                      <w:lang w:eastAsia="zh-CN"/>
                    </w:rPr>
                    <w:t>扩建前后变化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tcBorders>
                    <w:left w:val="single" w:color="auto" w:sz="4" w:space="0"/>
                  </w:tcBorders>
                  <w:shd w:val="clear" w:color="auto" w:fill="auto"/>
                  <w:noWrap w:val="0"/>
                  <w:vAlign w:val="center"/>
                </w:tcPr>
                <w:p>
                  <w:pPr>
                    <w:jc w:val="center"/>
                    <w:rPr>
                      <w:rFonts w:hint="eastAsia"/>
                    </w:rPr>
                  </w:pPr>
                  <w:r>
                    <w:rPr>
                      <w:rFonts w:hint="eastAsia"/>
                    </w:rPr>
                    <w:t>主体工程</w:t>
                  </w:r>
                </w:p>
              </w:tc>
              <w:tc>
                <w:tcPr>
                  <w:tcW w:w="460" w:type="pct"/>
                  <w:shd w:val="clear" w:color="auto" w:fill="auto"/>
                  <w:noWrap w:val="0"/>
                  <w:vAlign w:val="center"/>
                </w:tcPr>
                <w:p>
                  <w:pPr>
                    <w:jc w:val="center"/>
                    <w:rPr>
                      <w:rFonts w:hint="eastAsia"/>
                    </w:rPr>
                  </w:pPr>
                  <w:r>
                    <w:rPr>
                      <w:rFonts w:hint="eastAsia"/>
                    </w:rPr>
                    <w:t>加油岛</w:t>
                  </w:r>
                </w:p>
              </w:tc>
              <w:tc>
                <w:tcPr>
                  <w:tcW w:w="1373" w:type="pct"/>
                  <w:shd w:val="clear" w:color="auto" w:fill="auto"/>
                  <w:noWrap w:val="0"/>
                  <w:vAlign w:val="center"/>
                </w:tcPr>
                <w:p>
                  <w:pPr>
                    <w:jc w:val="center"/>
                    <w:rPr>
                      <w:rFonts w:hint="eastAsia"/>
                      <w:lang w:eastAsia="zh-CN"/>
                    </w:rPr>
                  </w:pPr>
                  <w:r>
                    <w:rPr>
                      <w:rFonts w:hint="eastAsia"/>
                      <w:lang w:val="en-US" w:eastAsia="zh-CN"/>
                    </w:rPr>
                    <w:t>4台两枪两油品潜油泵加油机，</w:t>
                  </w:r>
                  <w:r>
                    <w:rPr>
                      <w:rFonts w:hint="default"/>
                    </w:rPr>
                    <w:t>配套埋地</w:t>
                  </w:r>
                  <w:r>
                    <w:rPr>
                      <w:rFonts w:hint="default"/>
                      <w:lang w:eastAsia="zh-CN"/>
                    </w:rPr>
                    <w:t>卧式双层</w:t>
                  </w:r>
                  <w:r>
                    <w:rPr>
                      <w:rFonts w:hint="default"/>
                    </w:rPr>
                    <w:t>油罐</w:t>
                  </w:r>
                  <w:r>
                    <w:rPr>
                      <w:rFonts w:hint="eastAsia"/>
                      <w:lang w:val="en-US" w:eastAsia="zh-CN"/>
                    </w:rPr>
                    <w:t>3</w:t>
                  </w:r>
                  <w:r>
                    <w:rPr>
                      <w:rFonts w:hint="default"/>
                    </w:rPr>
                    <w:t>个</w:t>
                  </w:r>
                  <w:r>
                    <w:rPr>
                      <w:rFonts w:hint="default"/>
                      <w:lang w:eastAsia="zh-CN"/>
                    </w:rPr>
                    <w:t>（</w:t>
                  </w:r>
                  <w:r>
                    <w:rPr>
                      <w:rFonts w:hint="eastAsia"/>
                      <w:lang w:val="en-US" w:eastAsia="zh-CN"/>
                    </w:rPr>
                    <w:t>1</w:t>
                  </w:r>
                  <w:r>
                    <w:rPr>
                      <w:rFonts w:hint="default"/>
                      <w:lang w:val="en-US" w:eastAsia="zh-CN"/>
                    </w:rPr>
                    <w:t>个</w:t>
                  </w:r>
                  <w:r>
                    <w:rPr>
                      <w:rFonts w:hint="eastAsia"/>
                      <w:lang w:val="en-US" w:eastAsia="zh-CN"/>
                    </w:rPr>
                    <w:t>30</w:t>
                  </w:r>
                  <w:r>
                    <w:rPr>
                      <w:rFonts w:hint="default"/>
                      <w:lang w:val="en-US" w:eastAsia="zh-CN"/>
                    </w:rPr>
                    <w:t>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0#柴油罐、1个</w:t>
                  </w:r>
                  <w:r>
                    <w:rPr>
                      <w:rFonts w:hint="eastAsia"/>
                      <w:lang w:val="en-US" w:eastAsia="zh-CN"/>
                    </w:rPr>
                    <w:t>3</w:t>
                  </w:r>
                  <w:r>
                    <w:rPr>
                      <w:rFonts w:hint="default"/>
                      <w:lang w:val="en-US" w:eastAsia="zh-CN"/>
                    </w:rPr>
                    <w:t>0m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92#汽油罐、1个30m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95#汽油罐</w:t>
                  </w:r>
                  <w:r>
                    <w:rPr>
                      <w:rFonts w:hint="default"/>
                      <w:lang w:eastAsia="zh-CN"/>
                    </w:rPr>
                    <w:t>）</w:t>
                  </w:r>
                </w:p>
              </w:tc>
              <w:tc>
                <w:tcPr>
                  <w:tcW w:w="1474" w:type="pct"/>
                  <w:shd w:val="clear" w:color="auto" w:fill="auto"/>
                  <w:noWrap w:val="0"/>
                  <w:vAlign w:val="center"/>
                </w:tcPr>
                <w:p>
                  <w:pPr>
                    <w:jc w:val="center"/>
                    <w:rPr>
                      <w:rFonts w:hint="eastAsia"/>
                      <w:lang w:val="en-US" w:eastAsia="zh-CN"/>
                    </w:rPr>
                  </w:pPr>
                  <w:r>
                    <w:rPr>
                      <w:rFonts w:hint="eastAsia"/>
                      <w:lang w:val="en-US" w:eastAsia="zh-CN"/>
                    </w:rPr>
                    <w:t>4台两枪两油品潜油泵加油机，</w:t>
                  </w:r>
                  <w:r>
                    <w:rPr>
                      <w:rFonts w:hint="default"/>
                    </w:rPr>
                    <w:t>配套埋地</w:t>
                  </w:r>
                  <w:r>
                    <w:rPr>
                      <w:rFonts w:hint="default"/>
                      <w:lang w:eastAsia="zh-CN"/>
                    </w:rPr>
                    <w:t>卧式双层</w:t>
                  </w:r>
                  <w:r>
                    <w:rPr>
                      <w:rFonts w:hint="default"/>
                    </w:rPr>
                    <w:t>油罐</w:t>
                  </w:r>
                  <w:r>
                    <w:rPr>
                      <w:rFonts w:hint="eastAsia"/>
                      <w:lang w:val="en-US" w:eastAsia="zh-CN"/>
                    </w:rPr>
                    <w:t>4</w:t>
                  </w:r>
                  <w:r>
                    <w:rPr>
                      <w:rFonts w:hint="default"/>
                    </w:rPr>
                    <w:t>个</w:t>
                  </w:r>
                  <w:r>
                    <w:rPr>
                      <w:rFonts w:hint="default"/>
                      <w:lang w:eastAsia="zh-CN"/>
                    </w:rPr>
                    <w:t>（</w:t>
                  </w:r>
                  <w:r>
                    <w:rPr>
                      <w:rFonts w:hint="eastAsia"/>
                      <w:lang w:val="en-US" w:eastAsia="zh-CN"/>
                    </w:rPr>
                    <w:t>1</w:t>
                  </w:r>
                  <w:r>
                    <w:rPr>
                      <w:rFonts w:hint="default"/>
                      <w:lang w:val="en-US" w:eastAsia="zh-CN"/>
                    </w:rPr>
                    <w:t>个</w:t>
                  </w:r>
                  <w:r>
                    <w:rPr>
                      <w:rFonts w:hint="eastAsia"/>
                      <w:lang w:val="en-US" w:eastAsia="zh-CN"/>
                    </w:rPr>
                    <w:t>30</w:t>
                  </w:r>
                  <w:r>
                    <w:rPr>
                      <w:rFonts w:hint="default"/>
                      <w:lang w:val="en-US" w:eastAsia="zh-CN"/>
                    </w:rPr>
                    <w:t>m</w:t>
                  </w:r>
                  <w:r>
                    <w:rPr>
                      <w:rFonts w:hint="eastAsia"/>
                      <w:vertAlign w:val="superscript"/>
                      <w:lang w:val="en-US" w:eastAsia="zh-CN"/>
                    </w:rPr>
                    <w:t xml:space="preserve">3 </w:t>
                  </w:r>
                  <w:r>
                    <w:rPr>
                      <w:rFonts w:hint="default"/>
                      <w:lang w:val="en-US" w:eastAsia="zh-CN"/>
                    </w:rPr>
                    <w:t>0#柴油罐、1个</w:t>
                  </w:r>
                  <w:r>
                    <w:rPr>
                      <w:rFonts w:hint="eastAsia"/>
                      <w:lang w:val="en-US" w:eastAsia="zh-CN"/>
                    </w:rPr>
                    <w:t>3</w:t>
                  </w:r>
                  <w:r>
                    <w:rPr>
                      <w:rFonts w:hint="default"/>
                      <w:lang w:val="en-US" w:eastAsia="zh-CN"/>
                    </w:rPr>
                    <w:t>0m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92#汽油罐、1个30m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95#汽油罐</w:t>
                  </w:r>
                  <w:r>
                    <w:rPr>
                      <w:rFonts w:hint="eastAsia"/>
                      <w:lang w:val="en-US" w:eastAsia="zh-CN"/>
                    </w:rPr>
                    <w:t>、</w:t>
                  </w:r>
                  <w:r>
                    <w:rPr>
                      <w:rFonts w:hint="default"/>
                      <w:lang w:val="en-US" w:eastAsia="zh-CN"/>
                    </w:rPr>
                    <w:t>1个30m</w:t>
                  </w:r>
                  <w:r>
                    <w:rPr>
                      <w:rFonts w:hint="default"/>
                      <w:vertAlign w:val="superscript"/>
                      <w:lang w:val="en-US" w:eastAsia="zh-CN"/>
                    </w:rPr>
                    <w:t>3</w:t>
                  </w:r>
                  <w:r>
                    <w:rPr>
                      <w:rFonts w:hint="eastAsia"/>
                      <w:vertAlign w:val="superscript"/>
                      <w:lang w:val="en-US" w:eastAsia="zh-CN"/>
                    </w:rPr>
                    <w:t xml:space="preserve"> </w:t>
                  </w:r>
                  <w:r>
                    <w:rPr>
                      <w:rFonts w:hint="default"/>
                      <w:lang w:val="en-US" w:eastAsia="zh-CN"/>
                    </w:rPr>
                    <w:t>9</w:t>
                  </w:r>
                  <w:r>
                    <w:rPr>
                      <w:rFonts w:hint="eastAsia"/>
                      <w:lang w:val="en-US" w:eastAsia="zh-CN"/>
                    </w:rPr>
                    <w:t>8</w:t>
                  </w:r>
                  <w:r>
                    <w:rPr>
                      <w:rFonts w:hint="default"/>
                      <w:lang w:val="en-US" w:eastAsia="zh-CN"/>
                    </w:rPr>
                    <w:t>#汽油罐</w:t>
                  </w:r>
                </w:p>
              </w:tc>
              <w:tc>
                <w:tcPr>
                  <w:tcW w:w="1015" w:type="pct"/>
                  <w:tcBorders>
                    <w:right w:val="single" w:color="auto" w:sz="4" w:space="0"/>
                  </w:tcBorders>
                  <w:shd w:val="clear" w:color="auto" w:fill="auto"/>
                  <w:noWrap w:val="0"/>
                  <w:vAlign w:val="center"/>
                </w:tcPr>
                <w:p>
                  <w:pPr>
                    <w:jc w:val="center"/>
                    <w:rPr>
                      <w:rFonts w:hint="eastAsia"/>
                    </w:rPr>
                  </w:pPr>
                  <w:r>
                    <w:rPr>
                      <w:rFonts w:hint="eastAsia"/>
                      <w:lang w:eastAsia="zh-CN"/>
                    </w:rPr>
                    <w:t>增加1个30m</w:t>
                  </w:r>
                  <w:r>
                    <w:rPr>
                      <w:rFonts w:hint="eastAsia"/>
                      <w:vertAlign w:val="superscript"/>
                      <w:lang w:eastAsia="zh-CN"/>
                    </w:rPr>
                    <w:t>3</w:t>
                  </w:r>
                  <w:r>
                    <w:rPr>
                      <w:rFonts w:hint="eastAsia"/>
                      <w:vertAlign w:val="superscript"/>
                      <w:lang w:val="en-US" w:eastAsia="zh-CN"/>
                    </w:rPr>
                    <w:t xml:space="preserve"> </w:t>
                  </w:r>
                  <w:r>
                    <w:rPr>
                      <w:rFonts w:hint="eastAsia"/>
                      <w:lang w:eastAsia="zh-CN"/>
                    </w:rPr>
                    <w:t>98#汽油罐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restart"/>
                  <w:tcBorders>
                    <w:left w:val="single" w:color="auto" w:sz="4" w:space="0"/>
                  </w:tcBorders>
                  <w:shd w:val="clear" w:color="auto" w:fill="auto"/>
                  <w:noWrap w:val="0"/>
                  <w:vAlign w:val="center"/>
                </w:tcPr>
                <w:p>
                  <w:pPr>
                    <w:jc w:val="center"/>
                    <w:rPr>
                      <w:rFonts w:hint="eastAsia"/>
                    </w:rPr>
                  </w:pPr>
                  <w:r>
                    <w:rPr>
                      <w:rFonts w:hint="eastAsia"/>
                    </w:rPr>
                    <w:t>辅助</w:t>
                  </w:r>
                  <w:r>
                    <w:t>工程</w:t>
                  </w:r>
                </w:p>
              </w:tc>
              <w:tc>
                <w:tcPr>
                  <w:tcW w:w="460" w:type="pct"/>
                  <w:shd w:val="clear" w:color="auto" w:fill="auto"/>
                  <w:noWrap w:val="0"/>
                  <w:vAlign w:val="center"/>
                </w:tcPr>
                <w:p>
                  <w:pPr>
                    <w:jc w:val="center"/>
                    <w:rPr>
                      <w:rFonts w:hint="eastAsia"/>
                    </w:rPr>
                  </w:pPr>
                  <w:r>
                    <w:t>站房</w:t>
                  </w:r>
                </w:p>
              </w:tc>
              <w:tc>
                <w:tcPr>
                  <w:tcW w:w="1373" w:type="pct"/>
                  <w:shd w:val="clear" w:color="auto" w:fill="auto"/>
                  <w:noWrap w:val="0"/>
                  <w:vAlign w:val="center"/>
                </w:tcPr>
                <w:p>
                  <w:pPr>
                    <w:jc w:val="center"/>
                    <w:rPr>
                      <w:rFonts w:hint="eastAsia"/>
                    </w:rPr>
                  </w:pPr>
                  <w:r>
                    <w:rPr>
                      <w:rFonts w:hint="eastAsia"/>
                    </w:rPr>
                    <w:t>1F，建筑面积70m2，单层结构，主要设置便利店、办公室。</w:t>
                  </w:r>
                </w:p>
              </w:tc>
              <w:tc>
                <w:tcPr>
                  <w:tcW w:w="1474" w:type="pct"/>
                  <w:shd w:val="clear" w:color="auto" w:fill="auto"/>
                  <w:noWrap w:val="0"/>
                  <w:vAlign w:val="center"/>
                </w:tcPr>
                <w:p>
                  <w:pPr>
                    <w:jc w:val="center"/>
                    <w:rPr>
                      <w:rFonts w:hint="eastAsia"/>
                    </w:rPr>
                  </w:pPr>
                  <w:r>
                    <w:rPr>
                      <w:rFonts w:hint="eastAsia"/>
                    </w:rPr>
                    <w:t>1F，建筑面积70m2，单层结构，主要设置便利店、办公室。</w:t>
                  </w:r>
                </w:p>
              </w:tc>
              <w:tc>
                <w:tcPr>
                  <w:tcW w:w="1015" w:type="pct"/>
                  <w:vMerge w:val="restart"/>
                  <w:tcBorders>
                    <w:right w:val="single" w:color="auto" w:sz="4" w:space="0"/>
                  </w:tcBorders>
                  <w:shd w:val="clear" w:color="auto" w:fill="auto"/>
                  <w:noWrap w:val="0"/>
                  <w:vAlign w:val="center"/>
                </w:tcPr>
                <w:p>
                  <w:pPr>
                    <w:jc w:val="center"/>
                    <w:rPr>
                      <w:rFonts w:hint="eastAsia" w:eastAsia="宋体"/>
                      <w:lang w:eastAsia="zh-CN"/>
                    </w:rPr>
                  </w:pPr>
                  <w:r>
                    <w:rPr>
                      <w:rFonts w:hint="eastAsia"/>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lang w:eastAsia="zh-CN"/>
                    </w:rPr>
                  </w:pPr>
                  <w:r>
                    <w:t>辅房</w:t>
                  </w:r>
                </w:p>
              </w:tc>
              <w:tc>
                <w:tcPr>
                  <w:tcW w:w="1373" w:type="pct"/>
                  <w:shd w:val="clear" w:color="auto" w:fill="auto"/>
                  <w:noWrap w:val="0"/>
                  <w:vAlign w:val="center"/>
                </w:tcPr>
                <w:p>
                  <w:pPr>
                    <w:jc w:val="center"/>
                    <w:rPr>
                      <w:rFonts w:hint="eastAsia"/>
                      <w:lang w:val="en-US" w:eastAsia="zh-CN"/>
                    </w:rPr>
                  </w:pPr>
                  <w:r>
                    <w:rPr>
                      <w:rFonts w:hint="eastAsia"/>
                    </w:rPr>
                    <w:t>1F，建筑面积40m2，主要为发电房、配电房、厨房等</w:t>
                  </w:r>
                </w:p>
              </w:tc>
              <w:tc>
                <w:tcPr>
                  <w:tcW w:w="1474" w:type="pct"/>
                  <w:shd w:val="clear" w:color="auto" w:fill="auto"/>
                  <w:noWrap w:val="0"/>
                  <w:vAlign w:val="center"/>
                </w:tcPr>
                <w:p>
                  <w:pPr>
                    <w:jc w:val="center"/>
                    <w:rPr>
                      <w:rFonts w:hint="eastAsia"/>
                    </w:rPr>
                  </w:pPr>
                  <w:r>
                    <w:rPr>
                      <w:rFonts w:hint="eastAsia"/>
                    </w:rPr>
                    <w:t>1F，建筑面积40m2，主要为发电房、配电房、厨房等</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rPr>
                  </w:pPr>
                  <w:r>
                    <w:t>罩棚</w:t>
                  </w:r>
                </w:p>
              </w:tc>
              <w:tc>
                <w:tcPr>
                  <w:tcW w:w="1373" w:type="pct"/>
                  <w:shd w:val="clear" w:color="auto" w:fill="auto"/>
                  <w:noWrap w:val="0"/>
                  <w:vAlign w:val="center"/>
                </w:tcPr>
                <w:p>
                  <w:pPr>
                    <w:jc w:val="center"/>
                    <w:rPr>
                      <w:rFonts w:hint="eastAsia"/>
                      <w:lang w:eastAsia="zh-CN"/>
                    </w:rPr>
                  </w:pPr>
                  <w:r>
                    <w:rPr>
                      <w:rFonts w:hint="eastAsia"/>
                    </w:rPr>
                    <w:t>加油罩棚投影面积300m2</w:t>
                  </w:r>
                  <w:r>
                    <w:rPr>
                      <w:rFonts w:hint="eastAsia"/>
                      <w:lang w:eastAsia="zh-CN"/>
                    </w:rPr>
                    <w:t>，1 层，钢网架结构</w:t>
                  </w:r>
                </w:p>
              </w:tc>
              <w:tc>
                <w:tcPr>
                  <w:tcW w:w="1474" w:type="pct"/>
                  <w:shd w:val="clear" w:color="auto" w:fill="auto"/>
                  <w:noWrap w:val="0"/>
                  <w:vAlign w:val="center"/>
                </w:tcPr>
                <w:p>
                  <w:pPr>
                    <w:jc w:val="center"/>
                    <w:rPr>
                      <w:rFonts w:hint="eastAsia"/>
                    </w:rPr>
                  </w:pPr>
                  <w:r>
                    <w:rPr>
                      <w:rFonts w:hint="eastAsia"/>
                    </w:rPr>
                    <w:t>加油罩棚投影面积300m2</w:t>
                  </w:r>
                  <w:r>
                    <w:rPr>
                      <w:rFonts w:hint="eastAsia"/>
                      <w:lang w:eastAsia="zh-CN"/>
                    </w:rPr>
                    <w:t>，1 层，钢网架结构</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restart"/>
                  <w:tcBorders>
                    <w:left w:val="single" w:color="auto" w:sz="4" w:space="0"/>
                  </w:tcBorders>
                  <w:shd w:val="clear" w:color="auto" w:fill="auto"/>
                  <w:noWrap w:val="0"/>
                  <w:vAlign w:val="center"/>
                </w:tcPr>
                <w:p>
                  <w:pPr>
                    <w:jc w:val="center"/>
                    <w:rPr>
                      <w:rFonts w:hint="eastAsia"/>
                    </w:rPr>
                  </w:pPr>
                  <w:r>
                    <w:rPr>
                      <w:rFonts w:hint="eastAsia"/>
                    </w:rPr>
                    <w:t>公用工程</w:t>
                  </w:r>
                </w:p>
              </w:tc>
              <w:tc>
                <w:tcPr>
                  <w:tcW w:w="460" w:type="pct"/>
                  <w:shd w:val="clear" w:color="auto" w:fill="auto"/>
                  <w:noWrap w:val="0"/>
                  <w:vAlign w:val="center"/>
                </w:tcPr>
                <w:p>
                  <w:pPr>
                    <w:jc w:val="center"/>
                    <w:rPr>
                      <w:rFonts w:hint="eastAsia"/>
                    </w:rPr>
                  </w:pPr>
                  <w:r>
                    <w:rPr>
                      <w:rFonts w:hint="eastAsia"/>
                    </w:rPr>
                    <w:t>供水</w:t>
                  </w:r>
                </w:p>
              </w:tc>
              <w:tc>
                <w:tcPr>
                  <w:tcW w:w="1373" w:type="pct"/>
                  <w:shd w:val="clear" w:color="auto" w:fill="auto"/>
                  <w:noWrap w:val="0"/>
                  <w:vAlign w:val="center"/>
                </w:tcPr>
                <w:p>
                  <w:pPr>
                    <w:jc w:val="center"/>
                    <w:rPr>
                      <w:rFonts w:hint="eastAsia"/>
                    </w:rPr>
                  </w:pPr>
                  <w:r>
                    <w:rPr>
                      <w:rFonts w:hint="eastAsia"/>
                    </w:rPr>
                    <w:t>本项目给水采用市政自来水供水，主要为供员工、流动人员 生活用水，设备地面卫生用水、绿化用水等。</w:t>
                  </w:r>
                </w:p>
              </w:tc>
              <w:tc>
                <w:tcPr>
                  <w:tcW w:w="1474" w:type="pct"/>
                  <w:shd w:val="clear" w:color="auto" w:fill="auto"/>
                  <w:noWrap w:val="0"/>
                  <w:vAlign w:val="center"/>
                </w:tcPr>
                <w:p>
                  <w:pPr>
                    <w:jc w:val="center"/>
                    <w:rPr>
                      <w:rFonts w:hint="eastAsia"/>
                    </w:rPr>
                  </w:pPr>
                  <w:r>
                    <w:rPr>
                      <w:rFonts w:hint="eastAsia"/>
                    </w:rPr>
                    <w:t>本项目给水采用市政自来水供水，主要为供员工、流动人员 生活用水，设备地面卫生用水、绿化用水等。</w:t>
                  </w:r>
                </w:p>
              </w:tc>
              <w:tc>
                <w:tcPr>
                  <w:tcW w:w="1015" w:type="pct"/>
                  <w:tcBorders>
                    <w:right w:val="single" w:color="auto" w:sz="4" w:space="0"/>
                  </w:tcBorders>
                  <w:shd w:val="clear" w:color="auto" w:fill="auto"/>
                  <w:noWrap w:val="0"/>
                  <w:vAlign w:val="center"/>
                </w:tcPr>
                <w:p>
                  <w:pPr>
                    <w:jc w:val="center"/>
                    <w:rPr>
                      <w:rFonts w:hint="eastAsia"/>
                    </w:rPr>
                  </w:pPr>
                  <w:r>
                    <w:rPr>
                      <w:rFonts w:hint="eastAsia"/>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rPr>
                  </w:pPr>
                  <w:r>
                    <w:rPr>
                      <w:rFonts w:hint="eastAsia"/>
                    </w:rPr>
                    <w:t>排水</w:t>
                  </w:r>
                </w:p>
              </w:tc>
              <w:tc>
                <w:tcPr>
                  <w:tcW w:w="1373" w:type="pct"/>
                  <w:shd w:val="clear" w:color="auto" w:fill="auto"/>
                  <w:noWrap w:val="0"/>
                  <w:vAlign w:val="center"/>
                </w:tcPr>
                <w:p>
                  <w:pPr>
                    <w:jc w:val="center"/>
                    <w:rPr>
                      <w:rFonts w:hint="eastAsia"/>
                    </w:rPr>
                  </w:pPr>
                  <w:r>
                    <w:rPr>
                      <w:rFonts w:hint="eastAsia"/>
                    </w:rPr>
                    <w:t>雨污分流</w:t>
                  </w:r>
                  <w:r>
                    <w:t>，</w:t>
                  </w:r>
                  <w:r>
                    <w:rPr>
                      <w:rFonts w:hint="eastAsia"/>
                    </w:rPr>
                    <w:t>污污分流</w:t>
                  </w:r>
                  <w:r>
                    <w:t>。</w:t>
                  </w:r>
                  <w:r>
                    <w:rPr>
                      <w:rFonts w:hint="eastAsia"/>
                    </w:rPr>
                    <w:t>雨水</w:t>
                  </w:r>
                  <w:r>
                    <w:t>排入雨水管网。</w:t>
                  </w:r>
                  <w:r>
                    <w:rPr>
                      <w:rFonts w:hint="eastAsia"/>
                    </w:rPr>
                    <w:t>生活污水</w:t>
                  </w:r>
                  <w:r>
                    <w:t>经化粪池处理；场地清洁废水排入隔油池处理后达到《</w:t>
                  </w:r>
                  <w:r>
                    <w:rPr>
                      <w:rFonts w:hint="eastAsia"/>
                    </w:rPr>
                    <w:t>污水</w:t>
                  </w:r>
                  <w:r>
                    <w:t>综合排放标准》</w:t>
                  </w:r>
                  <w:r>
                    <w:rPr>
                      <w:rFonts w:hint="eastAsia"/>
                    </w:rPr>
                    <w:t>（</w:t>
                  </w:r>
                  <w:r>
                    <w:rPr>
                      <w:rFonts w:hint="cs"/>
                    </w:rPr>
                    <w:t>GB8978-1996</w:t>
                  </w:r>
                  <w:r>
                    <w:rPr>
                      <w:rFonts w:hint="eastAsia"/>
                    </w:rPr>
                    <w:t>）中</w:t>
                  </w:r>
                  <w:r>
                    <w:t>表</w:t>
                  </w:r>
                  <w:r>
                    <w:rPr>
                      <w:rFonts w:hint="cs"/>
                    </w:rPr>
                    <w:t>4</w:t>
                  </w:r>
                  <w:r>
                    <w:rPr>
                      <w:rFonts w:hint="eastAsia"/>
                    </w:rPr>
                    <w:t>三级</w:t>
                  </w:r>
                  <w:r>
                    <w:t>标准及污水处理厂进水水质要求，通过市政管网进入</w:t>
                  </w:r>
                  <w:r>
                    <w:rPr>
                      <w:rFonts w:hint="eastAsia"/>
                    </w:rPr>
                    <w:t>桃源县污水处理厂处理后排入</w:t>
                  </w:r>
                  <w:r>
                    <w:rPr>
                      <w:rFonts w:hint="eastAsia"/>
                      <w:lang w:eastAsia="zh-CN"/>
                    </w:rPr>
                    <w:t>新</w:t>
                  </w:r>
                  <w:r>
                    <w:rPr>
                      <w:rFonts w:hint="eastAsia"/>
                    </w:rPr>
                    <w:t>河</w:t>
                  </w:r>
                </w:p>
              </w:tc>
              <w:tc>
                <w:tcPr>
                  <w:tcW w:w="1474" w:type="pct"/>
                  <w:shd w:val="clear" w:color="auto" w:fill="auto"/>
                  <w:noWrap w:val="0"/>
                  <w:vAlign w:val="center"/>
                </w:tcPr>
                <w:p>
                  <w:pPr>
                    <w:jc w:val="center"/>
                    <w:rPr>
                      <w:rFonts w:hint="eastAsia"/>
                    </w:rPr>
                  </w:pPr>
                  <w:r>
                    <w:rPr>
                      <w:rFonts w:hint="eastAsia"/>
                    </w:rPr>
                    <w:t>雨污分流</w:t>
                  </w:r>
                  <w:r>
                    <w:t>，</w:t>
                  </w:r>
                  <w:r>
                    <w:rPr>
                      <w:rFonts w:hint="eastAsia"/>
                    </w:rPr>
                    <w:t>污污分流</w:t>
                  </w:r>
                  <w:r>
                    <w:t>。</w:t>
                  </w:r>
                  <w:r>
                    <w:rPr>
                      <w:rFonts w:hint="eastAsia"/>
                    </w:rPr>
                    <w:t>雨水</w:t>
                  </w:r>
                  <w:r>
                    <w:t>排入雨水管网。</w:t>
                  </w:r>
                  <w:r>
                    <w:rPr>
                      <w:rFonts w:hint="eastAsia"/>
                    </w:rPr>
                    <w:t>生活污水</w:t>
                  </w:r>
                  <w:r>
                    <w:t>经化粪池处理；场地清洁废水排入隔油池处理后达到《</w:t>
                  </w:r>
                  <w:r>
                    <w:rPr>
                      <w:rFonts w:hint="eastAsia"/>
                    </w:rPr>
                    <w:t>污水</w:t>
                  </w:r>
                  <w:r>
                    <w:t>综合排放标准》</w:t>
                  </w:r>
                  <w:r>
                    <w:rPr>
                      <w:rFonts w:hint="eastAsia"/>
                    </w:rPr>
                    <w:t>（</w:t>
                  </w:r>
                  <w:r>
                    <w:rPr>
                      <w:rFonts w:hint="cs"/>
                    </w:rPr>
                    <w:t>GB8978-1996</w:t>
                  </w:r>
                  <w:r>
                    <w:rPr>
                      <w:rFonts w:hint="eastAsia"/>
                    </w:rPr>
                    <w:t>）中</w:t>
                  </w:r>
                  <w:r>
                    <w:t>表</w:t>
                  </w:r>
                  <w:r>
                    <w:rPr>
                      <w:rFonts w:hint="cs"/>
                    </w:rPr>
                    <w:t>4</w:t>
                  </w:r>
                  <w:r>
                    <w:rPr>
                      <w:rFonts w:hint="eastAsia"/>
                    </w:rPr>
                    <w:t>三级</w:t>
                  </w:r>
                  <w:r>
                    <w:t>标准及污水处理厂进水水质要求，通过市政管网进入</w:t>
                  </w:r>
                  <w:r>
                    <w:rPr>
                      <w:rFonts w:hint="eastAsia"/>
                    </w:rPr>
                    <w:t>桃源县污水处理厂处理后排入</w:t>
                  </w:r>
                  <w:r>
                    <w:rPr>
                      <w:rFonts w:hint="eastAsia"/>
                      <w:lang w:eastAsia="zh-CN"/>
                    </w:rPr>
                    <w:t>新</w:t>
                  </w:r>
                  <w:r>
                    <w:rPr>
                      <w:rFonts w:hint="eastAsia"/>
                    </w:rPr>
                    <w:t>河</w:t>
                  </w:r>
                </w:p>
              </w:tc>
              <w:tc>
                <w:tcPr>
                  <w:tcW w:w="1015" w:type="pct"/>
                  <w:vMerge w:val="restart"/>
                  <w:tcBorders>
                    <w:right w:val="single" w:color="auto" w:sz="4" w:space="0"/>
                  </w:tcBorders>
                  <w:shd w:val="clear" w:color="auto" w:fill="auto"/>
                  <w:noWrap w:val="0"/>
                  <w:vAlign w:val="center"/>
                </w:tcPr>
                <w:p>
                  <w:pPr>
                    <w:jc w:val="center"/>
                    <w:rPr>
                      <w:rFonts w:hint="eastAsia"/>
                    </w:rPr>
                  </w:pPr>
                  <w:r>
                    <w:rPr>
                      <w:rFonts w:hint="eastAsia"/>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rPr>
                  </w:pPr>
                  <w:r>
                    <w:rPr>
                      <w:rFonts w:hint="eastAsia"/>
                    </w:rPr>
                    <w:t>供电</w:t>
                  </w:r>
                </w:p>
              </w:tc>
              <w:tc>
                <w:tcPr>
                  <w:tcW w:w="1373" w:type="pct"/>
                  <w:shd w:val="clear" w:color="auto" w:fill="auto"/>
                  <w:noWrap w:val="0"/>
                  <w:vAlign w:val="center"/>
                </w:tcPr>
                <w:p>
                  <w:pPr>
                    <w:jc w:val="center"/>
                    <w:rPr>
                      <w:rFonts w:hint="eastAsia"/>
                    </w:rPr>
                  </w:pPr>
                  <w:r>
                    <w:rPr>
                      <w:rFonts w:hint="eastAsia"/>
                    </w:rPr>
                    <w:t>本项目由市政供电，自备</w:t>
                  </w:r>
                  <w:r>
                    <w:rPr>
                      <w:rFonts w:hint="default"/>
                      <w:lang w:val="en-US" w:eastAsia="zh-CN"/>
                    </w:rPr>
                    <w:t>15KW</w:t>
                  </w:r>
                  <w:r>
                    <w:rPr>
                      <w:rFonts w:hint="eastAsia"/>
                    </w:rPr>
                    <w:t>柴油发电机</w:t>
                  </w:r>
                </w:p>
              </w:tc>
              <w:tc>
                <w:tcPr>
                  <w:tcW w:w="1474" w:type="pct"/>
                  <w:shd w:val="clear" w:color="auto" w:fill="auto"/>
                  <w:noWrap w:val="0"/>
                  <w:vAlign w:val="center"/>
                </w:tcPr>
                <w:p>
                  <w:pPr>
                    <w:jc w:val="center"/>
                    <w:rPr>
                      <w:rFonts w:hint="eastAsia"/>
                    </w:rPr>
                  </w:pPr>
                  <w:r>
                    <w:rPr>
                      <w:rFonts w:hint="eastAsia"/>
                    </w:rPr>
                    <w:t>本项目由市政供电，自备</w:t>
                  </w:r>
                  <w:r>
                    <w:rPr>
                      <w:rFonts w:hint="default"/>
                      <w:lang w:val="en-US" w:eastAsia="zh-CN"/>
                    </w:rPr>
                    <w:t>15KW</w:t>
                  </w:r>
                  <w:r>
                    <w:rPr>
                      <w:rFonts w:hint="eastAsia"/>
                    </w:rPr>
                    <w:t>柴油发电机</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rPr>
                  </w:pPr>
                  <w:r>
                    <w:rPr>
                      <w:rFonts w:hint="eastAsia"/>
                    </w:rPr>
                    <w:t>消防</w:t>
                  </w:r>
                </w:p>
              </w:tc>
              <w:tc>
                <w:tcPr>
                  <w:tcW w:w="1373" w:type="pct"/>
                  <w:shd w:val="clear" w:color="auto" w:fill="auto"/>
                  <w:noWrap w:val="0"/>
                  <w:vAlign w:val="center"/>
                </w:tcPr>
                <w:p>
                  <w:pPr>
                    <w:jc w:val="center"/>
                    <w:rPr>
                      <w:rFonts w:hint="eastAsia"/>
                      <w:lang w:eastAsia="zh-CN"/>
                    </w:rPr>
                  </w:pPr>
                  <w:r>
                    <w:rPr>
                      <w:rFonts w:hint="eastAsia"/>
                    </w:rPr>
                    <w:t>消防器材间</w:t>
                  </w:r>
                  <w:r>
                    <w:t>1</w:t>
                  </w:r>
                  <w:r>
                    <w:rPr>
                      <w:rFonts w:hint="eastAsia"/>
                    </w:rPr>
                    <w:t>间</w:t>
                  </w:r>
                  <w:r>
                    <w:t>；消防砂池</w:t>
                  </w:r>
                  <w:r>
                    <w:rPr>
                      <w:rFonts w:hint="default"/>
                    </w:rPr>
                    <w:t>1处</w:t>
                  </w:r>
                  <w:r>
                    <w:rPr>
                      <w:rFonts w:hint="default"/>
                      <w:lang w:eastAsia="zh-CN"/>
                    </w:rPr>
                    <w:t>（</w:t>
                  </w:r>
                  <w:r>
                    <w:rPr>
                      <w:rFonts w:hint="default"/>
                      <w:lang w:val="en-US" w:eastAsia="zh-CN"/>
                    </w:rPr>
                    <w:t>2m3</w:t>
                  </w:r>
                  <w:r>
                    <w:rPr>
                      <w:rFonts w:hint="default"/>
                      <w:lang w:eastAsia="zh-CN"/>
                    </w:rPr>
                    <w:t>）</w:t>
                  </w:r>
                </w:p>
              </w:tc>
              <w:tc>
                <w:tcPr>
                  <w:tcW w:w="1474" w:type="pct"/>
                  <w:shd w:val="clear" w:color="auto" w:fill="auto"/>
                  <w:noWrap w:val="0"/>
                  <w:vAlign w:val="center"/>
                </w:tcPr>
                <w:p>
                  <w:pPr>
                    <w:jc w:val="center"/>
                    <w:rPr>
                      <w:rFonts w:hint="eastAsia"/>
                    </w:rPr>
                  </w:pPr>
                  <w:r>
                    <w:rPr>
                      <w:rFonts w:hint="eastAsia"/>
                    </w:rPr>
                    <w:t>消防器材间</w:t>
                  </w:r>
                  <w:r>
                    <w:t>1</w:t>
                  </w:r>
                  <w:r>
                    <w:rPr>
                      <w:rFonts w:hint="eastAsia"/>
                    </w:rPr>
                    <w:t>间</w:t>
                  </w:r>
                  <w:r>
                    <w:t>；消防砂池</w:t>
                  </w:r>
                  <w:r>
                    <w:rPr>
                      <w:rFonts w:hint="default"/>
                    </w:rPr>
                    <w:t>1处</w:t>
                  </w:r>
                  <w:r>
                    <w:rPr>
                      <w:rFonts w:hint="default"/>
                      <w:lang w:eastAsia="zh-CN"/>
                    </w:rPr>
                    <w:t>（</w:t>
                  </w:r>
                  <w:r>
                    <w:rPr>
                      <w:rFonts w:hint="default"/>
                      <w:lang w:val="en-US" w:eastAsia="zh-CN"/>
                    </w:rPr>
                    <w:t>2m3</w:t>
                  </w:r>
                  <w:r>
                    <w:rPr>
                      <w:rFonts w:hint="default"/>
                      <w:lang w:eastAsia="zh-CN"/>
                    </w:rPr>
                    <w:t>）</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restart"/>
                  <w:tcBorders>
                    <w:left w:val="single" w:color="auto" w:sz="4" w:space="0"/>
                  </w:tcBorders>
                  <w:shd w:val="clear" w:color="auto" w:fill="auto"/>
                  <w:noWrap w:val="0"/>
                  <w:vAlign w:val="center"/>
                </w:tcPr>
                <w:p>
                  <w:pPr>
                    <w:jc w:val="center"/>
                    <w:rPr>
                      <w:rFonts w:hint="eastAsia"/>
                    </w:rPr>
                  </w:pPr>
                  <w:r>
                    <w:rPr>
                      <w:rFonts w:hint="eastAsia"/>
                    </w:rPr>
                    <w:t>环保工程</w:t>
                  </w:r>
                </w:p>
              </w:tc>
              <w:tc>
                <w:tcPr>
                  <w:tcW w:w="460" w:type="pct"/>
                  <w:shd w:val="clear" w:color="auto" w:fill="auto"/>
                  <w:noWrap w:val="0"/>
                  <w:vAlign w:val="center"/>
                </w:tcPr>
                <w:p>
                  <w:pPr>
                    <w:jc w:val="center"/>
                    <w:rPr>
                      <w:rFonts w:hint="eastAsia"/>
                    </w:rPr>
                  </w:pPr>
                  <w:r>
                    <w:rPr>
                      <w:rFonts w:hint="eastAsia"/>
                    </w:rPr>
                    <w:t>废气</w:t>
                  </w:r>
                </w:p>
              </w:tc>
              <w:tc>
                <w:tcPr>
                  <w:tcW w:w="1373" w:type="pct"/>
                  <w:shd w:val="clear" w:color="auto" w:fill="auto"/>
                  <w:noWrap w:val="0"/>
                  <w:vAlign w:val="center"/>
                </w:tcPr>
                <w:p>
                  <w:pPr>
                    <w:jc w:val="center"/>
                    <w:rPr>
                      <w:rFonts w:hint="eastAsia"/>
                      <w:lang w:eastAsia="zh-CN"/>
                    </w:rPr>
                  </w:pPr>
                  <w:r>
                    <w:rPr>
                      <w:rFonts w:hint="eastAsia"/>
                    </w:rPr>
                    <w:t>卸油</w:t>
                  </w:r>
                  <w:r>
                    <w:rPr>
                      <w:rFonts w:hint="eastAsia"/>
                      <w:lang w:eastAsia="zh-CN"/>
                    </w:rPr>
                    <w:t>油气回收系统</w:t>
                  </w:r>
                  <w:r>
                    <w:t>、</w:t>
                  </w:r>
                  <w:r>
                    <w:rPr>
                      <w:rFonts w:hint="eastAsia"/>
                      <w:lang w:eastAsia="zh-CN"/>
                    </w:rPr>
                    <w:t>加油油气回收系统</w:t>
                  </w:r>
                </w:p>
              </w:tc>
              <w:tc>
                <w:tcPr>
                  <w:tcW w:w="1474" w:type="pct"/>
                  <w:shd w:val="clear" w:color="auto" w:fill="auto"/>
                  <w:noWrap w:val="0"/>
                  <w:vAlign w:val="center"/>
                </w:tcPr>
                <w:p>
                  <w:pPr>
                    <w:jc w:val="center"/>
                    <w:rPr>
                      <w:rFonts w:hint="eastAsia"/>
                    </w:rPr>
                  </w:pPr>
                  <w:r>
                    <w:rPr>
                      <w:rFonts w:hint="eastAsia"/>
                    </w:rPr>
                    <w:t>卸油</w:t>
                  </w:r>
                  <w:r>
                    <w:rPr>
                      <w:rFonts w:hint="eastAsia"/>
                      <w:lang w:eastAsia="zh-CN"/>
                    </w:rPr>
                    <w:t>油气回收系统</w:t>
                  </w:r>
                  <w:r>
                    <w:t>、</w:t>
                  </w:r>
                  <w:r>
                    <w:rPr>
                      <w:rFonts w:hint="eastAsia"/>
                      <w:lang w:eastAsia="zh-CN"/>
                    </w:rPr>
                    <w:t>加油油气回收系统</w:t>
                  </w:r>
                </w:p>
              </w:tc>
              <w:tc>
                <w:tcPr>
                  <w:tcW w:w="1015" w:type="pct"/>
                  <w:vMerge w:val="restart"/>
                  <w:tcBorders>
                    <w:right w:val="single" w:color="auto" w:sz="4" w:space="0"/>
                  </w:tcBorders>
                  <w:shd w:val="clear" w:color="auto" w:fill="auto"/>
                  <w:noWrap w:val="0"/>
                  <w:vAlign w:val="center"/>
                </w:tcPr>
                <w:p>
                  <w:pPr>
                    <w:jc w:val="center"/>
                    <w:rPr>
                      <w:rFonts w:hint="eastAsia"/>
                    </w:rPr>
                  </w:pPr>
                  <w:r>
                    <w:rPr>
                      <w:rFonts w:hint="eastAsia"/>
                      <w:lang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vMerge w:val="restart"/>
                  <w:shd w:val="clear" w:color="auto" w:fill="auto"/>
                  <w:noWrap w:val="0"/>
                  <w:vAlign w:val="center"/>
                </w:tcPr>
                <w:p>
                  <w:pPr>
                    <w:jc w:val="center"/>
                    <w:rPr>
                      <w:rFonts w:hint="eastAsia"/>
                    </w:rPr>
                  </w:pPr>
                  <w:r>
                    <w:rPr>
                      <w:rFonts w:hint="eastAsia"/>
                    </w:rPr>
                    <w:t>废水</w:t>
                  </w:r>
                </w:p>
              </w:tc>
              <w:tc>
                <w:tcPr>
                  <w:tcW w:w="1373" w:type="pct"/>
                  <w:shd w:val="clear" w:color="auto" w:fill="auto"/>
                  <w:noWrap w:val="0"/>
                  <w:vAlign w:val="center"/>
                </w:tcPr>
                <w:p>
                  <w:pPr>
                    <w:jc w:val="center"/>
                    <w:rPr>
                      <w:rFonts w:hint="eastAsia"/>
                    </w:rPr>
                  </w:pPr>
                  <w:r>
                    <w:rPr>
                      <w:rFonts w:hint="eastAsia"/>
                    </w:rPr>
                    <w:t>生活污水</w:t>
                  </w:r>
                  <w:r>
                    <w:t>：化粪池</w:t>
                  </w:r>
                </w:p>
              </w:tc>
              <w:tc>
                <w:tcPr>
                  <w:tcW w:w="1474" w:type="pct"/>
                  <w:shd w:val="clear" w:color="auto" w:fill="auto"/>
                  <w:noWrap w:val="0"/>
                  <w:vAlign w:val="center"/>
                </w:tcPr>
                <w:p>
                  <w:pPr>
                    <w:jc w:val="center"/>
                    <w:rPr>
                      <w:rFonts w:hint="eastAsia"/>
                    </w:rPr>
                  </w:pPr>
                  <w:r>
                    <w:rPr>
                      <w:rFonts w:hint="eastAsia"/>
                    </w:rPr>
                    <w:t>生活污水</w:t>
                  </w:r>
                  <w:r>
                    <w:t>：化粪池</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vMerge w:val="continue"/>
                  <w:shd w:val="clear" w:color="auto" w:fill="auto"/>
                  <w:noWrap w:val="0"/>
                  <w:vAlign w:val="center"/>
                </w:tcPr>
                <w:p>
                  <w:pPr>
                    <w:jc w:val="center"/>
                    <w:rPr>
                      <w:rFonts w:hint="eastAsia"/>
                    </w:rPr>
                  </w:pPr>
                </w:p>
              </w:tc>
              <w:tc>
                <w:tcPr>
                  <w:tcW w:w="1373" w:type="pct"/>
                  <w:shd w:val="clear" w:color="auto" w:fill="auto"/>
                  <w:noWrap w:val="0"/>
                  <w:vAlign w:val="center"/>
                </w:tcPr>
                <w:p>
                  <w:pPr>
                    <w:jc w:val="center"/>
                    <w:rPr>
                      <w:rFonts w:hint="eastAsia"/>
                      <w:lang w:eastAsia="zh-CN"/>
                    </w:rPr>
                  </w:pPr>
                  <w:r>
                    <w:rPr>
                      <w:rFonts w:hint="eastAsia"/>
                    </w:rPr>
                    <w:t>场地清洁废水</w:t>
                  </w:r>
                  <w:r>
                    <w:rPr>
                      <w:rFonts w:hint="eastAsia"/>
                      <w:lang w:eastAsia="zh-CN"/>
                    </w:rPr>
                    <w:t>：</w:t>
                  </w:r>
                  <w:r>
                    <w:t>加油区和卸油区</w:t>
                  </w:r>
                  <w:r>
                    <w:rPr>
                      <w:rFonts w:hint="eastAsia"/>
                    </w:rPr>
                    <w:t>设置环形水封沟，并连接隔油池，经隔油处理后外排</w:t>
                  </w:r>
                </w:p>
              </w:tc>
              <w:tc>
                <w:tcPr>
                  <w:tcW w:w="1474" w:type="pct"/>
                  <w:shd w:val="clear" w:color="auto" w:fill="auto"/>
                  <w:noWrap w:val="0"/>
                  <w:vAlign w:val="center"/>
                </w:tcPr>
                <w:p>
                  <w:pPr>
                    <w:jc w:val="center"/>
                    <w:rPr>
                      <w:rFonts w:hint="eastAsia"/>
                    </w:rPr>
                  </w:pPr>
                  <w:r>
                    <w:rPr>
                      <w:rFonts w:hint="eastAsia"/>
                    </w:rPr>
                    <w:t>场地清洁废水</w:t>
                  </w:r>
                  <w:r>
                    <w:rPr>
                      <w:rFonts w:hint="eastAsia"/>
                      <w:lang w:eastAsia="zh-CN"/>
                    </w:rPr>
                    <w:t>：</w:t>
                  </w:r>
                  <w:r>
                    <w:t>加油区和卸油区</w:t>
                  </w:r>
                  <w:r>
                    <w:rPr>
                      <w:rFonts w:hint="eastAsia"/>
                    </w:rPr>
                    <w:t>设置环形水封沟，并连接隔油池，经隔油处理后外排</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shd w:val="clear" w:color="auto" w:fill="auto"/>
                  <w:noWrap w:val="0"/>
                  <w:vAlign w:val="center"/>
                </w:tcPr>
                <w:p>
                  <w:pPr>
                    <w:jc w:val="center"/>
                    <w:rPr>
                      <w:rFonts w:hint="eastAsia"/>
                      <w:lang w:eastAsia="zh-CN"/>
                    </w:rPr>
                  </w:pPr>
                  <w:r>
                    <w:rPr>
                      <w:rFonts w:hint="eastAsia"/>
                      <w:lang w:eastAsia="zh-CN"/>
                    </w:rPr>
                    <w:t>噪声</w:t>
                  </w:r>
                </w:p>
              </w:tc>
              <w:tc>
                <w:tcPr>
                  <w:tcW w:w="1373" w:type="pct"/>
                  <w:shd w:val="clear" w:color="auto" w:fill="auto"/>
                  <w:noWrap w:val="0"/>
                  <w:vAlign w:val="center"/>
                </w:tcPr>
                <w:p>
                  <w:pPr>
                    <w:jc w:val="center"/>
                    <w:rPr>
                      <w:rFonts w:hint="eastAsia"/>
                    </w:rPr>
                  </w:pPr>
                  <w:r>
                    <w:rPr>
                      <w:rFonts w:hint="eastAsia"/>
                    </w:rPr>
                    <w:t>项目设备选用低噪设备、基础安装减振垫等措施</w:t>
                  </w:r>
                </w:p>
              </w:tc>
              <w:tc>
                <w:tcPr>
                  <w:tcW w:w="1474" w:type="pct"/>
                  <w:shd w:val="clear" w:color="auto" w:fill="auto"/>
                  <w:noWrap w:val="0"/>
                  <w:vAlign w:val="center"/>
                </w:tcPr>
                <w:p>
                  <w:pPr>
                    <w:jc w:val="center"/>
                    <w:rPr>
                      <w:rFonts w:hint="eastAsia"/>
                    </w:rPr>
                  </w:pPr>
                  <w:r>
                    <w:rPr>
                      <w:rFonts w:hint="eastAsia"/>
                    </w:rPr>
                    <w:t>项目设备选用低噪设备、基础安装减振垫等措施</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vMerge w:val="restart"/>
                  <w:shd w:val="clear" w:color="auto" w:fill="auto"/>
                  <w:noWrap w:val="0"/>
                  <w:vAlign w:val="center"/>
                </w:tcPr>
                <w:p>
                  <w:pPr>
                    <w:jc w:val="center"/>
                    <w:rPr>
                      <w:rFonts w:hint="eastAsia"/>
                      <w:lang w:eastAsia="zh-CN"/>
                    </w:rPr>
                  </w:pPr>
                  <w:r>
                    <w:rPr>
                      <w:rFonts w:hint="eastAsia"/>
                      <w:lang w:eastAsia="zh-CN"/>
                    </w:rPr>
                    <w:t>风险防控措施</w:t>
                  </w:r>
                </w:p>
              </w:tc>
              <w:tc>
                <w:tcPr>
                  <w:tcW w:w="1373" w:type="pct"/>
                  <w:shd w:val="clear" w:color="auto" w:fill="auto"/>
                  <w:noWrap w:val="0"/>
                  <w:vAlign w:val="center"/>
                </w:tcPr>
                <w:p>
                  <w:pPr>
                    <w:jc w:val="center"/>
                    <w:rPr>
                      <w:rFonts w:hint="eastAsia"/>
                      <w:lang w:eastAsia="zh-CN"/>
                    </w:rPr>
                  </w:pPr>
                  <w:r>
                    <w:rPr>
                      <w:rFonts w:hint="eastAsia"/>
                      <w:lang w:eastAsia="zh-CN"/>
                    </w:rPr>
                    <w:t>严格按照《汽车加油加气站设计与施工规范》进行设计与施工、设置有效的消防系统、油罐区卸油口设置静电接地报警装置，罐区设置围堰等</w:t>
                  </w:r>
                </w:p>
              </w:tc>
              <w:tc>
                <w:tcPr>
                  <w:tcW w:w="1474" w:type="pct"/>
                  <w:shd w:val="clear" w:color="auto" w:fill="auto"/>
                  <w:noWrap w:val="0"/>
                  <w:vAlign w:val="center"/>
                </w:tcPr>
                <w:p>
                  <w:pPr>
                    <w:jc w:val="center"/>
                    <w:rPr>
                      <w:rFonts w:hint="eastAsia"/>
                      <w:lang w:eastAsia="zh-CN"/>
                    </w:rPr>
                  </w:pPr>
                  <w:r>
                    <w:rPr>
                      <w:rFonts w:hint="eastAsia"/>
                      <w:lang w:eastAsia="zh-CN"/>
                    </w:rPr>
                    <w:t>严格按照《汽车加油加气站设计与施工规范》进行设计与施工、设置有效的消防系统、油罐区卸油口设置静电接地报警装置，罐区设置围堰等</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7" w:type="pct"/>
                  <w:vMerge w:val="continue"/>
                  <w:tcBorders>
                    <w:left w:val="single" w:color="auto" w:sz="4" w:space="0"/>
                  </w:tcBorders>
                  <w:shd w:val="clear" w:color="auto" w:fill="auto"/>
                  <w:noWrap w:val="0"/>
                  <w:vAlign w:val="center"/>
                </w:tcPr>
                <w:p>
                  <w:pPr>
                    <w:jc w:val="center"/>
                  </w:pPr>
                </w:p>
              </w:tc>
              <w:tc>
                <w:tcPr>
                  <w:tcW w:w="460" w:type="pct"/>
                  <w:vMerge w:val="continue"/>
                  <w:shd w:val="clear" w:color="auto" w:fill="auto"/>
                  <w:noWrap w:val="0"/>
                  <w:vAlign w:val="center"/>
                </w:tcPr>
                <w:p>
                  <w:pPr>
                    <w:jc w:val="center"/>
                  </w:pPr>
                </w:p>
              </w:tc>
              <w:tc>
                <w:tcPr>
                  <w:tcW w:w="1373" w:type="pct"/>
                  <w:shd w:val="clear" w:color="auto" w:fill="auto"/>
                  <w:noWrap w:val="0"/>
                  <w:vAlign w:val="center"/>
                </w:tcPr>
                <w:p>
                  <w:pPr>
                    <w:jc w:val="center"/>
                    <w:rPr>
                      <w:rFonts w:hint="eastAsia"/>
                      <w:lang w:eastAsia="zh-CN"/>
                    </w:rPr>
                  </w:pPr>
                  <w:r>
                    <w:rPr>
                      <w:rFonts w:hint="eastAsia"/>
                      <w:lang w:val="en-US" w:eastAsia="zh-CN"/>
                    </w:rPr>
                    <w:t>加油区和卸油区设置环形水封沟并连接隔油池</w:t>
                  </w:r>
                </w:p>
              </w:tc>
              <w:tc>
                <w:tcPr>
                  <w:tcW w:w="1474" w:type="pct"/>
                  <w:shd w:val="clear" w:color="auto" w:fill="auto"/>
                  <w:noWrap w:val="0"/>
                  <w:vAlign w:val="center"/>
                </w:tcPr>
                <w:p>
                  <w:pPr>
                    <w:jc w:val="center"/>
                    <w:rPr>
                      <w:rFonts w:hint="eastAsia"/>
                      <w:lang w:val="en-US" w:eastAsia="zh-CN"/>
                    </w:rPr>
                  </w:pPr>
                  <w:r>
                    <w:rPr>
                      <w:rFonts w:hint="eastAsia"/>
                      <w:lang w:val="en-US" w:eastAsia="zh-CN"/>
                    </w:rPr>
                    <w:t>加油区和卸油区设置环形水封沟并连接隔油池</w:t>
                  </w:r>
                </w:p>
              </w:tc>
              <w:tc>
                <w:tcPr>
                  <w:tcW w:w="1015" w:type="pct"/>
                  <w:vMerge w:val="continue"/>
                  <w:tcBorders>
                    <w:right w:val="single" w:color="auto" w:sz="4" w:space="0"/>
                  </w:tcBorders>
                  <w:shd w:val="clear" w:color="auto" w:fill="auto"/>
                  <w:noWrap w:val="0"/>
                  <w:vAlign w:val="center"/>
                </w:tcPr>
                <w:p>
                  <w:pPr>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vMerge w:val="restart"/>
                  <w:shd w:val="clear" w:color="auto" w:fill="auto"/>
                  <w:noWrap w:val="0"/>
                  <w:vAlign w:val="center"/>
                </w:tcPr>
                <w:p>
                  <w:pPr>
                    <w:jc w:val="center"/>
                    <w:rPr>
                      <w:rFonts w:hint="eastAsia"/>
                    </w:rPr>
                  </w:pPr>
                  <w:r>
                    <w:rPr>
                      <w:rFonts w:hint="eastAsia"/>
                    </w:rPr>
                    <w:t>固废</w:t>
                  </w:r>
                </w:p>
              </w:tc>
              <w:tc>
                <w:tcPr>
                  <w:tcW w:w="1373" w:type="pct"/>
                  <w:shd w:val="clear" w:color="auto" w:fill="auto"/>
                  <w:noWrap w:val="0"/>
                  <w:vAlign w:val="center"/>
                </w:tcPr>
                <w:p>
                  <w:pPr>
                    <w:jc w:val="center"/>
                    <w:rPr>
                      <w:rFonts w:hint="eastAsia"/>
                    </w:rPr>
                  </w:pPr>
                  <w:r>
                    <w:rPr>
                      <w:rFonts w:hint="eastAsia"/>
                    </w:rPr>
                    <w:t>生活垃圾</w:t>
                  </w:r>
                  <w:r>
                    <w:t>：由环卫部门统一清运</w:t>
                  </w:r>
                </w:p>
              </w:tc>
              <w:tc>
                <w:tcPr>
                  <w:tcW w:w="1474" w:type="pct"/>
                  <w:shd w:val="clear" w:color="auto" w:fill="auto"/>
                  <w:noWrap w:val="0"/>
                  <w:vAlign w:val="center"/>
                </w:tcPr>
                <w:p>
                  <w:pPr>
                    <w:jc w:val="center"/>
                    <w:rPr>
                      <w:rFonts w:hint="eastAsia"/>
                    </w:rPr>
                  </w:pPr>
                  <w:r>
                    <w:rPr>
                      <w:rFonts w:hint="eastAsia"/>
                    </w:rPr>
                    <w:t>生活垃圾</w:t>
                  </w:r>
                  <w:r>
                    <w:t>：由环卫部门统一清运</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tcBorders>
                  <w:shd w:val="clear" w:color="auto" w:fill="auto"/>
                  <w:noWrap w:val="0"/>
                  <w:vAlign w:val="center"/>
                </w:tcPr>
                <w:p>
                  <w:pPr>
                    <w:jc w:val="center"/>
                    <w:rPr>
                      <w:rFonts w:hint="eastAsia"/>
                    </w:rPr>
                  </w:pPr>
                </w:p>
              </w:tc>
              <w:tc>
                <w:tcPr>
                  <w:tcW w:w="460" w:type="pct"/>
                  <w:vMerge w:val="continue"/>
                  <w:shd w:val="clear" w:color="auto" w:fill="auto"/>
                  <w:noWrap w:val="0"/>
                  <w:vAlign w:val="center"/>
                </w:tcPr>
                <w:p>
                  <w:pPr>
                    <w:jc w:val="center"/>
                    <w:rPr>
                      <w:rFonts w:hint="eastAsia"/>
                    </w:rPr>
                  </w:pPr>
                </w:p>
              </w:tc>
              <w:tc>
                <w:tcPr>
                  <w:tcW w:w="1373" w:type="pct"/>
                  <w:shd w:val="clear" w:color="auto" w:fill="auto"/>
                  <w:noWrap w:val="0"/>
                  <w:vAlign w:val="center"/>
                </w:tcPr>
                <w:p>
                  <w:pPr>
                    <w:jc w:val="center"/>
                    <w:rPr>
                      <w:rFonts w:hint="eastAsia"/>
                    </w:rPr>
                  </w:pPr>
                  <w:r>
                    <w:t>清洗油罐的油</w:t>
                  </w:r>
                  <w:r>
                    <w:rPr>
                      <w:rFonts w:hint="eastAsia"/>
                    </w:rPr>
                    <w:t>泥</w:t>
                  </w:r>
                  <w:r>
                    <w:t>：安排</w:t>
                  </w:r>
                  <w:r>
                    <w:rPr>
                      <w:rFonts w:hint="eastAsia"/>
                      <w:lang w:val="en-US" w:eastAsia="zh-CN"/>
                    </w:rPr>
                    <w:t>有资质的</w:t>
                  </w:r>
                  <w:r>
                    <w:t>公司处理</w:t>
                  </w:r>
                  <w:r>
                    <w:rPr>
                      <w:rFonts w:hint="eastAsia"/>
                    </w:rPr>
                    <w:t>，</w:t>
                  </w:r>
                  <w:r>
                    <w:t>不在站内贮存</w:t>
                  </w:r>
                </w:p>
              </w:tc>
              <w:tc>
                <w:tcPr>
                  <w:tcW w:w="1474" w:type="pct"/>
                  <w:shd w:val="clear" w:color="auto" w:fill="auto"/>
                  <w:noWrap w:val="0"/>
                  <w:vAlign w:val="center"/>
                </w:tcPr>
                <w:p>
                  <w:pPr>
                    <w:jc w:val="center"/>
                  </w:pPr>
                  <w:r>
                    <w:t>清洗油罐的油</w:t>
                  </w:r>
                  <w:r>
                    <w:rPr>
                      <w:rFonts w:hint="eastAsia"/>
                    </w:rPr>
                    <w:t>泥</w:t>
                  </w:r>
                  <w:r>
                    <w:t>：安排</w:t>
                  </w:r>
                  <w:r>
                    <w:rPr>
                      <w:rFonts w:hint="eastAsia"/>
                      <w:lang w:val="en-US" w:eastAsia="zh-CN"/>
                    </w:rPr>
                    <w:t>有资质的</w:t>
                  </w:r>
                  <w:r>
                    <w:t>公司处理</w:t>
                  </w:r>
                  <w:r>
                    <w:rPr>
                      <w:rFonts w:hint="eastAsia"/>
                    </w:rPr>
                    <w:t>，</w:t>
                  </w:r>
                  <w:r>
                    <w:t>不在站内贮存</w:t>
                  </w:r>
                </w:p>
              </w:tc>
              <w:tc>
                <w:tcPr>
                  <w:tcW w:w="1015" w:type="pct"/>
                  <w:vMerge w:val="continue"/>
                  <w:tcBorders>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left w:val="single" w:color="auto" w:sz="4" w:space="0"/>
                    <w:bottom w:val="single" w:color="auto" w:sz="4" w:space="0"/>
                  </w:tcBorders>
                  <w:shd w:val="clear" w:color="auto" w:fill="auto"/>
                  <w:noWrap w:val="0"/>
                  <w:vAlign w:val="center"/>
                </w:tcPr>
                <w:p>
                  <w:pPr>
                    <w:jc w:val="center"/>
                    <w:rPr>
                      <w:rFonts w:hint="eastAsia"/>
                    </w:rPr>
                  </w:pPr>
                </w:p>
              </w:tc>
              <w:tc>
                <w:tcPr>
                  <w:tcW w:w="460" w:type="pct"/>
                  <w:vMerge w:val="continue"/>
                  <w:tcBorders>
                    <w:bottom w:val="single" w:color="auto" w:sz="4" w:space="0"/>
                  </w:tcBorders>
                  <w:shd w:val="clear" w:color="auto" w:fill="auto"/>
                  <w:noWrap w:val="0"/>
                  <w:vAlign w:val="center"/>
                </w:tcPr>
                <w:p>
                  <w:pPr>
                    <w:jc w:val="center"/>
                    <w:rPr>
                      <w:rFonts w:hint="eastAsia"/>
                    </w:rPr>
                  </w:pPr>
                </w:p>
              </w:tc>
              <w:tc>
                <w:tcPr>
                  <w:tcW w:w="1373" w:type="pct"/>
                  <w:tcBorders>
                    <w:bottom w:val="single" w:color="auto" w:sz="4" w:space="0"/>
                  </w:tcBorders>
                  <w:shd w:val="clear" w:color="auto" w:fill="auto"/>
                  <w:noWrap w:val="0"/>
                  <w:vAlign w:val="center"/>
                </w:tcPr>
                <w:p>
                  <w:pPr>
                    <w:jc w:val="center"/>
                    <w:rPr>
                      <w:rFonts w:hint="eastAsia"/>
                    </w:rPr>
                  </w:pPr>
                  <w:r>
                    <w:t>隔油池浮油和污泥、</w:t>
                  </w:r>
                  <w:r>
                    <w:rPr>
                      <w:rFonts w:hint="eastAsia"/>
                    </w:rPr>
                    <w:t>含油</w:t>
                  </w:r>
                  <w:r>
                    <w:t>废手套、废抹布：收集暂存，委托有资质的单位</w:t>
                  </w:r>
                  <w:r>
                    <w:rPr>
                      <w:rFonts w:hint="eastAsia"/>
                    </w:rPr>
                    <w:t>处理</w:t>
                  </w:r>
                  <w:r>
                    <w:t>，设危废暂存间</w:t>
                  </w:r>
                </w:p>
              </w:tc>
              <w:tc>
                <w:tcPr>
                  <w:tcW w:w="1474" w:type="pct"/>
                  <w:tcBorders>
                    <w:bottom w:val="single" w:color="auto" w:sz="4" w:space="0"/>
                  </w:tcBorders>
                  <w:shd w:val="clear" w:color="auto" w:fill="auto"/>
                  <w:noWrap w:val="0"/>
                  <w:vAlign w:val="center"/>
                </w:tcPr>
                <w:p>
                  <w:pPr>
                    <w:jc w:val="center"/>
                  </w:pPr>
                  <w:r>
                    <w:t>隔油池浮油和污泥、</w:t>
                  </w:r>
                  <w:r>
                    <w:rPr>
                      <w:rFonts w:hint="eastAsia"/>
                    </w:rPr>
                    <w:t>含油</w:t>
                  </w:r>
                  <w:r>
                    <w:t>废手套、废抹布：收集暂存，委托有资质的单位</w:t>
                  </w:r>
                  <w:r>
                    <w:rPr>
                      <w:rFonts w:hint="eastAsia"/>
                    </w:rPr>
                    <w:t>处理</w:t>
                  </w:r>
                  <w:r>
                    <w:t>，设危废暂存间</w:t>
                  </w:r>
                </w:p>
              </w:tc>
              <w:tc>
                <w:tcPr>
                  <w:tcW w:w="1015" w:type="pct"/>
                  <w:vMerge w:val="continue"/>
                  <w:tcBorders>
                    <w:bottom w:val="single" w:color="auto" w:sz="4" w:space="0"/>
                    <w:right w:val="single" w:color="auto" w:sz="4" w:space="0"/>
                  </w:tcBorders>
                  <w:shd w:val="clear" w:color="auto" w:fill="auto"/>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restart"/>
                  <w:tcBorders>
                    <w:left w:val="single" w:color="auto" w:sz="4" w:space="0"/>
                    <w:bottom w:val="single" w:color="auto" w:sz="4" w:space="0"/>
                  </w:tcBorders>
                  <w:shd w:val="clear" w:color="auto" w:fill="auto"/>
                  <w:noWrap w:val="0"/>
                  <w:vAlign w:val="center"/>
                </w:tcPr>
                <w:p>
                  <w:pPr>
                    <w:jc w:val="center"/>
                    <w:rPr>
                      <w:rFonts w:hint="eastAsia"/>
                    </w:rPr>
                  </w:pPr>
                  <w:r>
                    <w:rPr>
                      <w:rFonts w:hint="eastAsia"/>
                    </w:rPr>
                    <w:t>储运工程</w:t>
                  </w:r>
                </w:p>
              </w:tc>
              <w:tc>
                <w:tcPr>
                  <w:tcW w:w="460" w:type="pct"/>
                  <w:tcBorders>
                    <w:bottom w:val="single" w:color="auto" w:sz="4" w:space="0"/>
                  </w:tcBorders>
                  <w:shd w:val="clear" w:color="auto" w:fill="auto"/>
                  <w:noWrap w:val="0"/>
                  <w:vAlign w:val="center"/>
                </w:tcPr>
                <w:p>
                  <w:pPr>
                    <w:jc w:val="center"/>
                    <w:rPr>
                      <w:rFonts w:hint="eastAsia" w:eastAsia="宋体"/>
                      <w:lang w:eastAsia="zh-CN"/>
                    </w:rPr>
                  </w:pPr>
                  <w:r>
                    <w:rPr>
                      <w:rFonts w:hint="eastAsia"/>
                      <w:lang w:eastAsia="zh-CN"/>
                    </w:rPr>
                    <w:t>储存</w:t>
                  </w:r>
                </w:p>
              </w:tc>
              <w:tc>
                <w:tcPr>
                  <w:tcW w:w="1373" w:type="pct"/>
                  <w:tcBorders>
                    <w:bottom w:val="single" w:color="auto" w:sz="4" w:space="0"/>
                  </w:tcBorders>
                  <w:shd w:val="clear" w:color="auto" w:fill="auto"/>
                  <w:noWrap w:val="0"/>
                  <w:vAlign w:val="center"/>
                </w:tcPr>
                <w:p>
                  <w:pPr>
                    <w:jc w:val="center"/>
                    <w:rPr>
                      <w:rFonts w:hint="eastAsia"/>
                    </w:rPr>
                  </w:pPr>
                  <w:r>
                    <w:rPr>
                      <w:bCs/>
                      <w:szCs w:val="21"/>
                    </w:rPr>
                    <w:t>储罐区设在罩棚中部地下，设</w:t>
                  </w:r>
                  <w:r>
                    <w:rPr>
                      <w:rFonts w:hint="eastAsia"/>
                      <w:bCs/>
                      <w:szCs w:val="21"/>
                      <w:lang w:val="en-US" w:eastAsia="zh-CN"/>
                    </w:rPr>
                    <w:t>3</w:t>
                  </w:r>
                  <w:r>
                    <w:rPr>
                      <w:bCs/>
                      <w:szCs w:val="21"/>
                    </w:rPr>
                    <w:t>个SF双层油罐。包括1个</w:t>
                  </w:r>
                  <w:r>
                    <w:rPr>
                      <w:rFonts w:hint="eastAsia"/>
                      <w:bCs/>
                      <w:szCs w:val="21"/>
                    </w:rPr>
                    <w:t>3</w:t>
                  </w:r>
                  <w:r>
                    <w:rPr>
                      <w:bCs/>
                      <w:szCs w:val="21"/>
                    </w:rPr>
                    <w:t>0m</w:t>
                  </w:r>
                  <w:r>
                    <w:rPr>
                      <w:bCs/>
                      <w:szCs w:val="21"/>
                      <w:vertAlign w:val="superscript"/>
                    </w:rPr>
                    <w:t>3</w:t>
                  </w:r>
                  <w:r>
                    <w:rPr>
                      <w:bCs/>
                      <w:szCs w:val="21"/>
                    </w:rPr>
                    <w:t>的92#汽油埋地储罐、1个</w:t>
                  </w:r>
                  <w:r>
                    <w:rPr>
                      <w:rFonts w:hint="eastAsia"/>
                      <w:bCs/>
                      <w:szCs w:val="21"/>
                    </w:rPr>
                    <w:t>3</w:t>
                  </w:r>
                  <w:r>
                    <w:rPr>
                      <w:bCs/>
                      <w:szCs w:val="21"/>
                    </w:rPr>
                    <w:t>0m</w:t>
                  </w:r>
                  <w:r>
                    <w:rPr>
                      <w:bCs/>
                      <w:szCs w:val="21"/>
                      <w:vertAlign w:val="superscript"/>
                    </w:rPr>
                    <w:t>3</w:t>
                  </w:r>
                  <w:r>
                    <w:rPr>
                      <w:bCs/>
                      <w:szCs w:val="21"/>
                    </w:rPr>
                    <w:t>的95#汽油埋地储罐</w:t>
                  </w:r>
                  <w:r>
                    <w:rPr>
                      <w:rFonts w:hint="eastAsia"/>
                      <w:bCs/>
                      <w:szCs w:val="21"/>
                    </w:rPr>
                    <w:t>、</w:t>
                  </w:r>
                  <w:r>
                    <w:rPr>
                      <w:bCs/>
                      <w:szCs w:val="21"/>
                    </w:rPr>
                    <w:t>以及</w:t>
                  </w:r>
                  <w:r>
                    <w:rPr>
                      <w:rFonts w:hint="eastAsia"/>
                      <w:bCs/>
                      <w:szCs w:val="21"/>
                    </w:rPr>
                    <w:t>1</w:t>
                  </w:r>
                  <w:r>
                    <w:rPr>
                      <w:bCs/>
                      <w:szCs w:val="21"/>
                    </w:rPr>
                    <w:t>个</w:t>
                  </w:r>
                  <w:r>
                    <w:rPr>
                      <w:rFonts w:hint="eastAsia"/>
                      <w:bCs/>
                      <w:szCs w:val="21"/>
                    </w:rPr>
                    <w:t>3</w:t>
                  </w:r>
                  <w:r>
                    <w:rPr>
                      <w:bCs/>
                      <w:szCs w:val="21"/>
                    </w:rPr>
                    <w:t>0m</w:t>
                  </w:r>
                  <w:r>
                    <w:rPr>
                      <w:bCs/>
                      <w:szCs w:val="21"/>
                      <w:vertAlign w:val="superscript"/>
                    </w:rPr>
                    <w:t>3</w:t>
                  </w:r>
                  <w:r>
                    <w:rPr>
                      <w:bCs/>
                      <w:szCs w:val="21"/>
                    </w:rPr>
                    <w:t>的0#柴油埋地储罐</w:t>
                  </w:r>
                </w:p>
              </w:tc>
              <w:tc>
                <w:tcPr>
                  <w:tcW w:w="1474" w:type="pct"/>
                  <w:tcBorders>
                    <w:bottom w:val="single" w:color="auto" w:sz="4" w:space="0"/>
                  </w:tcBorders>
                  <w:shd w:val="clear" w:color="auto" w:fill="auto"/>
                  <w:noWrap w:val="0"/>
                  <w:vAlign w:val="center"/>
                </w:tcPr>
                <w:p>
                  <w:pPr>
                    <w:jc w:val="center"/>
                    <w:rPr>
                      <w:rFonts w:hint="eastAsia"/>
                    </w:rPr>
                  </w:pPr>
                  <w:r>
                    <w:rPr>
                      <w:bCs/>
                      <w:szCs w:val="21"/>
                    </w:rPr>
                    <w:t>储罐区设在罩棚中部地下，设</w:t>
                  </w:r>
                  <w:r>
                    <w:rPr>
                      <w:rFonts w:hint="eastAsia"/>
                      <w:bCs/>
                      <w:szCs w:val="21"/>
                      <w:lang w:val="en-US" w:eastAsia="zh-CN"/>
                    </w:rPr>
                    <w:t>4</w:t>
                  </w:r>
                  <w:r>
                    <w:rPr>
                      <w:bCs/>
                      <w:szCs w:val="21"/>
                    </w:rPr>
                    <w:t>个SF双层油罐。包括1个</w:t>
                  </w:r>
                  <w:r>
                    <w:rPr>
                      <w:rFonts w:hint="eastAsia"/>
                      <w:bCs/>
                      <w:szCs w:val="21"/>
                    </w:rPr>
                    <w:t>3</w:t>
                  </w:r>
                  <w:r>
                    <w:rPr>
                      <w:bCs/>
                      <w:szCs w:val="21"/>
                    </w:rPr>
                    <w:t>0m</w:t>
                  </w:r>
                  <w:r>
                    <w:rPr>
                      <w:bCs/>
                      <w:szCs w:val="21"/>
                      <w:vertAlign w:val="superscript"/>
                    </w:rPr>
                    <w:t>3</w:t>
                  </w:r>
                  <w:r>
                    <w:rPr>
                      <w:bCs/>
                      <w:szCs w:val="21"/>
                    </w:rPr>
                    <w:t>的92#汽油埋地储罐、1个</w:t>
                  </w:r>
                  <w:r>
                    <w:rPr>
                      <w:rFonts w:hint="eastAsia"/>
                      <w:bCs/>
                      <w:szCs w:val="21"/>
                    </w:rPr>
                    <w:t>3</w:t>
                  </w:r>
                  <w:r>
                    <w:rPr>
                      <w:bCs/>
                      <w:szCs w:val="21"/>
                    </w:rPr>
                    <w:t>0m</w:t>
                  </w:r>
                  <w:r>
                    <w:rPr>
                      <w:bCs/>
                      <w:szCs w:val="21"/>
                      <w:vertAlign w:val="superscript"/>
                    </w:rPr>
                    <w:t>3</w:t>
                  </w:r>
                  <w:r>
                    <w:rPr>
                      <w:bCs/>
                      <w:szCs w:val="21"/>
                    </w:rPr>
                    <w:t>的95#汽油埋地储罐</w:t>
                  </w:r>
                  <w:r>
                    <w:rPr>
                      <w:rFonts w:hint="eastAsia"/>
                      <w:bCs/>
                      <w:szCs w:val="21"/>
                    </w:rPr>
                    <w:t>、</w:t>
                  </w:r>
                  <w:r>
                    <w:rPr>
                      <w:bCs/>
                      <w:szCs w:val="21"/>
                    </w:rPr>
                    <w:t>1个</w:t>
                  </w:r>
                  <w:r>
                    <w:rPr>
                      <w:rFonts w:hint="eastAsia"/>
                      <w:bCs/>
                      <w:szCs w:val="21"/>
                    </w:rPr>
                    <w:t>3</w:t>
                  </w:r>
                  <w:r>
                    <w:rPr>
                      <w:bCs/>
                      <w:szCs w:val="21"/>
                    </w:rPr>
                    <w:t>0m</w:t>
                  </w:r>
                  <w:r>
                    <w:rPr>
                      <w:bCs/>
                      <w:szCs w:val="21"/>
                      <w:vertAlign w:val="superscript"/>
                    </w:rPr>
                    <w:t>3</w:t>
                  </w:r>
                  <w:r>
                    <w:rPr>
                      <w:bCs/>
                      <w:szCs w:val="21"/>
                    </w:rPr>
                    <w:t>的9</w:t>
                  </w:r>
                  <w:r>
                    <w:rPr>
                      <w:rFonts w:hint="eastAsia"/>
                      <w:bCs/>
                      <w:szCs w:val="21"/>
                    </w:rPr>
                    <w:t>8</w:t>
                  </w:r>
                  <w:r>
                    <w:rPr>
                      <w:bCs/>
                      <w:szCs w:val="21"/>
                    </w:rPr>
                    <w:t>#汽油埋地储罐以及</w:t>
                  </w:r>
                  <w:r>
                    <w:rPr>
                      <w:rFonts w:hint="eastAsia"/>
                      <w:bCs/>
                      <w:szCs w:val="21"/>
                    </w:rPr>
                    <w:t>1</w:t>
                  </w:r>
                  <w:r>
                    <w:rPr>
                      <w:bCs/>
                      <w:szCs w:val="21"/>
                    </w:rPr>
                    <w:t>个</w:t>
                  </w:r>
                  <w:r>
                    <w:rPr>
                      <w:rFonts w:hint="eastAsia"/>
                      <w:bCs/>
                      <w:szCs w:val="21"/>
                    </w:rPr>
                    <w:t>3</w:t>
                  </w:r>
                  <w:r>
                    <w:rPr>
                      <w:bCs/>
                      <w:szCs w:val="21"/>
                    </w:rPr>
                    <w:t>0m</w:t>
                  </w:r>
                  <w:r>
                    <w:rPr>
                      <w:bCs/>
                      <w:szCs w:val="21"/>
                      <w:vertAlign w:val="superscript"/>
                    </w:rPr>
                    <w:t>3</w:t>
                  </w:r>
                  <w:r>
                    <w:rPr>
                      <w:bCs/>
                      <w:szCs w:val="21"/>
                    </w:rPr>
                    <w:t>的0#柴油埋地储罐</w:t>
                  </w:r>
                </w:p>
              </w:tc>
              <w:tc>
                <w:tcPr>
                  <w:tcW w:w="1015" w:type="pct"/>
                  <w:vMerge w:val="restart"/>
                  <w:tcBorders>
                    <w:bottom w:val="single" w:color="auto" w:sz="4" w:space="0"/>
                    <w:right w:val="single" w:color="auto" w:sz="4" w:space="0"/>
                  </w:tcBorders>
                  <w:shd w:val="clear" w:color="auto" w:fill="auto"/>
                  <w:noWrap w:val="0"/>
                  <w:vAlign w:val="center"/>
                </w:tcPr>
                <w:p>
                  <w:pPr>
                    <w:jc w:val="center"/>
                    <w:rPr>
                      <w:rFonts w:hint="eastAsia"/>
                    </w:rPr>
                  </w:pPr>
                  <w:r>
                    <w:rPr>
                      <w:rFonts w:hint="eastAsia"/>
                      <w:lang w:eastAsia="zh-CN"/>
                    </w:rPr>
                    <w:t>增加1个30m</w:t>
                  </w:r>
                  <w:r>
                    <w:rPr>
                      <w:rFonts w:hint="eastAsia"/>
                      <w:vertAlign w:val="superscript"/>
                      <w:lang w:eastAsia="zh-CN"/>
                    </w:rPr>
                    <w:t>3</w:t>
                  </w:r>
                  <w:r>
                    <w:rPr>
                      <w:rFonts w:hint="eastAsia"/>
                      <w:vertAlign w:val="superscript"/>
                      <w:lang w:val="en-US" w:eastAsia="zh-CN"/>
                    </w:rPr>
                    <w:t xml:space="preserve"> </w:t>
                  </w:r>
                  <w:r>
                    <w:rPr>
                      <w:rFonts w:hint="eastAsia"/>
                      <w:lang w:eastAsia="zh-CN"/>
                    </w:rPr>
                    <w:t>98#汽油罐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pct"/>
                  <w:vMerge w:val="continue"/>
                  <w:tcBorders>
                    <w:top w:val="single" w:color="auto" w:sz="4" w:space="0"/>
                    <w:left w:val="single" w:color="auto" w:sz="4" w:space="0"/>
                    <w:bottom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eastAsia" w:ascii="宋体" w:hAnsi="宋体" w:cs="宋体"/>
                      <w:bCs/>
                      <w:szCs w:val="21"/>
                    </w:rPr>
                  </w:pPr>
                </w:p>
              </w:tc>
              <w:tc>
                <w:tcPr>
                  <w:tcW w:w="460" w:type="pct"/>
                  <w:tcBorders>
                    <w:top w:val="single" w:color="auto" w:sz="4" w:space="0"/>
                    <w:bottom w:val="single" w:color="auto" w:sz="4" w:space="0"/>
                  </w:tcBorders>
                  <w:shd w:val="clear" w:color="auto" w:fill="auto"/>
                  <w:noWrap w:val="0"/>
                  <w:vAlign w:val="center"/>
                </w:tcPr>
                <w:p>
                  <w:pPr>
                    <w:rPr>
                      <w:rFonts w:hint="eastAsia" w:eastAsia="宋体"/>
                      <w:lang w:eastAsia="zh-CN"/>
                    </w:rPr>
                  </w:pPr>
                  <w:r>
                    <w:rPr>
                      <w:rFonts w:hint="eastAsia"/>
                      <w:lang w:eastAsia="zh-CN"/>
                    </w:rPr>
                    <w:t>运输</w:t>
                  </w:r>
                </w:p>
              </w:tc>
              <w:tc>
                <w:tcPr>
                  <w:tcW w:w="2847" w:type="pct"/>
                  <w:gridSpan w:val="2"/>
                  <w:tcBorders>
                    <w:top w:val="single" w:color="auto" w:sz="4" w:space="0"/>
                    <w:bottom w:val="single" w:color="auto" w:sz="4" w:space="0"/>
                  </w:tcBorders>
                  <w:shd w:val="clear" w:color="auto" w:fill="auto"/>
                  <w:noWrap w:val="0"/>
                  <w:vAlign w:val="center"/>
                </w:tcPr>
                <w:p>
                  <w:pPr>
                    <w:rPr>
                      <w:rFonts w:hint="eastAsia"/>
                    </w:rPr>
                  </w:pPr>
                  <w:r>
                    <w:rPr>
                      <w:rFonts w:hint="eastAsia" w:ascii="宋体" w:hAnsi="宋体" w:cs="宋体"/>
                      <w:bCs/>
                      <w:szCs w:val="21"/>
                    </w:rPr>
                    <w:t>运输</w:t>
                  </w:r>
                  <w:r>
                    <w:rPr>
                      <w:rFonts w:ascii="宋体" w:hAnsi="宋体" w:cs="宋体"/>
                      <w:bCs/>
                      <w:szCs w:val="21"/>
                    </w:rPr>
                    <w:t>采用专用车辆</w:t>
                  </w:r>
                </w:p>
              </w:tc>
              <w:tc>
                <w:tcPr>
                  <w:tcW w:w="1015" w:type="pct"/>
                  <w:vMerge w:val="continue"/>
                  <w:tcBorders>
                    <w:top w:val="single" w:color="auto" w:sz="4" w:space="0"/>
                    <w:bottom w:val="single" w:color="auto" w:sz="4" w:space="0"/>
                    <w:right w:val="single" w:color="auto" w:sz="4" w:space="0"/>
                  </w:tcBorders>
                  <w:shd w:val="clear" w:color="auto" w:fill="auto"/>
                  <w:noWrap w:val="0"/>
                  <w:vAlign w:val="center"/>
                </w:tcPr>
                <w:p>
                  <w:pPr>
                    <w:adjustRightInd w:val="0"/>
                    <w:snapToGrid w:val="0"/>
                    <w:jc w:val="left"/>
                    <w:rPr>
                      <w:rFonts w:hint="eastAsia" w:ascii="宋体" w:hAnsi="宋体" w:cs="宋体"/>
                      <w:b/>
                      <w:bCs/>
                      <w:szCs w:val="21"/>
                    </w:rPr>
                  </w:pPr>
                </w:p>
              </w:tc>
            </w:tr>
          </w:tbl>
          <w:p>
            <w:pPr>
              <w:spacing w:before="120" w:beforeLines="50" w:line="360" w:lineRule="auto"/>
              <w:ind w:firstLine="420" w:firstLineChars="200"/>
              <w:rPr>
                <w:szCs w:val="21"/>
              </w:rPr>
            </w:pPr>
            <w:r>
              <w:rPr>
                <w:rFonts w:hint="eastAsia"/>
                <w:szCs w:val="21"/>
              </w:rPr>
              <w:t>（2）建设规模</w:t>
            </w:r>
          </w:p>
          <w:p>
            <w:pPr>
              <w:spacing w:line="360" w:lineRule="auto"/>
              <w:ind w:firstLine="420" w:firstLineChars="200"/>
              <w:rPr>
                <w:szCs w:val="21"/>
              </w:rPr>
            </w:pPr>
            <w:bookmarkStart w:id="1" w:name="_Hlk62136978"/>
            <w:r>
              <w:rPr>
                <w:rFonts w:hint="eastAsia"/>
                <w:szCs w:val="21"/>
              </w:rPr>
              <w:t>本项目</w:t>
            </w:r>
            <w:r>
              <w:rPr>
                <w:rFonts w:hint="eastAsia"/>
                <w:szCs w:val="21"/>
                <w:lang w:val="en-US" w:eastAsia="zh-CN"/>
              </w:rPr>
              <w:t>扩建后</w:t>
            </w:r>
            <w:r>
              <w:rPr>
                <w:rFonts w:hint="eastAsia"/>
                <w:szCs w:val="21"/>
              </w:rPr>
              <w:t>设有</w:t>
            </w:r>
            <w:r>
              <w:rPr>
                <w:rFonts w:hint="eastAsia"/>
                <w:szCs w:val="21"/>
                <w:lang w:val="en-US" w:eastAsia="zh-CN"/>
              </w:rPr>
              <w:t>30m</w:t>
            </w:r>
            <w:r>
              <w:rPr>
                <w:rFonts w:hint="eastAsia"/>
                <w:szCs w:val="21"/>
                <w:vertAlign w:val="superscript"/>
                <w:lang w:val="en-US" w:eastAsia="zh-CN"/>
              </w:rPr>
              <w:t>3</w:t>
            </w:r>
            <w:r>
              <w:rPr>
                <w:rFonts w:hint="eastAsia"/>
                <w:szCs w:val="21"/>
                <w:lang w:val="en-US" w:eastAsia="zh-CN"/>
              </w:rPr>
              <w:t xml:space="preserve"> 98#汽油罐 1台、30m3 92#汽油罐 1台、30m3 95#汽油罐 1 台，30m</w:t>
            </w:r>
            <w:r>
              <w:rPr>
                <w:rFonts w:hint="eastAsia"/>
                <w:szCs w:val="21"/>
                <w:vertAlign w:val="superscript"/>
                <w:lang w:val="en-US" w:eastAsia="zh-CN"/>
              </w:rPr>
              <w:t>3</w:t>
            </w:r>
            <w:r>
              <w:rPr>
                <w:rFonts w:hint="eastAsia"/>
                <w:szCs w:val="21"/>
                <w:lang w:val="en-US" w:eastAsia="zh-CN"/>
              </w:rPr>
              <w:t xml:space="preserve"> 0#柴油罐 1 台</w:t>
            </w:r>
            <w:r>
              <w:rPr>
                <w:rFonts w:hint="eastAsia"/>
                <w:szCs w:val="21"/>
              </w:rPr>
              <w:t>）。站内油品储罐总容积为</w:t>
            </w:r>
            <w:r>
              <w:rPr>
                <w:rFonts w:hint="eastAsia"/>
                <w:szCs w:val="21"/>
                <w:lang w:val="en-US" w:eastAsia="zh-CN"/>
              </w:rPr>
              <w:t>120</w:t>
            </w:r>
            <w:r>
              <w:rPr>
                <w:rFonts w:hint="eastAsia"/>
                <w:szCs w:val="21"/>
              </w:rPr>
              <w:t>m</w:t>
            </w:r>
            <w:r>
              <w:rPr>
                <w:rFonts w:hint="eastAsia"/>
                <w:szCs w:val="21"/>
                <w:vertAlign w:val="superscript"/>
              </w:rPr>
              <w:t>3</w:t>
            </w:r>
            <w:r>
              <w:rPr>
                <w:rFonts w:hint="eastAsia"/>
                <w:szCs w:val="21"/>
              </w:rPr>
              <w:t>，折合油罐总容积为</w:t>
            </w:r>
            <w:r>
              <w:rPr>
                <w:rFonts w:hint="eastAsia"/>
                <w:szCs w:val="21"/>
                <w:lang w:val="en-US" w:eastAsia="zh-CN"/>
              </w:rPr>
              <w:t>105</w:t>
            </w:r>
            <w:r>
              <w:rPr>
                <w:rFonts w:hint="eastAsia"/>
                <w:szCs w:val="21"/>
              </w:rPr>
              <w:t>m</w:t>
            </w:r>
            <w:r>
              <w:rPr>
                <w:rFonts w:hint="eastAsia"/>
                <w:szCs w:val="21"/>
                <w:vertAlign w:val="superscript"/>
              </w:rPr>
              <w:t>3</w:t>
            </w:r>
            <w:r>
              <w:rPr>
                <w:rFonts w:hint="eastAsia"/>
                <w:szCs w:val="21"/>
                <w:vertAlign w:val="baseline"/>
                <w:lang w:eastAsia="zh-CN"/>
              </w:rPr>
              <w:t>（</w:t>
            </w:r>
            <w:r>
              <w:rPr>
                <w:rFonts w:hint="eastAsia"/>
                <w:szCs w:val="21"/>
                <w:vertAlign w:val="baseline"/>
                <w:lang w:val="en-US" w:eastAsia="zh-CN"/>
              </w:rPr>
              <w:t>柴油折半计算）</w:t>
            </w:r>
            <w:r>
              <w:rPr>
                <w:rFonts w:hint="eastAsia"/>
                <w:szCs w:val="21"/>
              </w:rPr>
              <w:t>。</w:t>
            </w:r>
            <w:r>
              <w:rPr>
                <w:szCs w:val="21"/>
              </w:rPr>
              <w:t>根据</w:t>
            </w:r>
            <w:r>
              <w:rPr>
                <w:rFonts w:hint="eastAsia"/>
                <w:szCs w:val="21"/>
              </w:rPr>
              <w:t>《</w:t>
            </w:r>
            <w:r>
              <w:rPr>
                <w:szCs w:val="21"/>
              </w:rPr>
              <w:t>汽车加油加气</w:t>
            </w:r>
            <w:r>
              <w:rPr>
                <w:rFonts w:hint="eastAsia"/>
                <w:szCs w:val="21"/>
              </w:rPr>
              <w:t>加氢</w:t>
            </w:r>
            <w:r>
              <w:rPr>
                <w:szCs w:val="21"/>
              </w:rPr>
              <w:t>站</w:t>
            </w:r>
            <w:r>
              <w:rPr>
                <w:rFonts w:hint="eastAsia"/>
                <w:szCs w:val="21"/>
              </w:rPr>
              <w:t>技术标准</w:t>
            </w:r>
            <w:r>
              <w:rPr>
                <w:szCs w:val="21"/>
              </w:rPr>
              <w:t>》</w:t>
            </w:r>
            <w:r>
              <w:rPr>
                <w:rFonts w:ascii="宋体" w:hAnsi="宋体"/>
                <w:szCs w:val="21"/>
              </w:rPr>
              <w:t>(</w:t>
            </w:r>
            <w:r>
              <w:rPr>
                <w:szCs w:val="21"/>
              </w:rPr>
              <w:t>GB50156-20</w:t>
            </w:r>
            <w:r>
              <w:rPr>
                <w:rFonts w:hint="eastAsia"/>
                <w:szCs w:val="21"/>
              </w:rPr>
              <w:t>21</w:t>
            </w:r>
            <w:r>
              <w:rPr>
                <w:rFonts w:ascii="宋体" w:hAnsi="宋体"/>
                <w:szCs w:val="21"/>
              </w:rPr>
              <w:t>)</w:t>
            </w:r>
            <w:r>
              <w:rPr>
                <w:szCs w:val="21"/>
              </w:rPr>
              <w:t>中加油站的等级划分标准，</w:t>
            </w:r>
            <w:r>
              <w:rPr>
                <w:rFonts w:hint="eastAsia"/>
                <w:szCs w:val="21"/>
              </w:rPr>
              <w:t>对比加油站等级划分表2-</w:t>
            </w:r>
            <w:r>
              <w:rPr>
                <w:szCs w:val="21"/>
              </w:rPr>
              <w:t>2</w:t>
            </w:r>
            <w:r>
              <w:rPr>
                <w:rFonts w:hint="eastAsia"/>
                <w:szCs w:val="21"/>
              </w:rPr>
              <w:t>，本项目为</w:t>
            </w:r>
            <w:r>
              <w:rPr>
                <w:rFonts w:hint="eastAsia"/>
                <w:szCs w:val="21"/>
                <w:lang w:val="en-US" w:eastAsia="zh-CN"/>
              </w:rPr>
              <w:t>三</w:t>
            </w:r>
            <w:r>
              <w:rPr>
                <w:rFonts w:hint="eastAsia"/>
                <w:szCs w:val="21"/>
                <w:lang w:eastAsia="zh-CN"/>
              </w:rPr>
              <w:t>级加油站</w:t>
            </w:r>
            <w:r>
              <w:rPr>
                <w:rFonts w:hint="eastAsia"/>
                <w:szCs w:val="21"/>
              </w:rPr>
              <w:t>。</w:t>
            </w:r>
          </w:p>
          <w:bookmarkEnd w:id="1"/>
          <w:p>
            <w:pPr>
              <w:pStyle w:val="7"/>
              <w:spacing w:after="0" w:line="360" w:lineRule="auto"/>
              <w:ind w:firstLine="422" w:firstLineChars="200"/>
              <w:jc w:val="center"/>
              <w:rPr>
                <w:b/>
                <w:sz w:val="21"/>
                <w:szCs w:val="24"/>
              </w:rPr>
            </w:pPr>
            <w:r>
              <w:rPr>
                <w:rFonts w:hint="eastAsia"/>
                <w:b/>
                <w:sz w:val="21"/>
                <w:szCs w:val="24"/>
              </w:rPr>
              <w:t>表2-</w:t>
            </w:r>
            <w:r>
              <w:rPr>
                <w:b/>
                <w:sz w:val="21"/>
                <w:szCs w:val="24"/>
              </w:rPr>
              <w:t xml:space="preserve">2 </w:t>
            </w:r>
            <w:r>
              <w:rPr>
                <w:rFonts w:hint="eastAsia"/>
                <w:b/>
                <w:sz w:val="21"/>
                <w:szCs w:val="24"/>
              </w:rPr>
              <w:t>加油站等级划分标</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4"/>
              <w:gridCol w:w="1504"/>
              <w:gridCol w:w="2405"/>
              <w:gridCol w:w="166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38" w:type="dxa"/>
                  <w:vMerge w:val="restart"/>
                  <w:vAlign w:val="center"/>
                </w:tcPr>
                <w:p>
                  <w:pPr>
                    <w:jc w:val="center"/>
                    <w:rPr>
                      <w:b/>
                      <w:bCs/>
                      <w:szCs w:val="21"/>
                    </w:rPr>
                  </w:pPr>
                  <w:r>
                    <w:rPr>
                      <w:b/>
                      <w:bCs/>
                      <w:szCs w:val="21"/>
                    </w:rPr>
                    <w:t>级别</w:t>
                  </w:r>
                </w:p>
              </w:tc>
              <w:tc>
                <w:tcPr>
                  <w:tcW w:w="3686" w:type="dxa"/>
                  <w:gridSpan w:val="2"/>
                  <w:vAlign w:val="center"/>
                </w:tcPr>
                <w:p>
                  <w:pPr>
                    <w:jc w:val="center"/>
                    <w:rPr>
                      <w:b/>
                      <w:bCs/>
                      <w:szCs w:val="21"/>
                    </w:rPr>
                  </w:pPr>
                  <w:r>
                    <w:rPr>
                      <w:b/>
                      <w:bCs/>
                      <w:szCs w:val="21"/>
                    </w:rPr>
                    <w:t>油罐容积（m</w:t>
                  </w:r>
                  <w:r>
                    <w:rPr>
                      <w:b/>
                      <w:bCs/>
                      <w:szCs w:val="21"/>
                      <w:vertAlign w:val="superscript"/>
                    </w:rPr>
                    <w:t>3</w:t>
                  </w:r>
                  <w:r>
                    <w:rPr>
                      <w:b/>
                      <w:bCs/>
                      <w:szCs w:val="21"/>
                    </w:rPr>
                    <w:t>）</w:t>
                  </w:r>
                </w:p>
              </w:tc>
              <w:tc>
                <w:tcPr>
                  <w:tcW w:w="1566" w:type="dxa"/>
                  <w:vMerge w:val="restart"/>
                  <w:vAlign w:val="center"/>
                </w:tcPr>
                <w:p>
                  <w:pPr>
                    <w:jc w:val="center"/>
                    <w:rPr>
                      <w:b/>
                      <w:bCs/>
                      <w:szCs w:val="21"/>
                    </w:rPr>
                  </w:pPr>
                  <w:r>
                    <w:rPr>
                      <w:rFonts w:hint="eastAsia"/>
                      <w:b/>
                      <w:bCs/>
                      <w:szCs w:val="21"/>
                      <w:lang w:val="en-US" w:eastAsia="zh-CN"/>
                    </w:rPr>
                    <w:t>扩建前</w:t>
                  </w:r>
                  <w:r>
                    <w:rPr>
                      <w:b/>
                      <w:bCs/>
                      <w:szCs w:val="21"/>
                    </w:rPr>
                    <w:t>等级</w:t>
                  </w:r>
                </w:p>
              </w:tc>
              <w:tc>
                <w:tcPr>
                  <w:tcW w:w="1666" w:type="dxa"/>
                  <w:vMerge w:val="restart"/>
                  <w:vAlign w:val="center"/>
                </w:tcPr>
                <w:p>
                  <w:pPr>
                    <w:jc w:val="center"/>
                    <w:rPr>
                      <w:b/>
                      <w:bCs/>
                      <w:szCs w:val="21"/>
                    </w:rPr>
                  </w:pPr>
                  <w:r>
                    <w:rPr>
                      <w:rFonts w:hint="eastAsia"/>
                      <w:b/>
                      <w:bCs/>
                      <w:szCs w:val="21"/>
                      <w:lang w:val="en-US" w:eastAsia="zh-CN"/>
                    </w:rPr>
                    <w:t>扩建</w:t>
                  </w:r>
                  <w:r>
                    <w:rPr>
                      <w:b/>
                      <w:bCs/>
                      <w:szCs w:val="21"/>
                    </w:rPr>
                    <w:t>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38" w:type="dxa"/>
                  <w:vMerge w:val="continue"/>
                  <w:vAlign w:val="center"/>
                </w:tcPr>
                <w:p>
                  <w:pPr>
                    <w:jc w:val="center"/>
                    <w:rPr>
                      <w:b/>
                      <w:bCs/>
                      <w:szCs w:val="21"/>
                    </w:rPr>
                  </w:pPr>
                </w:p>
              </w:tc>
              <w:tc>
                <w:tcPr>
                  <w:tcW w:w="1418" w:type="dxa"/>
                  <w:vAlign w:val="center"/>
                </w:tcPr>
                <w:p>
                  <w:pPr>
                    <w:jc w:val="center"/>
                    <w:rPr>
                      <w:b/>
                      <w:bCs/>
                      <w:szCs w:val="21"/>
                    </w:rPr>
                  </w:pPr>
                  <w:r>
                    <w:rPr>
                      <w:b/>
                      <w:bCs/>
                      <w:szCs w:val="21"/>
                    </w:rPr>
                    <w:t>总容积</w:t>
                  </w:r>
                </w:p>
              </w:tc>
              <w:tc>
                <w:tcPr>
                  <w:tcW w:w="2268" w:type="dxa"/>
                  <w:vAlign w:val="center"/>
                </w:tcPr>
                <w:p>
                  <w:pPr>
                    <w:jc w:val="center"/>
                    <w:rPr>
                      <w:b/>
                      <w:bCs/>
                      <w:szCs w:val="21"/>
                    </w:rPr>
                  </w:pPr>
                  <w:r>
                    <w:rPr>
                      <w:b/>
                      <w:bCs/>
                      <w:szCs w:val="21"/>
                    </w:rPr>
                    <w:t>单罐容积</w:t>
                  </w:r>
                </w:p>
              </w:tc>
              <w:tc>
                <w:tcPr>
                  <w:tcW w:w="1566" w:type="dxa"/>
                  <w:vMerge w:val="continue"/>
                  <w:vAlign w:val="center"/>
                </w:tcPr>
                <w:p>
                  <w:pPr>
                    <w:jc w:val="center"/>
                    <w:rPr>
                      <w:b/>
                      <w:bCs/>
                      <w:szCs w:val="21"/>
                    </w:rPr>
                  </w:pPr>
                </w:p>
              </w:tc>
              <w:tc>
                <w:tcPr>
                  <w:tcW w:w="1666"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38" w:type="dxa"/>
                  <w:vAlign w:val="center"/>
                </w:tcPr>
                <w:p>
                  <w:pPr>
                    <w:jc w:val="center"/>
                    <w:rPr>
                      <w:szCs w:val="21"/>
                    </w:rPr>
                  </w:pPr>
                  <w:r>
                    <w:rPr>
                      <w:szCs w:val="21"/>
                    </w:rPr>
                    <w:t>一级</w:t>
                  </w:r>
                </w:p>
              </w:tc>
              <w:tc>
                <w:tcPr>
                  <w:tcW w:w="1418" w:type="dxa"/>
                  <w:vAlign w:val="center"/>
                </w:tcPr>
                <w:p>
                  <w:pPr>
                    <w:jc w:val="center"/>
                    <w:rPr>
                      <w:rFonts w:eastAsia="Times New Roman"/>
                      <w:szCs w:val="21"/>
                    </w:rPr>
                  </w:pPr>
                  <w:r>
                    <w:rPr>
                      <w:rFonts w:eastAsia="Times New Roman"/>
                      <w:szCs w:val="21"/>
                    </w:rPr>
                    <w:t>150</w:t>
                  </w:r>
                  <w:r>
                    <w:rPr>
                      <w:szCs w:val="21"/>
                    </w:rPr>
                    <w:t>＜</w:t>
                  </w:r>
                  <w:r>
                    <w:rPr>
                      <w:rFonts w:eastAsia="Times New Roman"/>
                      <w:szCs w:val="21"/>
                    </w:rPr>
                    <w:t>V≤210</w:t>
                  </w:r>
                </w:p>
              </w:tc>
              <w:tc>
                <w:tcPr>
                  <w:tcW w:w="2268" w:type="dxa"/>
                  <w:vAlign w:val="center"/>
                </w:tcPr>
                <w:p>
                  <w:pPr>
                    <w:jc w:val="center"/>
                    <w:rPr>
                      <w:szCs w:val="21"/>
                    </w:rPr>
                  </w:pPr>
                  <w:r>
                    <w:rPr>
                      <w:szCs w:val="21"/>
                    </w:rPr>
                    <w:t>V≤50</w:t>
                  </w:r>
                </w:p>
              </w:tc>
              <w:tc>
                <w:tcPr>
                  <w:tcW w:w="1566" w:type="dxa"/>
                  <w:vMerge w:val="restart"/>
                  <w:vAlign w:val="center"/>
                </w:tcPr>
                <w:p>
                  <w:pPr>
                    <w:jc w:val="center"/>
                    <w:rPr>
                      <w:szCs w:val="21"/>
                    </w:rPr>
                  </w:pPr>
                  <w:r>
                    <w:rPr>
                      <w:szCs w:val="21"/>
                    </w:rPr>
                    <w:t>三级</w:t>
                  </w:r>
                </w:p>
              </w:tc>
              <w:tc>
                <w:tcPr>
                  <w:tcW w:w="1666" w:type="dxa"/>
                  <w:vMerge w:val="restart"/>
                  <w:vAlign w:val="center"/>
                </w:tcPr>
                <w:p>
                  <w:pPr>
                    <w:jc w:val="center"/>
                    <w:rPr>
                      <w:szCs w:val="21"/>
                    </w:rPr>
                  </w:pPr>
                  <w:r>
                    <w:rPr>
                      <w:rFonts w:hint="eastAsia"/>
                      <w:szCs w:val="21"/>
                      <w:lang w:val="en-US" w:eastAsia="zh-CN"/>
                    </w:rPr>
                    <w:t>二</w:t>
                  </w:r>
                  <w:r>
                    <w:rPr>
                      <w:szCs w:val="21"/>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38" w:type="dxa"/>
                  <w:vAlign w:val="center"/>
                </w:tcPr>
                <w:p>
                  <w:pPr>
                    <w:jc w:val="center"/>
                    <w:rPr>
                      <w:szCs w:val="21"/>
                    </w:rPr>
                  </w:pPr>
                  <w:r>
                    <w:rPr>
                      <w:szCs w:val="21"/>
                    </w:rPr>
                    <w:t>二级</w:t>
                  </w:r>
                </w:p>
              </w:tc>
              <w:tc>
                <w:tcPr>
                  <w:tcW w:w="1418" w:type="dxa"/>
                  <w:vAlign w:val="center"/>
                </w:tcPr>
                <w:p>
                  <w:pPr>
                    <w:jc w:val="center"/>
                    <w:rPr>
                      <w:rFonts w:eastAsia="Times New Roman"/>
                      <w:szCs w:val="21"/>
                    </w:rPr>
                  </w:pPr>
                  <w:r>
                    <w:rPr>
                      <w:rFonts w:eastAsia="Times New Roman"/>
                      <w:szCs w:val="21"/>
                    </w:rPr>
                    <w:t>90</w:t>
                  </w:r>
                  <w:r>
                    <w:rPr>
                      <w:szCs w:val="21"/>
                    </w:rPr>
                    <w:t>＜</w:t>
                  </w:r>
                  <w:r>
                    <w:rPr>
                      <w:rFonts w:eastAsia="Times New Roman"/>
                      <w:szCs w:val="21"/>
                    </w:rPr>
                    <w:t>V≤150</w:t>
                  </w:r>
                </w:p>
              </w:tc>
              <w:tc>
                <w:tcPr>
                  <w:tcW w:w="2268" w:type="dxa"/>
                  <w:vAlign w:val="center"/>
                </w:tcPr>
                <w:p>
                  <w:pPr>
                    <w:jc w:val="center"/>
                    <w:rPr>
                      <w:szCs w:val="21"/>
                    </w:rPr>
                  </w:pPr>
                  <w:r>
                    <w:rPr>
                      <w:szCs w:val="21"/>
                    </w:rPr>
                    <w:t>V≤50</w:t>
                  </w:r>
                </w:p>
              </w:tc>
              <w:tc>
                <w:tcPr>
                  <w:tcW w:w="1566" w:type="dxa"/>
                  <w:vMerge w:val="continue"/>
                  <w:vAlign w:val="center"/>
                </w:tcPr>
                <w:p>
                  <w:pPr>
                    <w:jc w:val="center"/>
                    <w:rPr>
                      <w:szCs w:val="21"/>
                    </w:rPr>
                  </w:pPr>
                </w:p>
              </w:tc>
              <w:tc>
                <w:tcPr>
                  <w:tcW w:w="16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938" w:type="dxa"/>
                  <w:vAlign w:val="center"/>
                </w:tcPr>
                <w:p>
                  <w:pPr>
                    <w:jc w:val="center"/>
                    <w:rPr>
                      <w:szCs w:val="21"/>
                    </w:rPr>
                  </w:pPr>
                  <w:r>
                    <w:rPr>
                      <w:szCs w:val="21"/>
                    </w:rPr>
                    <w:t>三级</w:t>
                  </w:r>
                </w:p>
              </w:tc>
              <w:tc>
                <w:tcPr>
                  <w:tcW w:w="1418" w:type="dxa"/>
                  <w:vAlign w:val="center"/>
                </w:tcPr>
                <w:p>
                  <w:pPr>
                    <w:jc w:val="center"/>
                    <w:rPr>
                      <w:rFonts w:eastAsia="Times New Roman"/>
                      <w:szCs w:val="21"/>
                    </w:rPr>
                  </w:pPr>
                  <w:r>
                    <w:rPr>
                      <w:rFonts w:eastAsia="Times New Roman"/>
                      <w:szCs w:val="21"/>
                    </w:rPr>
                    <w:t>V≤90</w:t>
                  </w:r>
                </w:p>
              </w:tc>
              <w:tc>
                <w:tcPr>
                  <w:tcW w:w="2268" w:type="dxa"/>
                  <w:vAlign w:val="center"/>
                </w:tcPr>
                <w:p>
                  <w:pPr>
                    <w:jc w:val="center"/>
                    <w:rPr>
                      <w:szCs w:val="21"/>
                    </w:rPr>
                  </w:pPr>
                  <w:r>
                    <w:rPr>
                      <w:szCs w:val="21"/>
                    </w:rPr>
                    <w:t>汽油罐≤30，柴油罐≤50</w:t>
                  </w:r>
                </w:p>
              </w:tc>
              <w:tc>
                <w:tcPr>
                  <w:tcW w:w="1566" w:type="dxa"/>
                  <w:vMerge w:val="continue"/>
                  <w:vAlign w:val="center"/>
                </w:tcPr>
                <w:p>
                  <w:pPr>
                    <w:jc w:val="center"/>
                    <w:rPr>
                      <w:szCs w:val="21"/>
                    </w:rPr>
                  </w:pPr>
                </w:p>
              </w:tc>
              <w:tc>
                <w:tcPr>
                  <w:tcW w:w="166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 w:hRule="atLeast"/>
                <w:jc w:val="center"/>
              </w:trPr>
              <w:tc>
                <w:tcPr>
                  <w:tcW w:w="7856" w:type="dxa"/>
                  <w:gridSpan w:val="5"/>
                  <w:vAlign w:val="center"/>
                </w:tcPr>
                <w:p>
                  <w:pPr>
                    <w:spacing w:line="240" w:lineRule="atLeast"/>
                    <w:jc w:val="left"/>
                    <w:rPr>
                      <w:szCs w:val="21"/>
                    </w:rPr>
                  </w:pPr>
                  <w:r>
                    <w:rPr>
                      <w:szCs w:val="21"/>
                    </w:rPr>
                    <w:t>注：V为油罐总容积、柴油罐容积可折半计入油罐总容积</w:t>
                  </w:r>
                </w:p>
              </w:tc>
            </w:tr>
          </w:tbl>
          <w:p>
            <w:pPr>
              <w:tabs>
                <w:tab w:val="left" w:pos="7172"/>
              </w:tabs>
              <w:adjustRightInd w:val="0"/>
              <w:snapToGrid w:val="0"/>
              <w:spacing w:line="360" w:lineRule="auto"/>
              <w:ind w:firstLine="435"/>
              <w:jc w:val="left"/>
              <w:rPr>
                <w:rFonts w:ascii="宋体" w:hAnsi="宋体" w:cs="宋体"/>
                <w:b/>
                <w:bCs/>
                <w:szCs w:val="21"/>
              </w:rPr>
            </w:pPr>
            <w:r>
              <w:rPr>
                <w:b/>
                <w:bCs/>
                <w:szCs w:val="21"/>
              </w:rPr>
              <w:t>2</w:t>
            </w:r>
            <w:r>
              <w:rPr>
                <w:rFonts w:ascii="宋体" w:hAnsi="宋体" w:cs="宋体"/>
                <w:b/>
                <w:bCs/>
                <w:szCs w:val="21"/>
              </w:rPr>
              <w:t>.</w:t>
            </w:r>
            <w:r>
              <w:rPr>
                <w:rFonts w:hint="eastAsia" w:ascii="宋体" w:hAnsi="宋体" w:cs="宋体"/>
                <w:b/>
                <w:bCs/>
                <w:szCs w:val="21"/>
              </w:rPr>
              <w:t>项目</w:t>
            </w:r>
            <w:r>
              <w:rPr>
                <w:rFonts w:ascii="宋体" w:hAnsi="宋体" w:cs="宋体"/>
                <w:b/>
                <w:bCs/>
                <w:szCs w:val="21"/>
              </w:rPr>
              <w:t>产品方案</w:t>
            </w:r>
            <w:r>
              <w:rPr>
                <w:rFonts w:ascii="宋体" w:hAnsi="宋体" w:cs="宋体"/>
                <w:b/>
                <w:bCs/>
                <w:szCs w:val="21"/>
              </w:rPr>
              <w:tab/>
            </w:r>
          </w:p>
          <w:p>
            <w:pPr>
              <w:adjustRightInd w:val="0"/>
              <w:snapToGrid w:val="0"/>
              <w:spacing w:line="360" w:lineRule="auto"/>
              <w:ind w:firstLine="435"/>
              <w:jc w:val="left"/>
              <w:rPr>
                <w:bCs/>
                <w:sz w:val="21"/>
                <w:szCs w:val="21"/>
              </w:rPr>
            </w:pPr>
            <w:r>
              <w:rPr>
                <w:rFonts w:hint="eastAsia" w:ascii="宋体" w:hAnsi="宋体" w:cs="宋体"/>
                <w:bCs/>
                <w:sz w:val="21"/>
                <w:szCs w:val="21"/>
              </w:rPr>
              <w:t>项目产品及销量详见下表</w:t>
            </w:r>
            <w:r>
              <w:rPr>
                <w:rFonts w:hint="eastAsia"/>
                <w:bCs/>
                <w:sz w:val="21"/>
                <w:szCs w:val="21"/>
              </w:rPr>
              <w:t>。</w:t>
            </w:r>
          </w:p>
          <w:p>
            <w:pPr>
              <w:adjustRightInd w:val="0"/>
              <w:snapToGrid w:val="0"/>
              <w:spacing w:line="360" w:lineRule="auto"/>
              <w:jc w:val="center"/>
              <w:rPr>
                <w:b/>
                <w:bCs/>
                <w:szCs w:val="21"/>
              </w:rPr>
            </w:pPr>
            <w:r>
              <w:rPr>
                <w:rFonts w:hint="eastAsia"/>
                <w:b/>
                <w:bCs/>
                <w:szCs w:val="21"/>
              </w:rPr>
              <w:t>表2-</w:t>
            </w:r>
            <w:r>
              <w:rPr>
                <w:rFonts w:hint="eastAsia"/>
                <w:b/>
                <w:bCs/>
                <w:szCs w:val="21"/>
                <w:lang w:val="en-US" w:eastAsia="zh-CN"/>
              </w:rPr>
              <w:t>3</w:t>
            </w:r>
            <w:r>
              <w:rPr>
                <w:rFonts w:hint="eastAsia"/>
                <w:b/>
                <w:bCs/>
                <w:szCs w:val="21"/>
              </w:rPr>
              <w:t>燃油</w:t>
            </w:r>
            <w:r>
              <w:rPr>
                <w:b/>
                <w:bCs/>
                <w:szCs w:val="21"/>
              </w:rPr>
              <w:t>经营规模</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337"/>
              <w:gridCol w:w="2005"/>
              <w:gridCol w:w="2134"/>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3"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261"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名称</w:t>
                  </w:r>
                </w:p>
              </w:tc>
              <w:tc>
                <w:tcPr>
                  <w:tcW w:w="5832" w:type="dxa"/>
                  <w:gridSpan w:val="3"/>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年销售量（t/a）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3" w:type="dxa"/>
                  <w:vMerge w:val="continue"/>
                  <w:shd w:val="clear" w:color="auto" w:fill="auto"/>
                  <w:noWrap w:val="0"/>
                  <w:vAlign w:val="center"/>
                </w:tcPr>
                <w:p>
                  <w:pPr>
                    <w:adjustRightInd w:val="0"/>
                    <w:snapToGrid w:val="0"/>
                    <w:spacing w:line="276" w:lineRule="auto"/>
                    <w:jc w:val="center"/>
                  </w:pPr>
                </w:p>
              </w:tc>
              <w:tc>
                <w:tcPr>
                  <w:tcW w:w="1261" w:type="dxa"/>
                  <w:vMerge w:val="continue"/>
                  <w:shd w:val="clear" w:color="auto" w:fill="auto"/>
                  <w:noWrap w:val="0"/>
                  <w:vAlign w:val="center"/>
                </w:tcPr>
                <w:p>
                  <w:pPr>
                    <w:adjustRightInd w:val="0"/>
                    <w:snapToGrid w:val="0"/>
                    <w:spacing w:line="276" w:lineRule="auto"/>
                    <w:jc w:val="center"/>
                  </w:pPr>
                </w:p>
              </w:tc>
              <w:tc>
                <w:tcPr>
                  <w:tcW w:w="1891"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扩建前</w:t>
                  </w:r>
                </w:p>
              </w:tc>
              <w:tc>
                <w:tcPr>
                  <w:tcW w:w="2013"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扩建后</w:t>
                  </w:r>
                </w:p>
              </w:tc>
              <w:tc>
                <w:tcPr>
                  <w:tcW w:w="1928"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26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0#柴油</w:t>
                  </w:r>
                </w:p>
              </w:tc>
              <w:tc>
                <w:tcPr>
                  <w:tcW w:w="1891" w:type="dxa"/>
                  <w:shd w:val="clear" w:color="auto" w:fill="auto"/>
                  <w:noWrap w:val="0"/>
                  <w:vAlign w:val="top"/>
                </w:tcPr>
                <w:p>
                  <w:pPr>
                    <w:spacing w:before="5" w:line="255" w:lineRule="exact"/>
                    <w:ind w:left="636" w:leftChars="0"/>
                    <w:rPr>
                      <w:rFonts w:hint="eastAsia"/>
                      <w:bCs/>
                      <w:szCs w:val="21"/>
                    </w:rPr>
                  </w:pPr>
                  <w:r>
                    <w:rPr>
                      <w:rFonts w:ascii="Times New Roman" w:hAnsi="Times New Roman" w:eastAsia="Times New Roman" w:cs="Times New Roman"/>
                      <w:spacing w:val="-1"/>
                      <w:position w:val="1"/>
                      <w:sz w:val="20"/>
                      <w:szCs w:val="20"/>
                    </w:rPr>
                    <w:t>100t/a</w:t>
                  </w:r>
                </w:p>
              </w:tc>
              <w:tc>
                <w:tcPr>
                  <w:tcW w:w="2013" w:type="dxa"/>
                  <w:shd w:val="clear" w:color="auto" w:fill="auto"/>
                  <w:noWrap w:val="0"/>
                  <w:vAlign w:val="top"/>
                </w:tcPr>
                <w:p>
                  <w:pPr>
                    <w:spacing w:before="5" w:line="255" w:lineRule="exact"/>
                    <w:ind w:left="636" w:leftChars="0"/>
                    <w:rPr>
                      <w:rFonts w:hint="default"/>
                      <w:bCs/>
                      <w:szCs w:val="21"/>
                      <w:lang w:val="en-US"/>
                    </w:rPr>
                  </w:pPr>
                  <w:r>
                    <w:rPr>
                      <w:rFonts w:ascii="Times New Roman" w:hAnsi="Times New Roman" w:eastAsia="Times New Roman" w:cs="Times New Roman"/>
                      <w:spacing w:val="-1"/>
                      <w:position w:val="1"/>
                      <w:sz w:val="20"/>
                      <w:szCs w:val="20"/>
                    </w:rPr>
                    <w:t>100t/a</w:t>
                  </w:r>
                </w:p>
              </w:tc>
              <w:tc>
                <w:tcPr>
                  <w:tcW w:w="1928"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26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w:t>
                  </w:r>
                </w:p>
              </w:tc>
              <w:tc>
                <w:tcPr>
                  <w:tcW w:w="1891" w:type="dxa"/>
                  <w:shd w:val="clear" w:color="auto" w:fill="auto"/>
                  <w:noWrap w:val="0"/>
                  <w:vAlign w:val="top"/>
                </w:tcPr>
                <w:p>
                  <w:pPr>
                    <w:spacing w:before="12" w:line="249" w:lineRule="exact"/>
                    <w:ind w:left="620" w:leftChars="0"/>
                    <w:rPr>
                      <w:rFonts w:hint="eastAsia"/>
                      <w:bCs/>
                      <w:szCs w:val="21"/>
                    </w:rPr>
                  </w:pPr>
                  <w:r>
                    <w:rPr>
                      <w:rFonts w:hint="eastAsia" w:eastAsia="宋体" w:cs="Times New Roman"/>
                      <w:spacing w:val="2"/>
                      <w:position w:val="1"/>
                      <w:sz w:val="20"/>
                      <w:szCs w:val="20"/>
                      <w:lang w:val="en-US" w:eastAsia="zh-CN"/>
                    </w:rPr>
                    <w:t>600</w:t>
                  </w:r>
                  <w:r>
                    <w:rPr>
                      <w:rFonts w:ascii="Times New Roman" w:hAnsi="Times New Roman" w:eastAsia="Times New Roman" w:cs="Times New Roman"/>
                      <w:spacing w:val="2"/>
                      <w:position w:val="1"/>
                      <w:sz w:val="20"/>
                      <w:szCs w:val="20"/>
                    </w:rPr>
                    <w:t>t/a</w:t>
                  </w:r>
                </w:p>
              </w:tc>
              <w:tc>
                <w:tcPr>
                  <w:tcW w:w="2013" w:type="dxa"/>
                  <w:shd w:val="clear" w:color="auto" w:fill="auto"/>
                  <w:noWrap w:val="0"/>
                  <w:vAlign w:val="top"/>
                </w:tcPr>
                <w:p>
                  <w:pPr>
                    <w:spacing w:before="12" w:line="249" w:lineRule="exact"/>
                    <w:ind w:left="620" w:leftChars="0"/>
                    <w:rPr>
                      <w:rFonts w:hint="default"/>
                      <w:bCs/>
                      <w:szCs w:val="21"/>
                      <w:lang w:val="en-US"/>
                    </w:rPr>
                  </w:pPr>
                  <w:r>
                    <w:rPr>
                      <w:rFonts w:hint="eastAsia" w:eastAsia="宋体" w:cs="Times New Roman"/>
                      <w:spacing w:val="2"/>
                      <w:position w:val="1"/>
                      <w:sz w:val="20"/>
                      <w:szCs w:val="20"/>
                      <w:lang w:val="en-US" w:eastAsia="zh-CN"/>
                    </w:rPr>
                    <w:t>600</w:t>
                  </w:r>
                  <w:r>
                    <w:rPr>
                      <w:rFonts w:ascii="Times New Roman" w:hAnsi="Times New Roman" w:eastAsia="Times New Roman" w:cs="Times New Roman"/>
                      <w:spacing w:val="2"/>
                      <w:position w:val="1"/>
                      <w:sz w:val="20"/>
                      <w:szCs w:val="20"/>
                    </w:rPr>
                    <w:t>t/a</w:t>
                  </w:r>
                </w:p>
              </w:tc>
              <w:tc>
                <w:tcPr>
                  <w:tcW w:w="1928"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3</w:t>
                  </w:r>
                </w:p>
              </w:tc>
              <w:tc>
                <w:tcPr>
                  <w:tcW w:w="126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w:t>
                  </w:r>
                </w:p>
              </w:tc>
              <w:tc>
                <w:tcPr>
                  <w:tcW w:w="1891" w:type="dxa"/>
                  <w:shd w:val="clear" w:color="auto" w:fill="auto"/>
                  <w:noWrap w:val="0"/>
                  <w:vAlign w:val="top"/>
                </w:tcPr>
                <w:p>
                  <w:pPr>
                    <w:spacing w:before="19" w:line="265" w:lineRule="exact"/>
                    <w:ind w:left="616" w:leftChars="0"/>
                    <w:rPr>
                      <w:rFonts w:hint="eastAsia"/>
                      <w:bCs/>
                      <w:szCs w:val="21"/>
                    </w:rPr>
                  </w:pPr>
                  <w:r>
                    <w:rPr>
                      <w:rFonts w:hint="eastAsia" w:eastAsia="宋体" w:cs="Times New Roman"/>
                      <w:spacing w:val="2"/>
                      <w:position w:val="1"/>
                      <w:sz w:val="20"/>
                      <w:szCs w:val="20"/>
                      <w:lang w:val="en-US" w:eastAsia="zh-CN"/>
                    </w:rPr>
                    <w:t>4</w:t>
                  </w:r>
                  <w:r>
                    <w:rPr>
                      <w:rFonts w:ascii="Times New Roman" w:hAnsi="Times New Roman" w:eastAsia="Times New Roman" w:cs="Times New Roman"/>
                      <w:spacing w:val="2"/>
                      <w:position w:val="1"/>
                      <w:sz w:val="20"/>
                      <w:szCs w:val="20"/>
                    </w:rPr>
                    <w:t>00t/a</w:t>
                  </w:r>
                </w:p>
              </w:tc>
              <w:tc>
                <w:tcPr>
                  <w:tcW w:w="2013" w:type="dxa"/>
                  <w:shd w:val="clear" w:color="auto" w:fill="auto"/>
                  <w:noWrap w:val="0"/>
                  <w:vAlign w:val="top"/>
                </w:tcPr>
                <w:p>
                  <w:pPr>
                    <w:spacing w:before="19" w:line="265" w:lineRule="exact"/>
                    <w:ind w:left="616" w:leftChars="0"/>
                    <w:rPr>
                      <w:rFonts w:hint="default"/>
                      <w:bCs/>
                      <w:szCs w:val="21"/>
                      <w:lang w:val="en-US"/>
                    </w:rPr>
                  </w:pPr>
                  <w:r>
                    <w:rPr>
                      <w:rFonts w:hint="eastAsia" w:eastAsia="宋体" w:cs="Times New Roman"/>
                      <w:spacing w:val="2"/>
                      <w:position w:val="1"/>
                      <w:sz w:val="20"/>
                      <w:szCs w:val="20"/>
                      <w:lang w:val="en-US" w:eastAsia="zh-CN"/>
                    </w:rPr>
                    <w:t>4</w:t>
                  </w:r>
                  <w:r>
                    <w:rPr>
                      <w:rFonts w:ascii="Times New Roman" w:hAnsi="Times New Roman" w:eastAsia="Times New Roman" w:cs="Times New Roman"/>
                      <w:spacing w:val="2"/>
                      <w:position w:val="1"/>
                      <w:sz w:val="20"/>
                      <w:szCs w:val="20"/>
                    </w:rPr>
                    <w:t>00t/a</w:t>
                  </w:r>
                </w:p>
              </w:tc>
              <w:tc>
                <w:tcPr>
                  <w:tcW w:w="1928"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4</w:t>
                  </w:r>
                </w:p>
              </w:tc>
              <w:tc>
                <w:tcPr>
                  <w:tcW w:w="1261"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w:t>
                  </w:r>
                  <w:r>
                    <w:rPr>
                      <w:rFonts w:hint="eastAsia"/>
                      <w:bCs/>
                      <w:szCs w:val="21"/>
                      <w:lang w:val="en-US" w:eastAsia="zh-CN"/>
                    </w:rPr>
                    <w:t>8</w:t>
                  </w:r>
                  <w:r>
                    <w:rPr>
                      <w:bCs/>
                      <w:szCs w:val="21"/>
                    </w:rPr>
                    <w:t>#汽油</w:t>
                  </w:r>
                </w:p>
              </w:tc>
              <w:tc>
                <w:tcPr>
                  <w:tcW w:w="1891" w:type="dxa"/>
                  <w:shd w:val="clear" w:color="auto" w:fill="auto"/>
                  <w:noWrap w:val="0"/>
                  <w:vAlign w:val="top"/>
                </w:tcPr>
                <w:p>
                  <w:pPr>
                    <w:spacing w:before="19" w:line="265" w:lineRule="exact"/>
                    <w:ind w:left="616" w:leftChars="0"/>
                    <w:rPr>
                      <w:rFonts w:hint="default" w:ascii="Times New Roman" w:hAnsi="Times New Roman" w:eastAsia="宋体" w:cs="Times New Roman"/>
                      <w:spacing w:val="2"/>
                      <w:position w:val="1"/>
                      <w:sz w:val="20"/>
                      <w:szCs w:val="20"/>
                      <w:lang w:val="en-US" w:eastAsia="zh-CN"/>
                    </w:rPr>
                  </w:pPr>
                  <w:r>
                    <w:rPr>
                      <w:rFonts w:hint="eastAsia" w:cs="Times New Roman"/>
                      <w:spacing w:val="2"/>
                      <w:position w:val="1"/>
                      <w:sz w:val="20"/>
                      <w:szCs w:val="20"/>
                      <w:lang w:val="en-US" w:eastAsia="zh-CN"/>
                    </w:rPr>
                    <w:t>0</w:t>
                  </w:r>
                </w:p>
              </w:tc>
              <w:tc>
                <w:tcPr>
                  <w:tcW w:w="2013" w:type="dxa"/>
                  <w:shd w:val="clear" w:color="auto" w:fill="auto"/>
                  <w:noWrap w:val="0"/>
                  <w:vAlign w:val="center"/>
                </w:tcPr>
                <w:p>
                  <w:pPr>
                    <w:adjustRightInd w:val="0"/>
                    <w:snapToGrid w:val="0"/>
                    <w:spacing w:line="276" w:lineRule="auto"/>
                    <w:jc w:val="center"/>
                    <w:rPr>
                      <w:rFonts w:hint="default"/>
                      <w:bCs/>
                      <w:szCs w:val="21"/>
                      <w:lang w:val="en-US" w:eastAsia="zh-CN"/>
                    </w:rPr>
                  </w:pPr>
                  <w:r>
                    <w:rPr>
                      <w:rFonts w:hint="eastAsia" w:eastAsia="宋体" w:cs="Times New Roman"/>
                      <w:spacing w:val="2"/>
                      <w:position w:val="1"/>
                      <w:sz w:val="20"/>
                      <w:szCs w:val="20"/>
                      <w:lang w:val="en-US" w:eastAsia="zh-CN"/>
                    </w:rPr>
                    <w:t>200</w:t>
                  </w:r>
                  <w:r>
                    <w:rPr>
                      <w:rFonts w:ascii="Times New Roman" w:hAnsi="Times New Roman" w:eastAsia="Times New Roman" w:cs="Times New Roman"/>
                      <w:spacing w:val="2"/>
                      <w:position w:val="1"/>
                      <w:sz w:val="20"/>
                      <w:szCs w:val="20"/>
                    </w:rPr>
                    <w:t>t/a</w:t>
                  </w:r>
                </w:p>
              </w:tc>
              <w:tc>
                <w:tcPr>
                  <w:tcW w:w="1928"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w:t>
                  </w:r>
                  <w:r>
                    <w:rPr>
                      <w:rFonts w:hint="eastAsia" w:eastAsia="宋体" w:cs="Times New Roman"/>
                      <w:spacing w:val="2"/>
                      <w:position w:val="1"/>
                      <w:sz w:val="20"/>
                      <w:szCs w:val="20"/>
                      <w:lang w:val="en-US" w:eastAsia="zh-CN"/>
                    </w:rPr>
                    <w:t>200</w:t>
                  </w:r>
                  <w:r>
                    <w:rPr>
                      <w:rFonts w:ascii="Times New Roman" w:hAnsi="Times New Roman" w:eastAsia="Times New Roman" w:cs="Times New Roman"/>
                      <w:spacing w:val="2"/>
                      <w:position w:val="1"/>
                      <w:sz w:val="20"/>
                      <w:szCs w:val="20"/>
                    </w:rPr>
                    <w:t>t/a</w:t>
                  </w:r>
                </w:p>
              </w:tc>
            </w:tr>
          </w:tbl>
          <w:p>
            <w:pPr>
              <w:adjustRightInd w:val="0"/>
              <w:snapToGrid w:val="0"/>
              <w:spacing w:line="360" w:lineRule="auto"/>
              <w:ind w:firstLine="435"/>
              <w:jc w:val="left"/>
              <w:rPr>
                <w:b/>
                <w:bCs/>
                <w:szCs w:val="21"/>
              </w:rPr>
            </w:pPr>
            <w:r>
              <w:rPr>
                <w:rFonts w:hint="eastAsia"/>
                <w:b/>
                <w:bCs/>
                <w:szCs w:val="21"/>
              </w:rPr>
              <w:t>3.项目</w:t>
            </w:r>
            <w:r>
              <w:rPr>
                <w:b/>
                <w:bCs/>
                <w:szCs w:val="21"/>
              </w:rPr>
              <w:t>原辅材料</w:t>
            </w:r>
          </w:p>
          <w:p>
            <w:pPr>
              <w:adjustRightInd w:val="0"/>
              <w:snapToGrid w:val="0"/>
              <w:spacing w:line="360" w:lineRule="auto"/>
              <w:ind w:firstLine="435"/>
              <w:jc w:val="left"/>
              <w:rPr>
                <w:bCs/>
                <w:szCs w:val="21"/>
              </w:rPr>
            </w:pPr>
            <w:r>
              <w:rPr>
                <w:rFonts w:hint="eastAsia"/>
                <w:bCs/>
                <w:szCs w:val="21"/>
              </w:rPr>
              <w:t>项目</w:t>
            </w:r>
            <w:r>
              <w:rPr>
                <w:bCs/>
                <w:szCs w:val="21"/>
              </w:rPr>
              <w:t>主要原辅材料用量及能源消耗见下表：</w:t>
            </w:r>
          </w:p>
          <w:p>
            <w:pPr>
              <w:adjustRightInd w:val="0"/>
              <w:snapToGrid w:val="0"/>
              <w:spacing w:line="360" w:lineRule="auto"/>
              <w:jc w:val="center"/>
              <w:rPr>
                <w:b/>
                <w:bCs/>
                <w:szCs w:val="21"/>
              </w:rPr>
            </w:pPr>
            <w:r>
              <w:rPr>
                <w:rFonts w:hint="eastAsia"/>
                <w:b/>
                <w:bCs/>
                <w:szCs w:val="21"/>
              </w:rPr>
              <w:t>表2-</w:t>
            </w:r>
            <w:r>
              <w:rPr>
                <w:rFonts w:hint="eastAsia"/>
                <w:b/>
                <w:bCs/>
                <w:szCs w:val="21"/>
                <w:lang w:val="en-US" w:eastAsia="zh-CN"/>
              </w:rPr>
              <w:t>4</w:t>
            </w:r>
            <w:r>
              <w:rPr>
                <w:rFonts w:hint="eastAsia"/>
                <w:b/>
                <w:bCs/>
                <w:szCs w:val="21"/>
              </w:rPr>
              <w:t xml:space="preserve">  项目</w:t>
            </w:r>
            <w:r>
              <w:rPr>
                <w:b/>
                <w:bCs/>
                <w:szCs w:val="21"/>
              </w:rPr>
              <w:t>原辅材料及能源消耗表</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702"/>
              <w:gridCol w:w="2164"/>
              <w:gridCol w:w="1366"/>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605"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名称</w:t>
                  </w:r>
                </w:p>
              </w:tc>
              <w:tc>
                <w:tcPr>
                  <w:tcW w:w="2041"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年消耗量（t/a）</w:t>
                  </w:r>
                </w:p>
              </w:tc>
              <w:tc>
                <w:tcPr>
                  <w:tcW w:w="1288"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来源</w:t>
                  </w:r>
                </w:p>
              </w:tc>
              <w:tc>
                <w:tcPr>
                  <w:tcW w:w="2066" w:type="dxa"/>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0#柴油</w:t>
                  </w:r>
                </w:p>
              </w:tc>
              <w:tc>
                <w:tcPr>
                  <w:tcW w:w="2041" w:type="dxa"/>
                  <w:shd w:val="clear" w:color="auto" w:fill="auto"/>
                  <w:noWrap w:val="0"/>
                  <w:vAlign w:val="center"/>
                </w:tcPr>
                <w:p>
                  <w:pPr>
                    <w:adjustRightInd w:val="0"/>
                    <w:snapToGrid w:val="0"/>
                    <w:spacing w:line="276" w:lineRule="auto"/>
                    <w:jc w:val="center"/>
                    <w:rPr>
                      <w:rFonts w:hint="default"/>
                      <w:bCs/>
                      <w:szCs w:val="21"/>
                      <w:lang w:val="en-US"/>
                    </w:rPr>
                  </w:pPr>
                  <w:r>
                    <w:rPr>
                      <w:rFonts w:hint="eastAsia"/>
                      <w:bCs/>
                      <w:szCs w:val="21"/>
                      <w:lang w:val="en-US" w:eastAsia="zh-CN"/>
                    </w:rPr>
                    <w:t>100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w:t>
                  </w:r>
                </w:p>
              </w:tc>
              <w:tc>
                <w:tcPr>
                  <w:tcW w:w="2041" w:type="dxa"/>
                  <w:shd w:val="clear" w:color="auto" w:fill="auto"/>
                  <w:noWrap w:val="0"/>
                  <w:vAlign w:val="center"/>
                </w:tcPr>
                <w:p>
                  <w:pPr>
                    <w:adjustRightInd w:val="0"/>
                    <w:snapToGrid w:val="0"/>
                    <w:spacing w:line="276" w:lineRule="auto"/>
                    <w:jc w:val="center"/>
                    <w:rPr>
                      <w:rFonts w:hint="default"/>
                      <w:bCs/>
                      <w:szCs w:val="21"/>
                      <w:lang w:val="en-US"/>
                    </w:rPr>
                  </w:pPr>
                  <w:r>
                    <w:rPr>
                      <w:rFonts w:hint="eastAsia"/>
                      <w:bCs/>
                      <w:szCs w:val="21"/>
                      <w:lang w:val="en-US" w:eastAsia="zh-CN"/>
                    </w:rPr>
                    <w:t>600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3</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w:t>
                  </w:r>
                </w:p>
              </w:tc>
              <w:tc>
                <w:tcPr>
                  <w:tcW w:w="2041" w:type="dxa"/>
                  <w:shd w:val="clear" w:color="auto" w:fill="auto"/>
                  <w:noWrap w:val="0"/>
                  <w:vAlign w:val="center"/>
                </w:tcPr>
                <w:p>
                  <w:pPr>
                    <w:adjustRightInd w:val="0"/>
                    <w:snapToGrid w:val="0"/>
                    <w:spacing w:line="276" w:lineRule="auto"/>
                    <w:jc w:val="center"/>
                    <w:rPr>
                      <w:rFonts w:hint="default"/>
                      <w:bCs/>
                      <w:szCs w:val="21"/>
                      <w:lang w:val="en-US"/>
                    </w:rPr>
                  </w:pPr>
                  <w:r>
                    <w:rPr>
                      <w:rFonts w:hint="eastAsia"/>
                      <w:bCs/>
                      <w:szCs w:val="21"/>
                      <w:lang w:val="en-US" w:eastAsia="zh-CN"/>
                    </w:rPr>
                    <w:t>400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4</w:t>
                  </w:r>
                </w:p>
              </w:tc>
              <w:tc>
                <w:tcPr>
                  <w:tcW w:w="1605"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98#汽油</w:t>
                  </w:r>
                </w:p>
              </w:tc>
              <w:tc>
                <w:tcPr>
                  <w:tcW w:w="2041" w:type="dxa"/>
                  <w:shd w:val="clear" w:color="auto" w:fill="auto"/>
                  <w:noWrap w:val="0"/>
                  <w:vAlign w:val="center"/>
                </w:tcPr>
                <w:p>
                  <w:pPr>
                    <w:adjustRightInd w:val="0"/>
                    <w:snapToGrid w:val="0"/>
                    <w:spacing w:line="276" w:lineRule="auto"/>
                    <w:jc w:val="center"/>
                    <w:rPr>
                      <w:rFonts w:hint="default"/>
                      <w:bCs/>
                      <w:szCs w:val="21"/>
                      <w:lang w:val="en-US" w:eastAsia="zh-CN"/>
                    </w:rPr>
                  </w:pPr>
                  <w:r>
                    <w:rPr>
                      <w:rFonts w:hint="eastAsia"/>
                      <w:bCs/>
                      <w:szCs w:val="21"/>
                      <w:lang w:val="en-US" w:eastAsia="zh-CN"/>
                    </w:rPr>
                    <w:t>200</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油库</w:t>
                  </w:r>
                </w:p>
              </w:tc>
              <w:tc>
                <w:tcPr>
                  <w:tcW w:w="2066" w:type="dxa"/>
                  <w:shd w:val="clear" w:color="auto" w:fill="auto"/>
                  <w:noWrap w:val="0"/>
                  <w:vAlign w:val="center"/>
                </w:tcPr>
                <w:p>
                  <w:pPr>
                    <w:adjustRightInd w:val="0"/>
                    <w:snapToGrid w:val="0"/>
                    <w:spacing w:line="276" w:lineRule="auto"/>
                    <w:jc w:val="center"/>
                    <w:rPr>
                      <w:rFonts w:hint="default"/>
                      <w:bCs/>
                      <w:szCs w:val="21"/>
                      <w:lang w:val="en-US" w:eastAsia="zh-CN"/>
                    </w:rPr>
                  </w:pPr>
                  <w:r>
                    <w:rPr>
                      <w:rFonts w:hint="eastAsia"/>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5</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电</w:t>
                  </w:r>
                </w:p>
              </w:tc>
              <w:tc>
                <w:tcPr>
                  <w:tcW w:w="2041"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2400KW</w:t>
                  </w:r>
                  <w:r>
                    <w:rPr>
                      <w:rFonts w:hint="eastAsia"/>
                      <w:bCs/>
                      <w:szCs w:val="21"/>
                    </w:rPr>
                    <w:t>/a</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市政</w:t>
                  </w:r>
                  <w:r>
                    <w:rPr>
                      <w:bCs/>
                      <w:szCs w:val="21"/>
                    </w:rPr>
                    <w:t>供电</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shd w:val="clear" w:color="auto" w:fill="auto"/>
                  <w:noWrap w:val="0"/>
                  <w:vAlign w:val="center"/>
                </w:tcPr>
                <w:p>
                  <w:pPr>
                    <w:adjustRightInd w:val="0"/>
                    <w:snapToGrid w:val="0"/>
                    <w:spacing w:line="276" w:lineRule="auto"/>
                    <w:jc w:val="center"/>
                    <w:rPr>
                      <w:rFonts w:hint="eastAsia" w:eastAsia="宋体"/>
                      <w:bCs/>
                      <w:szCs w:val="21"/>
                      <w:lang w:val="en-US" w:eastAsia="zh-CN"/>
                    </w:rPr>
                  </w:pPr>
                  <w:r>
                    <w:rPr>
                      <w:rFonts w:hint="eastAsia"/>
                      <w:bCs/>
                      <w:szCs w:val="21"/>
                      <w:lang w:val="en-US" w:eastAsia="zh-CN"/>
                    </w:rPr>
                    <w:t>6</w:t>
                  </w:r>
                </w:p>
              </w:tc>
              <w:tc>
                <w:tcPr>
                  <w:tcW w:w="1605"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水</w:t>
                  </w:r>
                </w:p>
              </w:tc>
              <w:tc>
                <w:tcPr>
                  <w:tcW w:w="2041" w:type="dxa"/>
                  <w:shd w:val="clear" w:color="auto" w:fill="auto"/>
                  <w:noWrap w:val="0"/>
                  <w:vAlign w:val="center"/>
                </w:tcPr>
                <w:p>
                  <w:pPr>
                    <w:adjustRightInd w:val="0"/>
                    <w:snapToGrid w:val="0"/>
                    <w:spacing w:line="276" w:lineRule="auto"/>
                    <w:jc w:val="center"/>
                    <w:rPr>
                      <w:rFonts w:hint="default"/>
                      <w:bCs/>
                      <w:szCs w:val="21"/>
                      <w:lang w:val="en-US"/>
                    </w:rPr>
                  </w:pPr>
                  <w:r>
                    <w:rPr>
                      <w:rFonts w:hint="eastAsia"/>
                      <w:color w:val="000000"/>
                      <w:szCs w:val="21"/>
                      <w:lang w:val="en-US" w:eastAsia="zh-CN"/>
                    </w:rPr>
                    <w:t>655.4</w:t>
                  </w:r>
                </w:p>
              </w:tc>
              <w:tc>
                <w:tcPr>
                  <w:tcW w:w="128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市政</w:t>
                  </w:r>
                  <w:r>
                    <w:rPr>
                      <w:bCs/>
                      <w:szCs w:val="21"/>
                    </w:rPr>
                    <w:t>供水</w:t>
                  </w:r>
                </w:p>
              </w:tc>
              <w:tc>
                <w:tcPr>
                  <w:tcW w:w="2066"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bl>
          <w:p>
            <w:pPr>
              <w:adjustRightInd w:val="0"/>
              <w:snapToGrid w:val="0"/>
              <w:spacing w:line="360" w:lineRule="auto"/>
              <w:ind w:firstLine="435"/>
              <w:jc w:val="left"/>
              <w:rPr>
                <w:b/>
                <w:bCs/>
                <w:szCs w:val="21"/>
              </w:rPr>
            </w:pPr>
            <w:r>
              <w:rPr>
                <w:rFonts w:hint="eastAsia"/>
                <w:b/>
                <w:bCs/>
                <w:szCs w:val="21"/>
              </w:rPr>
              <w:t>4.项目</w:t>
            </w:r>
            <w:r>
              <w:rPr>
                <w:b/>
                <w:bCs/>
                <w:szCs w:val="21"/>
              </w:rPr>
              <w:t>生产设备</w:t>
            </w:r>
          </w:p>
          <w:p>
            <w:pPr>
              <w:adjustRightInd w:val="0"/>
              <w:snapToGrid w:val="0"/>
              <w:spacing w:line="360" w:lineRule="auto"/>
              <w:ind w:firstLine="435"/>
              <w:jc w:val="left"/>
              <w:rPr>
                <w:bCs/>
                <w:szCs w:val="21"/>
              </w:rPr>
            </w:pPr>
            <w:r>
              <w:rPr>
                <w:rFonts w:hint="eastAsia"/>
                <w:bCs/>
                <w:szCs w:val="21"/>
              </w:rPr>
              <w:t>项目</w:t>
            </w:r>
            <w:r>
              <w:rPr>
                <w:bCs/>
                <w:szCs w:val="21"/>
              </w:rPr>
              <w:t>主要生产设备见下表：</w:t>
            </w:r>
          </w:p>
          <w:p>
            <w:pPr>
              <w:adjustRightInd w:val="0"/>
              <w:snapToGrid w:val="0"/>
              <w:spacing w:line="360" w:lineRule="auto"/>
              <w:jc w:val="center"/>
              <w:rPr>
                <w:b/>
                <w:bCs/>
                <w:szCs w:val="21"/>
              </w:rPr>
            </w:pPr>
            <w:r>
              <w:rPr>
                <w:rFonts w:hint="eastAsia"/>
                <w:b/>
                <w:bCs/>
                <w:szCs w:val="21"/>
              </w:rPr>
              <w:t>表2-</w:t>
            </w:r>
            <w:r>
              <w:rPr>
                <w:rFonts w:hint="eastAsia"/>
                <w:b/>
                <w:bCs/>
                <w:szCs w:val="21"/>
                <w:lang w:val="en-US" w:eastAsia="zh-CN"/>
              </w:rPr>
              <w:t>5</w:t>
            </w:r>
            <w:r>
              <w:rPr>
                <w:rFonts w:hint="eastAsia"/>
                <w:b/>
                <w:bCs/>
                <w:szCs w:val="21"/>
              </w:rPr>
              <w:t xml:space="preserve">  项目</w:t>
            </w:r>
            <w:r>
              <w:rPr>
                <w:b/>
                <w:bCs/>
                <w:szCs w:val="21"/>
              </w:rPr>
              <w:t>主要设备一览表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433"/>
              <w:gridCol w:w="883"/>
              <w:gridCol w:w="834"/>
              <w:gridCol w:w="933"/>
              <w:gridCol w:w="933"/>
              <w:gridCol w:w="93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59"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序号</w:t>
                  </w:r>
                </w:p>
              </w:tc>
              <w:tc>
                <w:tcPr>
                  <w:tcW w:w="1433"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设备名称</w:t>
                  </w:r>
                </w:p>
              </w:tc>
              <w:tc>
                <w:tcPr>
                  <w:tcW w:w="883"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型号</w:t>
                  </w:r>
                </w:p>
              </w:tc>
              <w:tc>
                <w:tcPr>
                  <w:tcW w:w="834"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单位</w:t>
                  </w:r>
                </w:p>
              </w:tc>
              <w:tc>
                <w:tcPr>
                  <w:tcW w:w="2799" w:type="dxa"/>
                  <w:gridSpan w:val="3"/>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数量</w:t>
                  </w:r>
                </w:p>
              </w:tc>
              <w:tc>
                <w:tcPr>
                  <w:tcW w:w="1322" w:type="dxa"/>
                  <w:vMerge w:val="restart"/>
                  <w:shd w:val="clear" w:color="auto" w:fill="auto"/>
                  <w:noWrap w:val="0"/>
                  <w:vAlign w:val="center"/>
                </w:tcPr>
                <w:p>
                  <w:pPr>
                    <w:adjustRightInd w:val="0"/>
                    <w:snapToGrid w:val="0"/>
                    <w:spacing w:line="276" w:lineRule="auto"/>
                    <w:jc w:val="center"/>
                    <w:rPr>
                      <w:rFonts w:hint="eastAsia"/>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59" w:type="dxa"/>
                  <w:vMerge w:val="continue"/>
                  <w:shd w:val="clear" w:color="auto" w:fill="auto"/>
                  <w:noWrap w:val="0"/>
                  <w:vAlign w:val="center"/>
                </w:tcPr>
                <w:p>
                  <w:pPr>
                    <w:adjustRightInd w:val="0"/>
                    <w:snapToGrid w:val="0"/>
                    <w:spacing w:line="276" w:lineRule="auto"/>
                    <w:jc w:val="center"/>
                  </w:pPr>
                </w:p>
              </w:tc>
              <w:tc>
                <w:tcPr>
                  <w:tcW w:w="1433" w:type="dxa"/>
                  <w:vMerge w:val="continue"/>
                  <w:shd w:val="clear" w:color="auto" w:fill="auto"/>
                  <w:noWrap w:val="0"/>
                  <w:vAlign w:val="center"/>
                </w:tcPr>
                <w:p>
                  <w:pPr>
                    <w:adjustRightInd w:val="0"/>
                    <w:snapToGrid w:val="0"/>
                    <w:spacing w:line="276" w:lineRule="auto"/>
                    <w:jc w:val="center"/>
                  </w:pPr>
                </w:p>
              </w:tc>
              <w:tc>
                <w:tcPr>
                  <w:tcW w:w="883" w:type="dxa"/>
                  <w:vMerge w:val="continue"/>
                  <w:shd w:val="clear" w:color="auto" w:fill="auto"/>
                  <w:noWrap w:val="0"/>
                  <w:vAlign w:val="center"/>
                </w:tcPr>
                <w:p>
                  <w:pPr>
                    <w:adjustRightInd w:val="0"/>
                    <w:snapToGrid w:val="0"/>
                    <w:spacing w:line="276" w:lineRule="auto"/>
                    <w:jc w:val="center"/>
                  </w:pPr>
                </w:p>
              </w:tc>
              <w:tc>
                <w:tcPr>
                  <w:tcW w:w="834" w:type="dxa"/>
                  <w:vMerge w:val="continue"/>
                  <w:shd w:val="clear" w:color="auto" w:fill="auto"/>
                  <w:noWrap w:val="0"/>
                  <w:vAlign w:val="center"/>
                </w:tcPr>
                <w:p>
                  <w:pPr>
                    <w:adjustRightInd w:val="0"/>
                    <w:snapToGrid w:val="0"/>
                    <w:spacing w:line="276" w:lineRule="auto"/>
                    <w:jc w:val="center"/>
                  </w:pPr>
                </w:p>
              </w:tc>
              <w:tc>
                <w:tcPr>
                  <w:tcW w:w="933"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扩建前</w:t>
                  </w:r>
                </w:p>
              </w:tc>
              <w:tc>
                <w:tcPr>
                  <w:tcW w:w="933"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扩建后</w:t>
                  </w:r>
                </w:p>
              </w:tc>
              <w:tc>
                <w:tcPr>
                  <w:tcW w:w="933" w:type="dxa"/>
                  <w:shd w:val="clear" w:color="auto" w:fill="auto"/>
                  <w:noWrap w:val="0"/>
                  <w:vAlign w:val="center"/>
                </w:tcPr>
                <w:p>
                  <w:pPr>
                    <w:adjustRightInd w:val="0"/>
                    <w:snapToGrid w:val="0"/>
                    <w:spacing w:line="276" w:lineRule="auto"/>
                    <w:jc w:val="center"/>
                    <w:rPr>
                      <w:rFonts w:hint="eastAsia" w:eastAsia="宋体"/>
                      <w:lang w:eastAsia="zh-CN"/>
                    </w:rPr>
                  </w:pPr>
                  <w:r>
                    <w:rPr>
                      <w:rFonts w:hint="eastAsia"/>
                      <w:lang w:eastAsia="zh-CN"/>
                    </w:rPr>
                    <w:t>变化量</w:t>
                  </w:r>
                </w:p>
              </w:tc>
              <w:tc>
                <w:tcPr>
                  <w:tcW w:w="1322" w:type="dxa"/>
                  <w:vMerge w:val="continue"/>
                  <w:shd w:val="clear" w:color="auto" w:fill="auto"/>
                  <w:noWrap w:val="0"/>
                  <w:vAlign w:val="center"/>
                </w:tcPr>
                <w:p>
                  <w:pPr>
                    <w:adjustRightInd w:val="0"/>
                    <w:snapToGrid w:val="0"/>
                    <w:spacing w:line="276"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92</w:t>
                  </w:r>
                  <w:r>
                    <w:rPr>
                      <w:bCs/>
                      <w:szCs w:val="21"/>
                    </w:rPr>
                    <w:t>#汽油储罐</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 m</w:t>
                  </w:r>
                  <w:r>
                    <w:rPr>
                      <w:rFonts w:hint="eastAsia"/>
                      <w:bCs/>
                      <w:szCs w:val="21"/>
                      <w:vertAlign w:val="superscript"/>
                    </w:rPr>
                    <w:t>3</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eastAsia="宋体"/>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2</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95</w:t>
                  </w:r>
                  <w:r>
                    <w:rPr>
                      <w:bCs/>
                      <w:szCs w:val="21"/>
                    </w:rPr>
                    <w:t>#汽油储罐</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 m</w:t>
                  </w:r>
                  <w:r>
                    <w:rPr>
                      <w:rFonts w:hint="eastAsia"/>
                      <w:bCs/>
                      <w:szCs w:val="21"/>
                      <w:vertAlign w:val="superscript"/>
                    </w:rPr>
                    <w:t>3</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eastAsia="宋体"/>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cs"/>
                      <w:bCs/>
                      <w:szCs w:val="21"/>
                    </w:rPr>
                    <w:t>3</w:t>
                  </w:r>
                </w:p>
              </w:tc>
              <w:tc>
                <w:tcPr>
                  <w:tcW w:w="1433"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98</w:t>
                  </w:r>
                  <w:r>
                    <w:rPr>
                      <w:bCs/>
                      <w:szCs w:val="21"/>
                    </w:rPr>
                    <w:t>#汽油储罐</w:t>
                  </w:r>
                </w:p>
              </w:tc>
              <w:tc>
                <w:tcPr>
                  <w:tcW w:w="883" w:type="dxa"/>
                  <w:shd w:val="clear" w:color="auto" w:fill="auto"/>
                  <w:noWrap w:val="0"/>
                  <w:vAlign w:val="center"/>
                </w:tcPr>
                <w:p>
                  <w:pPr>
                    <w:adjustRightInd w:val="0"/>
                    <w:snapToGrid w:val="0"/>
                    <w:spacing w:line="276" w:lineRule="auto"/>
                    <w:jc w:val="center"/>
                    <w:rPr>
                      <w:rFonts w:hint="eastAsia"/>
                      <w:bCs/>
                      <w:szCs w:val="21"/>
                      <w:lang w:val="en-US" w:eastAsia="zh-CN"/>
                    </w:rPr>
                  </w:pPr>
                  <w:r>
                    <w:rPr>
                      <w:rFonts w:hint="eastAsia"/>
                      <w:bCs/>
                      <w:szCs w:val="21"/>
                      <w:lang w:val="en-US" w:eastAsia="zh-CN"/>
                    </w:rPr>
                    <w:t>3</w:t>
                  </w:r>
                  <w:r>
                    <w:rPr>
                      <w:rFonts w:hint="eastAsia"/>
                      <w:bCs/>
                      <w:szCs w:val="21"/>
                    </w:rPr>
                    <w:t>0 m</w:t>
                  </w:r>
                  <w:r>
                    <w:rPr>
                      <w:rFonts w:hint="eastAsia"/>
                      <w:bCs/>
                      <w:szCs w:val="21"/>
                      <w:vertAlign w:val="superscript"/>
                    </w:rPr>
                    <w:t>3</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933" w:type="dxa"/>
                  <w:shd w:val="clear" w:color="auto" w:fill="auto"/>
                  <w:noWrap w:val="0"/>
                  <w:vAlign w:val="center"/>
                </w:tcPr>
                <w:p>
                  <w:pPr>
                    <w:jc w:val="center"/>
                    <w:rPr>
                      <w:rFonts w:hint="eastAsia"/>
                    </w:rPr>
                  </w:pPr>
                  <w:r>
                    <w:rPr>
                      <w:rFonts w:hint="eastAsia"/>
                      <w:lang w:val="en-US" w:eastAsia="zh-CN"/>
                    </w:rPr>
                    <w:t>0</w:t>
                  </w:r>
                </w:p>
              </w:tc>
              <w:tc>
                <w:tcPr>
                  <w:tcW w:w="933" w:type="dxa"/>
                  <w:shd w:val="clear" w:color="auto" w:fill="auto"/>
                  <w:noWrap w:val="0"/>
                  <w:vAlign w:val="center"/>
                </w:tcPr>
                <w:p>
                  <w:pPr>
                    <w:jc w:val="center"/>
                    <w:rPr>
                      <w:rFonts w:hint="default"/>
                      <w:lang w:val="en-US" w:eastAsia="zh-CN"/>
                    </w:rPr>
                  </w:pPr>
                  <w:r>
                    <w:rPr>
                      <w:rFonts w:hint="eastAsia"/>
                      <w:lang w:val="en-US" w:eastAsia="zh-CN"/>
                    </w:rPr>
                    <w:t>1</w:t>
                  </w:r>
                </w:p>
              </w:tc>
              <w:tc>
                <w:tcPr>
                  <w:tcW w:w="933" w:type="dxa"/>
                  <w:shd w:val="clear" w:color="auto" w:fill="auto"/>
                  <w:noWrap w:val="0"/>
                  <w:vAlign w:val="center"/>
                </w:tcPr>
                <w:p>
                  <w:pPr>
                    <w:jc w:val="center"/>
                    <w:rPr>
                      <w:rFonts w:hint="default"/>
                      <w:lang w:val="en-US" w:eastAsia="zh-CN"/>
                    </w:rPr>
                  </w:pPr>
                  <w:r>
                    <w:rPr>
                      <w:rFonts w:hint="eastAsia"/>
                      <w:lang w:val="en-US" w:eastAsia="zh-CN"/>
                    </w:rPr>
                    <w:t>+1</w:t>
                  </w:r>
                </w:p>
              </w:tc>
              <w:tc>
                <w:tcPr>
                  <w:tcW w:w="1322" w:type="dxa"/>
                  <w:shd w:val="clear" w:color="auto" w:fill="auto"/>
                  <w:noWrap w:val="0"/>
                  <w:vAlign w:val="center"/>
                </w:tcPr>
                <w:p>
                  <w:pPr>
                    <w:adjustRightInd w:val="0"/>
                    <w:snapToGrid w:val="0"/>
                    <w:spacing w:line="276" w:lineRule="auto"/>
                    <w:jc w:val="center"/>
                    <w:rPr>
                      <w:rFonts w:hint="eastAsia"/>
                      <w:bCs/>
                      <w:szCs w:val="21"/>
                      <w:lang w:val="en-US" w:eastAsia="zh-CN"/>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bCs/>
                      <w:szCs w:val="21"/>
                    </w:rPr>
                  </w:pPr>
                  <w:r>
                    <w:rPr>
                      <w:rFonts w:hint="cs"/>
                      <w:bCs/>
                      <w:szCs w:val="21"/>
                    </w:rPr>
                    <w:t>4</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0</w:t>
                  </w:r>
                  <w:r>
                    <w:rPr>
                      <w:bCs/>
                      <w:szCs w:val="21"/>
                    </w:rPr>
                    <w:t>#柴油储罐</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3</w:t>
                  </w:r>
                  <w:r>
                    <w:rPr>
                      <w:rFonts w:hint="eastAsia"/>
                      <w:bCs/>
                      <w:szCs w:val="21"/>
                    </w:rPr>
                    <w:t>0 m</w:t>
                  </w:r>
                  <w:r>
                    <w:rPr>
                      <w:rFonts w:hint="eastAsia"/>
                      <w:bCs/>
                      <w:szCs w:val="21"/>
                      <w:vertAlign w:val="superscript"/>
                    </w:rPr>
                    <w:t>3</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个</w:t>
                  </w:r>
                </w:p>
              </w:tc>
              <w:tc>
                <w:tcPr>
                  <w:tcW w:w="933" w:type="dxa"/>
                  <w:shd w:val="clear" w:color="auto" w:fill="auto"/>
                  <w:noWrap w:val="0"/>
                  <w:vAlign w:val="center"/>
                </w:tcPr>
                <w:p>
                  <w:pPr>
                    <w:jc w:val="center"/>
                    <w:rPr>
                      <w:rFonts w:hint="eastAsia"/>
                    </w:rPr>
                  </w:pPr>
                  <w:r>
                    <w:rPr>
                      <w:rFonts w:hint="eastAsia"/>
                      <w:lang w:val="en-US" w:eastAsia="zh-CN"/>
                    </w:rPr>
                    <w:t>1</w:t>
                  </w:r>
                </w:p>
              </w:tc>
              <w:tc>
                <w:tcPr>
                  <w:tcW w:w="933" w:type="dxa"/>
                  <w:shd w:val="clear" w:color="auto" w:fill="auto"/>
                  <w:noWrap w:val="0"/>
                  <w:vAlign w:val="center"/>
                </w:tcPr>
                <w:p>
                  <w:pPr>
                    <w:jc w:val="center"/>
                    <w:rPr>
                      <w:rFonts w:hint="eastAsia"/>
                      <w:lang w:val="en-US" w:eastAsia="zh-CN"/>
                    </w:rPr>
                  </w:pPr>
                  <w:r>
                    <w:rPr>
                      <w:rFonts w:hint="eastAsia"/>
                      <w:lang w:val="en-US" w:eastAsia="zh-CN"/>
                    </w:rPr>
                    <w:t>1</w:t>
                  </w:r>
                </w:p>
              </w:tc>
              <w:tc>
                <w:tcPr>
                  <w:tcW w:w="933" w:type="dxa"/>
                  <w:shd w:val="clear" w:color="auto" w:fill="auto"/>
                  <w:noWrap w:val="0"/>
                  <w:vAlign w:val="center"/>
                </w:tcPr>
                <w:p>
                  <w:pPr>
                    <w:jc w:val="center"/>
                    <w:rPr>
                      <w:rFonts w:hint="eastAsia"/>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val="en-US" w:eastAsia="zh-CN"/>
                    </w:rPr>
                    <w:t>S</w:t>
                  </w:r>
                  <w:r>
                    <w:rPr>
                      <w:rFonts w:hint="eastAsia"/>
                      <w:bCs/>
                      <w:szCs w:val="21"/>
                    </w:rPr>
                    <w:t>F双层油罐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bCs/>
                      <w:szCs w:val="21"/>
                    </w:rPr>
                  </w:pPr>
                  <w:r>
                    <w:rPr>
                      <w:rFonts w:hint="eastAsia"/>
                      <w:bCs/>
                      <w:szCs w:val="21"/>
                    </w:rPr>
                    <w:t>5</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加油机</w:t>
                  </w:r>
                </w:p>
              </w:tc>
              <w:tc>
                <w:tcPr>
                  <w:tcW w:w="883" w:type="dxa"/>
                  <w:shd w:val="clear" w:color="auto" w:fill="auto"/>
                  <w:noWrap w:val="0"/>
                  <w:vAlign w:val="center"/>
                </w:tcPr>
                <w:p>
                  <w:pPr>
                    <w:adjustRightInd w:val="0"/>
                    <w:snapToGrid w:val="0"/>
                    <w:spacing w:line="276" w:lineRule="auto"/>
                    <w:jc w:val="center"/>
                    <w:rPr>
                      <w:rFonts w:hint="eastAsia"/>
                      <w:bCs/>
                      <w:color w:val="auto"/>
                      <w:szCs w:val="21"/>
                    </w:rPr>
                  </w:pPr>
                  <w:r>
                    <w:rPr>
                      <w:rFonts w:hint="eastAsia"/>
                      <w:bCs/>
                      <w:color w:val="auto"/>
                      <w:szCs w:val="21"/>
                      <w:lang w:val="en-US" w:eastAsia="zh-CN"/>
                    </w:rPr>
                    <w:t>/</w:t>
                  </w:r>
                </w:p>
              </w:tc>
              <w:tc>
                <w:tcPr>
                  <w:tcW w:w="834" w:type="dxa"/>
                  <w:shd w:val="clear" w:color="auto" w:fill="auto"/>
                  <w:noWrap w:val="0"/>
                  <w:vAlign w:val="center"/>
                </w:tcPr>
                <w:p>
                  <w:pPr>
                    <w:adjustRightInd w:val="0"/>
                    <w:snapToGrid w:val="0"/>
                    <w:spacing w:line="276" w:lineRule="auto"/>
                    <w:jc w:val="center"/>
                    <w:rPr>
                      <w:rFonts w:hint="eastAsia"/>
                      <w:bCs/>
                      <w:color w:val="auto"/>
                      <w:szCs w:val="21"/>
                    </w:rPr>
                  </w:pPr>
                  <w:r>
                    <w:rPr>
                      <w:rFonts w:hint="eastAsia"/>
                      <w:bCs/>
                      <w:color w:val="auto"/>
                      <w:szCs w:val="21"/>
                    </w:rPr>
                    <w:t>台</w:t>
                  </w:r>
                </w:p>
              </w:tc>
              <w:tc>
                <w:tcPr>
                  <w:tcW w:w="933" w:type="dxa"/>
                  <w:shd w:val="clear" w:color="auto" w:fill="auto"/>
                  <w:noWrap w:val="0"/>
                  <w:vAlign w:val="center"/>
                </w:tcPr>
                <w:p>
                  <w:pPr>
                    <w:jc w:val="center"/>
                    <w:rPr>
                      <w:rFonts w:hint="eastAsia"/>
                      <w:lang w:val="en-US" w:eastAsia="zh-CN"/>
                    </w:rPr>
                  </w:pPr>
                  <w:r>
                    <w:rPr>
                      <w:rFonts w:hint="eastAsia"/>
                      <w:lang w:val="en-US" w:eastAsia="zh-CN"/>
                    </w:rPr>
                    <w:t>4</w:t>
                  </w:r>
                </w:p>
              </w:tc>
              <w:tc>
                <w:tcPr>
                  <w:tcW w:w="933" w:type="dxa"/>
                  <w:shd w:val="clear" w:color="auto" w:fill="auto"/>
                  <w:noWrap w:val="0"/>
                  <w:vAlign w:val="center"/>
                </w:tcPr>
                <w:p>
                  <w:pPr>
                    <w:jc w:val="center"/>
                    <w:rPr>
                      <w:rFonts w:hint="eastAsia"/>
                      <w:lang w:val="en-US" w:eastAsia="zh-CN"/>
                    </w:rPr>
                  </w:pPr>
                  <w:r>
                    <w:rPr>
                      <w:rFonts w:hint="eastAsia"/>
                      <w:lang w:val="en-US" w:eastAsia="zh-CN"/>
                    </w:rPr>
                    <w:t>4</w:t>
                  </w:r>
                </w:p>
              </w:tc>
              <w:tc>
                <w:tcPr>
                  <w:tcW w:w="933" w:type="dxa"/>
                  <w:shd w:val="clear" w:color="auto" w:fill="auto"/>
                  <w:noWrap w:val="0"/>
                  <w:vAlign w:val="center"/>
                </w:tcPr>
                <w:p>
                  <w:pPr>
                    <w:jc w:val="center"/>
                    <w:rPr>
                      <w:rFonts w:hint="eastAsia"/>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color w:val="auto"/>
                      <w:szCs w:val="21"/>
                    </w:rPr>
                  </w:pP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6</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潜油泵</w:t>
                  </w:r>
                </w:p>
              </w:tc>
              <w:tc>
                <w:tcPr>
                  <w:tcW w:w="883" w:type="dxa"/>
                  <w:shd w:val="clear" w:color="auto" w:fill="auto"/>
                  <w:noWrap w:val="0"/>
                  <w:vAlign w:val="center"/>
                </w:tcPr>
                <w:p>
                  <w:pPr>
                    <w:adjustRightInd w:val="0"/>
                    <w:snapToGrid w:val="0"/>
                    <w:spacing w:line="276" w:lineRule="auto"/>
                    <w:jc w:val="center"/>
                    <w:rPr>
                      <w:rFonts w:hint="eastAsia"/>
                      <w:bCs/>
                      <w:color w:val="FF0000"/>
                      <w:szCs w:val="21"/>
                    </w:rPr>
                  </w:pPr>
                  <w:r>
                    <w:rPr>
                      <w:rFonts w:hint="eastAsia"/>
                      <w:bCs/>
                      <w:szCs w:val="21"/>
                    </w:rPr>
                    <w:t>/</w:t>
                  </w:r>
                </w:p>
              </w:tc>
              <w:tc>
                <w:tcPr>
                  <w:tcW w:w="834" w:type="dxa"/>
                  <w:shd w:val="clear" w:color="auto" w:fill="auto"/>
                  <w:noWrap w:val="0"/>
                  <w:vAlign w:val="center"/>
                </w:tcPr>
                <w:p>
                  <w:pPr>
                    <w:adjustRightInd w:val="0"/>
                    <w:snapToGrid w:val="0"/>
                    <w:spacing w:line="276" w:lineRule="auto"/>
                    <w:jc w:val="center"/>
                    <w:rPr>
                      <w:rFonts w:hint="eastAsia"/>
                      <w:bCs/>
                      <w:color w:val="FF0000"/>
                      <w:szCs w:val="21"/>
                    </w:rPr>
                  </w:pPr>
                  <w:r>
                    <w:rPr>
                      <w:rFonts w:hint="eastAsia"/>
                      <w:bCs/>
                      <w:szCs w:val="21"/>
                    </w:rPr>
                    <w:t>个</w:t>
                  </w:r>
                </w:p>
              </w:tc>
              <w:tc>
                <w:tcPr>
                  <w:tcW w:w="933" w:type="dxa"/>
                  <w:shd w:val="clear" w:color="auto" w:fill="auto"/>
                  <w:noWrap w:val="0"/>
                  <w:vAlign w:val="center"/>
                </w:tcPr>
                <w:p>
                  <w:pPr>
                    <w:jc w:val="center"/>
                    <w:rPr>
                      <w:rFonts w:hint="default"/>
                      <w:lang w:val="en-US" w:eastAsia="zh-CN"/>
                    </w:rPr>
                  </w:pPr>
                  <w:r>
                    <w:rPr>
                      <w:rFonts w:hint="eastAsia"/>
                      <w:lang w:val="en-US" w:eastAsia="zh-CN"/>
                    </w:rPr>
                    <w:t>4</w:t>
                  </w:r>
                </w:p>
              </w:tc>
              <w:tc>
                <w:tcPr>
                  <w:tcW w:w="933" w:type="dxa"/>
                  <w:shd w:val="clear" w:color="auto" w:fill="auto"/>
                  <w:noWrap w:val="0"/>
                  <w:vAlign w:val="center"/>
                </w:tcPr>
                <w:p>
                  <w:pPr>
                    <w:jc w:val="center"/>
                    <w:rPr>
                      <w:rFonts w:hint="eastAsia"/>
                      <w:lang w:val="en-US" w:eastAsia="zh-CN"/>
                    </w:rPr>
                  </w:pPr>
                  <w:r>
                    <w:rPr>
                      <w:rFonts w:hint="eastAsia"/>
                      <w:lang w:val="en-US" w:eastAsia="zh-CN"/>
                    </w:rPr>
                    <w:t>4</w:t>
                  </w:r>
                </w:p>
              </w:tc>
              <w:tc>
                <w:tcPr>
                  <w:tcW w:w="933" w:type="dxa"/>
                  <w:shd w:val="clear" w:color="auto" w:fill="auto"/>
                  <w:noWrap w:val="0"/>
                  <w:vAlign w:val="center"/>
                </w:tcPr>
                <w:p>
                  <w:pPr>
                    <w:jc w:val="center"/>
                    <w:rPr>
                      <w:rFonts w:hint="eastAsia"/>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7</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卸油油气</w:t>
                  </w:r>
                  <w:r>
                    <w:rPr>
                      <w:bCs/>
                      <w:szCs w:val="21"/>
                    </w:rPr>
                    <w:t>回收系统</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分散式</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933" w:type="dxa"/>
                  <w:shd w:val="clear" w:color="auto" w:fill="auto"/>
                  <w:noWrap w:val="0"/>
                  <w:vAlign w:val="center"/>
                </w:tcPr>
                <w:p>
                  <w:pPr>
                    <w:jc w:val="center"/>
                    <w:rPr>
                      <w:rFonts w:hint="eastAsia"/>
                      <w:lang w:val="en-US" w:eastAsia="zh-CN"/>
                    </w:rPr>
                  </w:pPr>
                  <w:r>
                    <w:rPr>
                      <w:rFonts w:hint="eastAsia"/>
                      <w:lang w:val="en-US" w:eastAsia="zh-CN"/>
                    </w:rPr>
                    <w:t>1</w:t>
                  </w:r>
                </w:p>
              </w:tc>
              <w:tc>
                <w:tcPr>
                  <w:tcW w:w="933" w:type="dxa"/>
                  <w:shd w:val="clear" w:color="auto" w:fill="auto"/>
                  <w:noWrap w:val="0"/>
                  <w:vAlign w:val="center"/>
                </w:tcPr>
                <w:p>
                  <w:pPr>
                    <w:jc w:val="center"/>
                    <w:rPr>
                      <w:rFonts w:hint="eastAsia"/>
                      <w:lang w:val="en-US" w:eastAsia="zh-CN"/>
                    </w:rPr>
                  </w:pPr>
                  <w:r>
                    <w:rPr>
                      <w:rFonts w:hint="eastAsia"/>
                      <w:lang w:val="en-US" w:eastAsia="zh-CN"/>
                    </w:rPr>
                    <w:t>1</w:t>
                  </w:r>
                </w:p>
              </w:tc>
              <w:tc>
                <w:tcPr>
                  <w:tcW w:w="933" w:type="dxa"/>
                  <w:shd w:val="clear" w:color="auto" w:fill="auto"/>
                  <w:noWrap w:val="0"/>
                  <w:vAlign w:val="center"/>
                </w:tcPr>
                <w:p>
                  <w:pPr>
                    <w:jc w:val="center"/>
                    <w:rPr>
                      <w:rFonts w:hint="eastAsia"/>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位于</w:t>
                  </w:r>
                  <w:r>
                    <w:rPr>
                      <w:bCs/>
                      <w:szCs w:val="21"/>
                    </w:rPr>
                    <w:t>卸油区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8</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加油</w:t>
                  </w:r>
                  <w:r>
                    <w:rPr>
                      <w:bCs/>
                      <w:szCs w:val="21"/>
                    </w:rPr>
                    <w:t>油气回收系统</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分散式</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933" w:type="dxa"/>
                  <w:shd w:val="clear" w:color="auto" w:fill="auto"/>
                  <w:noWrap w:val="0"/>
                  <w:vAlign w:val="center"/>
                </w:tcPr>
                <w:p>
                  <w:pPr>
                    <w:jc w:val="center"/>
                    <w:rPr>
                      <w:rFonts w:hint="eastAsia"/>
                    </w:rPr>
                  </w:pPr>
                  <w:r>
                    <w:rPr>
                      <w:rFonts w:hint="eastAsia"/>
                      <w:lang w:val="en-US" w:eastAsia="zh-CN"/>
                    </w:rPr>
                    <w:t>4</w:t>
                  </w:r>
                </w:p>
              </w:tc>
              <w:tc>
                <w:tcPr>
                  <w:tcW w:w="933" w:type="dxa"/>
                  <w:shd w:val="clear" w:color="auto" w:fill="auto"/>
                  <w:noWrap w:val="0"/>
                  <w:vAlign w:val="center"/>
                </w:tcPr>
                <w:p>
                  <w:pPr>
                    <w:jc w:val="center"/>
                    <w:rPr>
                      <w:rFonts w:hint="default"/>
                      <w:lang w:val="en-US" w:eastAsia="zh-CN"/>
                    </w:rPr>
                  </w:pPr>
                  <w:r>
                    <w:rPr>
                      <w:rFonts w:hint="eastAsia"/>
                      <w:lang w:val="en-US" w:eastAsia="zh-CN"/>
                    </w:rPr>
                    <w:t>4</w:t>
                  </w:r>
                </w:p>
              </w:tc>
              <w:tc>
                <w:tcPr>
                  <w:tcW w:w="933" w:type="dxa"/>
                  <w:shd w:val="clear" w:color="auto" w:fill="auto"/>
                  <w:noWrap w:val="0"/>
                  <w:vAlign w:val="center"/>
                </w:tcPr>
                <w:p>
                  <w:pPr>
                    <w:jc w:val="center"/>
                    <w:rPr>
                      <w:rFonts w:hint="eastAsia"/>
                      <w:lang w:val="en-US" w:eastAsia="zh-CN"/>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位于</w:t>
                  </w:r>
                  <w:r>
                    <w:rPr>
                      <w:bCs/>
                      <w:szCs w:val="21"/>
                    </w:rPr>
                    <w:t>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9</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柴油发电机</w:t>
                  </w:r>
                </w:p>
              </w:tc>
              <w:tc>
                <w:tcPr>
                  <w:tcW w:w="883" w:type="dxa"/>
                  <w:shd w:val="clear" w:color="auto" w:fill="auto"/>
                  <w:noWrap w:val="0"/>
                  <w:vAlign w:val="center"/>
                </w:tcPr>
                <w:p>
                  <w:pPr>
                    <w:adjustRightInd w:val="0"/>
                    <w:snapToGrid w:val="0"/>
                    <w:spacing w:line="276" w:lineRule="auto"/>
                    <w:jc w:val="center"/>
                    <w:rPr>
                      <w:rFonts w:hint="default" w:eastAsia="宋体"/>
                      <w:bCs/>
                      <w:szCs w:val="21"/>
                      <w:lang w:val="en-US" w:eastAsia="zh-CN"/>
                    </w:rPr>
                  </w:pPr>
                  <w:r>
                    <w:rPr>
                      <w:rFonts w:hint="eastAsia"/>
                      <w:bCs/>
                      <w:szCs w:val="21"/>
                      <w:lang w:val="en-US" w:eastAsia="zh-CN"/>
                    </w:rPr>
                    <w:t>/</w:t>
                  </w:r>
                </w:p>
              </w:tc>
              <w:tc>
                <w:tcPr>
                  <w:tcW w:w="834" w:type="dxa"/>
                  <w:shd w:val="clear" w:color="auto" w:fill="auto"/>
                  <w:noWrap w:val="0"/>
                  <w:vAlign w:val="center"/>
                </w:tcPr>
                <w:p>
                  <w:pPr>
                    <w:adjustRightInd w:val="0"/>
                    <w:snapToGrid w:val="0"/>
                    <w:spacing w:line="276" w:lineRule="auto"/>
                    <w:jc w:val="center"/>
                    <w:rPr>
                      <w:rFonts w:hint="eastAsia"/>
                      <w:bCs/>
                      <w:color w:val="auto"/>
                      <w:szCs w:val="21"/>
                    </w:rPr>
                  </w:pPr>
                  <w:r>
                    <w:rPr>
                      <w:rFonts w:hint="eastAsia"/>
                      <w:bCs/>
                      <w:color w:val="auto"/>
                      <w:szCs w:val="21"/>
                    </w:rPr>
                    <w:t>台</w:t>
                  </w:r>
                </w:p>
              </w:tc>
              <w:tc>
                <w:tcPr>
                  <w:tcW w:w="933" w:type="dxa"/>
                  <w:shd w:val="clear" w:color="auto" w:fill="auto"/>
                  <w:noWrap w:val="0"/>
                  <w:vAlign w:val="center"/>
                </w:tcPr>
                <w:p>
                  <w:pPr>
                    <w:jc w:val="center"/>
                    <w:rPr>
                      <w:rFonts w:hint="default"/>
                      <w:lang w:val="en-US" w:eastAsia="zh-CN"/>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color w:val="auto"/>
                      <w:szCs w:val="21"/>
                    </w:rPr>
                  </w:pPr>
                  <w:r>
                    <w:rPr>
                      <w:rFonts w:hint="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10</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液位仪</w:t>
                  </w:r>
                </w:p>
              </w:tc>
              <w:tc>
                <w:tcPr>
                  <w:tcW w:w="883" w:type="dxa"/>
                  <w:shd w:val="clear" w:color="auto" w:fill="auto"/>
                  <w:noWrap w:val="0"/>
                  <w:vAlign w:val="center"/>
                </w:tcPr>
                <w:p>
                  <w:pPr>
                    <w:adjustRightInd w:val="0"/>
                    <w:snapToGrid w:val="0"/>
                    <w:spacing w:line="276" w:lineRule="auto"/>
                    <w:jc w:val="center"/>
                    <w:rPr>
                      <w:rFonts w:hint="eastAsia"/>
                      <w:bCs/>
                      <w:color w:val="FF0000"/>
                      <w:szCs w:val="21"/>
                    </w:rPr>
                  </w:pPr>
                  <w:r>
                    <w:rPr>
                      <w:rFonts w:hint="eastAsia"/>
                      <w:bCs/>
                      <w:szCs w:val="21"/>
                    </w:rPr>
                    <w:t>/</w:t>
                  </w:r>
                </w:p>
              </w:tc>
              <w:tc>
                <w:tcPr>
                  <w:tcW w:w="834" w:type="dxa"/>
                  <w:shd w:val="clear" w:color="auto" w:fill="auto"/>
                  <w:noWrap w:val="0"/>
                  <w:vAlign w:val="center"/>
                </w:tcPr>
                <w:p>
                  <w:pPr>
                    <w:adjustRightInd w:val="0"/>
                    <w:snapToGrid w:val="0"/>
                    <w:spacing w:line="276" w:lineRule="auto"/>
                    <w:jc w:val="center"/>
                    <w:rPr>
                      <w:rFonts w:hint="eastAsia"/>
                      <w:bCs/>
                      <w:color w:val="FF0000"/>
                      <w:szCs w:val="21"/>
                    </w:rPr>
                  </w:pPr>
                  <w:r>
                    <w:rPr>
                      <w:rFonts w:hint="eastAsia"/>
                      <w:bCs/>
                      <w:szCs w:val="21"/>
                    </w:rPr>
                    <w:t>套</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color w:val="FF0000"/>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11</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应急照明灯</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套</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12</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全场监控报警系统</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固定式</w:t>
                  </w:r>
                </w:p>
              </w:tc>
              <w:tc>
                <w:tcPr>
                  <w:tcW w:w="834" w:type="dxa"/>
                  <w:shd w:val="clear" w:color="auto" w:fill="auto"/>
                  <w:noWrap w:val="0"/>
                  <w:vAlign w:val="center"/>
                </w:tcPr>
                <w:p>
                  <w:pPr>
                    <w:adjustRightInd w:val="0"/>
                    <w:snapToGrid w:val="0"/>
                    <w:spacing w:line="276" w:lineRule="auto"/>
                    <w:jc w:val="center"/>
                    <w:rPr>
                      <w:rFonts w:hint="eastAsia" w:eastAsia="宋体"/>
                      <w:bCs/>
                      <w:szCs w:val="21"/>
                      <w:lang w:eastAsia="zh-CN"/>
                    </w:rPr>
                  </w:pPr>
                  <w:r>
                    <w:rPr>
                      <w:rFonts w:hint="eastAsia"/>
                      <w:bCs/>
                      <w:szCs w:val="21"/>
                      <w:lang w:eastAsia="zh-CN"/>
                    </w:rPr>
                    <w:t>套</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13</w:t>
                  </w:r>
                </w:p>
              </w:tc>
              <w:tc>
                <w:tcPr>
                  <w:tcW w:w="143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人体</w:t>
                  </w:r>
                  <w:r>
                    <w:rPr>
                      <w:bCs/>
                      <w:szCs w:val="21"/>
                    </w:rPr>
                    <w:t>静电释放仪</w:t>
                  </w:r>
                </w:p>
              </w:tc>
              <w:tc>
                <w:tcPr>
                  <w:tcW w:w="88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c>
                <w:tcPr>
                  <w:tcW w:w="834"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台</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rPr>
                    <w:t>1</w:t>
                  </w:r>
                </w:p>
              </w:tc>
              <w:tc>
                <w:tcPr>
                  <w:tcW w:w="933" w:type="dxa"/>
                  <w:shd w:val="clear" w:color="auto" w:fill="auto"/>
                  <w:noWrap w:val="0"/>
                  <w:vAlign w:val="center"/>
                </w:tcPr>
                <w:p>
                  <w:pPr>
                    <w:jc w:val="center"/>
                    <w:rPr>
                      <w:rFonts w:hint="eastAsia"/>
                    </w:rPr>
                  </w:pPr>
                  <w:r>
                    <w:rPr>
                      <w:rFonts w:hint="eastAsia"/>
                      <w:lang w:val="en-US" w:eastAsia="zh-CN"/>
                    </w:rPr>
                    <w:t>0</w:t>
                  </w:r>
                </w:p>
              </w:tc>
              <w:tc>
                <w:tcPr>
                  <w:tcW w:w="1322"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w:t>
                  </w:r>
                </w:p>
              </w:tc>
            </w:tr>
          </w:tbl>
          <w:p>
            <w:pPr>
              <w:adjustRightInd w:val="0"/>
              <w:snapToGrid w:val="0"/>
              <w:spacing w:line="360" w:lineRule="auto"/>
              <w:ind w:firstLine="435"/>
              <w:jc w:val="left"/>
              <w:rPr>
                <w:b/>
                <w:bCs/>
                <w:szCs w:val="21"/>
              </w:rPr>
            </w:pPr>
            <w:r>
              <w:rPr>
                <w:rFonts w:hint="eastAsia"/>
                <w:b/>
                <w:bCs/>
                <w:szCs w:val="21"/>
              </w:rPr>
              <w:t>5.劳动定员</w:t>
            </w:r>
            <w:r>
              <w:rPr>
                <w:b/>
                <w:bCs/>
                <w:szCs w:val="21"/>
              </w:rPr>
              <w:t>及工作班制</w:t>
            </w:r>
          </w:p>
          <w:p>
            <w:pPr>
              <w:adjustRightInd w:val="0"/>
              <w:snapToGrid w:val="0"/>
              <w:spacing w:line="360" w:lineRule="auto"/>
              <w:ind w:firstLine="435"/>
              <w:jc w:val="left"/>
              <w:rPr>
                <w:bCs/>
                <w:szCs w:val="21"/>
              </w:rPr>
            </w:pPr>
            <w:r>
              <w:rPr>
                <w:rFonts w:hint="eastAsia"/>
                <w:bCs/>
                <w:szCs w:val="21"/>
                <w:lang w:eastAsia="zh-CN"/>
              </w:rPr>
              <w:t>本次扩建不新增人员，</w:t>
            </w:r>
            <w:r>
              <w:rPr>
                <w:rFonts w:hint="eastAsia"/>
                <w:bCs/>
                <w:szCs w:val="21"/>
              </w:rPr>
              <w:t xml:space="preserve">劳动定员及工作制度：项目劳动定员共计 </w:t>
            </w:r>
            <w:r>
              <w:rPr>
                <w:rFonts w:hint="eastAsia"/>
                <w:bCs/>
                <w:szCs w:val="21"/>
                <w:lang w:val="en-US" w:eastAsia="zh-CN"/>
              </w:rPr>
              <w:t>3</w:t>
            </w:r>
            <w:r>
              <w:rPr>
                <w:rFonts w:hint="eastAsia"/>
                <w:bCs/>
                <w:szCs w:val="21"/>
              </w:rPr>
              <w:t xml:space="preserve"> 人（其中站长 1 人，加油员 </w:t>
            </w:r>
            <w:r>
              <w:rPr>
                <w:rFonts w:hint="eastAsia"/>
                <w:bCs/>
                <w:szCs w:val="21"/>
                <w:lang w:val="en-US" w:eastAsia="zh-CN"/>
              </w:rPr>
              <w:t>2</w:t>
            </w:r>
            <w:r>
              <w:rPr>
                <w:rFonts w:hint="eastAsia"/>
                <w:bCs/>
                <w:szCs w:val="21"/>
              </w:rPr>
              <w:t xml:space="preserve">人），工作制为每天 </w:t>
            </w:r>
            <w:r>
              <w:rPr>
                <w:rFonts w:hint="eastAsia"/>
                <w:bCs/>
                <w:szCs w:val="21"/>
                <w:lang w:val="en-US" w:eastAsia="zh-CN"/>
              </w:rPr>
              <w:t>3</w:t>
            </w:r>
            <w:r>
              <w:rPr>
                <w:rFonts w:hint="eastAsia"/>
                <w:bCs/>
                <w:szCs w:val="21"/>
              </w:rPr>
              <w:t xml:space="preserve"> 班，一班 </w:t>
            </w:r>
            <w:r>
              <w:rPr>
                <w:rFonts w:hint="eastAsia"/>
                <w:bCs/>
                <w:szCs w:val="21"/>
                <w:lang w:val="en-US" w:eastAsia="zh-CN"/>
              </w:rPr>
              <w:t>1</w:t>
            </w:r>
            <w:r>
              <w:rPr>
                <w:rFonts w:hint="eastAsia"/>
                <w:bCs/>
                <w:szCs w:val="21"/>
              </w:rPr>
              <w:t xml:space="preserve"> 人，一班</w:t>
            </w:r>
            <w:r>
              <w:rPr>
                <w:rFonts w:hint="eastAsia"/>
                <w:bCs/>
                <w:szCs w:val="21"/>
                <w:lang w:val="en-US" w:eastAsia="zh-CN"/>
              </w:rPr>
              <w:t>8</w:t>
            </w:r>
            <w:r>
              <w:rPr>
                <w:rFonts w:hint="eastAsia"/>
                <w:bCs/>
                <w:szCs w:val="21"/>
              </w:rPr>
              <w:t>小时，年工作 365 天。本项目员工均在服务区内食宿。</w:t>
            </w:r>
          </w:p>
          <w:p>
            <w:pPr>
              <w:adjustRightInd w:val="0"/>
              <w:snapToGrid w:val="0"/>
              <w:spacing w:line="360" w:lineRule="auto"/>
              <w:ind w:firstLine="435"/>
              <w:jc w:val="left"/>
              <w:rPr>
                <w:b/>
                <w:bCs/>
                <w:szCs w:val="21"/>
              </w:rPr>
            </w:pPr>
            <w:r>
              <w:rPr>
                <w:rFonts w:hint="eastAsia"/>
                <w:b/>
                <w:bCs/>
                <w:szCs w:val="21"/>
                <w:lang w:val="en-US" w:eastAsia="zh-CN"/>
              </w:rPr>
              <w:t>6.</w:t>
            </w:r>
            <w:r>
              <w:rPr>
                <w:b/>
                <w:bCs/>
                <w:szCs w:val="21"/>
              </w:rPr>
              <w:t>总平面布置</w:t>
            </w:r>
          </w:p>
          <w:p>
            <w:pPr>
              <w:adjustRightInd w:val="0"/>
              <w:snapToGrid w:val="0"/>
              <w:spacing w:line="360" w:lineRule="auto"/>
              <w:ind w:firstLine="435"/>
              <w:jc w:val="left"/>
              <w:rPr>
                <w:rFonts w:hint="eastAsia"/>
                <w:bCs/>
                <w:szCs w:val="21"/>
              </w:rPr>
            </w:pPr>
            <w:r>
              <w:rPr>
                <w:rFonts w:hint="eastAsia"/>
                <w:bCs/>
                <w:szCs w:val="21"/>
              </w:rPr>
              <w:t>本站站址位于</w:t>
            </w:r>
            <w:r>
              <w:rPr>
                <w:rFonts w:hint="eastAsia"/>
                <w:bCs/>
                <w:szCs w:val="21"/>
                <w:lang w:eastAsia="zh-CN"/>
              </w:rPr>
              <w:t>常德市桃源县漳江镇白佛阁社区漳江北路019号</w:t>
            </w:r>
            <w:r>
              <w:rPr>
                <w:rFonts w:hint="eastAsia"/>
                <w:bCs/>
                <w:szCs w:val="21"/>
              </w:rPr>
              <w:t>，总占地面积1200m2，总平面布置按生产功能主要分为4个区：营业区(站房)、加油区(罩棚)、储罐区、辅助用房区。</w:t>
            </w:r>
          </w:p>
          <w:p>
            <w:pPr>
              <w:adjustRightInd w:val="0"/>
              <w:snapToGrid w:val="0"/>
              <w:spacing w:line="360" w:lineRule="auto"/>
              <w:ind w:firstLine="435"/>
              <w:jc w:val="left"/>
              <w:rPr>
                <w:rFonts w:hint="eastAsia"/>
                <w:bCs/>
                <w:szCs w:val="21"/>
              </w:rPr>
            </w:pPr>
            <w:r>
              <w:rPr>
                <w:rFonts w:hint="eastAsia"/>
                <w:bCs/>
                <w:szCs w:val="21"/>
              </w:rPr>
              <w:t>加油区：加油设置在项目厂区中部。</w:t>
            </w:r>
          </w:p>
          <w:p>
            <w:pPr>
              <w:adjustRightInd w:val="0"/>
              <w:snapToGrid w:val="0"/>
              <w:spacing w:line="360" w:lineRule="auto"/>
              <w:ind w:firstLine="435"/>
              <w:jc w:val="left"/>
              <w:rPr>
                <w:rFonts w:hint="eastAsia"/>
                <w:bCs/>
                <w:sz w:val="21"/>
                <w:szCs w:val="21"/>
              </w:rPr>
            </w:pPr>
            <w:r>
              <w:rPr>
                <w:rFonts w:hint="eastAsia"/>
                <w:bCs/>
                <w:sz w:val="21"/>
                <w:szCs w:val="21"/>
              </w:rPr>
              <w:t>站房</w:t>
            </w:r>
            <w:r>
              <w:rPr>
                <w:rFonts w:hint="eastAsia"/>
                <w:bCs/>
                <w:sz w:val="21"/>
                <w:szCs w:val="21"/>
                <w:lang w:eastAsia="zh-CN"/>
              </w:rPr>
              <w:t>和辅房</w:t>
            </w:r>
            <w:r>
              <w:rPr>
                <w:rFonts w:hint="eastAsia"/>
                <w:bCs/>
                <w:sz w:val="21"/>
                <w:szCs w:val="21"/>
              </w:rPr>
              <w:t>位于厂区</w:t>
            </w:r>
            <w:r>
              <w:rPr>
                <w:rFonts w:hint="eastAsia"/>
                <w:bCs/>
                <w:sz w:val="21"/>
                <w:szCs w:val="21"/>
                <w:lang w:eastAsia="zh-CN"/>
              </w:rPr>
              <w:t>东</w:t>
            </w:r>
            <w:r>
              <w:rPr>
                <w:rFonts w:hint="eastAsia"/>
                <w:bCs/>
                <w:sz w:val="21"/>
                <w:szCs w:val="21"/>
              </w:rPr>
              <w:t>侧，</w:t>
            </w:r>
            <w:r>
              <w:rPr>
                <w:rFonts w:hint="eastAsia"/>
                <w:bCs/>
                <w:sz w:val="21"/>
                <w:szCs w:val="21"/>
                <w:lang w:eastAsia="zh-CN"/>
              </w:rPr>
              <w:t>站房</w:t>
            </w:r>
            <w:r>
              <w:rPr>
                <w:rFonts w:hint="eastAsia"/>
                <w:bCs/>
                <w:sz w:val="21"/>
                <w:szCs w:val="21"/>
              </w:rPr>
              <w:t>包括办公、便利店。</w:t>
            </w:r>
            <w:r>
              <w:rPr>
                <w:sz w:val="21"/>
                <w:szCs w:val="21"/>
              </w:rPr>
              <w:t>辅助用房主要为发电房和其他办公室用房等</w:t>
            </w:r>
            <w:r>
              <w:rPr>
                <w:rFonts w:hint="eastAsia"/>
                <w:bCs/>
                <w:sz w:val="21"/>
                <w:szCs w:val="21"/>
              </w:rPr>
              <w:t>发电房和其他办公室用房加油配套设备区：卸油平台位于油罐区，密闭卸油点及通气管均位于卸油平台旁。</w:t>
            </w:r>
          </w:p>
          <w:p>
            <w:pPr>
              <w:adjustRightInd w:val="0"/>
              <w:snapToGrid w:val="0"/>
              <w:spacing w:line="360" w:lineRule="auto"/>
              <w:ind w:firstLine="435"/>
              <w:jc w:val="left"/>
              <w:rPr>
                <w:rFonts w:hint="eastAsia"/>
                <w:bCs/>
                <w:sz w:val="21"/>
                <w:szCs w:val="21"/>
                <w:lang w:eastAsia="zh-CN"/>
              </w:rPr>
            </w:pPr>
            <w:r>
              <w:rPr>
                <w:rFonts w:hint="eastAsia"/>
                <w:bCs/>
                <w:sz w:val="21"/>
                <w:szCs w:val="21"/>
              </w:rPr>
              <w:t>加油站</w:t>
            </w:r>
            <w:r>
              <w:rPr>
                <w:rFonts w:hint="eastAsia"/>
                <w:bCs/>
                <w:sz w:val="21"/>
                <w:szCs w:val="21"/>
                <w:lang w:eastAsia="zh-CN"/>
              </w:rPr>
              <w:t>位于路口，</w:t>
            </w:r>
            <w:r>
              <w:rPr>
                <w:rFonts w:hint="eastAsia"/>
                <w:bCs/>
                <w:sz w:val="21"/>
                <w:szCs w:val="21"/>
              </w:rPr>
              <w:t>在</w:t>
            </w:r>
            <w:r>
              <w:rPr>
                <w:rFonts w:hint="eastAsia"/>
                <w:bCs/>
                <w:sz w:val="21"/>
                <w:szCs w:val="21"/>
                <w:lang w:eastAsia="zh-CN"/>
              </w:rPr>
              <w:t>漳江北路与新石路</w:t>
            </w:r>
            <w:r>
              <w:rPr>
                <w:rFonts w:hint="eastAsia"/>
                <w:bCs/>
                <w:sz w:val="21"/>
                <w:szCs w:val="21"/>
              </w:rPr>
              <w:t>一侧</w:t>
            </w:r>
            <w:r>
              <w:rPr>
                <w:rFonts w:hint="eastAsia"/>
                <w:bCs/>
                <w:sz w:val="21"/>
                <w:szCs w:val="21"/>
                <w:lang w:eastAsia="zh-CN"/>
              </w:rPr>
              <w:t>均可出入</w:t>
            </w:r>
            <w:r>
              <w:rPr>
                <w:rFonts w:hint="eastAsia"/>
                <w:bCs/>
                <w:sz w:val="21"/>
                <w:szCs w:val="21"/>
              </w:rPr>
              <w:t>，加油站场地与相邻道路无缝连接，最大限度的方便车辆进出</w:t>
            </w:r>
            <w:r>
              <w:rPr>
                <w:rFonts w:hint="eastAsia"/>
                <w:bCs/>
                <w:sz w:val="21"/>
                <w:szCs w:val="21"/>
                <w:lang w:eastAsia="zh-CN"/>
              </w:rPr>
              <w:t>。</w:t>
            </w: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lang w:eastAsia="zh-CN"/>
              </w:rPr>
            </w:pPr>
          </w:p>
          <w:p>
            <w:pPr>
              <w:pStyle w:val="14"/>
              <w:rPr>
                <w:rFonts w:hint="eastAsia"/>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pStyle w:val="14"/>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rPr>
                <w:rFonts w:hint="eastAsia"/>
                <w:bCs/>
                <w:szCs w:val="21"/>
                <w:lang w:eastAsia="zh-CN"/>
              </w:rPr>
            </w:pPr>
          </w:p>
          <w:p>
            <w:pPr>
              <w:pStyle w:val="14"/>
              <w:ind w:left="0" w:leftChars="0" w:firstLine="0" w:firstLineChars="0"/>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9" w:hRule="atLeast"/>
          <w:jc w:val="center"/>
        </w:trPr>
        <w:tc>
          <w:tcPr>
            <w:tcW w:w="618" w:type="dxa"/>
            <w:noWrap w:val="0"/>
            <w:vAlign w:val="center"/>
          </w:tcPr>
          <w:p>
            <w:pPr>
              <w:pStyle w:val="6"/>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443" w:type="dxa"/>
            <w:vMerge w:val="restart"/>
            <w:noWrap w:val="0"/>
            <w:vAlign w:val="top"/>
          </w:tcPr>
          <w:p>
            <w:pPr>
              <w:adjustRightInd w:val="0"/>
              <w:snapToGrid w:val="0"/>
              <w:spacing w:line="360" w:lineRule="auto"/>
              <w:rPr>
                <w:rFonts w:ascii="宋体" w:hAnsi="宋体"/>
                <w:b/>
                <w:bCs/>
                <w:szCs w:val="21"/>
              </w:rPr>
            </w:pPr>
            <w:r>
              <w:rPr>
                <w:rFonts w:hint="eastAsia" w:ascii="宋体" w:hAnsi="宋体"/>
                <w:bCs/>
                <w:szCs w:val="21"/>
              </w:rPr>
              <w:t xml:space="preserve"> </w:t>
            </w:r>
            <w:r>
              <w:rPr>
                <w:rFonts w:ascii="宋体" w:hAnsi="宋体"/>
                <w:bCs/>
                <w:szCs w:val="21"/>
              </w:rPr>
              <w:t xml:space="preserve">  </w:t>
            </w:r>
            <w:r>
              <w:rPr>
                <w:b/>
                <w:bCs/>
                <w:szCs w:val="21"/>
              </w:rPr>
              <w:t xml:space="preserve"> 1</w:t>
            </w:r>
            <w:r>
              <w:rPr>
                <w:rFonts w:ascii="宋体" w:hAnsi="宋体"/>
                <w:b/>
                <w:bCs/>
                <w:szCs w:val="21"/>
              </w:rPr>
              <w:t>.施工期</w:t>
            </w:r>
          </w:p>
          <w:p>
            <w:pPr>
              <w:adjustRightInd w:val="0"/>
              <w:snapToGrid w:val="0"/>
              <w:spacing w:line="360" w:lineRule="auto"/>
              <w:ind w:firstLine="420"/>
              <w:jc w:val="left"/>
              <w:rPr>
                <w:rFonts w:hint="eastAsia" w:ascii="宋体" w:hAnsi="宋体" w:eastAsia="宋体"/>
                <w:bCs/>
                <w:szCs w:val="21"/>
                <w:lang w:eastAsia="zh-CN"/>
              </w:rPr>
            </w:pPr>
            <w:r>
              <w:rPr>
                <w:rFonts w:hint="eastAsia" w:ascii="宋体" w:hAnsi="宋体"/>
                <w:b/>
                <w:bCs/>
                <w:szCs w:val="21"/>
              </w:rPr>
              <w:t xml:space="preserve"> </w:t>
            </w:r>
            <w:r>
              <w:rPr>
                <w:rFonts w:ascii="宋体" w:hAnsi="宋体"/>
                <w:b/>
                <w:bCs/>
                <w:szCs w:val="21"/>
              </w:rPr>
              <w:t xml:space="preserve">  </w:t>
            </w:r>
            <w:r>
              <w:rPr>
                <w:rFonts w:hint="eastAsia" w:ascii="宋体" w:hAnsi="宋体"/>
                <w:b w:val="0"/>
                <w:bCs w:val="0"/>
                <w:szCs w:val="21"/>
                <w:lang w:eastAsia="zh-CN"/>
              </w:rPr>
              <w:t>本次扩建内容施工期已完成，因此不做分析。</w:t>
            </w:r>
          </w:p>
          <w:p>
            <w:pPr>
              <w:adjustRightInd w:val="0"/>
              <w:snapToGrid w:val="0"/>
              <w:spacing w:line="360" w:lineRule="auto"/>
              <w:ind w:firstLine="420"/>
              <w:jc w:val="left"/>
              <w:rPr>
                <w:rFonts w:ascii="宋体" w:hAnsi="宋体"/>
                <w:b/>
                <w:bCs/>
                <w:szCs w:val="21"/>
              </w:rPr>
            </w:pPr>
            <w:r>
              <w:rPr>
                <w:rFonts w:hint="eastAsia" w:ascii="宋体" w:hAnsi="宋体"/>
                <w:b/>
                <w:bCs/>
                <w:szCs w:val="21"/>
              </w:rPr>
              <w:t>2</w:t>
            </w:r>
            <w:r>
              <w:rPr>
                <w:rFonts w:ascii="宋体" w:hAnsi="宋体"/>
                <w:b/>
                <w:bCs/>
                <w:szCs w:val="21"/>
              </w:rPr>
              <w:t>.营运期</w:t>
            </w:r>
          </w:p>
          <w:p>
            <w:pPr>
              <w:adjustRightInd w:val="0"/>
              <w:snapToGrid w:val="0"/>
              <w:spacing w:line="360" w:lineRule="auto"/>
              <w:ind w:firstLine="420"/>
              <w:jc w:val="left"/>
              <w:rPr>
                <w:rFonts w:ascii="宋体" w:hAnsi="宋体"/>
                <w:bCs/>
                <w:szCs w:val="21"/>
              </w:rPr>
            </w:pPr>
            <w:r>
              <w:rPr>
                <w:rFonts w:ascii="宋体" w:hAnsi="宋体"/>
                <w:bCs/>
                <w:szCs w:val="21"/>
              </w:rPr>
              <w:t>本项目主要从事汽油、柴油的零售。项目营运期加油工艺流程与产污节点见下图。</w:t>
            </w:r>
          </w:p>
          <w:p>
            <w:pPr>
              <w:adjustRightInd w:val="0"/>
              <w:snapToGrid w:val="0"/>
              <w:spacing w:line="360" w:lineRule="auto"/>
              <w:ind w:firstLine="420"/>
              <w:jc w:val="left"/>
              <w:rPr>
                <w:rFonts w:ascii="宋体" w:hAnsi="宋体"/>
                <w:bCs/>
                <w:szCs w:val="21"/>
              </w:rPr>
            </w:pPr>
            <w:r>
              <w:rPr>
                <w:rFonts w:ascii="宋体" w:hAnsi="宋体"/>
                <w:bCs/>
                <w:szCs w:val="21"/>
              </w:rPr>
              <w:drawing>
                <wp:inline distT="0" distB="0" distL="114300" distR="114300">
                  <wp:extent cx="4391025" cy="1264920"/>
                  <wp:effectExtent l="0" t="0" r="9525" b="11430"/>
                  <wp:docPr id="9" name="图片 3" descr="1651827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1651827747(1)"/>
                          <pic:cNvPicPr>
                            <a:picLocks noChangeAspect="1"/>
                          </pic:cNvPicPr>
                        </pic:nvPicPr>
                        <pic:blipFill>
                          <a:blip r:embed="rId5"/>
                          <a:stretch>
                            <a:fillRect/>
                          </a:stretch>
                        </pic:blipFill>
                        <pic:spPr>
                          <a:xfrm>
                            <a:off x="0" y="0"/>
                            <a:ext cx="4391025" cy="1264920"/>
                          </a:xfrm>
                          <a:prstGeom prst="rect">
                            <a:avLst/>
                          </a:prstGeom>
                          <a:noFill/>
                          <a:ln>
                            <a:noFill/>
                          </a:ln>
                        </pic:spPr>
                      </pic:pic>
                    </a:graphicData>
                  </a:graphic>
                </wp:inline>
              </w:drawing>
            </w:r>
          </w:p>
          <w:p>
            <w:pPr>
              <w:adjustRightInd w:val="0"/>
              <w:snapToGrid w:val="0"/>
              <w:spacing w:line="360" w:lineRule="auto"/>
              <w:jc w:val="center"/>
              <w:rPr>
                <w:rFonts w:ascii="宋体" w:hAnsi="宋体"/>
                <w:b/>
                <w:bCs/>
                <w:szCs w:val="21"/>
              </w:rPr>
            </w:pPr>
            <w:r>
              <w:rPr>
                <w:rFonts w:ascii="宋体" w:hAnsi="宋体"/>
                <w:b/>
                <w:bCs/>
                <w:szCs w:val="21"/>
              </w:rPr>
              <w:t>图</w:t>
            </w:r>
            <w:r>
              <w:rPr>
                <w:b/>
                <w:bCs/>
                <w:szCs w:val="21"/>
              </w:rPr>
              <w:t>2-3</w:t>
            </w:r>
            <w:r>
              <w:rPr>
                <w:rFonts w:ascii="宋体" w:hAnsi="宋体"/>
                <w:b/>
                <w:bCs/>
                <w:szCs w:val="21"/>
              </w:rPr>
              <w:t xml:space="preserve">  项目营运期加油工艺流程及产污节点图</w:t>
            </w:r>
          </w:p>
          <w:p>
            <w:pPr>
              <w:adjustRightInd w:val="0"/>
              <w:snapToGrid w:val="0"/>
              <w:spacing w:line="360" w:lineRule="auto"/>
              <w:ind w:firstLine="420"/>
              <w:jc w:val="left"/>
              <w:rPr>
                <w:rFonts w:ascii="宋体" w:hAnsi="宋体"/>
                <w:bCs/>
                <w:szCs w:val="21"/>
              </w:rPr>
            </w:pPr>
            <w:r>
              <w:rPr>
                <w:rFonts w:ascii="宋体" w:hAnsi="宋体"/>
                <w:bCs/>
                <w:szCs w:val="21"/>
              </w:rPr>
              <w:t>工艺流程：</w:t>
            </w:r>
          </w:p>
          <w:p>
            <w:pPr>
              <w:adjustRightInd w:val="0"/>
              <w:snapToGrid w:val="0"/>
              <w:spacing w:line="360" w:lineRule="auto"/>
              <w:ind w:firstLine="420"/>
              <w:jc w:val="left"/>
              <w:rPr>
                <w:rFonts w:hint="eastAsia" w:ascii="宋体" w:hAnsi="宋体"/>
                <w:bCs/>
                <w:szCs w:val="21"/>
              </w:rPr>
            </w:pPr>
            <w:r>
              <w:rPr>
                <w:rFonts w:ascii="宋体" w:hAnsi="宋体"/>
                <w:bCs/>
                <w:szCs w:val="21"/>
              </w:rPr>
              <w:t>（</w:t>
            </w:r>
            <w:r>
              <w:rPr>
                <w:bCs/>
                <w:szCs w:val="21"/>
              </w:rPr>
              <w:t>1</w:t>
            </w:r>
            <w:r>
              <w:rPr>
                <w:rFonts w:ascii="宋体" w:hAnsi="宋体"/>
                <w:bCs/>
                <w:szCs w:val="21"/>
              </w:rPr>
              <w:t>）卸油工艺</w:t>
            </w:r>
          </w:p>
          <w:p>
            <w:pPr>
              <w:adjustRightInd w:val="0"/>
              <w:snapToGrid w:val="0"/>
              <w:spacing w:line="360" w:lineRule="auto"/>
              <w:ind w:firstLine="420"/>
              <w:jc w:val="left"/>
              <w:rPr>
                <w:bCs/>
                <w:szCs w:val="21"/>
              </w:rPr>
            </w:pPr>
            <w:r>
              <w:rPr>
                <w:rFonts w:ascii="宋体" w:hAnsi="宋体"/>
                <w:bCs/>
                <w:szCs w:val="21"/>
              </w:rPr>
              <w:t>本加油站采用密闭卸油工艺，油罐车自油库运至卸油点附近停好后，垫好三角木，挂上警示牌，加紧静电接地夹，静止</w:t>
            </w:r>
            <w:r>
              <w:rPr>
                <w:bCs/>
                <w:szCs w:val="21"/>
              </w:rPr>
              <w:t>15</w:t>
            </w:r>
            <w:r>
              <w:rPr>
                <w:rFonts w:ascii="宋体" w:hAnsi="宋体"/>
                <w:bCs/>
                <w:szCs w:val="21"/>
              </w:rPr>
              <w:t>分钟，通过软管和导管伸至罐内距罐底</w:t>
            </w:r>
            <w:r>
              <w:rPr>
                <w:rFonts w:hint="cs"/>
                <w:bCs/>
                <w:szCs w:val="21"/>
              </w:rPr>
              <w:t>0</w:t>
            </w:r>
            <w:r>
              <w:rPr>
                <w:bCs/>
                <w:szCs w:val="21"/>
              </w:rPr>
              <w:t>.2m处，用快速接头将卸油管和地下油罐受油管接通，并接好卸油油气回收管，管连接后开阀自流进油。初始流速控制在</w:t>
            </w:r>
            <w:r>
              <w:rPr>
                <w:rFonts w:hint="eastAsia"/>
                <w:bCs/>
                <w:szCs w:val="21"/>
              </w:rPr>
              <w:t>1</w:t>
            </w:r>
            <w:r>
              <w:rPr>
                <w:bCs/>
                <w:szCs w:val="21"/>
              </w:rPr>
              <w:t>m/s以内，卸油时流速应控制在</w:t>
            </w:r>
            <w:r>
              <w:rPr>
                <w:rFonts w:hint="eastAsia"/>
                <w:bCs/>
                <w:szCs w:val="21"/>
              </w:rPr>
              <w:t>3</w:t>
            </w:r>
            <w:r>
              <w:rPr>
                <w:bCs/>
                <w:szCs w:val="21"/>
              </w:rPr>
              <w:t>m/s，卸油完毕关阀、脱开快速接头及静电接地夹。</w:t>
            </w:r>
          </w:p>
          <w:p>
            <w:pPr>
              <w:adjustRightInd w:val="0"/>
              <w:snapToGrid w:val="0"/>
              <w:spacing w:line="360" w:lineRule="auto"/>
              <w:ind w:firstLine="420"/>
              <w:jc w:val="left"/>
              <w:rPr>
                <w:bCs/>
                <w:szCs w:val="21"/>
              </w:rPr>
            </w:pPr>
            <w:r>
              <w:rPr>
                <w:bCs/>
                <w:szCs w:val="21"/>
              </w:rPr>
              <w:t>（</w:t>
            </w:r>
            <w:r>
              <w:rPr>
                <w:rFonts w:hint="eastAsia"/>
                <w:bCs/>
                <w:szCs w:val="21"/>
              </w:rPr>
              <w:t>2</w:t>
            </w:r>
            <w:r>
              <w:rPr>
                <w:bCs/>
                <w:szCs w:val="21"/>
              </w:rPr>
              <w:t>）加油工艺</w:t>
            </w:r>
          </w:p>
          <w:p>
            <w:pPr>
              <w:adjustRightInd w:val="0"/>
              <w:snapToGrid w:val="0"/>
              <w:spacing w:line="360" w:lineRule="auto"/>
              <w:ind w:firstLine="420"/>
              <w:jc w:val="left"/>
              <w:rPr>
                <w:bCs/>
                <w:szCs w:val="21"/>
              </w:rPr>
            </w:pPr>
            <w:r>
              <w:rPr>
                <w:bCs/>
                <w:szCs w:val="21"/>
              </w:rPr>
              <w:t>加油时，汽油、柴油通过潜油泵运送至加油机，经过加油机自动计量和自封式加油枪注入汽车油箱等受油容器。</w:t>
            </w:r>
          </w:p>
          <w:p>
            <w:pPr>
              <w:adjustRightInd w:val="0"/>
              <w:snapToGrid w:val="0"/>
              <w:spacing w:line="360" w:lineRule="auto"/>
              <w:ind w:firstLine="420"/>
              <w:jc w:val="left"/>
              <w:rPr>
                <w:rFonts w:hint="eastAsia" w:eastAsia="宋体"/>
                <w:bCs/>
                <w:szCs w:val="21"/>
                <w:lang w:eastAsia="zh-CN"/>
              </w:rPr>
            </w:pPr>
            <w:r>
              <w:rPr>
                <w:rFonts w:hint="eastAsia" w:eastAsia="宋体"/>
                <w:bCs/>
                <w:szCs w:val="21"/>
                <w:lang w:eastAsia="zh-CN"/>
              </w:rPr>
              <w:drawing>
                <wp:inline distT="0" distB="0" distL="114300" distR="114300">
                  <wp:extent cx="5219065" cy="2379345"/>
                  <wp:effectExtent l="0" t="0" r="635" b="1905"/>
                  <wp:docPr id="5" name="图片 5" descr="加油站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加油站工艺流程"/>
                          <pic:cNvPicPr>
                            <a:picLocks noChangeAspect="1"/>
                          </pic:cNvPicPr>
                        </pic:nvPicPr>
                        <pic:blipFill>
                          <a:blip r:embed="rId6"/>
                          <a:stretch>
                            <a:fillRect/>
                          </a:stretch>
                        </pic:blipFill>
                        <pic:spPr>
                          <a:xfrm>
                            <a:off x="0" y="0"/>
                            <a:ext cx="5219065" cy="2379345"/>
                          </a:xfrm>
                          <a:prstGeom prst="rect">
                            <a:avLst/>
                          </a:prstGeom>
                        </pic:spPr>
                      </pic:pic>
                    </a:graphicData>
                  </a:graphic>
                </wp:inline>
              </w:drawing>
            </w:r>
          </w:p>
          <w:p>
            <w:pPr>
              <w:adjustRightInd w:val="0"/>
              <w:snapToGrid w:val="0"/>
              <w:spacing w:line="360" w:lineRule="auto"/>
              <w:ind w:firstLine="420"/>
              <w:jc w:val="left"/>
              <w:rPr>
                <w:bCs/>
                <w:szCs w:val="21"/>
              </w:rPr>
            </w:pPr>
            <w:r>
              <w:rPr>
                <w:bCs/>
                <w:szCs w:val="21"/>
              </w:rPr>
              <w:t>加油油气回收系统分为一次油气回收、二次油气回收，由卸油油气回收系统、汽油密闭储存、加油油气回收系统、在线监控系统和油气排放处理装置组成。</w:t>
            </w:r>
          </w:p>
          <w:p>
            <w:pPr>
              <w:adjustRightInd w:val="0"/>
              <w:snapToGrid w:val="0"/>
              <w:spacing w:line="360" w:lineRule="auto"/>
              <w:ind w:firstLine="435"/>
              <w:jc w:val="left"/>
              <w:rPr>
                <w:bCs/>
                <w:szCs w:val="21"/>
              </w:rPr>
            </w:pPr>
            <w:r>
              <w:rPr>
                <w:bCs/>
                <w:szCs w:val="21"/>
              </w:rPr>
              <w:t>一次油气回收：为卸油油气回收系统，即将油罐汽车卸油时产生的油气，通过密闭方式收集进入油罐车罐内的系统。此油气经过导管重新输回油罐车内，完成油气循环的卸油过程。回收到罐车内的油气，可由油罐车带回油库后，再经冷凝、吸附或燃烧等方式处理。</w:t>
            </w:r>
          </w:p>
          <w:p>
            <w:pPr>
              <w:adjustRightInd w:val="0"/>
              <w:snapToGrid w:val="0"/>
              <w:spacing w:line="360" w:lineRule="auto"/>
              <w:ind w:firstLine="435"/>
              <w:jc w:val="left"/>
              <w:rPr>
                <w:bCs/>
                <w:szCs w:val="21"/>
              </w:rPr>
            </w:pPr>
            <w:r>
              <w:rPr>
                <w:bCs/>
                <w:szCs w:val="21"/>
              </w:rPr>
              <w:t>二次油气回收：即加油油气回收系统。将汽车加油时产生油气回收至油罐装置称为加油站加油油气二次油气回收。加油机发油时通过油气回收专用油枪、油气回收胶管、油气分离器、回收真空泵等产品和部件组成的回收系统将油气收回地下储油罐。</w:t>
            </w:r>
          </w:p>
          <w:p>
            <w:pPr>
              <w:adjustRightInd w:val="0"/>
              <w:snapToGrid w:val="0"/>
              <w:spacing w:line="360" w:lineRule="auto"/>
              <w:ind w:firstLine="420"/>
              <w:jc w:val="left"/>
              <w:rPr>
                <w:rFonts w:ascii="宋体" w:hAnsi="宋体"/>
                <w:bCs/>
                <w:szCs w:val="21"/>
              </w:rPr>
            </w:pPr>
            <w:r>
              <w:rPr>
                <w:rFonts w:ascii="宋体" w:hAnsi="宋体"/>
                <w:bCs/>
                <w:szCs w:val="21"/>
              </w:rPr>
              <w:drawing>
                <wp:inline distT="0" distB="0" distL="114300" distR="114300">
                  <wp:extent cx="3808730" cy="2741295"/>
                  <wp:effectExtent l="0" t="0" r="1270" b="190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3808730" cy="2741295"/>
                          </a:xfrm>
                          <a:prstGeom prst="rect">
                            <a:avLst/>
                          </a:prstGeom>
                          <a:noFill/>
                          <a:ln>
                            <a:noFill/>
                          </a:ln>
                        </pic:spPr>
                      </pic:pic>
                    </a:graphicData>
                  </a:graphic>
                </wp:inline>
              </w:drawing>
            </w:r>
          </w:p>
          <w:p>
            <w:pPr>
              <w:adjustRightInd w:val="0"/>
              <w:snapToGrid w:val="0"/>
              <w:spacing w:line="360" w:lineRule="auto"/>
              <w:jc w:val="center"/>
              <w:rPr>
                <w:b/>
                <w:bCs/>
                <w:szCs w:val="21"/>
              </w:rPr>
            </w:pPr>
            <w:r>
              <w:rPr>
                <w:b/>
                <w:bCs/>
                <w:szCs w:val="21"/>
              </w:rPr>
              <w:t>图2-4  一次油气回收系统示意图</w:t>
            </w:r>
          </w:p>
          <w:p>
            <w:pPr>
              <w:adjustRightInd w:val="0"/>
              <w:snapToGrid w:val="0"/>
              <w:spacing w:line="360" w:lineRule="auto"/>
              <w:ind w:firstLine="435"/>
              <w:jc w:val="left"/>
              <w:rPr>
                <w:kern w:val="24"/>
              </w:rPr>
            </w:pPr>
            <w:r>
              <w:rPr>
                <w:kern w:val="24"/>
              </w:rPr>
              <w:drawing>
                <wp:inline distT="0" distB="0" distL="114300" distR="114300">
                  <wp:extent cx="4525010" cy="3314700"/>
                  <wp:effectExtent l="0" t="0" r="8890" b="0"/>
                  <wp:docPr id="7" name="图片 5"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QQ截图20150228113330"/>
                          <pic:cNvPicPr>
                            <a:picLocks noChangeAspect="1"/>
                          </pic:cNvPicPr>
                        </pic:nvPicPr>
                        <pic:blipFill>
                          <a:blip r:embed="rId8"/>
                          <a:stretch>
                            <a:fillRect/>
                          </a:stretch>
                        </pic:blipFill>
                        <pic:spPr>
                          <a:xfrm>
                            <a:off x="0" y="0"/>
                            <a:ext cx="4525010" cy="3314700"/>
                          </a:xfrm>
                          <a:prstGeom prst="rect">
                            <a:avLst/>
                          </a:prstGeom>
                          <a:noFill/>
                          <a:ln>
                            <a:noFill/>
                          </a:ln>
                        </pic:spPr>
                      </pic:pic>
                    </a:graphicData>
                  </a:graphic>
                </wp:inline>
              </w:drawing>
            </w:r>
          </w:p>
          <w:p>
            <w:pPr>
              <w:adjustRightInd w:val="0"/>
              <w:snapToGrid w:val="0"/>
              <w:spacing w:line="360" w:lineRule="auto"/>
              <w:jc w:val="center"/>
              <w:rPr>
                <w:b/>
                <w:bCs/>
                <w:szCs w:val="21"/>
              </w:rPr>
            </w:pPr>
            <w:r>
              <w:rPr>
                <w:b/>
                <w:kern w:val="24"/>
              </w:rPr>
              <w:t>图</w:t>
            </w:r>
            <w:r>
              <w:rPr>
                <w:rFonts w:hint="eastAsia"/>
                <w:b/>
                <w:kern w:val="24"/>
              </w:rPr>
              <w:t>2</w:t>
            </w:r>
            <w:r>
              <w:rPr>
                <w:b/>
                <w:kern w:val="24"/>
              </w:rPr>
              <w:t>-5  二次油气回收系统示意图</w:t>
            </w:r>
          </w:p>
          <w:p>
            <w:pPr>
              <w:adjustRightInd w:val="0"/>
              <w:snapToGrid w:val="0"/>
              <w:spacing w:line="360" w:lineRule="auto"/>
              <w:jc w:val="center"/>
              <w:rPr>
                <w:b/>
                <w:bCs/>
                <w:szCs w:val="21"/>
              </w:rPr>
            </w:pPr>
          </w:p>
          <w:p>
            <w:pPr>
              <w:adjustRightInd w:val="0"/>
              <w:snapToGrid w:val="0"/>
              <w:spacing w:line="360" w:lineRule="auto"/>
              <w:jc w:val="center"/>
              <w:rPr>
                <w:b/>
                <w:bCs/>
                <w:szCs w:val="21"/>
              </w:rPr>
            </w:pPr>
            <w:r>
              <w:rPr>
                <w:b/>
                <w:bCs/>
                <w:szCs w:val="21"/>
              </w:rPr>
              <w:t>表</w:t>
            </w:r>
            <w:r>
              <w:rPr>
                <w:rFonts w:hint="eastAsia"/>
                <w:b/>
                <w:bCs/>
                <w:szCs w:val="21"/>
              </w:rPr>
              <w:t>2</w:t>
            </w:r>
            <w:r>
              <w:rPr>
                <w:b/>
                <w:bCs/>
                <w:szCs w:val="21"/>
              </w:rPr>
              <w:t>-6  运营期主要污染工序一览表</w:t>
            </w:r>
          </w:p>
          <w:tbl>
            <w:tblPr>
              <w:tblStyle w:val="8"/>
              <w:tblpPr w:leftFromText="180" w:rightFromText="180" w:vertAnchor="text" w:horzAnchor="page" w:tblpX="156"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118"/>
              <w:gridCol w:w="3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noWrap w:val="0"/>
                  <w:vAlign w:val="center"/>
                </w:tcPr>
                <w:p>
                  <w:pPr>
                    <w:adjustRightInd w:val="0"/>
                    <w:snapToGrid w:val="0"/>
                    <w:spacing w:line="276" w:lineRule="auto"/>
                    <w:jc w:val="center"/>
                    <w:rPr>
                      <w:rFonts w:hint="eastAsia"/>
                      <w:b/>
                      <w:bCs/>
                      <w:szCs w:val="21"/>
                    </w:rPr>
                  </w:pPr>
                  <w:r>
                    <w:rPr>
                      <w:b/>
                      <w:bCs/>
                      <w:szCs w:val="21"/>
                    </w:rPr>
                    <w:t>名称</w:t>
                  </w:r>
                </w:p>
              </w:tc>
              <w:tc>
                <w:tcPr>
                  <w:tcW w:w="3118" w:type="dxa"/>
                  <w:shd w:val="clear" w:color="auto" w:fill="auto"/>
                  <w:noWrap w:val="0"/>
                  <w:vAlign w:val="center"/>
                </w:tcPr>
                <w:p>
                  <w:pPr>
                    <w:adjustRightInd w:val="0"/>
                    <w:snapToGrid w:val="0"/>
                    <w:spacing w:line="276" w:lineRule="auto"/>
                    <w:jc w:val="center"/>
                    <w:rPr>
                      <w:rFonts w:hint="eastAsia"/>
                      <w:b/>
                      <w:bCs/>
                      <w:szCs w:val="21"/>
                    </w:rPr>
                  </w:pPr>
                  <w:r>
                    <w:rPr>
                      <w:b/>
                      <w:bCs/>
                      <w:szCs w:val="21"/>
                    </w:rPr>
                    <w:t>污染来源</w:t>
                  </w:r>
                </w:p>
              </w:tc>
              <w:tc>
                <w:tcPr>
                  <w:tcW w:w="3693" w:type="dxa"/>
                  <w:shd w:val="clear" w:color="auto" w:fill="auto"/>
                  <w:noWrap w:val="0"/>
                  <w:vAlign w:val="center"/>
                </w:tcPr>
                <w:p>
                  <w:pPr>
                    <w:adjustRightInd w:val="0"/>
                    <w:snapToGrid w:val="0"/>
                    <w:spacing w:line="276" w:lineRule="auto"/>
                    <w:jc w:val="center"/>
                    <w:rPr>
                      <w:rFonts w:hint="eastAsia"/>
                      <w:b/>
                      <w:bCs/>
                      <w:szCs w:val="21"/>
                    </w:rPr>
                  </w:pPr>
                  <w:r>
                    <w:rPr>
                      <w:b/>
                      <w:bCs/>
                      <w:szCs w:val="21"/>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废水</w:t>
                  </w: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lang w:eastAsia="zh-CN"/>
                    </w:rPr>
                    <w:t>场地清洗</w:t>
                  </w:r>
                  <w:r>
                    <w:rPr>
                      <w:bCs/>
                      <w:szCs w:val="21"/>
                    </w:rPr>
                    <w:t>废水</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bCs/>
                      <w:szCs w:val="21"/>
                    </w:rPr>
                    <w:t>COD</w:t>
                  </w:r>
                  <w:r>
                    <w:rPr>
                      <w:rFonts w:hint="eastAsia"/>
                      <w:bCs/>
                      <w:szCs w:val="21"/>
                      <w:vertAlign w:val="subscript"/>
                    </w:rPr>
                    <w:t>Cr</w:t>
                  </w:r>
                  <w:r>
                    <w:rPr>
                      <w:rFonts w:hint="eastAsia"/>
                      <w:bCs/>
                      <w:szCs w:val="21"/>
                    </w:rPr>
                    <w:t>、SS、石油类、LAS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bCs/>
                      <w:szCs w:val="21"/>
                    </w:rPr>
                    <w:t>生活污水</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COD</w:t>
                  </w:r>
                  <w:r>
                    <w:rPr>
                      <w:rFonts w:hint="eastAsia"/>
                      <w:color w:val="000000"/>
                      <w:szCs w:val="21"/>
                      <w:vertAlign w:val="subscript"/>
                    </w:rPr>
                    <w:t>Cr</w:t>
                  </w:r>
                  <w:r>
                    <w:rPr>
                      <w:rFonts w:hint="eastAsia"/>
                      <w:color w:val="000000"/>
                      <w:szCs w:val="21"/>
                    </w:rPr>
                    <w:t>、BOD</w:t>
                  </w:r>
                  <w:r>
                    <w:rPr>
                      <w:rFonts w:hint="eastAsia"/>
                      <w:color w:val="000000"/>
                      <w:sz w:val="11"/>
                      <w:szCs w:val="11"/>
                    </w:rPr>
                    <w:t>5</w:t>
                  </w:r>
                  <w:r>
                    <w:rPr>
                      <w:rFonts w:hint="eastAsia"/>
                      <w:color w:val="000000"/>
                      <w:szCs w:val="21"/>
                    </w:rPr>
                    <w:t>、SS、NH</w:t>
                  </w:r>
                  <w:r>
                    <w:rPr>
                      <w:rFonts w:hint="eastAsia"/>
                      <w:color w:val="000000"/>
                      <w:sz w:val="11"/>
                      <w:szCs w:val="11"/>
                    </w:rPr>
                    <w:t>3</w:t>
                  </w:r>
                  <w:r>
                    <w:rPr>
                      <w:rFonts w:hint="eastAsia"/>
                      <w:color w:val="000000"/>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废气</w:t>
                  </w: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储罐大小呼吸、卸油过程</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加油作业</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汽车尾气</w:t>
                  </w:r>
                </w:p>
              </w:tc>
              <w:tc>
                <w:tcPr>
                  <w:tcW w:w="3693" w:type="dxa"/>
                  <w:shd w:val="clear" w:color="auto" w:fill="auto"/>
                  <w:noWrap w:val="0"/>
                  <w:vAlign w:val="center"/>
                </w:tcPr>
                <w:p>
                  <w:pPr>
                    <w:adjustRightInd w:val="0"/>
                    <w:snapToGrid w:val="0"/>
                    <w:spacing w:line="276" w:lineRule="auto"/>
                    <w:jc w:val="center"/>
                    <w:rPr>
                      <w:rFonts w:hint="eastAsia"/>
                      <w:bCs/>
                      <w:szCs w:val="21"/>
                    </w:rPr>
                  </w:pPr>
                  <w:r>
                    <w:rPr>
                      <w:color w:val="000000"/>
                      <w:sz w:val="20"/>
                      <w:szCs w:val="20"/>
                    </w:rPr>
                    <w:t>NO</w:t>
                  </w:r>
                  <w:r>
                    <w:rPr>
                      <w:color w:val="000000"/>
                      <w:sz w:val="13"/>
                      <w:szCs w:val="13"/>
                    </w:rPr>
                    <w:t>2</w:t>
                  </w:r>
                  <w:r>
                    <w:rPr>
                      <w:rFonts w:hint="eastAsia"/>
                      <w:color w:val="000000"/>
                      <w:sz w:val="20"/>
                      <w:szCs w:val="20"/>
                    </w:rPr>
                    <w:t>、</w:t>
                  </w:r>
                  <w:r>
                    <w:rPr>
                      <w:color w:val="000000"/>
                      <w:sz w:val="20"/>
                      <w:szCs w:val="20"/>
                    </w:rPr>
                    <w:t>CO</w:t>
                  </w:r>
                  <w:r>
                    <w:rPr>
                      <w:rFonts w:hint="eastAsia"/>
                      <w:color w:val="000000"/>
                      <w:sz w:val="20"/>
                      <w:szCs w:val="20"/>
                    </w:rPr>
                    <w:t>、</w:t>
                  </w:r>
                  <w:r>
                    <w:rPr>
                      <w:color w:val="000000"/>
                      <w:sz w:val="20"/>
                      <w:szCs w:val="20"/>
                    </w:rPr>
                    <w:t>THC</w:t>
                  </w:r>
                  <w:r>
                    <w:rPr>
                      <w:rFonts w:hint="eastAsia"/>
                      <w:color w:val="000000"/>
                      <w:sz w:val="20"/>
                      <w:szCs w:val="20"/>
                    </w:rPr>
                    <w:t>、</w:t>
                  </w:r>
                  <w:r>
                    <w:rPr>
                      <w:color w:val="000000"/>
                      <w:sz w:val="20"/>
                      <w:szCs w:val="20"/>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rFonts w:hint="eastAsia"/>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备用柴油发电机</w:t>
                  </w:r>
                </w:p>
              </w:tc>
              <w:tc>
                <w:tcPr>
                  <w:tcW w:w="3693" w:type="dxa"/>
                  <w:shd w:val="clear" w:color="auto" w:fill="auto"/>
                  <w:noWrap w:val="0"/>
                  <w:vAlign w:val="center"/>
                </w:tcPr>
                <w:p>
                  <w:pPr>
                    <w:adjustRightInd w:val="0"/>
                    <w:snapToGrid w:val="0"/>
                    <w:spacing w:line="276" w:lineRule="auto"/>
                    <w:jc w:val="center"/>
                    <w:rPr>
                      <w:rFonts w:hint="eastAsia"/>
                      <w:bCs/>
                      <w:szCs w:val="21"/>
                    </w:rPr>
                  </w:pPr>
                  <w:r>
                    <w:rPr>
                      <w:rFonts w:hint="eastAsia"/>
                      <w:color w:val="000000"/>
                      <w:szCs w:val="21"/>
                    </w:rPr>
                    <w:t>烟尘、</w:t>
                  </w:r>
                  <w:r>
                    <w:rPr>
                      <w:color w:val="000000"/>
                      <w:szCs w:val="21"/>
                    </w:rPr>
                    <w:t>SO</w:t>
                  </w:r>
                  <w:r>
                    <w:rPr>
                      <w:color w:val="000000"/>
                      <w:sz w:val="14"/>
                      <w:szCs w:val="14"/>
                    </w:rPr>
                    <w:t>2</w:t>
                  </w:r>
                  <w:r>
                    <w:rPr>
                      <w:rFonts w:hint="eastAsia"/>
                      <w:color w:val="000000"/>
                      <w:szCs w:val="21"/>
                    </w:rPr>
                    <w:t>、</w:t>
                  </w:r>
                  <w:r>
                    <w:rPr>
                      <w:color w:val="000000"/>
                      <w:szCs w:val="21"/>
                    </w:rPr>
                    <w:t>NO</w:t>
                  </w:r>
                  <w:r>
                    <w:rPr>
                      <w:color w:val="000000"/>
                      <w:sz w:val="14"/>
                      <w:szCs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shd w:val="clear" w:color="auto" w:fill="auto"/>
                  <w:noWrap w:val="0"/>
                  <w:vAlign w:val="center"/>
                </w:tcPr>
                <w:p>
                  <w:pPr>
                    <w:adjustRightInd w:val="0"/>
                    <w:snapToGrid w:val="0"/>
                    <w:spacing w:line="276" w:lineRule="auto"/>
                    <w:jc w:val="center"/>
                    <w:rPr>
                      <w:rFonts w:hint="eastAsia"/>
                      <w:bCs/>
                      <w:szCs w:val="21"/>
                    </w:rPr>
                  </w:pPr>
                  <w:r>
                    <w:rPr>
                      <w:bCs/>
                      <w:szCs w:val="21"/>
                    </w:rPr>
                    <w:t>噪声</w:t>
                  </w: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车辆、设备</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Leq(A)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shd w:val="clear" w:color="auto" w:fill="auto"/>
                  <w:noWrap w:val="0"/>
                  <w:vAlign w:val="center"/>
                </w:tcPr>
                <w:p>
                  <w:pPr>
                    <w:adjustRightInd w:val="0"/>
                    <w:snapToGrid w:val="0"/>
                    <w:spacing w:line="276" w:lineRule="auto"/>
                    <w:jc w:val="center"/>
                    <w:rPr>
                      <w:rFonts w:hint="eastAsia"/>
                      <w:bCs/>
                      <w:szCs w:val="21"/>
                    </w:rPr>
                  </w:pPr>
                  <w:r>
                    <w:rPr>
                      <w:bCs/>
                      <w:szCs w:val="21"/>
                    </w:rPr>
                    <w:t>固废</w:t>
                  </w: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生产过程</w:t>
                  </w:r>
                </w:p>
              </w:tc>
              <w:tc>
                <w:tcPr>
                  <w:tcW w:w="3693" w:type="dxa"/>
                  <w:shd w:val="clear" w:color="auto" w:fill="auto"/>
                  <w:noWrap w:val="0"/>
                  <w:vAlign w:val="center"/>
                </w:tcPr>
                <w:p>
                  <w:pPr>
                    <w:adjustRightInd w:val="0"/>
                    <w:snapToGrid w:val="0"/>
                    <w:spacing w:line="276" w:lineRule="auto"/>
                    <w:jc w:val="center"/>
                    <w:rPr>
                      <w:color w:val="000000"/>
                      <w:szCs w:val="21"/>
                    </w:rPr>
                  </w:pPr>
                  <w:r>
                    <w:rPr>
                      <w:rFonts w:hint="eastAsia"/>
                      <w:color w:val="000000"/>
                      <w:szCs w:val="21"/>
                    </w:rPr>
                    <w:t>油泥、含油废手套、废抹布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隔油沉淀池</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浮油</w:t>
                  </w:r>
                  <w:r>
                    <w:rPr>
                      <w:color w:val="000000"/>
                      <w:szCs w:val="21"/>
                    </w:rPr>
                    <w:t>、污泥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清洗油罐</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color w:val="000000"/>
                      <w:szCs w:val="21"/>
                    </w:rPr>
                    <w:t>油泥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shd w:val="clear" w:color="auto" w:fill="auto"/>
                  <w:noWrap w:val="0"/>
                  <w:vAlign w:val="center"/>
                </w:tcPr>
                <w:p>
                  <w:pPr>
                    <w:adjustRightInd w:val="0"/>
                    <w:snapToGrid w:val="0"/>
                    <w:spacing w:line="276" w:lineRule="auto"/>
                    <w:jc w:val="center"/>
                    <w:rPr>
                      <w:bCs/>
                      <w:szCs w:val="21"/>
                    </w:rPr>
                  </w:pPr>
                </w:p>
              </w:tc>
              <w:tc>
                <w:tcPr>
                  <w:tcW w:w="3118"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员工、来往人员</w:t>
                  </w:r>
                </w:p>
              </w:tc>
              <w:tc>
                <w:tcPr>
                  <w:tcW w:w="3693" w:type="dxa"/>
                  <w:shd w:val="clear" w:color="auto" w:fill="auto"/>
                  <w:noWrap w:val="0"/>
                  <w:vAlign w:val="center"/>
                </w:tcPr>
                <w:p>
                  <w:pPr>
                    <w:adjustRightInd w:val="0"/>
                    <w:snapToGrid w:val="0"/>
                    <w:spacing w:line="276" w:lineRule="auto"/>
                    <w:jc w:val="center"/>
                    <w:rPr>
                      <w:rFonts w:hint="eastAsia"/>
                      <w:color w:val="000000"/>
                      <w:szCs w:val="21"/>
                    </w:rPr>
                  </w:pPr>
                  <w:r>
                    <w:rPr>
                      <w:rFonts w:hint="eastAsia"/>
                      <w:color w:val="000000"/>
                      <w:szCs w:val="21"/>
                    </w:rPr>
                    <w:t>生活垃圾</w:t>
                  </w:r>
                </w:p>
              </w:tc>
            </w:tr>
          </w:tbl>
          <w:p>
            <w:pPr>
              <w:adjustRightInd w:val="0"/>
              <w:snapToGrid w:val="0"/>
              <w:spacing w:line="360" w:lineRule="auto"/>
              <w:jc w:val="center"/>
              <w:rPr>
                <w:b/>
                <w:bCs/>
                <w:szCs w:val="21"/>
              </w:rPr>
            </w:pPr>
          </w:p>
          <w:p>
            <w:pPr>
              <w:adjustRightInd w:val="0"/>
              <w:snapToGrid w:val="0"/>
              <w:spacing w:line="360" w:lineRule="auto"/>
              <w:jc w:val="center"/>
              <w:rPr>
                <w:b/>
                <w:bCs/>
                <w:szCs w:val="21"/>
              </w:rPr>
            </w:pPr>
          </w:p>
          <w:p>
            <w:pPr>
              <w:adjustRightInd w:val="0"/>
              <w:snapToGrid w:val="0"/>
              <w:jc w:val="both"/>
              <w:rPr>
                <w:rFonts w:hint="eastAsia"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7" w:hRule="atLeast"/>
          <w:jc w:val="center"/>
        </w:trPr>
        <w:tc>
          <w:tcPr>
            <w:tcW w:w="618" w:type="dxa"/>
            <w:noWrap w:val="0"/>
            <w:vAlign w:val="center"/>
          </w:tcPr>
          <w:p>
            <w:pPr>
              <w:pStyle w:val="6"/>
              <w:adjustRightInd w:val="0"/>
              <w:snapToGrid w:val="0"/>
              <w:spacing w:before="0" w:beforeAutospacing="0" w:after="0" w:afterAutospacing="0"/>
              <w:jc w:val="center"/>
              <w:rPr>
                <w:rFonts w:cs="宋体"/>
                <w:sz w:val="21"/>
                <w:szCs w:val="21"/>
              </w:rPr>
            </w:pPr>
          </w:p>
        </w:tc>
        <w:tc>
          <w:tcPr>
            <w:tcW w:w="8443" w:type="dxa"/>
            <w:vMerge w:val="continue"/>
            <w:noWrap w:val="0"/>
            <w:vAlign w:val="top"/>
          </w:tcPr>
          <w:p>
            <w:pPr>
              <w:adjustRightInd w:val="0"/>
              <w:snapToGrid w:val="0"/>
              <w:jc w:val="both"/>
              <w:rPr>
                <w:rFonts w:hint="eastAsia" w:ascii="宋体" w:hAnsi="宋体"/>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7" w:hRule="atLeast"/>
          <w:jc w:val="center"/>
        </w:trPr>
        <w:tc>
          <w:tcPr>
            <w:tcW w:w="618" w:type="dxa"/>
            <w:noWrap w:val="0"/>
            <w:vAlign w:val="center"/>
          </w:tcPr>
          <w:p>
            <w:pPr>
              <w:pStyle w:val="6"/>
              <w:adjustRightInd w:val="0"/>
              <w:snapToGrid w:val="0"/>
              <w:spacing w:before="0" w:beforeAutospacing="0" w:after="0" w:afterAutospacing="0"/>
              <w:jc w:val="center"/>
              <w:rPr>
                <w:rFonts w:cs="宋体"/>
                <w:sz w:val="21"/>
                <w:szCs w:val="21"/>
              </w:rPr>
            </w:pPr>
            <w:r>
              <w:rPr>
                <w:rFonts w:hint="eastAsia" w:cs="宋体"/>
                <w:bCs/>
                <w:kern w:val="2"/>
                <w:sz w:val="21"/>
                <w:szCs w:val="21"/>
              </w:rPr>
              <w:t>与项目有关的原有环境污染问题</w:t>
            </w:r>
          </w:p>
        </w:tc>
        <w:tc>
          <w:tcPr>
            <w:tcW w:w="844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pPr>
            <w:r>
              <w:rPr>
                <w:rFonts w:hint="eastAsia" w:ascii="宋体" w:hAnsi="宋体" w:eastAsia="宋体" w:cs="宋体"/>
                <w:b/>
                <w:bCs/>
                <w:color w:val="000000"/>
                <w:kern w:val="0"/>
                <w:sz w:val="24"/>
                <w:szCs w:val="24"/>
                <w:lang w:val="en-US" w:eastAsia="zh-CN" w:bidi="ar"/>
              </w:rPr>
              <w:t xml:space="preserve">本项目有关的原有污染源情况及主要环境问题：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pPr>
            <w:r>
              <w:rPr>
                <w:rFonts w:hint="eastAsia" w:ascii="宋体" w:hAnsi="宋体" w:eastAsia="宋体" w:cs="宋体"/>
                <w:b/>
                <w:bCs/>
                <w:color w:val="000000"/>
                <w:kern w:val="0"/>
                <w:sz w:val="24"/>
                <w:szCs w:val="24"/>
                <w:lang w:val="en-US" w:eastAsia="zh-CN" w:bidi="ar"/>
              </w:rPr>
              <w:t xml:space="preserve">一、已批复工程概况 </w:t>
            </w:r>
          </w:p>
          <w:p>
            <w:pPr>
              <w:pStyle w:val="25"/>
              <w:keepNext w:val="0"/>
              <w:keepLines w:val="0"/>
              <w:pageBreakBefore w:val="0"/>
              <w:widowControl/>
              <w:kinsoku/>
              <w:wordWrap/>
              <w:overflowPunct/>
              <w:topLinePunct w:val="0"/>
              <w:autoSpaceDE/>
              <w:autoSpaceDN/>
              <w:bidi w:val="0"/>
              <w:adjustRightInd/>
              <w:snapToGrid w:val="0"/>
              <w:spacing w:before="0"/>
              <w:ind w:firstLine="420" w:firstLineChars="200"/>
              <w:textAlignment w:val="auto"/>
              <w:rPr>
                <w:rFonts w:hint="default" w:cs="Times New Roman"/>
                <w:sz w:val="21"/>
                <w:szCs w:val="21"/>
                <w:lang w:val="en-US" w:eastAsia="zh-CN"/>
              </w:rPr>
            </w:pPr>
            <w:r>
              <w:rPr>
                <w:rFonts w:hint="default" w:ascii="Times New Roman" w:hAnsi="Times New Roman" w:cs="Times New Roman"/>
                <w:bCs/>
                <w:color w:val="000000" w:themeColor="text1"/>
                <w:szCs w:val="21"/>
                <w:highlight w:val="none"/>
                <w14:textFill>
                  <w14:solidFill>
                    <w14:schemeClr w14:val="tx1"/>
                  </w14:solidFill>
                </w14:textFill>
              </w:rPr>
              <w:t>常德</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加油站于 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年 0</w:t>
            </w:r>
            <w:r>
              <w:rPr>
                <w:rFonts w:hint="eastAsia" w:cs="Times New Roman"/>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Cs/>
                <w:color w:val="000000" w:themeColor="text1"/>
                <w:szCs w:val="21"/>
                <w:highlight w:val="none"/>
                <w14:textFill>
                  <w14:solidFill>
                    <w14:schemeClr w14:val="tx1"/>
                  </w14:solidFill>
                </w14:textFill>
              </w:rPr>
              <w:t>月委托湖南志远环境咨询服务有限公司编制了《中国石化销售有限公司湖南常德石油分公司桃源新河桥加油站建设项目环境影响报告表》，201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年 </w:t>
            </w:r>
            <w:r>
              <w:rPr>
                <w:rFonts w:hint="eastAsia" w:cs="Times New Roman"/>
                <w:bCs/>
                <w:color w:val="000000" w:themeColor="text1"/>
                <w:szCs w:val="21"/>
                <w:highlight w:val="none"/>
                <w:lang w:val="en-US" w:eastAsia="zh-CN"/>
                <w14:textFill>
                  <w14:solidFill>
                    <w14:schemeClr w14:val="tx1"/>
                  </w14:solidFill>
                </w14:textFill>
              </w:rPr>
              <w:t>12</w:t>
            </w:r>
            <w:r>
              <w:rPr>
                <w:rFonts w:hint="default" w:ascii="Times New Roman" w:hAnsi="Times New Roman" w:cs="Times New Roman"/>
                <w:bCs/>
                <w:color w:val="000000" w:themeColor="text1"/>
                <w:szCs w:val="21"/>
                <w:highlight w:val="none"/>
                <w14:textFill>
                  <w14:solidFill>
                    <w14:schemeClr w14:val="tx1"/>
                  </w14:solidFill>
                </w14:textFill>
              </w:rPr>
              <w:t xml:space="preserve"> 月</w:t>
            </w:r>
            <w:r>
              <w:rPr>
                <w:rFonts w:hint="eastAsia" w:cs="Times New Roman"/>
                <w:bCs/>
                <w:color w:val="000000" w:themeColor="text1"/>
                <w:szCs w:val="21"/>
                <w:highlight w:val="none"/>
                <w:lang w:val="en-US" w:eastAsia="zh-CN"/>
                <w14:textFill>
                  <w14:solidFill>
                    <w14:schemeClr w14:val="tx1"/>
                  </w14:solidFill>
                </w14:textFill>
              </w:rPr>
              <w:t>29</w:t>
            </w:r>
            <w:r>
              <w:rPr>
                <w:rFonts w:hint="default" w:ascii="Times New Roman" w:hAnsi="Times New Roman" w:cs="Times New Roman"/>
                <w:bCs/>
                <w:color w:val="000000" w:themeColor="text1"/>
                <w:szCs w:val="21"/>
                <w:highlight w:val="none"/>
                <w14:textFill>
                  <w14:solidFill>
                    <w14:schemeClr w14:val="tx1"/>
                  </w14:solidFill>
                </w14:textFill>
              </w:rPr>
              <w:t xml:space="preserve"> 日</w:t>
            </w:r>
            <w:r>
              <w:rPr>
                <w:rFonts w:hint="eastAsia" w:cs="Times New Roman"/>
                <w:bCs/>
                <w:color w:val="000000" w:themeColor="text1"/>
                <w:szCs w:val="21"/>
                <w:highlight w:val="none"/>
                <w:lang w:eastAsia="zh-CN"/>
                <w14:textFill>
                  <w14:solidFill>
                    <w14:schemeClr w14:val="tx1"/>
                  </w14:solidFill>
                </w14:textFill>
              </w:rPr>
              <w:t>桃源县</w:t>
            </w:r>
            <w:r>
              <w:rPr>
                <w:rFonts w:hint="default" w:ascii="Times New Roman" w:hAnsi="Times New Roman" w:cs="Times New Roman"/>
                <w:bCs/>
                <w:color w:val="000000" w:themeColor="text1"/>
                <w:szCs w:val="21"/>
                <w:highlight w:val="none"/>
                <w14:textFill>
                  <w14:solidFill>
                    <w14:schemeClr w14:val="tx1"/>
                  </w14:solidFill>
                </w14:textFill>
              </w:rPr>
              <w:t>环境保护局下发了该报告表的审批：《关于湖南常德</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加油站建设项目环境影响报告表的批复》</w:t>
            </w:r>
            <w:r>
              <w:rPr>
                <w:rFonts w:hint="eastAsia" w:cs="Times New Roman"/>
                <w:bCs/>
                <w:color w:val="000000" w:themeColor="text1"/>
                <w:szCs w:val="21"/>
                <w:highlight w:val="none"/>
                <w:lang w:eastAsia="zh-CN"/>
                <w14:textFill>
                  <w14:solidFill>
                    <w14:schemeClr w14:val="tx1"/>
                  </w14:solidFill>
                </w14:textFill>
              </w:rPr>
              <w:t>桃环评</w:t>
            </w:r>
            <w:r>
              <w:rPr>
                <w:rFonts w:hint="default" w:ascii="Times New Roman" w:hAnsi="Times New Roman" w:cs="Times New Roman"/>
                <w:bCs/>
                <w:color w:val="000000" w:themeColor="text1"/>
                <w:szCs w:val="21"/>
                <w:highlight w:val="none"/>
                <w14:textFill>
                  <w14:solidFill>
                    <w14:schemeClr w14:val="tx1"/>
                  </w14:solidFill>
                </w14:textFill>
              </w:rPr>
              <w:t>（201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 xml:space="preserve">) </w:t>
            </w:r>
            <w:r>
              <w:rPr>
                <w:rFonts w:hint="eastAsia" w:cs="Times New Roman"/>
                <w:bCs/>
                <w:color w:val="000000" w:themeColor="text1"/>
                <w:szCs w:val="21"/>
                <w:highlight w:val="none"/>
                <w:lang w:val="en-US" w:eastAsia="zh-CN"/>
                <w14:textFill>
                  <w14:solidFill>
                    <w14:schemeClr w14:val="tx1"/>
                  </w14:solidFill>
                </w14:textFill>
              </w:rPr>
              <w:t>6</w:t>
            </w:r>
            <w:r>
              <w:rPr>
                <w:rFonts w:hint="default" w:ascii="Times New Roman" w:hAnsi="Times New Roman" w:cs="Times New Roman"/>
                <w:bCs/>
                <w:color w:val="000000" w:themeColor="text1"/>
                <w:szCs w:val="21"/>
                <w:highlight w:val="none"/>
                <w14:textFill>
                  <w14:solidFill>
                    <w14:schemeClr w14:val="tx1"/>
                  </w14:solidFill>
                </w14:textFill>
              </w:rPr>
              <w:t>8 号</w:t>
            </w:r>
            <w:r>
              <w:rPr>
                <w:rFonts w:hint="eastAsia" w:cs="Times New Roman"/>
                <w:bCs/>
                <w:color w:val="000000" w:themeColor="text1"/>
                <w:szCs w:val="21"/>
                <w:highlight w:val="none"/>
                <w:lang w:eastAsia="zh-CN"/>
                <w14:textFill>
                  <w14:solidFill>
                    <w14:schemeClr w14:val="tx1"/>
                  </w14:solidFill>
                </w14:textFill>
              </w:rPr>
              <w:t>。</w:t>
            </w:r>
            <w:r>
              <w:rPr>
                <w:rFonts w:hint="default" w:ascii="Times New Roman" w:hAnsi="Times New Roman" w:cs="Times New Roman"/>
                <w:bCs/>
                <w:color w:val="000000" w:themeColor="text1"/>
                <w:szCs w:val="21"/>
                <w:highlight w:val="none"/>
                <w14:textFill>
                  <w14:solidFill>
                    <w14:schemeClr w14:val="tx1"/>
                  </w14:solidFill>
                </w14:textFill>
              </w:rPr>
              <w:t>湖常德市德环环境检测中心负责常德汉</w:t>
            </w:r>
            <w:r>
              <w:rPr>
                <w:rFonts w:hint="eastAsia" w:cs="Times New Roman"/>
                <w:bCs/>
                <w:color w:val="000000" w:themeColor="text1"/>
                <w:szCs w:val="21"/>
                <w:highlight w:val="none"/>
                <w:lang w:eastAsia="zh-CN"/>
                <w14:textFill>
                  <w14:solidFill>
                    <w14:schemeClr w14:val="tx1"/>
                  </w14:solidFill>
                </w14:textFill>
              </w:rPr>
              <w:t>桃源新河桥</w:t>
            </w:r>
            <w:r>
              <w:rPr>
                <w:rFonts w:hint="default" w:ascii="Times New Roman" w:hAnsi="Times New Roman" w:cs="Times New Roman"/>
                <w:bCs/>
                <w:color w:val="000000" w:themeColor="text1"/>
                <w:szCs w:val="21"/>
                <w:highlight w:val="none"/>
                <w14:textFill>
                  <w14:solidFill>
                    <w14:schemeClr w14:val="tx1"/>
                  </w14:solidFill>
                </w14:textFill>
              </w:rPr>
              <w:t>加油站建设项目竣工环境保护验收监测工作。于 201</w:t>
            </w:r>
            <w:r>
              <w:rPr>
                <w:rFonts w:hint="eastAsia" w:cs="Times New Roman"/>
                <w:bCs/>
                <w:color w:val="000000" w:themeColor="text1"/>
                <w:szCs w:val="21"/>
                <w:highlight w:val="none"/>
                <w:lang w:val="en-US" w:eastAsia="zh-CN"/>
                <w14:textFill>
                  <w14:solidFill>
                    <w14:schemeClr w14:val="tx1"/>
                  </w14:solidFill>
                </w14:textFill>
              </w:rPr>
              <w:t>8</w:t>
            </w:r>
            <w:r>
              <w:rPr>
                <w:rFonts w:hint="default" w:ascii="Times New Roman" w:hAnsi="Times New Roman" w:cs="Times New Roman"/>
                <w:bCs/>
                <w:color w:val="000000" w:themeColor="text1"/>
                <w:szCs w:val="21"/>
                <w:highlight w:val="none"/>
                <w14:textFill>
                  <w14:solidFill>
                    <w14:schemeClr w14:val="tx1"/>
                  </w14:solidFill>
                </w14:textFill>
              </w:rPr>
              <w:t>年</w:t>
            </w:r>
            <w:r>
              <w:rPr>
                <w:rFonts w:hint="eastAsia" w:cs="Times New Roman"/>
                <w:bCs/>
                <w:color w:val="000000" w:themeColor="text1"/>
                <w:szCs w:val="21"/>
                <w:highlight w:val="none"/>
                <w:lang w:val="en-US" w:eastAsia="zh-CN"/>
                <w14:textFill>
                  <w14:solidFill>
                    <w14:schemeClr w14:val="tx1"/>
                  </w14:solidFill>
                </w14:textFill>
              </w:rPr>
              <w:t>7</w:t>
            </w:r>
            <w:r>
              <w:rPr>
                <w:rFonts w:hint="default" w:ascii="Times New Roman" w:hAnsi="Times New Roman" w:cs="Times New Roman"/>
                <w:bCs/>
                <w:color w:val="000000" w:themeColor="text1"/>
                <w:szCs w:val="21"/>
                <w:highlight w:val="none"/>
                <w14:textFill>
                  <w14:solidFill>
                    <w14:schemeClr w14:val="tx1"/>
                  </w14:solidFill>
                </w14:textFill>
              </w:rPr>
              <w:t>月</w:t>
            </w:r>
            <w:r>
              <w:rPr>
                <w:rFonts w:hint="eastAsia" w:cs="Times New Roman"/>
                <w:bCs/>
                <w:color w:val="000000" w:themeColor="text1"/>
                <w:szCs w:val="21"/>
                <w:highlight w:val="none"/>
                <w:lang w:val="en-US" w:eastAsia="zh-CN"/>
                <w14:textFill>
                  <w14:solidFill>
                    <w14:schemeClr w14:val="tx1"/>
                  </w14:solidFill>
                </w14:textFill>
              </w:rPr>
              <w:t>26</w:t>
            </w:r>
            <w:r>
              <w:rPr>
                <w:rFonts w:hint="default" w:ascii="Times New Roman" w:hAnsi="Times New Roman" w:cs="Times New Roman"/>
                <w:bCs/>
                <w:color w:val="000000" w:themeColor="text1"/>
                <w:szCs w:val="21"/>
                <w:highlight w:val="none"/>
                <w14:textFill>
                  <w14:solidFill>
                    <w14:schemeClr w14:val="tx1"/>
                  </w14:solidFill>
                </w14:textFill>
              </w:rPr>
              <w:t>日-</w:t>
            </w:r>
            <w:r>
              <w:rPr>
                <w:rFonts w:hint="eastAsia" w:cs="Times New Roman"/>
                <w:bCs/>
                <w:color w:val="000000" w:themeColor="text1"/>
                <w:szCs w:val="21"/>
                <w:highlight w:val="none"/>
                <w:lang w:val="en-US" w:eastAsia="zh-CN"/>
                <w14:textFill>
                  <w14:solidFill>
                    <w14:schemeClr w14:val="tx1"/>
                  </w14:solidFill>
                </w14:textFill>
              </w:rPr>
              <w:t>28</w:t>
            </w:r>
            <w:r>
              <w:rPr>
                <w:rFonts w:hint="default" w:ascii="Times New Roman" w:hAnsi="Times New Roman" w:cs="Times New Roman"/>
                <w:bCs/>
                <w:color w:val="000000" w:themeColor="text1"/>
                <w:szCs w:val="21"/>
                <w:highlight w:val="none"/>
                <w14:textFill>
                  <w14:solidFill>
                    <w14:schemeClr w14:val="tx1"/>
                  </w14:solidFill>
                </w14:textFill>
              </w:rPr>
              <w:t>日</w:t>
            </w:r>
            <w:r>
              <w:rPr>
                <w:rFonts w:hint="default" w:ascii="Times New Roman" w:hAnsi="Times New Roman" w:cs="Times New Roman"/>
                <w:bCs/>
                <w:szCs w:val="21"/>
              </w:rPr>
              <w:t>，对验收项目实施了现场监测及环境管理检查，在此基础上编制完成验收监测报告</w:t>
            </w:r>
            <w:r>
              <w:rPr>
                <w:rFonts w:hint="eastAsia" w:cs="Times New Roman"/>
                <w:bCs/>
                <w:szCs w:val="21"/>
                <w:lang w:eastAsia="zh-CN"/>
              </w:rPr>
              <w:t>。</w:t>
            </w:r>
            <w:r>
              <w:rPr>
                <w:rFonts w:hint="eastAsia" w:cs="Times New Roman"/>
                <w:sz w:val="21"/>
                <w:szCs w:val="21"/>
                <w:lang w:val="en-US" w:eastAsia="zh-CN"/>
              </w:rPr>
              <w:t>环评批复落实情况见表2-7。</w:t>
            </w:r>
          </w:p>
          <w:p>
            <w:pPr>
              <w:pStyle w:val="26"/>
              <w:rPr>
                <w:rFonts w:hint="default" w:ascii="Times New Roman" w:hAnsi="Times New Roman" w:eastAsia="宋体" w:cs="Times New Roman"/>
                <w:b/>
                <w:bCs w:val="0"/>
              </w:rPr>
            </w:pPr>
            <w:r>
              <w:rPr>
                <w:rFonts w:hint="default" w:ascii="Times New Roman" w:hAnsi="Times New Roman" w:eastAsia="宋体" w:cs="Times New Roman"/>
                <w:b/>
                <w:bCs w:val="0"/>
              </w:rPr>
              <w:t>表2-</w:t>
            </w:r>
            <w:r>
              <w:rPr>
                <w:rFonts w:hint="eastAsia" w:ascii="Times New Roman" w:hAnsi="Times New Roman" w:eastAsia="宋体" w:cs="Times New Roman"/>
                <w:b/>
                <w:bCs w:val="0"/>
                <w:lang w:val="en-US" w:eastAsia="zh-CN"/>
              </w:rPr>
              <w:t>7</w:t>
            </w:r>
            <w:r>
              <w:rPr>
                <w:rFonts w:hint="default" w:ascii="Times New Roman" w:hAnsi="Times New Roman" w:eastAsia="宋体" w:cs="Times New Roman"/>
                <w:b/>
                <w:bCs w:val="0"/>
              </w:rPr>
              <w:t xml:space="preserve">  </w:t>
            </w:r>
            <w:r>
              <w:rPr>
                <w:rFonts w:hint="default" w:ascii="Times New Roman" w:hAnsi="Times New Roman" w:eastAsia="宋体" w:cs="Times New Roman"/>
                <w:b/>
                <w:bCs w:val="0"/>
                <w:sz w:val="21"/>
                <w:szCs w:val="21"/>
                <w:lang w:val="en-US" w:eastAsia="zh-CN"/>
              </w:rPr>
              <w:t>环评批复落实情况一览表</w:t>
            </w:r>
          </w:p>
          <w:tbl>
            <w:tblPr>
              <w:tblStyle w:val="9"/>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838"/>
              <w:gridCol w:w="266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left="0" w:leftChars="0" w:firstLine="0" w:firstLineChars="0"/>
                    <w:jc w:val="center"/>
                    <w:textAlignment w:val="auto"/>
                    <w:rPr>
                      <w:rFonts w:hint="eastAsia" w:cs="Times New Roman"/>
                      <w:b/>
                      <w:bCs/>
                      <w:sz w:val="21"/>
                      <w:szCs w:val="21"/>
                      <w:vertAlign w:val="baseline"/>
                      <w:lang w:val="en-US" w:eastAsia="zh-CN"/>
                    </w:rPr>
                  </w:pPr>
                  <w:r>
                    <w:rPr>
                      <w:rFonts w:hint="eastAsia" w:cs="Times New Roman"/>
                      <w:b/>
                      <w:bCs/>
                      <w:sz w:val="21"/>
                      <w:szCs w:val="21"/>
                      <w:vertAlign w:val="baseline"/>
                      <w:lang w:val="en-US" w:eastAsia="zh-CN"/>
                    </w:rPr>
                    <w:t>序号</w:t>
                  </w:r>
                </w:p>
              </w:tc>
              <w:tc>
                <w:tcPr>
                  <w:tcW w:w="2838"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left="0" w:leftChars="0" w:firstLine="0" w:firstLineChars="0"/>
                    <w:jc w:val="center"/>
                    <w:textAlignment w:val="auto"/>
                    <w:rPr>
                      <w:rFonts w:hint="eastAsia" w:cs="Times New Roman"/>
                      <w:b/>
                      <w:bCs/>
                      <w:sz w:val="21"/>
                      <w:szCs w:val="21"/>
                      <w:vertAlign w:val="baseline"/>
                      <w:lang w:val="en-US" w:eastAsia="zh-CN"/>
                    </w:rPr>
                  </w:pPr>
                  <w:r>
                    <w:rPr>
                      <w:rFonts w:hint="eastAsia" w:cs="Times New Roman"/>
                      <w:b/>
                      <w:bCs/>
                      <w:sz w:val="21"/>
                      <w:szCs w:val="21"/>
                      <w:vertAlign w:val="baseline"/>
                      <w:lang w:val="en-US" w:eastAsia="zh-CN"/>
                    </w:rPr>
                    <w:t>批复要求</w:t>
                  </w:r>
                </w:p>
              </w:tc>
              <w:tc>
                <w:tcPr>
                  <w:tcW w:w="2665"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left="0" w:leftChars="0" w:firstLine="0" w:firstLineChars="0"/>
                    <w:jc w:val="center"/>
                    <w:textAlignment w:val="auto"/>
                    <w:rPr>
                      <w:rFonts w:hint="eastAsia" w:cs="Times New Roman"/>
                      <w:b/>
                      <w:bCs/>
                      <w:sz w:val="21"/>
                      <w:szCs w:val="21"/>
                      <w:vertAlign w:val="baseline"/>
                      <w:lang w:val="en-US" w:eastAsia="zh-CN"/>
                    </w:rPr>
                  </w:pPr>
                  <w:r>
                    <w:rPr>
                      <w:rFonts w:hint="eastAsia" w:cs="Times New Roman"/>
                      <w:b/>
                      <w:bCs/>
                      <w:sz w:val="21"/>
                      <w:szCs w:val="21"/>
                      <w:vertAlign w:val="baseline"/>
                      <w:lang w:val="en-US" w:eastAsia="zh-CN"/>
                    </w:rPr>
                    <w:t>实际情况</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left="0" w:leftChars="0" w:firstLine="0" w:firstLineChars="0"/>
                    <w:jc w:val="center"/>
                    <w:textAlignment w:val="auto"/>
                    <w:rPr>
                      <w:rFonts w:hint="eastAsia" w:cs="Times New Roman"/>
                      <w:b/>
                      <w:bCs/>
                      <w:sz w:val="21"/>
                      <w:szCs w:val="21"/>
                      <w:vertAlign w:val="baseline"/>
                      <w:lang w:val="en-US" w:eastAsia="zh-CN"/>
                    </w:rPr>
                  </w:pPr>
                  <w:r>
                    <w:rPr>
                      <w:rFonts w:hint="eastAsia" w:cs="Times New Roman"/>
                      <w:b/>
                      <w:bCs/>
                      <w:sz w:val="21"/>
                      <w:szCs w:val="21"/>
                      <w:vertAlign w:val="baseline"/>
                      <w:lang w:val="en-US" w:eastAsia="zh-CN"/>
                    </w:rPr>
                    <w:t>是否落实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1</w:t>
                  </w:r>
                </w:p>
              </w:tc>
              <w:tc>
                <w:tcPr>
                  <w:tcW w:w="2838"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营运期冲洗水、生活废水等经隔油池、化粪池处理，达到《污水综合排放标准》(GB8978-1996)中三级标准及桃源县污水处理厂进水水质后，排入桃源县污水处理厂。</w:t>
                  </w:r>
                </w:p>
              </w:tc>
              <w:tc>
                <w:tcPr>
                  <w:tcW w:w="2665"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营运期冲洗水、生活废水等经隔油池、化粪池处理，达到《污水综合排放标准》(GB8978-1996)中三级标准及桃源县污水处理厂进水水质后，排入桃源县污水处理厂。</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2</w:t>
                  </w:r>
                </w:p>
              </w:tc>
              <w:tc>
                <w:tcPr>
                  <w:tcW w:w="2838"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安装卸油油气回收装置和加油油气回收装置，按操作规范进行工作，确保满足《加油站大气污染物排放标准》(GB20952-2007)中规定的限值要求，同时厂界非甲烷总烃排放确保满足《大气污染物综合排放标准》(GB16297-1996)无组织排放监控浓度限值(非甲烷总烃:4.0mg/m3);选用带一体化消烟除尘设备的柴油发电机组并将烟气引至楼顶达标排放。</w:t>
                  </w:r>
                </w:p>
              </w:tc>
              <w:tc>
                <w:tcPr>
                  <w:tcW w:w="2665"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安装卸油油气回收装置和加油油气回收装置，按操作规范进行工作，确保满足《加油站大气污染物排放标准》(GB20952-2007)中规定的限值要求，同时厂界非甲烷总烃排放确保满足《大气污染物综合排放标准》(GB16297-1996)无组织排放监控浓度限值(非甲烷总烃:4.0mg/m3);选用带一体化消烟除尘设备的柴油发电机组并将烟气引至楼顶达标排放。</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2" w:type="dxa"/>
                  <w:vAlign w:val="center"/>
                </w:tcPr>
                <w:p>
                  <w:pPr>
                    <w:jc w:val="center"/>
                    <w:rPr>
                      <w:rFonts w:hint="default"/>
                      <w:lang w:val="en-US" w:eastAsia="zh-CN"/>
                    </w:rPr>
                  </w:pPr>
                  <w:r>
                    <w:rPr>
                      <w:rFonts w:hint="eastAsia"/>
                      <w:lang w:val="en-US" w:eastAsia="zh-CN"/>
                    </w:rPr>
                    <w:t>3</w:t>
                  </w:r>
                </w:p>
              </w:tc>
              <w:tc>
                <w:tcPr>
                  <w:tcW w:w="2838" w:type="dxa"/>
                  <w:vAlign w:val="center"/>
                </w:tcPr>
                <w:p>
                  <w:pPr>
                    <w:jc w:val="center"/>
                    <w:rPr>
                      <w:rFonts w:hint="eastAsia"/>
                      <w:lang w:val="en-US" w:eastAsia="zh-CN"/>
                    </w:rPr>
                  </w:pPr>
                  <w:r>
                    <w:rPr>
                      <w:rFonts w:hint="eastAsia"/>
                      <w:lang w:val="en-US" w:eastAsia="zh-CN"/>
                    </w:rPr>
                    <w:t>储罐区设置分区防渗池，并对储罐区池底、池壁做防渗处理，高液位报警装置、设置防渗漏检查孔，防止下渗，</w:t>
                  </w:r>
                </w:p>
              </w:tc>
              <w:tc>
                <w:tcPr>
                  <w:tcW w:w="2665" w:type="dxa"/>
                  <w:vAlign w:val="center"/>
                </w:tcPr>
                <w:p>
                  <w:pPr>
                    <w:jc w:val="center"/>
                    <w:rPr>
                      <w:rFonts w:hint="eastAsia"/>
                      <w:lang w:val="en-US" w:eastAsia="zh-CN"/>
                    </w:rPr>
                  </w:pPr>
                  <w:r>
                    <w:rPr>
                      <w:rFonts w:hint="eastAsia"/>
                      <w:lang w:val="en-US" w:eastAsia="zh-CN"/>
                    </w:rPr>
                    <w:t>储罐区设置分区防渗池，并对储罐区池底、池壁做防渗处理，高液位报警装置、设置防渗漏检查孔，防止下渗</w:t>
                  </w:r>
                </w:p>
              </w:tc>
              <w:tc>
                <w:tcPr>
                  <w:tcW w:w="1580" w:type="dxa"/>
                  <w:vAlign w:val="center"/>
                </w:tcPr>
                <w:p>
                  <w:pPr>
                    <w:jc w:val="center"/>
                    <w:rPr>
                      <w:rFonts w:hint="eastAsia"/>
                      <w:lang w:val="en-US" w:eastAsia="zh-CN"/>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4</w:t>
                  </w:r>
                </w:p>
              </w:tc>
              <w:tc>
                <w:tcPr>
                  <w:tcW w:w="2838"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加油泵选择低噪声设备，柴油发电机放置在配电房内，并设置减振垫以降低噪声源强，确保厂界噪声达标排放。</w:t>
                  </w:r>
                </w:p>
              </w:tc>
              <w:tc>
                <w:tcPr>
                  <w:tcW w:w="2665"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加油泵选择低噪声设备，柴油发电机放置在配电房内，并设置减振垫以降低噪声源强，确保厂界噪声达标排放。</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5</w:t>
                  </w:r>
                </w:p>
              </w:tc>
              <w:tc>
                <w:tcPr>
                  <w:tcW w:w="2838"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废油、废油泥等交由有资质的公司回收处理;生活垃圾由环卫部门清理处置。</w:t>
                  </w:r>
                </w:p>
              </w:tc>
              <w:tc>
                <w:tcPr>
                  <w:tcW w:w="2665"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废油、废油泥等交由有资质的公司回收处理;生活垃圾由环卫部门清理处置。</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6</w:t>
                  </w:r>
                </w:p>
              </w:tc>
              <w:tc>
                <w:tcPr>
                  <w:tcW w:w="2838"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加强管理，保证各项措施落到实处，各项设备正常运行废气、废水、噪声达标排放、固体废物处理到位。同时，为控制污染物非正常排放，建设单位应依据国家标准和当地环保部门的计划和要求，按环评提出的方案实行污染源监测。</w:t>
                  </w:r>
                </w:p>
              </w:tc>
              <w:tc>
                <w:tcPr>
                  <w:tcW w:w="2665"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加强管理，保证各项措施落到实处，各项设备正常运行废气、废水、噪声达标排放、固体废物处理到位。同时，为控制污染物非正常排放，建设单位应依据国家标准和当地环保部门的计划和要求，按环评提出的方案实行污染源监测。</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default" w:cs="Times New Roman"/>
                      <w:sz w:val="21"/>
                      <w:szCs w:val="21"/>
                      <w:vertAlign w:val="baseline"/>
                      <w:lang w:val="en-US" w:eastAsia="zh-CN"/>
                    </w:rPr>
                  </w:pPr>
                  <w:r>
                    <w:rPr>
                      <w:rFonts w:hint="eastAsia" w:cs="Times New Roman"/>
                      <w:sz w:val="21"/>
                      <w:szCs w:val="21"/>
                      <w:vertAlign w:val="baseline"/>
                      <w:lang w:val="en-US" w:eastAsia="zh-CN"/>
                    </w:rPr>
                    <w:t>7</w:t>
                  </w:r>
                </w:p>
              </w:tc>
              <w:tc>
                <w:tcPr>
                  <w:tcW w:w="2838" w:type="dxa"/>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项目须按规定办理相关环保手续。</w:t>
                  </w:r>
                </w:p>
              </w:tc>
              <w:tc>
                <w:tcPr>
                  <w:tcW w:w="2665"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已完成环保验收</w:t>
                  </w:r>
                </w:p>
              </w:tc>
              <w:tc>
                <w:tcPr>
                  <w:tcW w:w="1580" w:type="dxa"/>
                  <w:vAlign w:val="center"/>
                </w:tcPr>
                <w:p>
                  <w:pPr>
                    <w:pStyle w:val="25"/>
                    <w:keepNext w:val="0"/>
                    <w:keepLines w:val="0"/>
                    <w:pageBreakBefore w:val="0"/>
                    <w:widowControl/>
                    <w:kinsoku/>
                    <w:wordWrap/>
                    <w:overflowPunct/>
                    <w:topLinePunct w:val="0"/>
                    <w:autoSpaceDE/>
                    <w:autoSpaceDN/>
                    <w:bidi w:val="0"/>
                    <w:adjustRightInd/>
                    <w:snapToGrid w:val="0"/>
                    <w:spacing w:before="0" w:line="240" w:lineRule="auto"/>
                    <w:ind w:firstLine="0" w:firstLineChars="0"/>
                    <w:jc w:val="center"/>
                    <w:textAlignment w:val="auto"/>
                    <w:rPr>
                      <w:rFonts w:hint="eastAsia" w:cs="Times New Roman"/>
                      <w:sz w:val="21"/>
                      <w:szCs w:val="21"/>
                      <w:vertAlign w:val="baseline"/>
                      <w:lang w:val="en-US" w:eastAsia="zh-CN"/>
                    </w:rPr>
                  </w:pPr>
                  <w:r>
                    <w:rPr>
                      <w:rFonts w:hint="eastAsia" w:cs="Times New Roman"/>
                      <w:sz w:val="21"/>
                      <w:szCs w:val="21"/>
                      <w:vertAlign w:val="baseline"/>
                      <w:lang w:val="en-US" w:eastAsia="zh-CN"/>
                    </w:rPr>
                    <w:t>是</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bCs/>
                <w:szCs w:val="21"/>
                <w:lang w:eastAsia="zh-CN"/>
              </w:rPr>
            </w:pP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原项目验收监测结果</w:t>
            </w:r>
          </w:p>
          <w:p>
            <w:pPr>
              <w:tabs>
                <w:tab w:val="left" w:pos="2548"/>
              </w:tabs>
              <w:spacing w:line="360" w:lineRule="auto"/>
              <w:ind w:firstLine="420" w:firstLineChars="200"/>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以下</w:t>
            </w:r>
            <w:r>
              <w:rPr>
                <w:rFonts w:ascii="Times New Roman" w:hAnsi="Times New Roman" w:eastAsia="宋体" w:cs="Times New Roman"/>
                <w:b w:val="0"/>
                <w:bCs/>
                <w:sz w:val="21"/>
                <w:szCs w:val="21"/>
              </w:rPr>
              <w:t>验收监测结果</w:t>
            </w:r>
            <w:r>
              <w:rPr>
                <w:rFonts w:hint="eastAsia" w:ascii="Times New Roman" w:hAnsi="Times New Roman" w:eastAsia="宋体" w:cs="Times New Roman"/>
                <w:b w:val="0"/>
                <w:bCs/>
                <w:sz w:val="21"/>
                <w:szCs w:val="21"/>
                <w:lang w:eastAsia="zh-CN"/>
              </w:rPr>
              <w:t>均摘自验收报告原文。</w:t>
            </w:r>
          </w:p>
          <w:p>
            <w:pPr>
              <w:tabs>
                <w:tab w:val="left" w:pos="2548"/>
              </w:tabs>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1</w:t>
            </w:r>
            <w:r>
              <w:rPr>
                <w:rFonts w:ascii="Times New Roman" w:hAnsi="宋体" w:eastAsia="宋体" w:cs="Times New Roman"/>
                <w:sz w:val="21"/>
                <w:szCs w:val="21"/>
              </w:rPr>
              <w:t>、无组织废气排放监测结果见表</w:t>
            </w: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8</w:t>
            </w:r>
            <w:r>
              <w:rPr>
                <w:rFonts w:ascii="Times New Roman" w:hAnsi="宋体" w:eastAsia="宋体" w:cs="Times New Roman"/>
                <w:sz w:val="21"/>
                <w:szCs w:val="21"/>
              </w:rPr>
              <w:t>。</w:t>
            </w:r>
            <w:r>
              <w:rPr>
                <w:rFonts w:ascii="Times New Roman" w:hAnsi="Times New Roman" w:eastAsia="宋体" w:cs="Times New Roman"/>
                <w:sz w:val="21"/>
                <w:szCs w:val="21"/>
              </w:rPr>
              <w:t xml:space="preserve">                             </w:t>
            </w:r>
          </w:p>
          <w:p>
            <w:pPr>
              <w:tabs>
                <w:tab w:val="left" w:pos="2548"/>
              </w:tabs>
              <w:spacing w:line="36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 xml:space="preserve">         </w:t>
            </w:r>
            <w:r>
              <w:rPr>
                <w:rFonts w:ascii="Times New Roman" w:hAnsi="宋体" w:eastAsia="宋体" w:cs="Times New Roman"/>
                <w:b/>
                <w:sz w:val="21"/>
                <w:szCs w:val="21"/>
              </w:rPr>
              <w:t>表</w:t>
            </w:r>
            <w:r>
              <w:rPr>
                <w:rFonts w:hint="eastAsia" w:ascii="Times New Roman" w:hAnsi="Times New Roman" w:eastAsia="宋体" w:cs="Times New Roman"/>
                <w:b/>
                <w:sz w:val="21"/>
                <w:szCs w:val="21"/>
                <w:lang w:val="en-US" w:eastAsia="zh-CN"/>
              </w:rPr>
              <w:t>2-</w:t>
            </w:r>
            <w:r>
              <w:rPr>
                <w:rFonts w:hint="eastAsia" w:cs="Times New Roman"/>
                <w:b/>
                <w:sz w:val="21"/>
                <w:szCs w:val="21"/>
                <w:lang w:val="en-US" w:eastAsia="zh-CN"/>
              </w:rPr>
              <w:t>8</w:t>
            </w:r>
            <w:r>
              <w:rPr>
                <w:rFonts w:ascii="Times New Roman" w:hAnsi="Times New Roman" w:eastAsia="宋体" w:cs="Times New Roman"/>
                <w:b/>
                <w:sz w:val="21"/>
                <w:szCs w:val="21"/>
              </w:rPr>
              <w:t xml:space="preserve"> </w:t>
            </w:r>
            <w:r>
              <w:rPr>
                <w:rFonts w:ascii="Times New Roman" w:hAnsi="宋体" w:eastAsia="宋体" w:cs="Times New Roman"/>
                <w:b/>
                <w:sz w:val="21"/>
                <w:szCs w:val="21"/>
              </w:rPr>
              <w:t>无组织废气监测结果</w:t>
            </w:r>
            <w:r>
              <w:rPr>
                <w:rFonts w:ascii="Times New Roman" w:hAnsi="Times New Roman" w:eastAsia="宋体" w:cs="Times New Roman"/>
                <w:b/>
                <w:sz w:val="21"/>
                <w:szCs w:val="21"/>
              </w:rPr>
              <w:t xml:space="preserve">         </w:t>
            </w:r>
            <w:r>
              <w:rPr>
                <w:rFonts w:ascii="Times New Roman" w:hAnsi="宋体" w:eastAsia="宋体" w:cs="Times New Roman"/>
                <w:b/>
                <w:sz w:val="21"/>
                <w:szCs w:val="21"/>
              </w:rPr>
              <w:t>单位：</w:t>
            </w:r>
            <w:r>
              <w:rPr>
                <w:rFonts w:ascii="Times New Roman" w:hAnsi="Times New Roman" w:eastAsia="宋体" w:cs="Times New Roman"/>
                <w:b/>
                <w:sz w:val="21"/>
                <w:szCs w:val="21"/>
              </w:rPr>
              <w:t>mg/m</w:t>
            </w:r>
            <w:r>
              <w:rPr>
                <w:rFonts w:ascii="Times New Roman" w:hAnsi="Times New Roman" w:eastAsia="宋体" w:cs="Times New Roman"/>
                <w:b/>
                <w:sz w:val="21"/>
                <w:szCs w:val="21"/>
                <w:vertAlign w:val="superscript"/>
              </w:rPr>
              <w:t>3</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7"/>
              <w:gridCol w:w="1895"/>
              <w:gridCol w:w="15"/>
              <w:gridCol w:w="1922"/>
              <w:gridCol w:w="32"/>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pct"/>
                  <w:gridSpan w:val="2"/>
                  <w:vMerge w:val="restart"/>
                  <w:vAlign w:val="center"/>
                </w:tcPr>
                <w:p>
                  <w:pPr>
                    <w:rPr>
                      <w:rFonts w:ascii="Times New Roman" w:hAnsi="Times New Roman" w:eastAsia="宋体" w:cs="Times New Roman"/>
                      <w:bCs/>
                      <w:sz w:val="21"/>
                      <w:szCs w:val="21"/>
                    </w:rPr>
                  </w:pPr>
                </w:p>
              </w:tc>
              <w:tc>
                <w:tcPr>
                  <w:tcW w:w="3736" w:type="pct"/>
                  <w:gridSpan w:val="5"/>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2018</w:t>
                  </w:r>
                  <w:r>
                    <w:rPr>
                      <w:rFonts w:ascii="Times New Roman" w:hAnsi="宋体" w:eastAsia="宋体" w:cs="Times New Roman"/>
                      <w:b/>
                      <w:bCs/>
                      <w:sz w:val="21"/>
                      <w:szCs w:val="21"/>
                    </w:rPr>
                    <w:t>年</w:t>
                  </w:r>
                  <w:r>
                    <w:rPr>
                      <w:rFonts w:ascii="Times New Roman" w:hAnsi="Times New Roman" w:eastAsia="宋体" w:cs="Times New Roman"/>
                      <w:b/>
                      <w:bCs/>
                      <w:sz w:val="21"/>
                      <w:szCs w:val="21"/>
                    </w:rPr>
                    <w:t>7</w:t>
                  </w:r>
                  <w:r>
                    <w:rPr>
                      <w:rFonts w:ascii="Times New Roman" w:hAnsi="宋体" w:eastAsia="宋体" w:cs="Times New Roman"/>
                      <w:b/>
                      <w:bCs/>
                      <w:sz w:val="21"/>
                      <w:szCs w:val="21"/>
                    </w:rPr>
                    <w:t>月</w:t>
                  </w:r>
                  <w:r>
                    <w:rPr>
                      <w:rFonts w:ascii="Times New Roman" w:hAnsi="Times New Roman" w:eastAsia="宋体" w:cs="Times New Roman"/>
                      <w:b/>
                      <w:bCs/>
                      <w:sz w:val="21"/>
                      <w:szCs w:val="21"/>
                    </w:rPr>
                    <w:t>27</w:t>
                  </w:r>
                  <w:r>
                    <w:rPr>
                      <w:rFonts w:ascii="Times New Roman" w:hAnsi="宋体" w:eastAsia="宋体" w:cs="Times New Roman"/>
                      <w:b/>
                      <w:bCs/>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63" w:type="pct"/>
                  <w:gridSpan w:val="2"/>
                  <w:vMerge w:val="continue"/>
                  <w:vAlign w:val="center"/>
                </w:tcPr>
                <w:p>
                  <w:pPr>
                    <w:jc w:val="center"/>
                    <w:rPr>
                      <w:rFonts w:ascii="Times New Roman" w:hAnsi="Times New Roman" w:eastAsia="宋体" w:cs="Times New Roman"/>
                      <w:bCs/>
                      <w:sz w:val="21"/>
                      <w:szCs w:val="21"/>
                    </w:rPr>
                  </w:pPr>
                </w:p>
              </w:tc>
              <w:tc>
                <w:tcPr>
                  <w:tcW w:w="1135" w:type="pct"/>
                  <w:gridSpan w:val="2"/>
                  <w:vAlign w:val="center"/>
                </w:tcPr>
                <w:p>
                  <w:pPr>
                    <w:jc w:val="center"/>
                    <w:rPr>
                      <w:rFonts w:ascii="Times New Roman" w:hAnsi="Times New Roman" w:eastAsia="宋体" w:cs="Times New Roman"/>
                      <w:b/>
                      <w:bCs/>
                      <w:sz w:val="21"/>
                      <w:szCs w:val="21"/>
                    </w:rPr>
                  </w:pPr>
                  <w:r>
                    <w:rPr>
                      <w:rFonts w:ascii="Times New Roman" w:hAnsi="宋体" w:eastAsia="宋体" w:cs="Times New Roman"/>
                      <w:b/>
                      <w:bCs/>
                      <w:sz w:val="21"/>
                      <w:szCs w:val="21"/>
                    </w:rPr>
                    <w:t>第一次</w:t>
                  </w:r>
                </w:p>
              </w:tc>
              <w:tc>
                <w:tcPr>
                  <w:tcW w:w="1161" w:type="pct"/>
                  <w:gridSpan w:val="2"/>
                  <w:vAlign w:val="center"/>
                </w:tcPr>
                <w:p>
                  <w:pPr>
                    <w:jc w:val="center"/>
                    <w:rPr>
                      <w:rFonts w:ascii="Times New Roman" w:hAnsi="Times New Roman" w:eastAsia="宋体" w:cs="Times New Roman"/>
                      <w:b/>
                      <w:bCs/>
                      <w:sz w:val="21"/>
                      <w:szCs w:val="21"/>
                    </w:rPr>
                  </w:pPr>
                  <w:r>
                    <w:rPr>
                      <w:rFonts w:ascii="Times New Roman" w:hAnsi="宋体" w:eastAsia="宋体" w:cs="Times New Roman"/>
                      <w:b/>
                      <w:bCs/>
                      <w:sz w:val="21"/>
                      <w:szCs w:val="21"/>
                    </w:rPr>
                    <w:t>第二次</w:t>
                  </w:r>
                </w:p>
              </w:tc>
              <w:tc>
                <w:tcPr>
                  <w:tcW w:w="1439" w:type="pct"/>
                  <w:vAlign w:val="center"/>
                </w:tcPr>
                <w:p>
                  <w:pPr>
                    <w:jc w:val="center"/>
                    <w:rPr>
                      <w:rFonts w:ascii="Times New Roman" w:hAnsi="Times New Roman" w:eastAsia="宋体" w:cs="Times New Roman"/>
                      <w:b/>
                      <w:bCs/>
                      <w:sz w:val="21"/>
                      <w:szCs w:val="21"/>
                    </w:rPr>
                  </w:pPr>
                  <w:r>
                    <w:rPr>
                      <w:rFonts w:ascii="Times New Roman" w:hAnsi="宋体" w:eastAsia="宋体" w:cs="Times New Roman"/>
                      <w:b/>
                      <w:bCs/>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pct"/>
                  <w:gridSpan w:val="2"/>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p>
              </w:tc>
              <w:tc>
                <w:tcPr>
                  <w:tcW w:w="1135" w:type="pct"/>
                  <w:gridSpan w:val="2"/>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1.17</w:t>
                  </w:r>
                </w:p>
              </w:tc>
              <w:tc>
                <w:tcPr>
                  <w:tcW w:w="1161" w:type="pct"/>
                  <w:gridSpan w:val="2"/>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1.15</w:t>
                  </w:r>
                </w:p>
              </w:tc>
              <w:tc>
                <w:tcPr>
                  <w:tcW w:w="1439"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pct"/>
                  <w:gridSpan w:val="2"/>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标准限值</w:t>
                  </w:r>
                </w:p>
              </w:tc>
              <w:tc>
                <w:tcPr>
                  <w:tcW w:w="3736" w:type="pct"/>
                  <w:gridSpan w:val="5"/>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pct"/>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是否合格</w:t>
                  </w:r>
                </w:p>
              </w:tc>
              <w:tc>
                <w:tcPr>
                  <w:tcW w:w="1130" w:type="pct"/>
                  <w:gridSpan w:val="2"/>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是</w:t>
                  </w:r>
                </w:p>
              </w:tc>
              <w:tc>
                <w:tcPr>
                  <w:tcW w:w="1151" w:type="pct"/>
                  <w:gridSpan w:val="2"/>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是</w:t>
                  </w:r>
                </w:p>
              </w:tc>
              <w:tc>
                <w:tcPr>
                  <w:tcW w:w="1457" w:type="pct"/>
                  <w:gridSpan w:val="2"/>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pct"/>
                  <w:vAlign w:val="center"/>
                </w:tcPr>
                <w:p>
                  <w:pPr>
                    <w:jc w:val="center"/>
                    <w:rPr>
                      <w:rFonts w:ascii="Times New Roman" w:hAnsi="Times New Roman" w:eastAsia="宋体" w:cs="Times New Roman"/>
                      <w:bCs/>
                      <w:sz w:val="21"/>
                      <w:szCs w:val="21"/>
                    </w:rPr>
                  </w:pPr>
                  <w:r>
                    <w:rPr>
                      <w:rFonts w:ascii="Times New Roman" w:hAnsi="宋体" w:eastAsia="宋体" w:cs="Times New Roman"/>
                      <w:bCs/>
                      <w:sz w:val="21"/>
                      <w:szCs w:val="21"/>
                    </w:rPr>
                    <w:t>备注</w:t>
                  </w:r>
                </w:p>
              </w:tc>
              <w:tc>
                <w:tcPr>
                  <w:tcW w:w="3740" w:type="pct"/>
                  <w:gridSpan w:val="6"/>
                  <w:vAlign w:val="center"/>
                </w:tcPr>
                <w:p>
                  <w:pPr>
                    <w:jc w:val="left"/>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ascii="Times New Roman" w:hAnsi="宋体" w:eastAsia="宋体" w:cs="Times New Roman"/>
                      <w:bCs/>
                      <w:sz w:val="21"/>
                      <w:szCs w:val="21"/>
                    </w:rPr>
                    <w:t>为厂界下风向西北侧。</w:t>
                  </w:r>
                </w:p>
              </w:tc>
            </w:tr>
          </w:tbl>
          <w:p>
            <w:pPr>
              <w:tabs>
                <w:tab w:val="left" w:pos="2548"/>
              </w:tabs>
              <w:spacing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bCs/>
                <w:sz w:val="21"/>
                <w:szCs w:val="21"/>
              </w:rPr>
              <w:t>监测结果表明：验收监测期间，</w:t>
            </w:r>
            <w:r>
              <w:rPr>
                <w:rFonts w:ascii="Times New Roman" w:hAnsi="宋体" w:eastAsia="宋体" w:cs="Times New Roman"/>
                <w:sz w:val="21"/>
                <w:szCs w:val="21"/>
              </w:rPr>
              <w:t>非甲烷总烃排放浓度符合《大气污染物综合排放标准》（</w:t>
            </w:r>
            <w:r>
              <w:rPr>
                <w:rFonts w:ascii="Times New Roman" w:hAnsi="Times New Roman" w:eastAsia="宋体" w:cs="Times New Roman"/>
                <w:sz w:val="21"/>
                <w:szCs w:val="21"/>
              </w:rPr>
              <w:t>GB16297-1996</w:t>
            </w:r>
            <w:r>
              <w:rPr>
                <w:rFonts w:ascii="Times New Roman" w:hAnsi="宋体" w:eastAsia="宋体" w:cs="Times New Roman"/>
                <w:sz w:val="21"/>
                <w:szCs w:val="21"/>
              </w:rPr>
              <w:t>）</w:t>
            </w:r>
            <w:r>
              <w:rPr>
                <w:rFonts w:ascii="Times New Roman" w:hAnsi="宋体" w:eastAsia="宋体" w:cs="Times New Roman"/>
                <w:color w:val="000000"/>
                <w:sz w:val="21"/>
                <w:szCs w:val="21"/>
              </w:rPr>
              <w:t>表</w:t>
            </w:r>
            <w:r>
              <w:rPr>
                <w:rFonts w:ascii="Times New Roman" w:hAnsi="Times New Roman" w:eastAsia="宋体" w:cs="Times New Roman"/>
                <w:color w:val="000000"/>
                <w:sz w:val="21"/>
                <w:szCs w:val="21"/>
              </w:rPr>
              <w:t>2</w:t>
            </w:r>
            <w:r>
              <w:rPr>
                <w:rFonts w:ascii="Times New Roman" w:hAnsi="宋体" w:eastAsia="宋体" w:cs="Times New Roman"/>
                <w:color w:val="000000"/>
                <w:sz w:val="21"/>
                <w:szCs w:val="21"/>
              </w:rPr>
              <w:t>中无组织排放监控浓度限值。</w:t>
            </w:r>
          </w:p>
          <w:p>
            <w:pPr>
              <w:tabs>
                <w:tab w:val="left" w:pos="2548"/>
              </w:tabs>
              <w:spacing w:line="360" w:lineRule="auto"/>
              <w:rPr>
                <w:rFonts w:ascii="Times New Roman" w:hAnsi="Times New Roman" w:eastAsia="宋体" w:cs="Times New Roman"/>
                <w:sz w:val="21"/>
                <w:szCs w:val="21"/>
              </w:rPr>
            </w:pPr>
            <w:r>
              <w:rPr>
                <w:rFonts w:ascii="Times New Roman" w:hAnsi="Times New Roman" w:eastAsia="宋体" w:cs="Times New Roman"/>
                <w:sz w:val="21"/>
                <w:szCs w:val="21"/>
              </w:rPr>
              <w:t>2、废水排放监测结果见表</w:t>
            </w: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9</w:t>
            </w:r>
            <w:r>
              <w:rPr>
                <w:rFonts w:ascii="Times New Roman" w:hAnsi="Times New Roman" w:eastAsia="宋体" w:cs="Times New Roman"/>
                <w:sz w:val="21"/>
                <w:szCs w:val="21"/>
              </w:rPr>
              <w:t xml:space="preserve">。                             </w:t>
            </w:r>
          </w:p>
          <w:p>
            <w:pPr>
              <w:tabs>
                <w:tab w:val="left" w:pos="2548"/>
              </w:tabs>
              <w:spacing w:line="360" w:lineRule="auto"/>
              <w:jc w:val="center"/>
              <w:rPr>
                <w:rFonts w:ascii="Times New Roman" w:hAnsi="Times New Roman" w:eastAsia="宋体" w:cs="Times New Roman"/>
                <w:b/>
                <w:sz w:val="21"/>
                <w:szCs w:val="21"/>
              </w:rPr>
            </w:pPr>
            <w:r>
              <w:rPr>
                <w:rFonts w:ascii="Times New Roman" w:hAnsi="Times New Roman" w:eastAsia="宋体" w:cs="Times New Roman"/>
                <w:sz w:val="21"/>
                <w:szCs w:val="21"/>
              </w:rPr>
              <w:t xml:space="preserve">        </w:t>
            </w:r>
            <w:r>
              <w:rPr>
                <w:rFonts w:ascii="Times New Roman" w:hAnsi="Times New Roman" w:eastAsia="宋体" w:cs="Times New Roman"/>
                <w:b/>
                <w:sz w:val="21"/>
                <w:szCs w:val="21"/>
              </w:rPr>
              <w:t xml:space="preserve"> 表</w:t>
            </w:r>
            <w:r>
              <w:rPr>
                <w:rFonts w:hint="eastAsia" w:ascii="Times New Roman" w:hAnsi="Times New Roman" w:eastAsia="宋体" w:cs="Times New Roman"/>
                <w:b/>
                <w:sz w:val="21"/>
                <w:szCs w:val="21"/>
                <w:lang w:val="en-US" w:eastAsia="zh-CN"/>
              </w:rPr>
              <w:t>2-</w:t>
            </w:r>
            <w:r>
              <w:rPr>
                <w:rFonts w:hint="eastAsia" w:cs="Times New Roman"/>
                <w:b/>
                <w:sz w:val="21"/>
                <w:szCs w:val="21"/>
                <w:lang w:val="en-US" w:eastAsia="zh-CN"/>
              </w:rPr>
              <w:t>9</w:t>
            </w:r>
            <w:r>
              <w:rPr>
                <w:rFonts w:ascii="Times New Roman" w:hAnsi="Times New Roman" w:eastAsia="宋体" w:cs="Times New Roman"/>
                <w:b/>
                <w:sz w:val="21"/>
                <w:szCs w:val="21"/>
              </w:rPr>
              <w:t xml:space="preserve"> 废水监测结果         单位：mg/</w:t>
            </w:r>
            <w:r>
              <w:rPr>
                <w:rFonts w:hint="eastAsia" w:ascii="Times New Roman" w:hAnsi="Times New Roman" w:eastAsia="宋体" w:cs="Times New Roman"/>
                <w:b/>
                <w:sz w:val="21"/>
                <w:szCs w:val="21"/>
              </w:rPr>
              <w:t>L</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578"/>
              <w:gridCol w:w="1523"/>
              <w:gridCol w:w="165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vMerge w:val="restart"/>
                  <w:vAlign w:val="center"/>
                </w:tcPr>
                <w:p>
                  <w:pPr>
                    <w:jc w:val="center"/>
                    <w:rPr>
                      <w:rFonts w:ascii="Times New Roman" w:hAnsi="Times New Roman" w:eastAsia="宋体" w:cs="Times New Roman"/>
                      <w:bCs/>
                      <w:sz w:val="21"/>
                      <w:szCs w:val="21"/>
                    </w:rPr>
                  </w:pPr>
                </w:p>
              </w:tc>
              <w:tc>
                <w:tcPr>
                  <w:tcW w:w="3795" w:type="pct"/>
                  <w:gridSpan w:val="4"/>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2018年7月26日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vMerge w:val="continue"/>
                  <w:vAlign w:val="center"/>
                </w:tcPr>
                <w:p>
                  <w:pPr>
                    <w:jc w:val="center"/>
                    <w:rPr>
                      <w:rFonts w:ascii="Times New Roman" w:hAnsi="Times New Roman" w:eastAsia="宋体" w:cs="Times New Roman"/>
                      <w:bCs/>
                      <w:sz w:val="21"/>
                      <w:szCs w:val="21"/>
                    </w:rPr>
                  </w:pPr>
                </w:p>
              </w:tc>
              <w:tc>
                <w:tcPr>
                  <w:tcW w:w="938" w:type="pct"/>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PH</w:t>
                  </w:r>
                </w:p>
              </w:tc>
              <w:tc>
                <w:tcPr>
                  <w:tcW w:w="905" w:type="pct"/>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CODcr</w:t>
                  </w:r>
                </w:p>
              </w:tc>
              <w:tc>
                <w:tcPr>
                  <w:tcW w:w="984" w:type="pct"/>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石油类</w:t>
                  </w:r>
                </w:p>
              </w:tc>
              <w:tc>
                <w:tcPr>
                  <w:tcW w:w="966" w:type="pct"/>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Times New Roman" w:eastAsia="宋体" w:cs="Times New Roman"/>
                      <w:bCs/>
                      <w:sz w:val="21"/>
                      <w:szCs w:val="21"/>
                    </w:rPr>
                    <w:t>（废水总排口）</w:t>
                  </w:r>
                </w:p>
              </w:tc>
              <w:tc>
                <w:tcPr>
                  <w:tcW w:w="938"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8.</w:t>
                  </w:r>
                  <w:r>
                    <w:rPr>
                      <w:rFonts w:hint="eastAsia" w:ascii="Times New Roman" w:hAnsi="Times New Roman" w:eastAsia="宋体" w:cs="Times New Roman"/>
                      <w:bCs/>
                      <w:sz w:val="21"/>
                      <w:szCs w:val="21"/>
                    </w:rPr>
                    <w:t>81</w:t>
                  </w:r>
                </w:p>
              </w:tc>
              <w:tc>
                <w:tcPr>
                  <w:tcW w:w="905" w:type="pct"/>
                  <w:vAlign w:val="center"/>
                </w:tcPr>
                <w:p>
                  <w:pPr>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25</w:t>
                  </w:r>
                </w:p>
              </w:tc>
              <w:tc>
                <w:tcPr>
                  <w:tcW w:w="984"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0.1</w:t>
                  </w:r>
                  <w:r>
                    <w:rPr>
                      <w:rFonts w:hint="eastAsia" w:ascii="Times New Roman" w:hAnsi="Times New Roman" w:eastAsia="宋体" w:cs="Times New Roman"/>
                      <w:bCs/>
                      <w:sz w:val="21"/>
                      <w:szCs w:val="21"/>
                    </w:rPr>
                    <w:t>5</w:t>
                  </w:r>
                </w:p>
              </w:tc>
              <w:tc>
                <w:tcPr>
                  <w:tcW w:w="966"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0.</w:t>
                  </w:r>
                  <w:r>
                    <w:rPr>
                      <w:rFonts w:hint="eastAsia" w:ascii="Times New Roman" w:hAnsi="Times New Roman" w:eastAsia="宋体" w:cs="Times New Roman"/>
                      <w:bCs/>
                      <w:sz w:val="21"/>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本项目执行标准</w:t>
                  </w:r>
                </w:p>
              </w:tc>
              <w:tc>
                <w:tcPr>
                  <w:tcW w:w="938"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6~9</w:t>
                  </w:r>
                </w:p>
              </w:tc>
              <w:tc>
                <w:tcPr>
                  <w:tcW w:w="905" w:type="pc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220</w:t>
                  </w:r>
                </w:p>
              </w:tc>
              <w:tc>
                <w:tcPr>
                  <w:tcW w:w="984" w:type="pc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20</w:t>
                  </w:r>
                </w:p>
              </w:tc>
              <w:tc>
                <w:tcPr>
                  <w:tcW w:w="966" w:type="pc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是否合格</w:t>
                  </w:r>
                </w:p>
              </w:tc>
              <w:tc>
                <w:tcPr>
                  <w:tcW w:w="938"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是</w:t>
                  </w:r>
                </w:p>
              </w:tc>
              <w:tc>
                <w:tcPr>
                  <w:tcW w:w="905"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是</w:t>
                  </w:r>
                </w:p>
              </w:tc>
              <w:tc>
                <w:tcPr>
                  <w:tcW w:w="984"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是</w:t>
                  </w:r>
                </w:p>
              </w:tc>
              <w:tc>
                <w:tcPr>
                  <w:tcW w:w="966" w:type="pct"/>
                  <w:vAlign w:val="center"/>
                </w:tcPr>
                <w:p>
                  <w:pPr>
                    <w:jc w:val="center"/>
                    <w:rPr>
                      <w:rFonts w:ascii="Times New Roman" w:hAnsi="Times New Roman" w:eastAsia="宋体" w:cs="Times New Roman"/>
                      <w:bCs/>
                      <w:sz w:val="21"/>
                      <w:szCs w:val="21"/>
                    </w:rPr>
                  </w:pPr>
                  <w:r>
                    <w:rPr>
                      <w:rFonts w:ascii="Times New Roman" w:hAnsi="Times New Roman" w:eastAsia="宋体" w:cs="Times New Roman"/>
                      <w:bCs/>
                      <w:sz w:val="21"/>
                      <w:szCs w:val="21"/>
                    </w:rPr>
                    <w:t>是</w:t>
                  </w:r>
                </w:p>
              </w:tc>
            </w:tr>
          </w:tbl>
          <w:p>
            <w:pPr>
              <w:spacing w:line="360" w:lineRule="auto"/>
              <w:ind w:firstLine="420" w:firstLineChars="200"/>
              <w:rPr>
                <w:rFonts w:ascii="Times New Roman" w:hAnsi="Times New Roman" w:eastAsia="宋体" w:cs="Times New Roman"/>
                <w:color w:val="000000"/>
                <w:sz w:val="21"/>
                <w:szCs w:val="21"/>
              </w:rPr>
            </w:pPr>
            <w:r>
              <w:rPr>
                <w:rFonts w:ascii="Times New Roman" w:hAnsi="Times New Roman" w:eastAsia="宋体" w:cs="Times New Roman"/>
                <w:bCs/>
                <w:sz w:val="21"/>
                <w:szCs w:val="21"/>
              </w:rPr>
              <w:t>监测结果表明：验收监测期间，</w:t>
            </w:r>
            <w:r>
              <w:rPr>
                <w:rFonts w:hint="eastAsia" w:ascii="Times New Roman" w:hAnsi="宋体" w:eastAsia="宋体" w:cs="Times New Roman"/>
                <w:sz w:val="21"/>
                <w:szCs w:val="21"/>
              </w:rPr>
              <w:t>废水</w:t>
            </w:r>
            <w:r>
              <w:rPr>
                <w:rFonts w:ascii="Times New Roman" w:hAnsi="宋体" w:eastAsia="宋体" w:cs="Times New Roman"/>
                <w:sz w:val="21"/>
                <w:szCs w:val="21"/>
              </w:rPr>
              <w:t>排放浓度符合</w:t>
            </w:r>
            <w:r>
              <w:rPr>
                <w:rFonts w:hint="eastAsia" w:ascii="Times New Roman" w:hAnsi="宋体" w:eastAsia="宋体" w:cs="Times New Roman"/>
                <w:sz w:val="21"/>
                <w:szCs w:val="21"/>
              </w:rPr>
              <w:t>《污水综合排放标准》（GB8978-1996）中表4中三级标准，并同时满足桃源县污水处理厂进水水质要求。</w:t>
            </w:r>
          </w:p>
          <w:p>
            <w:pPr>
              <w:tabs>
                <w:tab w:val="left" w:pos="2548"/>
              </w:tabs>
              <w:spacing w:line="360" w:lineRule="auto"/>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w:t>
            </w:r>
            <w:r>
              <w:rPr>
                <w:rFonts w:hint="eastAsia" w:ascii="Times New Roman" w:hAnsi="Times New Roman" w:eastAsia="宋体" w:cs="Times New Roman"/>
                <w:sz w:val="21"/>
                <w:szCs w:val="21"/>
                <w:lang w:eastAsia="zh-CN"/>
              </w:rPr>
              <w:t>噪声</w:t>
            </w:r>
            <w:r>
              <w:rPr>
                <w:rFonts w:ascii="Times New Roman" w:hAnsi="Times New Roman" w:eastAsia="宋体" w:cs="Times New Roman"/>
                <w:sz w:val="21"/>
                <w:szCs w:val="21"/>
              </w:rPr>
              <w:t>监测结果见表</w:t>
            </w: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10</w:t>
            </w:r>
            <w:r>
              <w:rPr>
                <w:rFonts w:ascii="Times New Roman" w:hAnsi="Times New Roman" w:eastAsia="宋体" w:cs="Times New Roman"/>
                <w:sz w:val="21"/>
                <w:szCs w:val="21"/>
              </w:rPr>
              <w:t>。</w:t>
            </w:r>
          </w:p>
          <w:p>
            <w:pPr>
              <w:tabs>
                <w:tab w:val="left" w:pos="2548"/>
              </w:tabs>
              <w:ind w:right="420"/>
              <w:jc w:val="center"/>
              <w:rPr>
                <w:rFonts w:ascii="Times New Roman" w:hAnsi="Times New Roman" w:eastAsia="宋体" w:cs="Times New Roman"/>
                <w:b/>
                <w:sz w:val="21"/>
                <w:szCs w:val="21"/>
              </w:rPr>
            </w:pPr>
            <w:r>
              <w:rPr>
                <w:rFonts w:ascii="Times New Roman" w:hAnsi="Times New Roman" w:eastAsia="宋体" w:cs="Times New Roman"/>
                <w:sz w:val="21"/>
                <w:szCs w:val="21"/>
              </w:rPr>
              <w:t xml:space="preserve"> </w:t>
            </w:r>
            <w:r>
              <w:rPr>
                <w:rFonts w:ascii="Times New Roman" w:hAnsi="Times New Roman" w:eastAsia="宋体" w:cs="Times New Roman"/>
                <w:b/>
                <w:sz w:val="21"/>
                <w:szCs w:val="21"/>
              </w:rPr>
              <w:t>表</w:t>
            </w:r>
            <w:r>
              <w:rPr>
                <w:rFonts w:hint="eastAsia" w:ascii="Times New Roman" w:hAnsi="Times New Roman" w:eastAsia="宋体" w:cs="Times New Roman"/>
                <w:b/>
                <w:sz w:val="21"/>
                <w:szCs w:val="21"/>
                <w:lang w:val="en-US" w:eastAsia="zh-CN"/>
              </w:rPr>
              <w:t>2-</w:t>
            </w:r>
            <w:r>
              <w:rPr>
                <w:rFonts w:hint="eastAsia" w:cs="Times New Roman"/>
                <w:b/>
                <w:sz w:val="21"/>
                <w:szCs w:val="21"/>
                <w:lang w:val="en-US" w:eastAsia="zh-CN"/>
              </w:rPr>
              <w:t>10</w:t>
            </w:r>
            <w:r>
              <w:rPr>
                <w:rFonts w:ascii="Times New Roman" w:hAnsi="Times New Roman" w:eastAsia="宋体" w:cs="Times New Roman"/>
                <w:b/>
                <w:sz w:val="21"/>
                <w:szCs w:val="21"/>
              </w:rPr>
              <w:t xml:space="preserve">  噪声监测结果       单位：dB（A）</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976"/>
              <w:gridCol w:w="981"/>
              <w:gridCol w:w="1563"/>
              <w:gridCol w:w="1442"/>
              <w:gridCol w:w="1184"/>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726" w:type="pct"/>
                  <w:gridSpan w:val="3"/>
                  <w:tcBorders>
                    <w:tl2br w:val="single" w:color="auto" w:sz="4" w:space="0"/>
                  </w:tcBorders>
                </w:tcPr>
                <w:p>
                  <w:pPr>
                    <w:tabs>
                      <w:tab w:val="left" w:pos="2548"/>
                    </w:tabs>
                    <w:ind w:right="315"/>
                    <w:jc w:val="right"/>
                    <w:rPr>
                      <w:rFonts w:ascii="Times New Roman" w:hAnsi="Times New Roman" w:eastAsia="宋体" w:cs="Times New Roman"/>
                      <w:b/>
                      <w:sz w:val="21"/>
                      <w:szCs w:val="21"/>
                    </w:rPr>
                  </w:pPr>
                  <w:r>
                    <w:rPr>
                      <w:rFonts w:ascii="Times New Roman" w:hAnsi="Times New Roman" w:eastAsia="宋体" w:cs="Times New Roman"/>
                      <w:b/>
                      <w:sz w:val="21"/>
                      <w:szCs w:val="21"/>
                    </w:rPr>
                    <w:t>时间</w:t>
                  </w:r>
                </w:p>
                <w:p>
                  <w:pPr>
                    <w:tabs>
                      <w:tab w:val="left" w:pos="2548"/>
                    </w:tabs>
                    <w:rPr>
                      <w:rFonts w:ascii="Times New Roman" w:hAnsi="Times New Roman" w:eastAsia="宋体" w:cs="Times New Roman"/>
                      <w:b/>
                      <w:sz w:val="21"/>
                      <w:szCs w:val="21"/>
                    </w:rPr>
                  </w:pPr>
                  <w:r>
                    <w:rPr>
                      <w:rFonts w:ascii="Times New Roman" w:hAnsi="Times New Roman" w:eastAsia="宋体" w:cs="Times New Roman"/>
                      <w:b/>
                      <w:sz w:val="21"/>
                      <w:szCs w:val="21"/>
                    </w:rPr>
                    <w:t xml:space="preserve">         点位</w:t>
                  </w:r>
                </w:p>
              </w:tc>
              <w:tc>
                <w:tcPr>
                  <w:tcW w:w="929" w:type="pct"/>
                  <w:vAlign w:val="center"/>
                </w:tcPr>
                <w:p>
                  <w:pPr>
                    <w:tabs>
                      <w:tab w:val="left" w:pos="2548"/>
                    </w:tabs>
                    <w:jc w:val="center"/>
                    <w:rPr>
                      <w:rFonts w:ascii="Times New Roman" w:hAnsi="Times New Roman" w:eastAsia="宋体" w:cs="Times New Roman"/>
                      <w:b/>
                      <w:sz w:val="21"/>
                      <w:szCs w:val="21"/>
                    </w:rPr>
                  </w:pPr>
                  <w:r>
                    <w:rPr>
                      <w:rFonts w:ascii="Times New Roman" w:hAnsi="Times New Roman" w:eastAsia="宋体" w:cs="Times New Roman"/>
                      <w:b/>
                      <w:sz w:val="21"/>
                      <w:szCs w:val="21"/>
                    </w:rPr>
                    <w:t>7月27日</w:t>
                  </w:r>
                </w:p>
              </w:tc>
              <w:tc>
                <w:tcPr>
                  <w:tcW w:w="857" w:type="pct"/>
                  <w:vAlign w:val="center"/>
                </w:tcPr>
                <w:p>
                  <w:pPr>
                    <w:tabs>
                      <w:tab w:val="left" w:pos="2548"/>
                    </w:tabs>
                    <w:jc w:val="center"/>
                    <w:rPr>
                      <w:rFonts w:ascii="Times New Roman" w:hAnsi="Times New Roman" w:eastAsia="宋体" w:cs="Times New Roman"/>
                      <w:b/>
                      <w:sz w:val="21"/>
                      <w:szCs w:val="21"/>
                    </w:rPr>
                  </w:pPr>
                  <w:r>
                    <w:rPr>
                      <w:rFonts w:ascii="Times New Roman" w:hAnsi="Times New Roman" w:eastAsia="宋体" w:cs="Times New Roman"/>
                      <w:b/>
                      <w:sz w:val="21"/>
                      <w:szCs w:val="21"/>
                    </w:rPr>
                    <w:t>7月28日</w:t>
                  </w:r>
                </w:p>
              </w:tc>
              <w:tc>
                <w:tcPr>
                  <w:tcW w:w="704" w:type="pct"/>
                  <w:vAlign w:val="center"/>
                </w:tcPr>
                <w:p>
                  <w:pPr>
                    <w:tabs>
                      <w:tab w:val="left" w:pos="2548"/>
                    </w:tabs>
                    <w:jc w:val="center"/>
                    <w:rPr>
                      <w:rFonts w:ascii="Times New Roman" w:hAnsi="Times New Roman" w:eastAsia="宋体" w:cs="Times New Roman"/>
                      <w:b/>
                      <w:sz w:val="21"/>
                      <w:szCs w:val="21"/>
                    </w:rPr>
                  </w:pPr>
                  <w:r>
                    <w:rPr>
                      <w:rFonts w:ascii="Times New Roman" w:hAnsi="Times New Roman" w:eastAsia="宋体" w:cs="Times New Roman"/>
                      <w:b/>
                      <w:sz w:val="21"/>
                      <w:szCs w:val="21"/>
                    </w:rPr>
                    <w:t>标准限值</w:t>
                  </w:r>
                </w:p>
              </w:tc>
              <w:tc>
                <w:tcPr>
                  <w:tcW w:w="782" w:type="pct"/>
                  <w:vAlign w:val="center"/>
                </w:tcPr>
                <w:p>
                  <w:pPr>
                    <w:tabs>
                      <w:tab w:val="left" w:pos="2548"/>
                    </w:tabs>
                    <w:jc w:val="center"/>
                    <w:rPr>
                      <w:rFonts w:ascii="Times New Roman" w:hAnsi="Times New Roman" w:eastAsia="宋体" w:cs="Times New Roman"/>
                      <w:b/>
                      <w:sz w:val="21"/>
                      <w:szCs w:val="21"/>
                    </w:rPr>
                  </w:pPr>
                  <w:r>
                    <w:rPr>
                      <w:rFonts w:ascii="Times New Roman" w:hAnsi="Times New Roman" w:eastAsia="宋体" w:cs="Times New Roman"/>
                      <w:b/>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3" w:type="pct"/>
                  <w:vMerge w:val="restar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厂界</w:t>
                  </w:r>
                </w:p>
              </w:tc>
              <w:tc>
                <w:tcPr>
                  <w:tcW w:w="580" w:type="pct"/>
                  <w:vMerge w:val="restar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昼间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55.7</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55.0</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continue"/>
                  <w:vAlign w:val="center"/>
                </w:tcPr>
                <w:p>
                  <w:pPr>
                    <w:tabs>
                      <w:tab w:val="left" w:pos="2548"/>
                    </w:tabs>
                    <w:jc w:val="center"/>
                    <w:rPr>
                      <w:rFonts w:ascii="Times New Roman" w:hAnsi="Times New Roman" w:eastAsia="宋体" w:cs="Times New Roman"/>
                      <w:sz w:val="21"/>
                      <w:szCs w:val="21"/>
                    </w:rPr>
                  </w:pP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夜间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45.7</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46.4</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restar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昼间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55.1</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56.0</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continue"/>
                  <w:vAlign w:val="center"/>
                </w:tcPr>
                <w:p>
                  <w:pPr>
                    <w:tabs>
                      <w:tab w:val="left" w:pos="2548"/>
                    </w:tabs>
                    <w:jc w:val="center"/>
                    <w:rPr>
                      <w:rFonts w:ascii="Times New Roman" w:hAnsi="Times New Roman" w:eastAsia="宋体" w:cs="Times New Roman"/>
                      <w:sz w:val="21"/>
                      <w:szCs w:val="21"/>
                    </w:rPr>
                  </w:pP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夜间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46.2</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46.5</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restar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昼间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58.6</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58.7</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70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continue"/>
                  <w:vAlign w:val="center"/>
                </w:tcPr>
                <w:p>
                  <w:pPr>
                    <w:tabs>
                      <w:tab w:val="left" w:pos="2548"/>
                    </w:tabs>
                    <w:jc w:val="center"/>
                    <w:rPr>
                      <w:rFonts w:ascii="Times New Roman" w:hAnsi="Times New Roman" w:eastAsia="宋体" w:cs="Times New Roman"/>
                      <w:sz w:val="21"/>
                      <w:szCs w:val="21"/>
                    </w:rPr>
                  </w:pP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夜间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48.4</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48.0</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55</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restar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昼间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54.5</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56.8</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3" w:type="pct"/>
                  <w:vMerge w:val="continue"/>
                  <w:vAlign w:val="center"/>
                </w:tcPr>
                <w:p>
                  <w:pPr>
                    <w:tabs>
                      <w:tab w:val="left" w:pos="2548"/>
                    </w:tabs>
                    <w:jc w:val="center"/>
                    <w:rPr>
                      <w:rFonts w:ascii="Times New Roman" w:hAnsi="Times New Roman" w:eastAsia="宋体" w:cs="Times New Roman"/>
                      <w:sz w:val="21"/>
                      <w:szCs w:val="21"/>
                    </w:rPr>
                  </w:pPr>
                </w:p>
              </w:tc>
              <w:tc>
                <w:tcPr>
                  <w:tcW w:w="580" w:type="pct"/>
                  <w:vMerge w:val="continue"/>
                  <w:vAlign w:val="center"/>
                </w:tcPr>
                <w:p>
                  <w:pPr>
                    <w:tabs>
                      <w:tab w:val="left" w:pos="2548"/>
                    </w:tabs>
                    <w:jc w:val="center"/>
                    <w:rPr>
                      <w:rFonts w:ascii="Times New Roman" w:hAnsi="Times New Roman" w:eastAsia="宋体" w:cs="Times New Roman"/>
                      <w:sz w:val="21"/>
                      <w:szCs w:val="21"/>
                    </w:rPr>
                  </w:pPr>
                </w:p>
              </w:tc>
              <w:tc>
                <w:tcPr>
                  <w:tcW w:w="582"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夜间</w:t>
                  </w:r>
                </w:p>
              </w:tc>
              <w:tc>
                <w:tcPr>
                  <w:tcW w:w="929" w:type="pct"/>
                  <w:vAlign w:val="center"/>
                </w:tcPr>
                <w:p>
                  <w:pPr>
                    <w:widowControl/>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rPr>
                    <w:t>44.9</w:t>
                  </w:r>
                </w:p>
              </w:tc>
              <w:tc>
                <w:tcPr>
                  <w:tcW w:w="857" w:type="pct"/>
                  <w:vAlign w:val="center"/>
                </w:tcPr>
                <w:p>
                  <w:pPr>
                    <w:widowControl/>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45.1</w:t>
                  </w:r>
                </w:p>
              </w:tc>
              <w:tc>
                <w:tcPr>
                  <w:tcW w:w="704" w:type="pc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782" w:type="pct"/>
                  <w:vAlign w:val="center"/>
                </w:tcPr>
                <w:p>
                  <w:pPr>
                    <w:tabs>
                      <w:tab w:val="left" w:pos="2548"/>
                    </w:tabs>
                    <w:jc w:val="center"/>
                    <w:rPr>
                      <w:rFonts w:ascii="Times New Roman" w:hAnsi="Times New Roman" w:eastAsia="宋体" w:cs="Times New Roman"/>
                      <w:sz w:val="21"/>
                      <w:szCs w:val="21"/>
                    </w:rPr>
                  </w:pPr>
                  <w:r>
                    <w:rPr>
                      <w:rFonts w:ascii="Times New Roman" w:hAnsi="Times New Roman" w:eastAsia="宋体"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7"/>
                  <w:vAlign w:val="center"/>
                </w:tcPr>
                <w:p>
                  <w:pPr>
                    <w:tabs>
                      <w:tab w:val="left" w:pos="2548"/>
                    </w:tabs>
                    <w:jc w:val="left"/>
                    <w:rPr>
                      <w:rFonts w:ascii="Times New Roman" w:hAnsi="Times New Roman" w:eastAsia="宋体" w:cs="Times New Roman"/>
                      <w:sz w:val="21"/>
                      <w:szCs w:val="21"/>
                    </w:rPr>
                  </w:pPr>
                  <w:r>
                    <w:rPr>
                      <w:rFonts w:ascii="Times New Roman" w:hAnsi="Times New Roman" w:eastAsia="宋体" w:cs="Times New Roman"/>
                      <w:sz w:val="21"/>
                      <w:szCs w:val="21"/>
                    </w:rPr>
                    <w:t>备注：1#-4#均为厂界噪声检测点位：1#为厂界东，2#为厂界南，3#为厂界西，4#为厂界北。</w:t>
                  </w:r>
                </w:p>
              </w:tc>
            </w:tr>
          </w:tbl>
          <w:p>
            <w:pPr>
              <w:spacing w:line="360" w:lineRule="auto"/>
              <w:ind w:firstLine="420" w:firstLineChars="200"/>
              <w:rPr>
                <w:rFonts w:ascii="Times New Roman" w:hAnsi="Times New Roman" w:eastAsia="宋体" w:cs="Times New Roman"/>
                <w:sz w:val="21"/>
                <w:szCs w:val="21"/>
              </w:rPr>
            </w:pPr>
            <w:r>
              <w:rPr>
                <w:rFonts w:ascii="Times New Roman" w:hAnsi="Times New Roman" w:eastAsia="宋体" w:cs="Times New Roman"/>
                <w:bCs/>
                <w:sz w:val="21"/>
                <w:szCs w:val="21"/>
              </w:rPr>
              <w:t>监测结果表明：验收监测期间，项目</w:t>
            </w:r>
            <w:r>
              <w:rPr>
                <w:rFonts w:ascii="Times New Roman" w:hAnsi="Times New Roman" w:eastAsia="宋体" w:cs="Times New Roman"/>
                <w:sz w:val="21"/>
                <w:szCs w:val="21"/>
              </w:rPr>
              <w:t>厂界噪声符合《工业企业厂界环境噪声排放标准》（GB 12348-2008）中2类和4类（</w:t>
            </w:r>
            <w:r>
              <w:rPr>
                <w:rFonts w:hint="eastAsia" w:ascii="Times New Roman" w:hAnsi="Times New Roman" w:eastAsia="宋体" w:cs="Times New Roman"/>
                <w:sz w:val="21"/>
                <w:szCs w:val="21"/>
              </w:rPr>
              <w:t>临漳江北路侧</w:t>
            </w:r>
            <w:r>
              <w:rPr>
                <w:rFonts w:ascii="Times New Roman" w:hAnsi="Times New Roman" w:eastAsia="宋体" w:cs="Times New Roman"/>
                <w:sz w:val="21"/>
                <w:szCs w:val="21"/>
              </w:rPr>
              <w:t>）标准限值</w:t>
            </w:r>
            <w:r>
              <w:rPr>
                <w:rFonts w:ascii="Times New Roman" w:hAnsi="Times New Roman" w:eastAsia="宋体" w:cs="Times New Roman"/>
                <w:bCs/>
                <w:sz w:val="21"/>
                <w:szCs w:val="21"/>
              </w:rPr>
              <w:t>。</w:t>
            </w:r>
          </w:p>
          <w:p>
            <w:pPr>
              <w:keepNext w:val="0"/>
              <w:keepLines w:val="0"/>
              <w:widowControl/>
              <w:numPr>
                <w:ilvl w:val="0"/>
                <w:numId w:val="1"/>
              </w:numPr>
              <w:suppressLineNumbers w:val="0"/>
              <w:jc w:val="left"/>
              <w:rPr>
                <w:sz w:val="21"/>
                <w:szCs w:val="21"/>
              </w:rPr>
            </w:pPr>
            <w:r>
              <w:rPr>
                <w:rFonts w:hint="default" w:ascii="Times New Roman" w:hAnsi="Times New Roman" w:eastAsia="宋体" w:cs="Times New Roman"/>
                <w:b/>
                <w:bCs/>
                <w:color w:val="000000"/>
                <w:kern w:val="0"/>
                <w:sz w:val="21"/>
                <w:szCs w:val="21"/>
                <w:lang w:val="en-US" w:eastAsia="zh-CN" w:bidi="ar"/>
              </w:rPr>
              <w:t xml:space="preserve"> </w:t>
            </w:r>
            <w:r>
              <w:rPr>
                <w:rFonts w:hint="eastAsia" w:cs="Times New Roman"/>
                <w:b/>
                <w:bCs/>
                <w:color w:val="000000"/>
                <w:kern w:val="0"/>
                <w:sz w:val="21"/>
                <w:szCs w:val="21"/>
                <w:lang w:val="en-US" w:eastAsia="zh-CN" w:bidi="ar"/>
              </w:rPr>
              <w:t>现有工程</w:t>
            </w:r>
            <w:r>
              <w:rPr>
                <w:rFonts w:hint="eastAsia" w:ascii="Times New Roman" w:hAnsi="Times New Roman" w:eastAsia="宋体" w:cs="Times New Roman"/>
                <w:b/>
                <w:bCs/>
                <w:color w:val="000000"/>
                <w:kern w:val="0"/>
                <w:sz w:val="21"/>
                <w:szCs w:val="21"/>
                <w:lang w:val="en-US" w:eastAsia="zh-CN" w:bidi="ar"/>
              </w:rPr>
              <w:t>产排污情况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宋体" w:cs="Times New Roman"/>
                <w:b w:val="0"/>
                <w:bCs w:val="0"/>
                <w:color w:val="000000"/>
                <w:kern w:val="0"/>
                <w:sz w:val="21"/>
                <w:szCs w:val="21"/>
                <w:lang w:val="en-US" w:eastAsia="zh-CN" w:bidi="ar"/>
              </w:rPr>
            </w:pPr>
            <w:r>
              <w:rPr>
                <w:rFonts w:hint="eastAsia" w:ascii="Times New Roman" w:hAnsi="Times New Roman" w:eastAsia="宋体" w:cs="Times New Roman"/>
                <w:b w:val="0"/>
                <w:bCs w:val="0"/>
                <w:color w:val="000000"/>
                <w:kern w:val="0"/>
                <w:sz w:val="21"/>
                <w:szCs w:val="21"/>
                <w:lang w:val="en-US" w:eastAsia="zh-CN" w:bidi="ar"/>
              </w:rPr>
              <w:t>根据原环评原有项目产排污情况如下表；</w:t>
            </w:r>
          </w:p>
          <w:p>
            <w:pPr>
              <w:pStyle w:val="26"/>
              <w:rPr>
                <w:rFonts w:eastAsia="宋体"/>
                <w:b/>
              </w:rPr>
            </w:pPr>
            <w:r>
              <w:rPr>
                <w:rFonts w:eastAsia="宋体"/>
                <w:b/>
              </w:rPr>
              <w:t>表2-</w:t>
            </w:r>
            <w:r>
              <w:rPr>
                <w:rFonts w:hint="eastAsia" w:eastAsia="宋体"/>
                <w:b/>
                <w:lang w:val="en-US" w:eastAsia="zh-CN"/>
              </w:rPr>
              <w:t>11</w:t>
            </w:r>
            <w:r>
              <w:rPr>
                <w:rFonts w:eastAsia="宋体"/>
                <w:b/>
              </w:rPr>
              <w:t xml:space="preserve">  现有工程污染物实际排放量汇总表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15"/>
              <w:gridCol w:w="1242"/>
              <w:gridCol w:w="1318"/>
              <w:gridCol w:w="118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eastAsia" w:eastAsia="宋体"/>
                      <w:b/>
                      <w:bCs/>
                      <w:sz w:val="21"/>
                      <w:szCs w:val="21"/>
                      <w:vertAlign w:val="baseline"/>
                      <w:lang w:eastAsia="zh-CN"/>
                    </w:rPr>
                  </w:pPr>
                  <w:r>
                    <w:rPr>
                      <w:rFonts w:hint="eastAsia"/>
                      <w:b/>
                      <w:bCs/>
                      <w:sz w:val="21"/>
                      <w:szCs w:val="21"/>
                      <w:vertAlign w:val="baseline"/>
                      <w:lang w:eastAsia="zh-CN"/>
                    </w:rPr>
                    <w:t>类别</w:t>
                  </w:r>
                </w:p>
              </w:tc>
              <w:tc>
                <w:tcPr>
                  <w:tcW w:w="121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排放源</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b/>
                      <w:bCs/>
                      <w:sz w:val="21"/>
                      <w:szCs w:val="21"/>
                      <w:vertAlign w:val="baseline"/>
                    </w:rPr>
                  </w:pPr>
                </w:p>
              </w:tc>
              <w:tc>
                <w:tcPr>
                  <w:tcW w:w="1242"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污染物名称</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b/>
                      <w:bCs/>
                      <w:sz w:val="21"/>
                      <w:szCs w:val="21"/>
                      <w:vertAlign w:val="baseline"/>
                    </w:rPr>
                  </w:pPr>
                </w:p>
              </w:tc>
              <w:tc>
                <w:tcPr>
                  <w:tcW w:w="1318"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处理前产生</w:t>
                  </w:r>
                </w:p>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浓度及产生</w:t>
                  </w:r>
                </w:p>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量</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b/>
                      <w:bCs/>
                      <w:sz w:val="21"/>
                      <w:szCs w:val="21"/>
                      <w:vertAlign w:val="baseline"/>
                    </w:rPr>
                  </w:pPr>
                </w:p>
              </w:tc>
              <w:tc>
                <w:tcPr>
                  <w:tcW w:w="118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eastAsia" w:eastAsia="宋体"/>
                      <w:b/>
                      <w:bCs/>
                      <w:sz w:val="21"/>
                      <w:szCs w:val="21"/>
                      <w:vertAlign w:val="baseline"/>
                      <w:lang w:eastAsia="zh-CN"/>
                    </w:rPr>
                  </w:pPr>
                  <w:r>
                    <w:rPr>
                      <w:rFonts w:hint="eastAsia"/>
                      <w:b/>
                      <w:bCs/>
                      <w:sz w:val="21"/>
                      <w:szCs w:val="21"/>
                      <w:vertAlign w:val="baseline"/>
                      <w:lang w:eastAsia="zh-CN"/>
                    </w:rPr>
                    <w:t>处理措施</w:t>
                  </w:r>
                </w:p>
              </w:tc>
              <w:tc>
                <w:tcPr>
                  <w:tcW w:w="1795"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处理后排放</w:t>
                  </w:r>
                </w:p>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浓度及排放</w:t>
                  </w:r>
                </w:p>
                <w:p>
                  <w:pPr>
                    <w:keepNext w:val="0"/>
                    <w:keepLines w:val="0"/>
                    <w:pageBreakBefore w:val="0"/>
                    <w:widowControl/>
                    <w:suppressLineNumbers w:val="0"/>
                    <w:kinsoku/>
                    <w:wordWrap/>
                    <w:overflowPunct/>
                    <w:topLinePunct w:val="0"/>
                    <w:autoSpaceDE/>
                    <w:autoSpaceDN/>
                    <w:bidi w:val="0"/>
                    <w:adjustRightInd/>
                    <w:snapToGrid/>
                    <w:jc w:val="center"/>
                    <w:textAlignment w:val="auto"/>
                    <w:rPr>
                      <w:b/>
                      <w:bCs/>
                      <w:sz w:val="21"/>
                      <w:szCs w:val="21"/>
                    </w:rPr>
                  </w:pPr>
                  <w:r>
                    <w:rPr>
                      <w:rFonts w:hint="eastAsia" w:ascii="宋体" w:hAnsi="宋体" w:eastAsia="宋体" w:cs="宋体"/>
                      <w:b/>
                      <w:bCs/>
                      <w:color w:val="000000"/>
                      <w:kern w:val="0"/>
                      <w:sz w:val="21"/>
                      <w:szCs w:val="21"/>
                      <w:lang w:val="en-US" w:eastAsia="zh-CN" w:bidi="ar"/>
                    </w:rPr>
                    <w:t>量</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b/>
                      <w:bCs/>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82" w:type="dxa"/>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废气</w:t>
                  </w:r>
                </w:p>
              </w:tc>
              <w:tc>
                <w:tcPr>
                  <w:tcW w:w="1215" w:type="dxa"/>
                  <w:vAlign w:val="center"/>
                </w:tcPr>
                <w:p>
                  <w:pPr>
                    <w:jc w:val="center"/>
                    <w:rPr>
                      <w:sz w:val="21"/>
                      <w:szCs w:val="21"/>
                      <w:vertAlign w:val="baseline"/>
                    </w:rPr>
                  </w:pPr>
                  <w:r>
                    <w:rPr>
                      <w:rFonts w:hint="eastAsia"/>
                      <w:sz w:val="21"/>
                      <w:szCs w:val="21"/>
                      <w:lang w:eastAsia="zh-CN"/>
                    </w:rPr>
                    <w:t>汽油</w:t>
                  </w:r>
                  <w:r>
                    <w:rPr>
                      <w:sz w:val="21"/>
                      <w:szCs w:val="21"/>
                    </w:rPr>
                    <w:t>卸油、储油、加油</w:t>
                  </w:r>
                </w:p>
              </w:tc>
              <w:tc>
                <w:tcPr>
                  <w:tcW w:w="1242" w:type="dxa"/>
                  <w:vMerge w:val="restart"/>
                  <w:vAlign w:val="center"/>
                </w:tcPr>
                <w:p>
                  <w:pPr>
                    <w:jc w:val="center"/>
                    <w:rPr>
                      <w:sz w:val="21"/>
                      <w:szCs w:val="21"/>
                    </w:rPr>
                  </w:pPr>
                  <w:r>
                    <w:rPr>
                      <w:sz w:val="21"/>
                      <w:szCs w:val="21"/>
                    </w:rPr>
                    <w:t>非甲烷</w:t>
                  </w:r>
                </w:p>
                <w:p>
                  <w:pPr>
                    <w:jc w:val="center"/>
                    <w:rPr>
                      <w:rFonts w:hint="eastAsia" w:eastAsia="宋体"/>
                      <w:sz w:val="21"/>
                      <w:szCs w:val="21"/>
                      <w:vertAlign w:val="baseline"/>
                      <w:lang w:eastAsia="zh-CN"/>
                    </w:rPr>
                  </w:pPr>
                  <w:r>
                    <w:rPr>
                      <w:sz w:val="21"/>
                      <w:szCs w:val="21"/>
                    </w:rPr>
                    <w:t>总烃</w:t>
                  </w:r>
                </w:p>
              </w:tc>
              <w:tc>
                <w:tcPr>
                  <w:tcW w:w="1318" w:type="dxa"/>
                  <w:vAlign w:val="center"/>
                </w:tcPr>
                <w:p>
                  <w:pPr>
                    <w:keepNext w:val="0"/>
                    <w:keepLines w:val="0"/>
                    <w:widowControl/>
                    <w:numPr>
                      <w:ilvl w:val="0"/>
                      <w:numId w:val="0"/>
                    </w:numPr>
                    <w:suppressLineNumbers w:val="0"/>
                    <w:jc w:val="center"/>
                    <w:rPr>
                      <w:sz w:val="21"/>
                      <w:szCs w:val="21"/>
                      <w:vertAlign w:val="baseline"/>
                    </w:rPr>
                  </w:pPr>
                  <w:r>
                    <w:rPr>
                      <w:sz w:val="21"/>
                      <w:szCs w:val="21"/>
                    </w:rPr>
                    <w:t>3.</w:t>
                  </w:r>
                  <w:r>
                    <w:rPr>
                      <w:rFonts w:hint="eastAsia"/>
                      <w:sz w:val="21"/>
                      <w:szCs w:val="21"/>
                    </w:rPr>
                    <w:t>0</w:t>
                  </w:r>
                  <w:r>
                    <w:rPr>
                      <w:sz w:val="21"/>
                      <w:szCs w:val="21"/>
                    </w:rPr>
                    <w:t>t/a</w:t>
                  </w:r>
                </w:p>
              </w:tc>
              <w:tc>
                <w:tcPr>
                  <w:tcW w:w="1183" w:type="dxa"/>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油气回收系统</w:t>
                  </w:r>
                </w:p>
              </w:tc>
              <w:tc>
                <w:tcPr>
                  <w:tcW w:w="1795" w:type="dxa"/>
                  <w:vAlign w:val="center"/>
                </w:tcPr>
                <w:p>
                  <w:pPr>
                    <w:keepNext w:val="0"/>
                    <w:keepLines w:val="0"/>
                    <w:widowControl/>
                    <w:numPr>
                      <w:ilvl w:val="0"/>
                      <w:numId w:val="0"/>
                    </w:numPr>
                    <w:suppressLineNumbers w:val="0"/>
                    <w:jc w:val="center"/>
                    <w:rPr>
                      <w:sz w:val="21"/>
                      <w:szCs w:val="21"/>
                      <w:vertAlign w:val="baseline"/>
                    </w:rPr>
                  </w:pPr>
                  <w:r>
                    <w:rPr>
                      <w:sz w:val="21"/>
                      <w:szCs w:val="21"/>
                    </w:rPr>
                    <w:t>0.7</w:t>
                  </w:r>
                  <w:r>
                    <w:rPr>
                      <w:rFonts w:hint="eastAsia"/>
                      <w:sz w:val="21"/>
                      <w:szCs w:val="21"/>
                    </w:rPr>
                    <w:t>5</w:t>
                  </w:r>
                  <w:r>
                    <w:rPr>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2" w:type="dxa"/>
                  <w:vMerge w:val="continue"/>
                  <w:vAlign w:val="center"/>
                </w:tcPr>
                <w:p>
                  <w:pPr>
                    <w:keepNext w:val="0"/>
                    <w:keepLines w:val="0"/>
                    <w:widowControl/>
                    <w:suppressLineNumbers w:val="0"/>
                    <w:jc w:val="center"/>
                  </w:pPr>
                </w:p>
              </w:tc>
              <w:tc>
                <w:tcPr>
                  <w:tcW w:w="1215" w:type="dxa"/>
                  <w:vAlign w:val="center"/>
                </w:tcPr>
                <w:p>
                  <w:pPr>
                    <w:keepNext w:val="0"/>
                    <w:keepLines w:val="0"/>
                    <w:widowControl/>
                    <w:numPr>
                      <w:ilvl w:val="0"/>
                      <w:numId w:val="0"/>
                    </w:numPr>
                    <w:suppressLineNumbers w:val="0"/>
                    <w:jc w:val="center"/>
                    <w:rPr>
                      <w:sz w:val="21"/>
                      <w:szCs w:val="21"/>
                    </w:rPr>
                  </w:pPr>
                  <w:r>
                    <w:rPr>
                      <w:rFonts w:hint="eastAsia"/>
                      <w:sz w:val="21"/>
                      <w:szCs w:val="21"/>
                      <w:lang w:eastAsia="zh-CN"/>
                    </w:rPr>
                    <w:t>柴油</w:t>
                  </w:r>
                  <w:r>
                    <w:rPr>
                      <w:sz w:val="21"/>
                      <w:szCs w:val="21"/>
                    </w:rPr>
                    <w:t>卸油、储油、加油</w:t>
                  </w:r>
                </w:p>
              </w:tc>
              <w:tc>
                <w:tcPr>
                  <w:tcW w:w="1242" w:type="dxa"/>
                  <w:vMerge w:val="continue"/>
                  <w:vAlign w:val="center"/>
                </w:tcPr>
                <w:p>
                  <w:pPr>
                    <w:keepNext w:val="0"/>
                    <w:keepLines w:val="0"/>
                    <w:widowControl/>
                    <w:numPr>
                      <w:ilvl w:val="0"/>
                      <w:numId w:val="0"/>
                    </w:numPr>
                    <w:suppressLineNumbers w:val="0"/>
                    <w:jc w:val="center"/>
                    <w:rPr>
                      <w:sz w:val="21"/>
                      <w:szCs w:val="21"/>
                    </w:rPr>
                  </w:pPr>
                </w:p>
              </w:tc>
              <w:tc>
                <w:tcPr>
                  <w:tcW w:w="1318" w:type="dxa"/>
                  <w:vAlign w:val="center"/>
                </w:tcPr>
                <w:p>
                  <w:pPr>
                    <w:keepNext w:val="0"/>
                    <w:keepLines w:val="0"/>
                    <w:widowControl/>
                    <w:numPr>
                      <w:ilvl w:val="0"/>
                      <w:numId w:val="0"/>
                    </w:numPr>
                    <w:suppressLineNumbers w:val="0"/>
                    <w:jc w:val="center"/>
                    <w:rPr>
                      <w:sz w:val="21"/>
                      <w:szCs w:val="21"/>
                    </w:rPr>
                  </w:pPr>
                </w:p>
              </w:tc>
              <w:tc>
                <w:tcPr>
                  <w:tcW w:w="1183" w:type="dxa"/>
                  <w:vAlign w:val="center"/>
                </w:tcPr>
                <w:p>
                  <w:pPr>
                    <w:keepNext w:val="0"/>
                    <w:keepLines w:val="0"/>
                    <w:widowControl/>
                    <w:numPr>
                      <w:ilvl w:val="0"/>
                      <w:numId w:val="0"/>
                    </w:numPr>
                    <w:suppressLineNumbers w:val="0"/>
                    <w:jc w:val="center"/>
                    <w:rPr>
                      <w:rFonts w:hint="eastAsia" w:eastAsia="宋体"/>
                      <w:sz w:val="21"/>
                      <w:szCs w:val="21"/>
                      <w:lang w:val="en-US" w:eastAsia="zh-CN"/>
                    </w:rPr>
                  </w:pPr>
                  <w:r>
                    <w:rPr>
                      <w:rFonts w:hint="eastAsia"/>
                      <w:sz w:val="21"/>
                      <w:szCs w:val="21"/>
                      <w:lang w:val="en-US" w:eastAsia="zh-CN"/>
                    </w:rPr>
                    <w:t>/</w:t>
                  </w:r>
                </w:p>
              </w:tc>
              <w:tc>
                <w:tcPr>
                  <w:tcW w:w="1795" w:type="dxa"/>
                  <w:vAlign w:val="center"/>
                </w:tcPr>
                <w:p>
                  <w:pPr>
                    <w:keepNext w:val="0"/>
                    <w:keepLines w:val="0"/>
                    <w:widowControl/>
                    <w:numPr>
                      <w:ilvl w:val="0"/>
                      <w:numId w:val="0"/>
                    </w:numPr>
                    <w:suppressLineNumbers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182" w:type="dxa"/>
                  <w:vMerge w:val="continue"/>
                  <w:vAlign w:val="center"/>
                </w:tcPr>
                <w:p>
                  <w:pPr>
                    <w:keepNext w:val="0"/>
                    <w:keepLines w:val="0"/>
                    <w:widowControl/>
                    <w:suppressLineNumbers w:val="0"/>
                    <w:jc w:val="center"/>
                    <w:rPr>
                      <w:sz w:val="21"/>
                      <w:szCs w:val="21"/>
                    </w:rPr>
                  </w:pPr>
                </w:p>
              </w:tc>
              <w:tc>
                <w:tcPr>
                  <w:tcW w:w="1215" w:type="dxa"/>
                  <w:vAlign w:val="center"/>
                </w:tcPr>
                <w:p>
                  <w:pPr>
                    <w:jc w:val="center"/>
                    <w:rPr>
                      <w:sz w:val="21"/>
                      <w:szCs w:val="21"/>
                      <w:vertAlign w:val="baseline"/>
                    </w:rPr>
                  </w:pPr>
                  <w:r>
                    <w:rPr>
                      <w:color w:val="000000"/>
                      <w:sz w:val="21"/>
                      <w:szCs w:val="21"/>
                    </w:rPr>
                    <w:t>汽车尾气</w:t>
                  </w:r>
                </w:p>
              </w:tc>
              <w:tc>
                <w:tcPr>
                  <w:tcW w:w="1242" w:type="dxa"/>
                  <w:vAlign w:val="center"/>
                </w:tcPr>
                <w:p>
                  <w:pPr>
                    <w:jc w:val="center"/>
                    <w:rPr>
                      <w:sz w:val="21"/>
                      <w:szCs w:val="21"/>
                      <w:vertAlign w:val="baseline"/>
                    </w:rPr>
                  </w:pPr>
                  <w:r>
                    <w:rPr>
                      <w:color w:val="000000"/>
                      <w:sz w:val="21"/>
                      <w:szCs w:val="21"/>
                    </w:rPr>
                    <w:t>NO</w:t>
                  </w:r>
                  <w:r>
                    <w:rPr>
                      <w:color w:val="000000"/>
                      <w:sz w:val="21"/>
                      <w:szCs w:val="21"/>
                      <w:vertAlign w:val="subscript"/>
                    </w:rPr>
                    <w:t>2</w:t>
                  </w:r>
                  <w:r>
                    <w:rPr>
                      <w:color w:val="000000"/>
                      <w:sz w:val="21"/>
                      <w:szCs w:val="21"/>
                    </w:rPr>
                    <w:t>、CO、THC</w:t>
                  </w:r>
                </w:p>
              </w:tc>
              <w:tc>
                <w:tcPr>
                  <w:tcW w:w="4296" w:type="dxa"/>
                  <w:gridSpan w:val="3"/>
                  <w:vAlign w:val="center"/>
                </w:tcPr>
                <w:p>
                  <w:pPr>
                    <w:keepNext w:val="0"/>
                    <w:keepLines w:val="0"/>
                    <w:widowControl/>
                    <w:suppressLineNumbers w:val="0"/>
                    <w:jc w:val="center"/>
                    <w:rPr>
                      <w:sz w:val="21"/>
                      <w:szCs w:val="21"/>
                      <w:vertAlign w:val="baseline"/>
                    </w:rPr>
                  </w:pPr>
                  <w:r>
                    <w:rPr>
                      <w:color w:val="000000"/>
                      <w:sz w:val="21"/>
                      <w:szCs w:val="21"/>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restart"/>
                  <w:vAlign w:val="center"/>
                </w:tcPr>
                <w:p>
                  <w:pPr>
                    <w:keepNext w:val="0"/>
                    <w:keepLines w:val="0"/>
                    <w:widowControl/>
                    <w:numPr>
                      <w:ilvl w:val="0"/>
                      <w:numId w:val="0"/>
                    </w:numPr>
                    <w:suppressLineNumbers w:val="0"/>
                    <w:jc w:val="center"/>
                    <w:rPr>
                      <w:sz w:val="21"/>
                      <w:szCs w:val="21"/>
                      <w:vertAlign w:val="baseline"/>
                    </w:rPr>
                  </w:pPr>
                  <w:r>
                    <w:rPr>
                      <w:sz w:val="21"/>
                      <w:szCs w:val="21"/>
                    </w:rPr>
                    <w:t>柴油发电机烟气</w:t>
                  </w:r>
                </w:p>
              </w:tc>
              <w:tc>
                <w:tcPr>
                  <w:tcW w:w="1242" w:type="dxa"/>
                  <w:vAlign w:val="center"/>
                </w:tcPr>
                <w:p>
                  <w:pPr>
                    <w:jc w:val="center"/>
                    <w:rPr>
                      <w:sz w:val="21"/>
                      <w:szCs w:val="21"/>
                      <w:vertAlign w:val="baseline"/>
                    </w:rPr>
                  </w:pPr>
                  <w:r>
                    <w:rPr>
                      <w:sz w:val="21"/>
                      <w:szCs w:val="21"/>
                    </w:rPr>
                    <w:t>SO</w:t>
                  </w:r>
                  <w:r>
                    <w:rPr>
                      <w:sz w:val="21"/>
                      <w:szCs w:val="21"/>
                      <w:vertAlign w:val="subscript"/>
                    </w:rPr>
                    <w:t>2</w:t>
                  </w:r>
                </w:p>
              </w:tc>
              <w:tc>
                <w:tcPr>
                  <w:tcW w:w="1318" w:type="dxa"/>
                  <w:vAlign w:val="center"/>
                </w:tcPr>
                <w:p>
                  <w:pPr>
                    <w:jc w:val="center"/>
                    <w:rPr>
                      <w:sz w:val="21"/>
                      <w:szCs w:val="21"/>
                      <w:vertAlign w:val="baseline"/>
                    </w:rPr>
                  </w:pPr>
                  <w:r>
                    <w:rPr>
                      <w:sz w:val="21"/>
                      <w:szCs w:val="21"/>
                    </w:rPr>
                    <w:t>317mg/m</w:t>
                  </w:r>
                  <w:r>
                    <w:rPr>
                      <w:sz w:val="21"/>
                      <w:szCs w:val="21"/>
                      <w:vertAlign w:val="superscript"/>
                    </w:rPr>
                    <w:t>3</w:t>
                  </w:r>
                  <w:r>
                    <w:rPr>
                      <w:sz w:val="21"/>
                      <w:szCs w:val="21"/>
                    </w:rPr>
                    <w:t>，0.00075t/a</w:t>
                  </w:r>
                </w:p>
              </w:tc>
              <w:tc>
                <w:tcPr>
                  <w:tcW w:w="1183" w:type="dxa"/>
                  <w:vMerge w:val="restart"/>
                  <w:vAlign w:val="center"/>
                </w:tcPr>
                <w:p>
                  <w:pPr>
                    <w:keepNext w:val="0"/>
                    <w:keepLines w:val="0"/>
                    <w:widowControl/>
                    <w:suppressLineNumbers w:val="0"/>
                    <w:jc w:val="center"/>
                    <w:rPr>
                      <w:rFonts w:hint="eastAsia" w:eastAsia="宋体"/>
                      <w:sz w:val="21"/>
                      <w:szCs w:val="21"/>
                      <w:vertAlign w:val="baseline"/>
                      <w:lang w:eastAsia="zh-CN"/>
                    </w:rPr>
                  </w:pPr>
                  <w:r>
                    <w:rPr>
                      <w:rFonts w:hint="eastAsia"/>
                      <w:sz w:val="21"/>
                      <w:szCs w:val="21"/>
                      <w:vertAlign w:val="baseline"/>
                      <w:lang w:eastAsia="zh-CN"/>
                    </w:rPr>
                    <w:t>自带消烟除尘设施</w:t>
                  </w:r>
                </w:p>
              </w:tc>
              <w:tc>
                <w:tcPr>
                  <w:tcW w:w="1795" w:type="dxa"/>
                  <w:vAlign w:val="center"/>
                </w:tcPr>
                <w:p>
                  <w:pPr>
                    <w:jc w:val="center"/>
                    <w:rPr>
                      <w:sz w:val="21"/>
                      <w:szCs w:val="21"/>
                      <w:vertAlign w:val="baseline"/>
                    </w:rPr>
                  </w:pPr>
                  <w:r>
                    <w:rPr>
                      <w:sz w:val="21"/>
                      <w:szCs w:val="21"/>
                    </w:rPr>
                    <w:t>317mg/m</w:t>
                  </w:r>
                  <w:r>
                    <w:rPr>
                      <w:sz w:val="21"/>
                      <w:szCs w:val="21"/>
                      <w:vertAlign w:val="superscript"/>
                    </w:rPr>
                    <w:t>3</w:t>
                  </w:r>
                  <w:r>
                    <w:rPr>
                      <w:sz w:val="21"/>
                      <w:szCs w:val="21"/>
                    </w:rPr>
                    <w:t>，0.00075t/a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2" w:type="dxa"/>
                  <w:vMerge w:val="continue"/>
                  <w:vAlign w:val="center"/>
                </w:tcPr>
                <w:p>
                  <w:pPr>
                    <w:keepNext w:val="0"/>
                    <w:keepLines w:val="0"/>
                    <w:widowControl/>
                    <w:suppressLineNumbers w:val="0"/>
                    <w:jc w:val="center"/>
                    <w:rPr>
                      <w:sz w:val="21"/>
                      <w:szCs w:val="21"/>
                    </w:rPr>
                  </w:pPr>
                </w:p>
              </w:tc>
              <w:tc>
                <w:tcPr>
                  <w:tcW w:w="1215" w:type="dxa"/>
                  <w:vMerge w:val="continue"/>
                  <w:vAlign w:val="center"/>
                </w:tcPr>
                <w:p>
                  <w:pPr>
                    <w:keepNext w:val="0"/>
                    <w:keepLines w:val="0"/>
                    <w:widowControl/>
                    <w:suppressLineNumbers w:val="0"/>
                    <w:jc w:val="center"/>
                    <w:rPr>
                      <w:sz w:val="21"/>
                      <w:szCs w:val="21"/>
                    </w:rPr>
                  </w:pPr>
                </w:p>
              </w:tc>
              <w:tc>
                <w:tcPr>
                  <w:tcW w:w="1242" w:type="dxa"/>
                  <w:vAlign w:val="center"/>
                </w:tcPr>
                <w:p>
                  <w:pPr>
                    <w:jc w:val="center"/>
                    <w:rPr>
                      <w:sz w:val="21"/>
                      <w:szCs w:val="21"/>
                      <w:vertAlign w:val="baseline"/>
                    </w:rPr>
                  </w:pPr>
                  <w:r>
                    <w:rPr>
                      <w:sz w:val="21"/>
                      <w:szCs w:val="21"/>
                    </w:rPr>
                    <w:t>NO</w:t>
                  </w:r>
                  <w:r>
                    <w:rPr>
                      <w:sz w:val="21"/>
                      <w:szCs w:val="21"/>
                      <w:vertAlign w:val="subscript"/>
                    </w:rPr>
                    <w:t>X</w:t>
                  </w:r>
                </w:p>
              </w:tc>
              <w:tc>
                <w:tcPr>
                  <w:tcW w:w="1318" w:type="dxa"/>
                  <w:vAlign w:val="center"/>
                </w:tcPr>
                <w:p>
                  <w:pPr>
                    <w:jc w:val="center"/>
                    <w:rPr>
                      <w:sz w:val="21"/>
                      <w:szCs w:val="21"/>
                      <w:vertAlign w:val="baseline"/>
                    </w:rPr>
                  </w:pPr>
                  <w:r>
                    <w:rPr>
                      <w:sz w:val="21"/>
                      <w:szCs w:val="21"/>
                    </w:rPr>
                    <w:t>207mg/m</w:t>
                  </w:r>
                  <w:r>
                    <w:rPr>
                      <w:sz w:val="21"/>
                      <w:szCs w:val="21"/>
                      <w:vertAlign w:val="superscript"/>
                    </w:rPr>
                    <w:t>3</w:t>
                  </w:r>
                  <w:r>
                    <w:rPr>
                      <w:sz w:val="21"/>
                      <w:szCs w:val="21"/>
                    </w:rPr>
                    <w:t>，0.00049t/a</w:t>
                  </w:r>
                </w:p>
              </w:tc>
              <w:tc>
                <w:tcPr>
                  <w:tcW w:w="1183" w:type="dxa"/>
                  <w:vMerge w:val="continue"/>
                  <w:vAlign w:val="center"/>
                </w:tcPr>
                <w:p>
                  <w:pPr>
                    <w:keepNext w:val="0"/>
                    <w:keepLines w:val="0"/>
                    <w:widowControl/>
                    <w:suppressLineNumbers w:val="0"/>
                    <w:jc w:val="center"/>
                    <w:rPr>
                      <w:sz w:val="21"/>
                      <w:szCs w:val="21"/>
                      <w:vertAlign w:val="baseline"/>
                    </w:rPr>
                  </w:pPr>
                </w:p>
              </w:tc>
              <w:tc>
                <w:tcPr>
                  <w:tcW w:w="1795" w:type="dxa"/>
                  <w:vAlign w:val="center"/>
                </w:tcPr>
                <w:p>
                  <w:pPr>
                    <w:jc w:val="center"/>
                    <w:rPr>
                      <w:sz w:val="21"/>
                      <w:szCs w:val="21"/>
                      <w:vertAlign w:val="baseline"/>
                    </w:rPr>
                  </w:pPr>
                  <w:r>
                    <w:rPr>
                      <w:sz w:val="21"/>
                      <w:szCs w:val="21"/>
                    </w:rPr>
                    <w:t>207mg/m</w:t>
                  </w:r>
                  <w:r>
                    <w:rPr>
                      <w:sz w:val="21"/>
                      <w:szCs w:val="21"/>
                      <w:vertAlign w:val="superscript"/>
                    </w:rPr>
                    <w:t>3</w:t>
                  </w:r>
                  <w:r>
                    <w:rPr>
                      <w:sz w:val="21"/>
                      <w:szCs w:val="21"/>
                    </w:rPr>
                    <w:t>，0.00049t/a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continue"/>
                  <w:vAlign w:val="center"/>
                </w:tcPr>
                <w:p>
                  <w:pPr>
                    <w:keepNext w:val="0"/>
                    <w:keepLines w:val="0"/>
                    <w:widowControl/>
                    <w:suppressLineNumbers w:val="0"/>
                    <w:jc w:val="center"/>
                    <w:rPr>
                      <w:sz w:val="21"/>
                      <w:szCs w:val="21"/>
                      <w:vertAlign w:val="baseline"/>
                    </w:rPr>
                  </w:pPr>
                </w:p>
              </w:tc>
              <w:tc>
                <w:tcPr>
                  <w:tcW w:w="1242" w:type="dxa"/>
                  <w:vAlign w:val="center"/>
                </w:tcPr>
                <w:p>
                  <w:pPr>
                    <w:jc w:val="center"/>
                    <w:rPr>
                      <w:sz w:val="21"/>
                      <w:szCs w:val="21"/>
                      <w:vertAlign w:val="baseline"/>
                    </w:rPr>
                  </w:pPr>
                  <w:r>
                    <w:rPr>
                      <w:sz w:val="21"/>
                      <w:szCs w:val="21"/>
                    </w:rPr>
                    <w:t>烟尘</w:t>
                  </w:r>
                </w:p>
              </w:tc>
              <w:tc>
                <w:tcPr>
                  <w:tcW w:w="1318" w:type="dxa"/>
                  <w:vAlign w:val="center"/>
                </w:tcPr>
                <w:p>
                  <w:pPr>
                    <w:jc w:val="center"/>
                    <w:rPr>
                      <w:sz w:val="21"/>
                      <w:szCs w:val="21"/>
                      <w:vertAlign w:val="baseline"/>
                    </w:rPr>
                  </w:pPr>
                  <w:r>
                    <w:rPr>
                      <w:sz w:val="21"/>
                      <w:szCs w:val="21"/>
                    </w:rPr>
                    <w:t>152mg/m</w:t>
                  </w:r>
                  <w:r>
                    <w:rPr>
                      <w:sz w:val="21"/>
                      <w:szCs w:val="21"/>
                      <w:vertAlign w:val="superscript"/>
                    </w:rPr>
                    <w:t>3</w:t>
                  </w:r>
                  <w:r>
                    <w:rPr>
                      <w:sz w:val="21"/>
                      <w:szCs w:val="21"/>
                    </w:rPr>
                    <w:t>，0.00036t/a</w:t>
                  </w:r>
                </w:p>
              </w:tc>
              <w:tc>
                <w:tcPr>
                  <w:tcW w:w="1183" w:type="dxa"/>
                  <w:vMerge w:val="continue"/>
                  <w:vAlign w:val="center"/>
                </w:tcPr>
                <w:p>
                  <w:pPr>
                    <w:keepNext w:val="0"/>
                    <w:keepLines w:val="0"/>
                    <w:widowControl/>
                    <w:suppressLineNumbers w:val="0"/>
                    <w:jc w:val="center"/>
                    <w:rPr>
                      <w:sz w:val="21"/>
                      <w:szCs w:val="21"/>
                      <w:vertAlign w:val="baseline"/>
                    </w:rPr>
                  </w:pPr>
                </w:p>
              </w:tc>
              <w:tc>
                <w:tcPr>
                  <w:tcW w:w="1795" w:type="dxa"/>
                  <w:vAlign w:val="center"/>
                </w:tcPr>
                <w:p>
                  <w:pPr>
                    <w:ind w:firstLine="210" w:firstLineChars="100"/>
                    <w:jc w:val="center"/>
                    <w:rPr>
                      <w:sz w:val="21"/>
                      <w:szCs w:val="21"/>
                      <w:vertAlign w:val="baseline"/>
                    </w:rPr>
                  </w:pPr>
                  <w:r>
                    <w:rPr>
                      <w:sz w:val="21"/>
                      <w:szCs w:val="21"/>
                    </w:rPr>
                    <w:t>30mg/m</w:t>
                  </w:r>
                  <w:r>
                    <w:rPr>
                      <w:sz w:val="21"/>
                      <w:szCs w:val="21"/>
                      <w:vertAlign w:val="superscript"/>
                    </w:rPr>
                    <w:t>3</w:t>
                  </w:r>
                  <w:r>
                    <w:rPr>
                      <w:sz w:val="21"/>
                      <w:szCs w:val="21"/>
                    </w:rPr>
                    <w:t>，</w:t>
                  </w:r>
                  <w:r>
                    <w:rPr>
                      <w:rFonts w:hint="eastAsia"/>
                      <w:sz w:val="21"/>
                      <w:szCs w:val="21"/>
                    </w:rPr>
                    <w:t xml:space="preserve"> </w:t>
                  </w:r>
                  <w:r>
                    <w:rPr>
                      <w:sz w:val="21"/>
                      <w:szCs w:val="21"/>
                    </w:rPr>
                    <w:t>0.000072t/a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2" w:type="dxa"/>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废水</w:t>
                  </w:r>
                </w:p>
              </w:tc>
              <w:tc>
                <w:tcPr>
                  <w:tcW w:w="1215" w:type="dxa"/>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生活废水</w:t>
                  </w:r>
                </w:p>
              </w:tc>
              <w:tc>
                <w:tcPr>
                  <w:tcW w:w="1242" w:type="dxa"/>
                  <w:vAlign w:val="center"/>
                </w:tcPr>
                <w:p>
                  <w:pPr>
                    <w:jc w:val="center"/>
                    <w:rPr>
                      <w:sz w:val="21"/>
                      <w:szCs w:val="21"/>
                      <w:vertAlign w:val="baseline"/>
                    </w:rPr>
                  </w:pPr>
                  <w:r>
                    <w:rPr>
                      <w:color w:val="000000"/>
                      <w:sz w:val="21"/>
                      <w:szCs w:val="21"/>
                    </w:rPr>
                    <w:t>COD</w:t>
                  </w:r>
                </w:p>
              </w:tc>
              <w:tc>
                <w:tcPr>
                  <w:tcW w:w="1318" w:type="dxa"/>
                  <w:vAlign w:val="center"/>
                </w:tcPr>
                <w:p>
                  <w:pPr>
                    <w:jc w:val="center"/>
                    <w:rPr>
                      <w:sz w:val="21"/>
                      <w:szCs w:val="21"/>
                      <w:vertAlign w:val="baseline"/>
                    </w:rPr>
                  </w:pPr>
                  <w:r>
                    <w:rPr>
                      <w:sz w:val="21"/>
                      <w:szCs w:val="21"/>
                      <w:lang w:val="fr-FR"/>
                    </w:rPr>
                    <w:t>250mg/L，0.</w:t>
                  </w:r>
                  <w:r>
                    <w:rPr>
                      <w:rFonts w:hint="eastAsia"/>
                      <w:sz w:val="21"/>
                      <w:szCs w:val="21"/>
                      <w:lang w:val="fr-FR"/>
                    </w:rPr>
                    <w:t>04</w:t>
                  </w:r>
                  <w:r>
                    <w:rPr>
                      <w:sz w:val="21"/>
                      <w:szCs w:val="21"/>
                      <w:lang w:val="fr-FR"/>
                    </w:rPr>
                    <w:t>t/a</w:t>
                  </w:r>
                </w:p>
              </w:tc>
              <w:tc>
                <w:tcPr>
                  <w:tcW w:w="1183" w:type="dxa"/>
                  <w:vMerge w:val="restart"/>
                  <w:vAlign w:val="center"/>
                </w:tcPr>
                <w:p>
                  <w:pPr>
                    <w:keepNext w:val="0"/>
                    <w:keepLines w:val="0"/>
                    <w:widowControl/>
                    <w:numPr>
                      <w:ilvl w:val="0"/>
                      <w:numId w:val="0"/>
                    </w:numPr>
                    <w:suppressLineNumbers w:val="0"/>
                    <w:jc w:val="center"/>
                    <w:rPr>
                      <w:rFonts w:hint="eastAsia"/>
                      <w:sz w:val="21"/>
                      <w:szCs w:val="21"/>
                      <w:vertAlign w:val="baseline"/>
                      <w:lang w:eastAsia="zh-CN"/>
                    </w:rPr>
                  </w:pPr>
                  <w:r>
                    <w:rPr>
                      <w:rFonts w:hint="eastAsia"/>
                      <w:sz w:val="21"/>
                      <w:szCs w:val="21"/>
                      <w:vertAlign w:val="baseline"/>
                      <w:lang w:eastAsia="zh-CN"/>
                    </w:rPr>
                    <w:t>生活废水经化粪池、地面冲洗废水经隔油池预处理以后进入市政管网</w:t>
                  </w:r>
                </w:p>
              </w:tc>
              <w:tc>
                <w:tcPr>
                  <w:tcW w:w="1795" w:type="dxa"/>
                  <w:vAlign w:val="center"/>
                </w:tcPr>
                <w:p>
                  <w:pPr>
                    <w:jc w:val="center"/>
                    <w:rPr>
                      <w:sz w:val="21"/>
                      <w:szCs w:val="21"/>
                      <w:vertAlign w:val="baseline"/>
                    </w:rPr>
                  </w:pPr>
                  <w:r>
                    <w:rPr>
                      <w:sz w:val="21"/>
                      <w:szCs w:val="21"/>
                      <w:lang w:val="fr-FR"/>
                    </w:rPr>
                    <w:t>COD :</w:t>
                  </w:r>
                  <w:r>
                    <w:rPr>
                      <w:rFonts w:hint="eastAsia"/>
                      <w:sz w:val="21"/>
                      <w:szCs w:val="21"/>
                      <w:lang w:val="fr-FR"/>
                    </w:rPr>
                    <w:t>150</w:t>
                  </w:r>
                  <w:r>
                    <w:rPr>
                      <w:sz w:val="21"/>
                      <w:szCs w:val="21"/>
                      <w:lang w:val="fr-FR"/>
                    </w:rPr>
                    <w:t>mg/L， 0.</w:t>
                  </w:r>
                  <w:r>
                    <w:rPr>
                      <w:rFonts w:hint="eastAsia"/>
                      <w:sz w:val="21"/>
                      <w:szCs w:val="21"/>
                      <w:lang w:val="fr-FR"/>
                    </w:rPr>
                    <w:t>02</w:t>
                  </w:r>
                  <w:r>
                    <w:rPr>
                      <w:sz w:val="21"/>
                      <w:szCs w:val="21"/>
                      <w:lang w:val="fr-FR"/>
                    </w:rPr>
                    <w:t>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2" w:type="dxa"/>
                  <w:vMerge w:val="continue"/>
                  <w:vAlign w:val="center"/>
                </w:tcPr>
                <w:p>
                  <w:pPr>
                    <w:keepNext w:val="0"/>
                    <w:keepLines w:val="0"/>
                    <w:widowControl/>
                    <w:suppressLineNumbers w:val="0"/>
                    <w:jc w:val="center"/>
                    <w:rPr>
                      <w:sz w:val="21"/>
                      <w:szCs w:val="21"/>
                    </w:rPr>
                  </w:pPr>
                </w:p>
              </w:tc>
              <w:tc>
                <w:tcPr>
                  <w:tcW w:w="1215" w:type="dxa"/>
                  <w:vMerge w:val="continue"/>
                  <w:vAlign w:val="center"/>
                </w:tcPr>
                <w:p>
                  <w:pPr>
                    <w:keepNext w:val="0"/>
                    <w:keepLines w:val="0"/>
                    <w:widowControl/>
                    <w:suppressLineNumbers w:val="0"/>
                    <w:jc w:val="center"/>
                    <w:rPr>
                      <w:sz w:val="21"/>
                      <w:szCs w:val="21"/>
                    </w:rPr>
                  </w:pPr>
                </w:p>
              </w:tc>
              <w:tc>
                <w:tcPr>
                  <w:tcW w:w="1242" w:type="dxa"/>
                  <w:vAlign w:val="center"/>
                </w:tcPr>
                <w:p>
                  <w:pPr>
                    <w:jc w:val="center"/>
                    <w:rPr>
                      <w:sz w:val="21"/>
                      <w:szCs w:val="21"/>
                      <w:vertAlign w:val="baseline"/>
                    </w:rPr>
                  </w:pPr>
                  <w:r>
                    <w:rPr>
                      <w:sz w:val="21"/>
                      <w:szCs w:val="21"/>
                    </w:rPr>
                    <w:t>BOD</w:t>
                  </w:r>
                  <w:r>
                    <w:rPr>
                      <w:sz w:val="21"/>
                      <w:szCs w:val="21"/>
                      <w:vertAlign w:val="subscript"/>
                    </w:rPr>
                    <w:t>5</w:t>
                  </w:r>
                </w:p>
              </w:tc>
              <w:tc>
                <w:tcPr>
                  <w:tcW w:w="1318" w:type="dxa"/>
                  <w:vAlign w:val="center"/>
                </w:tcPr>
                <w:p>
                  <w:pPr>
                    <w:jc w:val="center"/>
                    <w:rPr>
                      <w:sz w:val="21"/>
                      <w:szCs w:val="21"/>
                      <w:vertAlign w:val="baseline"/>
                    </w:rPr>
                  </w:pPr>
                  <w:r>
                    <w:rPr>
                      <w:sz w:val="21"/>
                      <w:szCs w:val="21"/>
                      <w:lang w:val="fr-FR"/>
                    </w:rPr>
                    <w:t>120 mg/L，0.</w:t>
                  </w:r>
                  <w:r>
                    <w:rPr>
                      <w:rFonts w:hint="eastAsia"/>
                      <w:sz w:val="21"/>
                      <w:szCs w:val="21"/>
                      <w:lang w:val="fr-FR"/>
                    </w:rPr>
                    <w:t>02</w:t>
                  </w:r>
                  <w:r>
                    <w:rPr>
                      <w:sz w:val="21"/>
                      <w:szCs w:val="21"/>
                      <w:lang w:val="fr-FR"/>
                    </w:rPr>
                    <w:t>t/a</w:t>
                  </w:r>
                </w:p>
              </w:tc>
              <w:tc>
                <w:tcPr>
                  <w:tcW w:w="1183" w:type="dxa"/>
                  <w:vMerge w:val="continue"/>
                  <w:vAlign w:val="center"/>
                </w:tcPr>
                <w:p>
                  <w:pPr>
                    <w:keepNext w:val="0"/>
                    <w:keepLines w:val="0"/>
                    <w:widowControl/>
                    <w:numPr>
                      <w:ilvl w:val="0"/>
                      <w:numId w:val="0"/>
                    </w:numPr>
                    <w:suppressLineNumbers w:val="0"/>
                    <w:jc w:val="center"/>
                    <w:rPr>
                      <w:sz w:val="21"/>
                      <w:szCs w:val="21"/>
                      <w:vertAlign w:val="baseline"/>
                    </w:rPr>
                  </w:pPr>
                </w:p>
              </w:tc>
              <w:tc>
                <w:tcPr>
                  <w:tcW w:w="1795" w:type="dxa"/>
                  <w:vAlign w:val="center"/>
                </w:tcPr>
                <w:p>
                  <w:pPr>
                    <w:jc w:val="center"/>
                    <w:rPr>
                      <w:sz w:val="21"/>
                      <w:szCs w:val="21"/>
                      <w:vertAlign w:val="baseline"/>
                    </w:rPr>
                  </w:pPr>
                  <w:r>
                    <w:rPr>
                      <w:sz w:val="21"/>
                      <w:szCs w:val="21"/>
                      <w:lang w:val="fr-FR"/>
                    </w:rPr>
                    <w:t>BOD</w:t>
                  </w:r>
                  <w:r>
                    <w:rPr>
                      <w:sz w:val="21"/>
                      <w:szCs w:val="21"/>
                      <w:vertAlign w:val="subscript"/>
                      <w:lang w:val="fr-FR"/>
                    </w:rPr>
                    <w:t>5 </w:t>
                  </w:r>
                  <w:r>
                    <w:rPr>
                      <w:sz w:val="21"/>
                      <w:szCs w:val="21"/>
                      <w:lang w:val="fr-FR"/>
                    </w:rPr>
                    <w:t>:</w:t>
                  </w:r>
                  <w:r>
                    <w:rPr>
                      <w:rFonts w:hint="eastAsia"/>
                      <w:sz w:val="21"/>
                      <w:szCs w:val="21"/>
                      <w:lang w:val="fr-FR"/>
                    </w:rPr>
                    <w:t>114</w:t>
                  </w:r>
                  <w:r>
                    <w:rPr>
                      <w:sz w:val="21"/>
                      <w:szCs w:val="21"/>
                      <w:lang w:val="fr-FR"/>
                    </w:rPr>
                    <w:t>mg/L， 0.</w:t>
                  </w:r>
                  <w:r>
                    <w:rPr>
                      <w:rFonts w:hint="eastAsia"/>
                      <w:sz w:val="21"/>
                      <w:szCs w:val="21"/>
                      <w:lang w:val="fr-FR"/>
                    </w:rPr>
                    <w:t>016</w:t>
                  </w:r>
                  <w:r>
                    <w:rPr>
                      <w:sz w:val="21"/>
                      <w:szCs w:val="21"/>
                      <w:lang w:val="fr-F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continue"/>
                  <w:vAlign w:val="center"/>
                </w:tcPr>
                <w:p>
                  <w:pPr>
                    <w:keepNext w:val="0"/>
                    <w:keepLines w:val="0"/>
                    <w:widowControl/>
                    <w:suppressLineNumbers w:val="0"/>
                    <w:jc w:val="center"/>
                    <w:rPr>
                      <w:sz w:val="21"/>
                      <w:szCs w:val="21"/>
                      <w:vertAlign w:val="baseline"/>
                    </w:rPr>
                  </w:pPr>
                </w:p>
              </w:tc>
              <w:tc>
                <w:tcPr>
                  <w:tcW w:w="1242" w:type="dxa"/>
                  <w:vAlign w:val="center"/>
                </w:tcPr>
                <w:p>
                  <w:pPr>
                    <w:jc w:val="center"/>
                    <w:rPr>
                      <w:sz w:val="21"/>
                      <w:szCs w:val="21"/>
                      <w:vertAlign w:val="baseline"/>
                    </w:rPr>
                  </w:pPr>
                  <w:r>
                    <w:rPr>
                      <w:sz w:val="21"/>
                      <w:szCs w:val="21"/>
                    </w:rPr>
                    <w:t>NH</w:t>
                  </w:r>
                  <w:r>
                    <w:rPr>
                      <w:sz w:val="21"/>
                      <w:szCs w:val="21"/>
                      <w:vertAlign w:val="subscript"/>
                    </w:rPr>
                    <w:t>3</w:t>
                  </w:r>
                  <w:r>
                    <w:rPr>
                      <w:sz w:val="21"/>
                      <w:szCs w:val="21"/>
                    </w:rPr>
                    <w:t>-N</w:t>
                  </w:r>
                </w:p>
              </w:tc>
              <w:tc>
                <w:tcPr>
                  <w:tcW w:w="1318" w:type="dxa"/>
                  <w:vAlign w:val="center"/>
                </w:tcPr>
                <w:p>
                  <w:pPr>
                    <w:jc w:val="center"/>
                    <w:rPr>
                      <w:sz w:val="21"/>
                      <w:szCs w:val="21"/>
                      <w:vertAlign w:val="baseline"/>
                    </w:rPr>
                  </w:pPr>
                  <w:r>
                    <w:rPr>
                      <w:sz w:val="21"/>
                      <w:szCs w:val="21"/>
                    </w:rPr>
                    <w:t>30</w:t>
                  </w:r>
                  <w:r>
                    <w:rPr>
                      <w:sz w:val="21"/>
                      <w:szCs w:val="21"/>
                      <w:lang w:val="fr-FR"/>
                    </w:rPr>
                    <w:t xml:space="preserve"> mg/L，0.0</w:t>
                  </w:r>
                  <w:r>
                    <w:rPr>
                      <w:rFonts w:hint="eastAsia"/>
                      <w:sz w:val="21"/>
                      <w:szCs w:val="21"/>
                      <w:lang w:val="fr-FR"/>
                    </w:rPr>
                    <w:t>04</w:t>
                  </w:r>
                  <w:r>
                    <w:rPr>
                      <w:sz w:val="21"/>
                      <w:szCs w:val="21"/>
                      <w:lang w:val="fr-FR"/>
                    </w:rPr>
                    <w:t>t/a</w:t>
                  </w:r>
                </w:p>
              </w:tc>
              <w:tc>
                <w:tcPr>
                  <w:tcW w:w="1183" w:type="dxa"/>
                  <w:vMerge w:val="continue"/>
                  <w:vAlign w:val="center"/>
                </w:tcPr>
                <w:p>
                  <w:pPr>
                    <w:keepNext w:val="0"/>
                    <w:keepLines w:val="0"/>
                    <w:widowControl/>
                    <w:numPr>
                      <w:ilvl w:val="0"/>
                      <w:numId w:val="0"/>
                    </w:numPr>
                    <w:suppressLineNumbers w:val="0"/>
                    <w:jc w:val="center"/>
                    <w:rPr>
                      <w:sz w:val="21"/>
                      <w:szCs w:val="21"/>
                      <w:vertAlign w:val="baseline"/>
                    </w:rPr>
                  </w:pPr>
                </w:p>
              </w:tc>
              <w:tc>
                <w:tcPr>
                  <w:tcW w:w="1795" w:type="dxa"/>
                  <w:vAlign w:val="center"/>
                </w:tcPr>
                <w:p>
                  <w:pPr>
                    <w:jc w:val="center"/>
                    <w:rPr>
                      <w:sz w:val="21"/>
                      <w:szCs w:val="21"/>
                      <w:vertAlign w:val="baseline"/>
                    </w:rPr>
                  </w:pPr>
                  <w:r>
                    <w:rPr>
                      <w:sz w:val="21"/>
                      <w:szCs w:val="21"/>
                      <w:lang w:val="fr-FR"/>
                    </w:rPr>
                    <w:t>NH</w:t>
                  </w:r>
                  <w:r>
                    <w:rPr>
                      <w:sz w:val="21"/>
                      <w:szCs w:val="21"/>
                      <w:vertAlign w:val="subscript"/>
                      <w:lang w:val="fr-FR"/>
                    </w:rPr>
                    <w:t>3</w:t>
                  </w:r>
                  <w:r>
                    <w:rPr>
                      <w:sz w:val="21"/>
                      <w:szCs w:val="21"/>
                      <w:lang w:val="fr-FR"/>
                    </w:rPr>
                    <w:t>-N :</w:t>
                  </w:r>
                  <w:r>
                    <w:rPr>
                      <w:rFonts w:hint="eastAsia"/>
                      <w:sz w:val="21"/>
                      <w:szCs w:val="21"/>
                      <w:lang w:val="fr-FR"/>
                    </w:rPr>
                    <w:t>29</w:t>
                  </w:r>
                  <w:r>
                    <w:rPr>
                      <w:sz w:val="21"/>
                      <w:szCs w:val="21"/>
                      <w:lang w:val="fr-FR"/>
                    </w:rPr>
                    <w:t>mg/L， 0.0</w:t>
                  </w:r>
                  <w:r>
                    <w:rPr>
                      <w:rFonts w:hint="eastAsia"/>
                      <w:sz w:val="21"/>
                      <w:szCs w:val="21"/>
                      <w:lang w:val="fr-FR"/>
                    </w:rPr>
                    <w:t>04</w:t>
                  </w:r>
                  <w:r>
                    <w:rPr>
                      <w:sz w:val="21"/>
                      <w:szCs w:val="21"/>
                      <w:lang w:val="fr-F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continue"/>
                  <w:vAlign w:val="center"/>
                </w:tcPr>
                <w:p>
                  <w:pPr>
                    <w:keepNext w:val="0"/>
                    <w:keepLines w:val="0"/>
                    <w:widowControl/>
                    <w:suppressLineNumbers w:val="0"/>
                    <w:jc w:val="center"/>
                    <w:rPr>
                      <w:sz w:val="21"/>
                      <w:szCs w:val="21"/>
                      <w:vertAlign w:val="baseline"/>
                    </w:rPr>
                  </w:pPr>
                </w:p>
              </w:tc>
              <w:tc>
                <w:tcPr>
                  <w:tcW w:w="1242" w:type="dxa"/>
                  <w:vAlign w:val="center"/>
                </w:tcPr>
                <w:p>
                  <w:pPr>
                    <w:jc w:val="center"/>
                    <w:rPr>
                      <w:sz w:val="21"/>
                      <w:szCs w:val="21"/>
                      <w:vertAlign w:val="baseline"/>
                    </w:rPr>
                  </w:pPr>
                  <w:r>
                    <w:rPr>
                      <w:rFonts w:hint="eastAsia"/>
                      <w:color w:val="000000"/>
                      <w:sz w:val="21"/>
                      <w:szCs w:val="21"/>
                    </w:rPr>
                    <w:t>SS</w:t>
                  </w:r>
                </w:p>
              </w:tc>
              <w:tc>
                <w:tcPr>
                  <w:tcW w:w="1318" w:type="dxa"/>
                  <w:vAlign w:val="center"/>
                </w:tcPr>
                <w:p>
                  <w:pPr>
                    <w:jc w:val="center"/>
                    <w:rPr>
                      <w:sz w:val="21"/>
                      <w:szCs w:val="21"/>
                      <w:vertAlign w:val="baseline"/>
                    </w:rPr>
                  </w:pPr>
                  <w:r>
                    <w:rPr>
                      <w:sz w:val="21"/>
                      <w:szCs w:val="21"/>
                      <w:lang w:val="fr-FR"/>
                    </w:rPr>
                    <w:t>200 mg/L，0.</w:t>
                  </w:r>
                  <w:r>
                    <w:rPr>
                      <w:rFonts w:hint="eastAsia"/>
                      <w:sz w:val="21"/>
                      <w:szCs w:val="21"/>
                      <w:lang w:val="fr-FR"/>
                    </w:rPr>
                    <w:t>03</w:t>
                  </w:r>
                  <w:r>
                    <w:rPr>
                      <w:sz w:val="21"/>
                      <w:szCs w:val="21"/>
                      <w:lang w:val="fr-FR"/>
                    </w:rPr>
                    <w:t>t/a</w:t>
                  </w:r>
                </w:p>
              </w:tc>
              <w:tc>
                <w:tcPr>
                  <w:tcW w:w="1183" w:type="dxa"/>
                  <w:vMerge w:val="continue"/>
                  <w:vAlign w:val="center"/>
                </w:tcPr>
                <w:p>
                  <w:pPr>
                    <w:keepNext w:val="0"/>
                    <w:keepLines w:val="0"/>
                    <w:widowControl/>
                    <w:numPr>
                      <w:ilvl w:val="0"/>
                      <w:numId w:val="0"/>
                    </w:numPr>
                    <w:suppressLineNumbers w:val="0"/>
                    <w:jc w:val="center"/>
                    <w:rPr>
                      <w:sz w:val="21"/>
                      <w:szCs w:val="21"/>
                      <w:vertAlign w:val="baseline"/>
                    </w:rPr>
                  </w:pPr>
                </w:p>
              </w:tc>
              <w:tc>
                <w:tcPr>
                  <w:tcW w:w="1795" w:type="dxa"/>
                  <w:vAlign w:val="center"/>
                </w:tcPr>
                <w:p>
                  <w:pPr>
                    <w:ind w:firstLine="210" w:firstLineChars="100"/>
                    <w:jc w:val="center"/>
                    <w:rPr>
                      <w:sz w:val="21"/>
                      <w:szCs w:val="21"/>
                      <w:vertAlign w:val="baseline"/>
                    </w:rPr>
                  </w:pPr>
                  <w:r>
                    <w:rPr>
                      <w:sz w:val="21"/>
                      <w:szCs w:val="21"/>
                      <w:lang w:val="fr-FR"/>
                    </w:rPr>
                    <w:t>SS：</w:t>
                  </w:r>
                  <w:r>
                    <w:rPr>
                      <w:rFonts w:hint="eastAsia"/>
                      <w:sz w:val="21"/>
                      <w:szCs w:val="21"/>
                      <w:lang w:val="fr-FR"/>
                    </w:rPr>
                    <w:t>80</w:t>
                  </w:r>
                  <w:r>
                    <w:rPr>
                      <w:sz w:val="21"/>
                      <w:szCs w:val="21"/>
                      <w:lang w:val="fr-FR"/>
                    </w:rPr>
                    <w:t>mg/L， 0.</w:t>
                  </w:r>
                  <w:r>
                    <w:rPr>
                      <w:rFonts w:hint="eastAsia"/>
                      <w:sz w:val="21"/>
                      <w:szCs w:val="21"/>
                      <w:lang w:val="fr-FR"/>
                    </w:rPr>
                    <w:t>011</w:t>
                  </w:r>
                  <w:r>
                    <w:rPr>
                      <w:sz w:val="21"/>
                      <w:szCs w:val="21"/>
                      <w:lang w:val="fr-F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2" w:type="dxa"/>
                  <w:vMerge w:val="continue"/>
                  <w:vAlign w:val="center"/>
                </w:tcPr>
                <w:p>
                  <w:pPr>
                    <w:keepNext w:val="0"/>
                    <w:keepLines w:val="0"/>
                    <w:widowControl/>
                    <w:suppressLineNumbers w:val="0"/>
                    <w:jc w:val="center"/>
                    <w:rPr>
                      <w:sz w:val="21"/>
                      <w:szCs w:val="21"/>
                    </w:rPr>
                  </w:pPr>
                </w:p>
              </w:tc>
              <w:tc>
                <w:tcPr>
                  <w:tcW w:w="1215" w:type="dxa"/>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地面冲洗废水</w:t>
                  </w:r>
                </w:p>
              </w:tc>
              <w:tc>
                <w:tcPr>
                  <w:tcW w:w="1242" w:type="dxa"/>
                  <w:vAlign w:val="center"/>
                </w:tcPr>
                <w:p>
                  <w:pPr>
                    <w:jc w:val="center"/>
                    <w:rPr>
                      <w:sz w:val="21"/>
                      <w:szCs w:val="21"/>
                      <w:vertAlign w:val="baseline"/>
                    </w:rPr>
                  </w:pPr>
                  <w:r>
                    <w:rPr>
                      <w:color w:val="000000"/>
                      <w:sz w:val="21"/>
                      <w:szCs w:val="21"/>
                    </w:rPr>
                    <w:t>SS</w:t>
                  </w:r>
                </w:p>
              </w:tc>
              <w:tc>
                <w:tcPr>
                  <w:tcW w:w="1318" w:type="dxa"/>
                  <w:vAlign w:val="center"/>
                </w:tcPr>
                <w:p>
                  <w:pPr>
                    <w:jc w:val="center"/>
                    <w:rPr>
                      <w:sz w:val="21"/>
                      <w:szCs w:val="21"/>
                      <w:vertAlign w:val="baseline"/>
                    </w:rPr>
                  </w:pPr>
                  <w:r>
                    <w:rPr>
                      <w:color w:val="000000"/>
                      <w:sz w:val="21"/>
                      <w:szCs w:val="21"/>
                      <w:lang w:val="de-DE"/>
                    </w:rPr>
                    <w:t>180</w:t>
                  </w:r>
                  <w:r>
                    <w:rPr>
                      <w:sz w:val="21"/>
                      <w:szCs w:val="21"/>
                      <w:lang w:val="fr-FR"/>
                    </w:rPr>
                    <w:t xml:space="preserve"> mg/L，0.0</w:t>
                  </w:r>
                  <w:r>
                    <w:rPr>
                      <w:rFonts w:hint="eastAsia"/>
                      <w:sz w:val="21"/>
                      <w:szCs w:val="21"/>
                      <w:lang w:val="fr-FR"/>
                    </w:rPr>
                    <w:t>14</w:t>
                  </w:r>
                  <w:r>
                    <w:rPr>
                      <w:sz w:val="21"/>
                      <w:szCs w:val="21"/>
                      <w:lang w:val="fr-FR"/>
                    </w:rPr>
                    <w:t>t/a</w:t>
                  </w:r>
                </w:p>
              </w:tc>
              <w:tc>
                <w:tcPr>
                  <w:tcW w:w="1183" w:type="dxa"/>
                  <w:vMerge w:val="continue"/>
                  <w:vAlign w:val="center"/>
                </w:tcPr>
                <w:p>
                  <w:pPr>
                    <w:keepNext w:val="0"/>
                    <w:keepLines w:val="0"/>
                    <w:widowControl/>
                    <w:suppressLineNumbers w:val="0"/>
                    <w:jc w:val="center"/>
                    <w:rPr>
                      <w:sz w:val="21"/>
                      <w:szCs w:val="21"/>
                      <w:vertAlign w:val="baseline"/>
                    </w:rPr>
                  </w:pPr>
                </w:p>
              </w:tc>
              <w:tc>
                <w:tcPr>
                  <w:tcW w:w="1795" w:type="dxa"/>
                  <w:vAlign w:val="center"/>
                </w:tcPr>
                <w:p>
                  <w:pPr>
                    <w:ind w:firstLine="210" w:firstLineChars="100"/>
                    <w:jc w:val="center"/>
                    <w:rPr>
                      <w:sz w:val="21"/>
                      <w:szCs w:val="21"/>
                      <w:vertAlign w:val="baseline"/>
                    </w:rPr>
                  </w:pPr>
                  <w:r>
                    <w:rPr>
                      <w:sz w:val="21"/>
                      <w:szCs w:val="21"/>
                      <w:lang w:val="fr-FR"/>
                    </w:rPr>
                    <w:t>SS：</w:t>
                  </w:r>
                  <w:r>
                    <w:rPr>
                      <w:rFonts w:hint="eastAsia"/>
                      <w:sz w:val="21"/>
                      <w:szCs w:val="21"/>
                      <w:lang w:val="fr-FR"/>
                    </w:rPr>
                    <w:t>80</w:t>
                  </w:r>
                  <w:r>
                    <w:rPr>
                      <w:sz w:val="21"/>
                      <w:szCs w:val="21"/>
                      <w:lang w:val="fr-FR"/>
                    </w:rPr>
                    <w:t>mg/L， 0.</w:t>
                  </w:r>
                  <w:r>
                    <w:rPr>
                      <w:rFonts w:hint="eastAsia"/>
                      <w:sz w:val="21"/>
                      <w:szCs w:val="21"/>
                      <w:lang w:val="fr-FR"/>
                    </w:rPr>
                    <w:t>011</w:t>
                  </w:r>
                  <w:r>
                    <w:rPr>
                      <w:sz w:val="21"/>
                      <w:szCs w:val="21"/>
                      <w:lang w:val="fr-FR"/>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2" w:type="dxa"/>
                  <w:vMerge w:val="continue"/>
                  <w:vAlign w:val="center"/>
                </w:tcPr>
                <w:p>
                  <w:pPr>
                    <w:keepNext w:val="0"/>
                    <w:keepLines w:val="0"/>
                    <w:widowControl/>
                    <w:suppressLineNumbers w:val="0"/>
                    <w:jc w:val="center"/>
                    <w:rPr>
                      <w:sz w:val="21"/>
                      <w:szCs w:val="21"/>
                    </w:rPr>
                  </w:pPr>
                </w:p>
              </w:tc>
              <w:tc>
                <w:tcPr>
                  <w:tcW w:w="1215" w:type="dxa"/>
                  <w:vMerge w:val="continue"/>
                  <w:vAlign w:val="center"/>
                </w:tcPr>
                <w:p>
                  <w:pPr>
                    <w:keepNext w:val="0"/>
                    <w:keepLines w:val="0"/>
                    <w:widowControl/>
                    <w:suppressLineNumbers w:val="0"/>
                    <w:jc w:val="center"/>
                    <w:rPr>
                      <w:sz w:val="21"/>
                      <w:szCs w:val="21"/>
                    </w:rPr>
                  </w:pPr>
                </w:p>
              </w:tc>
              <w:tc>
                <w:tcPr>
                  <w:tcW w:w="1242" w:type="dxa"/>
                  <w:vAlign w:val="center"/>
                </w:tcPr>
                <w:p>
                  <w:pPr>
                    <w:jc w:val="center"/>
                    <w:rPr>
                      <w:sz w:val="21"/>
                      <w:szCs w:val="21"/>
                      <w:vertAlign w:val="baseline"/>
                    </w:rPr>
                  </w:pPr>
                  <w:r>
                    <w:rPr>
                      <w:color w:val="000000"/>
                      <w:sz w:val="21"/>
                      <w:szCs w:val="21"/>
                    </w:rPr>
                    <w:t>石油类</w:t>
                  </w:r>
                </w:p>
              </w:tc>
              <w:tc>
                <w:tcPr>
                  <w:tcW w:w="1318" w:type="dxa"/>
                  <w:vAlign w:val="center"/>
                </w:tcPr>
                <w:p>
                  <w:pPr>
                    <w:jc w:val="center"/>
                    <w:rPr>
                      <w:sz w:val="21"/>
                      <w:szCs w:val="21"/>
                      <w:vertAlign w:val="baseline"/>
                    </w:rPr>
                  </w:pPr>
                  <w:r>
                    <w:rPr>
                      <w:color w:val="000000"/>
                      <w:sz w:val="21"/>
                      <w:szCs w:val="21"/>
                      <w:lang w:val="de-DE"/>
                    </w:rPr>
                    <w:t>30</w:t>
                  </w:r>
                  <w:r>
                    <w:rPr>
                      <w:sz w:val="21"/>
                      <w:szCs w:val="21"/>
                      <w:lang w:val="fr-FR"/>
                    </w:rPr>
                    <w:t xml:space="preserve"> mg/L，0.00</w:t>
                  </w:r>
                  <w:r>
                    <w:rPr>
                      <w:rFonts w:hint="eastAsia"/>
                      <w:sz w:val="21"/>
                      <w:szCs w:val="21"/>
                      <w:lang w:val="fr-FR"/>
                    </w:rPr>
                    <w:t>2t</w:t>
                  </w:r>
                  <w:r>
                    <w:rPr>
                      <w:sz w:val="21"/>
                      <w:szCs w:val="21"/>
                      <w:lang w:val="fr-FR"/>
                    </w:rPr>
                    <w:t>/a</w:t>
                  </w:r>
                </w:p>
              </w:tc>
              <w:tc>
                <w:tcPr>
                  <w:tcW w:w="1183" w:type="dxa"/>
                  <w:vMerge w:val="continue"/>
                  <w:vAlign w:val="center"/>
                </w:tcPr>
                <w:p>
                  <w:pPr>
                    <w:keepNext w:val="0"/>
                    <w:keepLines w:val="0"/>
                    <w:widowControl/>
                    <w:suppressLineNumbers w:val="0"/>
                    <w:jc w:val="center"/>
                    <w:rPr>
                      <w:sz w:val="21"/>
                      <w:szCs w:val="21"/>
                      <w:vertAlign w:val="baseline"/>
                    </w:rPr>
                  </w:pPr>
                </w:p>
              </w:tc>
              <w:tc>
                <w:tcPr>
                  <w:tcW w:w="1795" w:type="dxa"/>
                  <w:vAlign w:val="center"/>
                </w:tcPr>
                <w:p>
                  <w:pPr>
                    <w:spacing w:line="360" w:lineRule="auto"/>
                    <w:jc w:val="center"/>
                    <w:rPr>
                      <w:sz w:val="21"/>
                      <w:szCs w:val="21"/>
                      <w:vertAlign w:val="baseline"/>
                    </w:rPr>
                  </w:pPr>
                  <w:r>
                    <w:rPr>
                      <w:sz w:val="21"/>
                      <w:szCs w:val="21"/>
                      <w:lang w:val="fr-FR"/>
                    </w:rPr>
                    <w:t>石油类：9.5mg/L， 0.031t/a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82" w:type="dxa"/>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固废</w:t>
                  </w:r>
                </w:p>
              </w:tc>
              <w:tc>
                <w:tcPr>
                  <w:tcW w:w="1215" w:type="dxa"/>
                  <w:vMerge w:val="restart"/>
                  <w:vAlign w:val="center"/>
                </w:tcPr>
                <w:p>
                  <w:pPr>
                    <w:keepNext w:val="0"/>
                    <w:keepLines w:val="0"/>
                    <w:widowControl/>
                    <w:numPr>
                      <w:ilvl w:val="0"/>
                      <w:numId w:val="0"/>
                    </w:numPr>
                    <w:suppressLineNumbers w:val="0"/>
                    <w:jc w:val="center"/>
                    <w:rPr>
                      <w:sz w:val="21"/>
                      <w:szCs w:val="21"/>
                      <w:vertAlign w:val="baseline"/>
                    </w:rPr>
                  </w:pPr>
                </w:p>
              </w:tc>
              <w:tc>
                <w:tcPr>
                  <w:tcW w:w="1242" w:type="dxa"/>
                  <w:vAlign w:val="center"/>
                </w:tcPr>
                <w:p>
                  <w:pPr>
                    <w:jc w:val="center"/>
                    <w:rPr>
                      <w:sz w:val="21"/>
                      <w:szCs w:val="21"/>
                      <w:vertAlign w:val="baseline"/>
                    </w:rPr>
                  </w:pPr>
                  <w:r>
                    <w:rPr>
                      <w:color w:val="000000"/>
                      <w:sz w:val="21"/>
                      <w:szCs w:val="21"/>
                    </w:rPr>
                    <w:t>生活垃圾</w:t>
                  </w:r>
                </w:p>
              </w:tc>
              <w:tc>
                <w:tcPr>
                  <w:tcW w:w="1318" w:type="dxa"/>
                  <w:vAlign w:val="center"/>
                </w:tcPr>
                <w:p>
                  <w:pPr>
                    <w:jc w:val="center"/>
                    <w:rPr>
                      <w:sz w:val="21"/>
                      <w:szCs w:val="21"/>
                      <w:vertAlign w:val="baseline"/>
                    </w:rPr>
                  </w:pPr>
                  <w:r>
                    <w:rPr>
                      <w:color w:val="000000"/>
                      <w:sz w:val="21"/>
                      <w:szCs w:val="21"/>
                    </w:rPr>
                    <w:t>1.06t/a</w:t>
                  </w:r>
                </w:p>
              </w:tc>
              <w:tc>
                <w:tcPr>
                  <w:tcW w:w="2978" w:type="dxa"/>
                  <w:gridSpan w:val="2"/>
                  <w:vMerge w:val="restart"/>
                  <w:vAlign w:val="center"/>
                </w:tcPr>
                <w:p>
                  <w:pPr>
                    <w:keepNext w:val="0"/>
                    <w:keepLines w:val="0"/>
                    <w:widowControl/>
                    <w:numPr>
                      <w:ilvl w:val="0"/>
                      <w:numId w:val="0"/>
                    </w:numPr>
                    <w:suppressLineNumbers w:val="0"/>
                    <w:jc w:val="center"/>
                    <w:rPr>
                      <w:rFonts w:hint="eastAsia" w:eastAsia="宋体"/>
                      <w:sz w:val="21"/>
                      <w:szCs w:val="21"/>
                      <w:vertAlign w:val="baseline"/>
                      <w:lang w:eastAsia="zh-CN"/>
                    </w:rPr>
                  </w:pPr>
                  <w:r>
                    <w:rPr>
                      <w:rFonts w:hint="eastAsia"/>
                      <w:sz w:val="21"/>
                      <w:szCs w:val="21"/>
                      <w:vertAlign w:val="baseline"/>
                      <w:lang w:eastAsia="zh-CN"/>
                    </w:rPr>
                    <w:t>生活垃圾由环卫部门统一收集处理；危险废物</w:t>
                  </w:r>
                  <w:r>
                    <w:rPr>
                      <w:color w:val="000000"/>
                      <w:sz w:val="21"/>
                      <w:szCs w:val="21"/>
                    </w:rPr>
                    <w:t>暂存</w:t>
                  </w:r>
                  <w:r>
                    <w:rPr>
                      <w:rFonts w:hint="eastAsia"/>
                      <w:color w:val="000000"/>
                      <w:sz w:val="21"/>
                      <w:szCs w:val="21"/>
                      <w:lang w:eastAsia="zh-CN"/>
                    </w:rPr>
                    <w:t>危废间</w:t>
                  </w:r>
                  <w:r>
                    <w:rPr>
                      <w:color w:val="000000"/>
                      <w:sz w:val="21"/>
                      <w:szCs w:val="21"/>
                    </w:rPr>
                    <w:t>，交有资质单位处理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82" w:type="dxa"/>
                  <w:vMerge w:val="continue"/>
                  <w:vAlign w:val="center"/>
                </w:tcPr>
                <w:p>
                  <w:pPr>
                    <w:keepNext w:val="0"/>
                    <w:keepLines w:val="0"/>
                    <w:widowControl/>
                    <w:suppressLineNumbers w:val="0"/>
                    <w:jc w:val="center"/>
                    <w:rPr>
                      <w:sz w:val="21"/>
                      <w:szCs w:val="21"/>
                    </w:rPr>
                  </w:pPr>
                </w:p>
              </w:tc>
              <w:tc>
                <w:tcPr>
                  <w:tcW w:w="1215" w:type="dxa"/>
                  <w:vMerge w:val="continue"/>
                  <w:vAlign w:val="center"/>
                </w:tcPr>
                <w:p>
                  <w:pPr>
                    <w:keepNext w:val="0"/>
                    <w:keepLines w:val="0"/>
                    <w:widowControl/>
                    <w:suppressLineNumbers w:val="0"/>
                    <w:jc w:val="center"/>
                    <w:rPr>
                      <w:sz w:val="21"/>
                      <w:szCs w:val="21"/>
                    </w:rPr>
                  </w:pPr>
                </w:p>
              </w:tc>
              <w:tc>
                <w:tcPr>
                  <w:tcW w:w="1242" w:type="dxa"/>
                  <w:vAlign w:val="center"/>
                </w:tcPr>
                <w:p>
                  <w:pPr>
                    <w:jc w:val="center"/>
                    <w:rPr>
                      <w:sz w:val="21"/>
                      <w:szCs w:val="21"/>
                      <w:vertAlign w:val="baseline"/>
                    </w:rPr>
                  </w:pPr>
                  <w:r>
                    <w:rPr>
                      <w:color w:val="000000"/>
                      <w:sz w:val="21"/>
                      <w:szCs w:val="21"/>
                    </w:rPr>
                    <w:t>废过滤芯</w:t>
                  </w:r>
                </w:p>
              </w:tc>
              <w:tc>
                <w:tcPr>
                  <w:tcW w:w="1318" w:type="dxa"/>
                  <w:vAlign w:val="center"/>
                </w:tcPr>
                <w:p>
                  <w:pPr>
                    <w:jc w:val="center"/>
                    <w:rPr>
                      <w:sz w:val="21"/>
                      <w:szCs w:val="21"/>
                      <w:vertAlign w:val="baseline"/>
                    </w:rPr>
                  </w:pPr>
                  <w:r>
                    <w:rPr>
                      <w:color w:val="000000"/>
                      <w:sz w:val="21"/>
                      <w:szCs w:val="21"/>
                    </w:rPr>
                    <w:t>4kg</w:t>
                  </w:r>
                </w:p>
              </w:tc>
              <w:tc>
                <w:tcPr>
                  <w:tcW w:w="2978" w:type="dxa"/>
                  <w:gridSpan w:val="2"/>
                  <w:vMerge w:val="continue"/>
                  <w:vAlign w:val="center"/>
                </w:tcPr>
                <w:p>
                  <w:pPr>
                    <w:keepNext w:val="0"/>
                    <w:keepLines w:val="0"/>
                    <w:widowControl/>
                    <w:numPr>
                      <w:ilvl w:val="0"/>
                      <w:numId w:val="0"/>
                    </w:numPr>
                    <w:suppressLineNumbers w:val="0"/>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continue"/>
                  <w:vAlign w:val="center"/>
                </w:tcPr>
                <w:p>
                  <w:pPr>
                    <w:keepNext w:val="0"/>
                    <w:keepLines w:val="0"/>
                    <w:widowControl/>
                    <w:suppressLineNumbers w:val="0"/>
                    <w:jc w:val="center"/>
                    <w:rPr>
                      <w:sz w:val="21"/>
                      <w:szCs w:val="21"/>
                      <w:vertAlign w:val="baseline"/>
                    </w:rPr>
                  </w:pPr>
                </w:p>
              </w:tc>
              <w:tc>
                <w:tcPr>
                  <w:tcW w:w="1242" w:type="dxa"/>
                  <w:vAlign w:val="center"/>
                </w:tcPr>
                <w:p>
                  <w:pPr>
                    <w:jc w:val="center"/>
                    <w:rPr>
                      <w:sz w:val="21"/>
                      <w:szCs w:val="21"/>
                      <w:vertAlign w:val="baseline"/>
                    </w:rPr>
                  </w:pPr>
                  <w:r>
                    <w:rPr>
                      <w:color w:val="000000"/>
                      <w:sz w:val="21"/>
                      <w:szCs w:val="21"/>
                    </w:rPr>
                    <w:t>油罐底渣</w:t>
                  </w:r>
                </w:p>
              </w:tc>
              <w:tc>
                <w:tcPr>
                  <w:tcW w:w="1318" w:type="dxa"/>
                  <w:vAlign w:val="center"/>
                </w:tcPr>
                <w:p>
                  <w:pPr>
                    <w:jc w:val="center"/>
                    <w:rPr>
                      <w:sz w:val="21"/>
                      <w:szCs w:val="21"/>
                      <w:vertAlign w:val="baseline"/>
                    </w:rPr>
                  </w:pPr>
                  <w:r>
                    <w:rPr>
                      <w:color w:val="000000"/>
                      <w:kern w:val="0"/>
                      <w:sz w:val="21"/>
                      <w:szCs w:val="21"/>
                    </w:rPr>
                    <w:t>6t/次</w:t>
                  </w:r>
                </w:p>
              </w:tc>
              <w:tc>
                <w:tcPr>
                  <w:tcW w:w="2978" w:type="dxa"/>
                  <w:gridSpan w:val="2"/>
                  <w:vMerge w:val="continue"/>
                  <w:vAlign w:val="center"/>
                </w:tcPr>
                <w:p>
                  <w:pPr>
                    <w:keepNext w:val="0"/>
                    <w:keepLines w:val="0"/>
                    <w:widowControl/>
                    <w:numPr>
                      <w:ilvl w:val="0"/>
                      <w:numId w:val="0"/>
                    </w:numPr>
                    <w:suppressLineNumbers w:val="0"/>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82" w:type="dxa"/>
                  <w:vMerge w:val="continue"/>
                  <w:vAlign w:val="center"/>
                </w:tcPr>
                <w:p>
                  <w:pPr>
                    <w:keepNext w:val="0"/>
                    <w:keepLines w:val="0"/>
                    <w:widowControl/>
                    <w:suppressLineNumbers w:val="0"/>
                    <w:jc w:val="center"/>
                    <w:rPr>
                      <w:sz w:val="21"/>
                      <w:szCs w:val="21"/>
                      <w:vertAlign w:val="baseline"/>
                    </w:rPr>
                  </w:pPr>
                </w:p>
              </w:tc>
              <w:tc>
                <w:tcPr>
                  <w:tcW w:w="1215" w:type="dxa"/>
                  <w:vMerge w:val="continue"/>
                  <w:vAlign w:val="center"/>
                </w:tcPr>
                <w:p>
                  <w:pPr>
                    <w:keepNext w:val="0"/>
                    <w:keepLines w:val="0"/>
                    <w:widowControl/>
                    <w:suppressLineNumbers w:val="0"/>
                    <w:jc w:val="center"/>
                    <w:rPr>
                      <w:sz w:val="21"/>
                      <w:szCs w:val="21"/>
                      <w:vertAlign w:val="baseline"/>
                    </w:rPr>
                  </w:pPr>
                </w:p>
              </w:tc>
              <w:tc>
                <w:tcPr>
                  <w:tcW w:w="1242" w:type="dxa"/>
                  <w:vAlign w:val="center"/>
                </w:tcPr>
                <w:p>
                  <w:pPr>
                    <w:jc w:val="center"/>
                    <w:rPr>
                      <w:sz w:val="21"/>
                      <w:szCs w:val="21"/>
                      <w:vertAlign w:val="baseline"/>
                    </w:rPr>
                  </w:pPr>
                  <w:r>
                    <w:rPr>
                      <w:color w:val="000000"/>
                      <w:kern w:val="0"/>
                      <w:sz w:val="21"/>
                      <w:szCs w:val="21"/>
                    </w:rPr>
                    <w:t>隔油沉淀池油泥</w:t>
                  </w:r>
                </w:p>
              </w:tc>
              <w:tc>
                <w:tcPr>
                  <w:tcW w:w="1318" w:type="dxa"/>
                  <w:vAlign w:val="center"/>
                </w:tcPr>
                <w:p>
                  <w:pPr>
                    <w:jc w:val="center"/>
                    <w:rPr>
                      <w:sz w:val="21"/>
                      <w:szCs w:val="21"/>
                      <w:vertAlign w:val="baseline"/>
                    </w:rPr>
                  </w:pPr>
                  <w:r>
                    <w:rPr>
                      <w:color w:val="000000"/>
                      <w:kern w:val="0"/>
                      <w:sz w:val="21"/>
                      <w:szCs w:val="21"/>
                    </w:rPr>
                    <w:t>0.005t/a</w:t>
                  </w:r>
                </w:p>
              </w:tc>
              <w:tc>
                <w:tcPr>
                  <w:tcW w:w="2978" w:type="dxa"/>
                  <w:gridSpan w:val="2"/>
                  <w:vMerge w:val="continue"/>
                  <w:vAlign w:val="center"/>
                </w:tcPr>
                <w:p>
                  <w:pPr>
                    <w:keepNext w:val="0"/>
                    <w:keepLines w:val="0"/>
                    <w:widowControl/>
                    <w:numPr>
                      <w:ilvl w:val="0"/>
                      <w:numId w:val="0"/>
                    </w:numPr>
                    <w:suppressLineNumbers w:val="0"/>
                    <w:jc w:val="center"/>
                    <w:rPr>
                      <w:sz w:val="21"/>
                      <w:szCs w:val="21"/>
                      <w:vertAlign w:val="baseline"/>
                    </w:rPr>
                  </w:pPr>
                </w:p>
              </w:tc>
            </w:tr>
          </w:tbl>
          <w:p>
            <w:pPr>
              <w:keepNext w:val="0"/>
              <w:keepLines w:val="0"/>
              <w:widowControl/>
              <w:numPr>
                <w:ilvl w:val="0"/>
                <w:numId w:val="0"/>
              </w:numPr>
              <w:suppressLineNumbers w:val="0"/>
              <w:jc w:val="left"/>
              <w:rPr>
                <w:sz w:val="21"/>
                <w:szCs w:val="21"/>
              </w:rPr>
            </w:pPr>
            <w:r>
              <w:rPr>
                <w:rFonts w:hint="eastAsia" w:ascii="Times New Roman" w:hAnsi="Times New Roman" w:eastAsia="宋体" w:cs="Times New Roman"/>
                <w:b/>
                <w:bCs/>
                <w:color w:val="000000"/>
                <w:kern w:val="0"/>
                <w:sz w:val="21"/>
                <w:szCs w:val="21"/>
                <w:lang w:val="en-US" w:eastAsia="zh-CN" w:bidi="ar"/>
              </w:rPr>
              <w:t xml:space="preserve"> </w:t>
            </w:r>
            <w:r>
              <w:rPr>
                <w:rFonts w:hint="eastAsia" w:ascii="Times New Roman" w:hAnsi="Times New Roman" w:eastAsia="宋体" w:cs="Times New Roman"/>
                <w:b w:val="0"/>
                <w:bCs w:val="0"/>
                <w:color w:val="000000"/>
                <w:kern w:val="0"/>
                <w:sz w:val="21"/>
                <w:szCs w:val="21"/>
                <w:lang w:val="en-US" w:eastAsia="zh-CN" w:bidi="ar"/>
              </w:rPr>
              <w:t xml:space="preserve">    </w:t>
            </w:r>
          </w:p>
          <w:p>
            <w:pPr>
              <w:keepNext w:val="0"/>
              <w:keepLines w:val="0"/>
              <w:widowControl/>
              <w:numPr>
                <w:ilvl w:val="0"/>
                <w:numId w:val="1"/>
              </w:numPr>
              <w:suppressLineNumbers w:val="0"/>
              <w:jc w:val="left"/>
              <w:rPr>
                <w:sz w:val="21"/>
                <w:szCs w:val="21"/>
              </w:rPr>
            </w:pPr>
            <w:r>
              <w:rPr>
                <w:rFonts w:hint="eastAsia" w:ascii="宋体" w:hAnsi="宋体" w:eastAsia="宋体" w:cs="宋体"/>
                <w:b/>
                <w:bCs/>
                <w:color w:val="000000"/>
                <w:kern w:val="0"/>
                <w:sz w:val="21"/>
                <w:szCs w:val="21"/>
                <w:lang w:val="en-US" w:eastAsia="zh-CN" w:bidi="ar"/>
              </w:rPr>
              <w:t>现有工程处理措施及达标情况分析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eastAsia="宋体"/>
                <w:b/>
                <w:bCs/>
                <w:color w:val="000000"/>
                <w:lang w:val="en-US" w:eastAsia="zh-CN"/>
              </w:rPr>
            </w:pPr>
            <w:r>
              <w:rPr>
                <w:rFonts w:hint="eastAsia"/>
                <w:b/>
                <w:bCs/>
                <w:color w:val="000000"/>
                <w:lang w:eastAsia="zh-CN"/>
              </w:rPr>
              <w:t>（</w:t>
            </w:r>
            <w:r>
              <w:rPr>
                <w:rFonts w:hint="eastAsia"/>
                <w:b/>
                <w:bCs/>
                <w:color w:val="000000"/>
                <w:lang w:val="en-US" w:eastAsia="zh-CN"/>
              </w:rPr>
              <w:t>1</w:t>
            </w:r>
            <w:r>
              <w:rPr>
                <w:rFonts w:hint="eastAsia"/>
                <w:b/>
                <w:bCs/>
                <w:color w:val="000000"/>
                <w:lang w:eastAsia="zh-CN"/>
              </w:rPr>
              <w:t>）</w:t>
            </w:r>
            <w:r>
              <w:rPr>
                <w:rFonts w:hint="eastAsia"/>
                <w:b/>
                <w:bCs/>
                <w:color w:val="000000"/>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b/>
                <w:bCs/>
              </w:rPr>
            </w:pPr>
            <w:r>
              <w:rPr>
                <w:rFonts w:hint="eastAsia"/>
                <w:b w:val="0"/>
                <w:bCs w:val="0"/>
                <w:color w:val="000000"/>
              </w:rPr>
              <w:t>现有工程运营期</w:t>
            </w:r>
            <w:r>
              <w:rPr>
                <w:rFonts w:hint="eastAsia"/>
                <w:b w:val="0"/>
                <w:bCs w:val="0"/>
                <w:color w:val="000000"/>
                <w:lang w:val="en-US" w:eastAsia="zh-CN"/>
              </w:rPr>
              <w:t>主要采取卸油油气回收系统和加油油气回收系统对废气进行处理。建设单位委托长沙崇德检测科技有限公司于2023年10月23日对加油站油气回收系统进行了现场检测。工程废气监测结果如下表</w:t>
            </w:r>
          </w:p>
          <w:p>
            <w:pPr>
              <w:jc w:val="center"/>
              <w:rPr>
                <w:rFonts w:hint="default"/>
                <w:b/>
                <w:bCs/>
              </w:rPr>
            </w:pPr>
            <w:r>
              <w:rPr>
                <w:rFonts w:hint="default"/>
                <w:b/>
                <w:bCs/>
              </w:rPr>
              <w:t xml:space="preserve">表 </w:t>
            </w:r>
            <w:r>
              <w:rPr>
                <w:rFonts w:hint="eastAsia"/>
                <w:b/>
                <w:bCs/>
                <w:lang w:val="en-US" w:eastAsia="zh-CN"/>
              </w:rPr>
              <w:t xml:space="preserve">2-12 </w:t>
            </w:r>
            <w:r>
              <w:rPr>
                <w:rFonts w:hint="default"/>
                <w:b/>
                <w:bCs/>
              </w:rPr>
              <w:t>液阻检测结果</w:t>
            </w:r>
          </w:p>
          <w:p>
            <w:pPr>
              <w:rPr>
                <w:rFonts w:hint="default"/>
              </w:rPr>
            </w:pPr>
          </w:p>
          <w:tbl>
            <w:tblPr>
              <w:tblStyle w:val="1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8"/>
              <w:gridCol w:w="2080"/>
              <w:gridCol w:w="1447"/>
              <w:gridCol w:w="1420"/>
              <w:gridCol w:w="1442"/>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07" w:type="pct"/>
                  <w:vMerge w:val="restart"/>
                  <w:tcBorders>
                    <w:left w:val="nil"/>
                    <w:bottom w:val="nil"/>
                  </w:tcBorders>
                  <w:vAlign w:val="center"/>
                </w:tcPr>
                <w:p>
                  <w:pPr>
                    <w:jc w:val="center"/>
                    <w:rPr>
                      <w:rFonts w:hint="default"/>
                      <w:b/>
                      <w:bCs/>
                    </w:rPr>
                  </w:pPr>
                  <w:r>
                    <w:rPr>
                      <w:rFonts w:hint="default"/>
                      <w:b/>
                      <w:bCs/>
                    </w:rPr>
                    <w:t>加油机编号</w:t>
                  </w:r>
                </w:p>
              </w:tc>
              <w:tc>
                <w:tcPr>
                  <w:tcW w:w="1236" w:type="pct"/>
                  <w:vMerge w:val="restart"/>
                  <w:tcBorders>
                    <w:bottom w:val="nil"/>
                  </w:tcBorders>
                  <w:vAlign w:val="center"/>
                </w:tcPr>
                <w:p>
                  <w:pPr>
                    <w:jc w:val="center"/>
                    <w:rPr>
                      <w:rFonts w:hint="default"/>
                      <w:b/>
                      <w:bCs/>
                    </w:rPr>
                  </w:pPr>
                  <w:r>
                    <w:rPr>
                      <w:rFonts w:hint="default"/>
                      <w:b/>
                      <w:bCs/>
                    </w:rPr>
                    <w:t>汽油标号</w:t>
                  </w:r>
                </w:p>
              </w:tc>
              <w:tc>
                <w:tcPr>
                  <w:tcW w:w="2561" w:type="pct"/>
                  <w:gridSpan w:val="3"/>
                  <w:vAlign w:val="center"/>
                </w:tcPr>
                <w:p>
                  <w:pPr>
                    <w:jc w:val="center"/>
                    <w:rPr>
                      <w:rFonts w:hint="default"/>
                      <w:b/>
                      <w:bCs/>
                    </w:rPr>
                  </w:pPr>
                  <w:r>
                    <w:rPr>
                      <w:rFonts w:hint="default"/>
                      <w:b/>
                      <w:bCs/>
                    </w:rPr>
                    <w:t>液阻压力(Pa)</w:t>
                  </w:r>
                </w:p>
              </w:tc>
              <w:tc>
                <w:tcPr>
                  <w:tcW w:w="395" w:type="pct"/>
                  <w:vMerge w:val="restart"/>
                  <w:tcBorders>
                    <w:bottom w:val="nil"/>
                    <w:right w:val="nil"/>
                  </w:tcBorders>
                  <w:vAlign w:val="center"/>
                </w:tcPr>
                <w:p>
                  <w:pPr>
                    <w:jc w:val="center"/>
                    <w:rPr>
                      <w:rFonts w:hint="default"/>
                    </w:rPr>
                  </w:pPr>
                </w:p>
                <w:p>
                  <w:pPr>
                    <w:jc w:val="center"/>
                    <w:rPr>
                      <w:rFonts w:hint="default"/>
                      <w:b/>
                      <w:bCs/>
                    </w:rPr>
                  </w:pPr>
                  <w:r>
                    <w:rPr>
                      <w:rFonts w:hint="default"/>
                      <w:b/>
                      <w:bCs/>
                    </w:rPr>
                    <w:t>是否</w:t>
                  </w:r>
                </w:p>
                <w:p>
                  <w:pPr>
                    <w:jc w:val="center"/>
                    <w:rPr>
                      <w:rFonts w:hint="default"/>
                    </w:rPr>
                  </w:pPr>
                  <w:r>
                    <w:rPr>
                      <w:rFonts w:hint="default"/>
                      <w:b/>
                      <w:bCs/>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07" w:type="pct"/>
                  <w:vMerge w:val="continue"/>
                  <w:tcBorders>
                    <w:top w:val="nil"/>
                    <w:left w:val="nil"/>
                  </w:tcBorders>
                  <w:vAlign w:val="center"/>
                </w:tcPr>
                <w:p>
                  <w:pPr>
                    <w:jc w:val="center"/>
                    <w:rPr>
                      <w:rFonts w:hint="default"/>
                    </w:rPr>
                  </w:pPr>
                </w:p>
              </w:tc>
              <w:tc>
                <w:tcPr>
                  <w:tcW w:w="1236" w:type="pct"/>
                  <w:vMerge w:val="continue"/>
                  <w:tcBorders>
                    <w:top w:val="nil"/>
                  </w:tcBorders>
                  <w:vAlign w:val="center"/>
                </w:tcPr>
                <w:p>
                  <w:pPr>
                    <w:jc w:val="center"/>
                    <w:rPr>
                      <w:rFonts w:hint="default"/>
                    </w:rPr>
                  </w:pPr>
                </w:p>
              </w:tc>
              <w:tc>
                <w:tcPr>
                  <w:tcW w:w="860" w:type="pct"/>
                  <w:vAlign w:val="center"/>
                </w:tcPr>
                <w:p>
                  <w:pPr>
                    <w:jc w:val="center"/>
                    <w:rPr>
                      <w:rFonts w:hint="default"/>
                      <w:b/>
                      <w:bCs/>
                    </w:rPr>
                  </w:pPr>
                  <w:r>
                    <w:rPr>
                      <w:rFonts w:hint="default"/>
                      <w:b/>
                      <w:bCs/>
                    </w:rPr>
                    <w:t>18.0L/min</w:t>
                  </w:r>
                </w:p>
              </w:tc>
              <w:tc>
                <w:tcPr>
                  <w:tcW w:w="844" w:type="pct"/>
                  <w:vAlign w:val="center"/>
                </w:tcPr>
                <w:p>
                  <w:pPr>
                    <w:jc w:val="center"/>
                    <w:rPr>
                      <w:rFonts w:hint="default"/>
                      <w:b/>
                      <w:bCs/>
                    </w:rPr>
                  </w:pPr>
                  <w:r>
                    <w:rPr>
                      <w:rFonts w:hint="default"/>
                      <w:b/>
                      <w:bCs/>
                    </w:rPr>
                    <w:t>28.0L/min</w:t>
                  </w:r>
                </w:p>
              </w:tc>
              <w:tc>
                <w:tcPr>
                  <w:tcW w:w="857" w:type="pct"/>
                  <w:vAlign w:val="center"/>
                </w:tcPr>
                <w:p>
                  <w:pPr>
                    <w:jc w:val="center"/>
                    <w:rPr>
                      <w:rFonts w:hint="default"/>
                      <w:b/>
                      <w:bCs/>
                    </w:rPr>
                  </w:pPr>
                  <w:r>
                    <w:rPr>
                      <w:rFonts w:hint="default"/>
                      <w:b/>
                      <w:bCs/>
                    </w:rPr>
                    <w:t>38.0L/min</w:t>
                  </w:r>
                </w:p>
              </w:tc>
              <w:tc>
                <w:tcPr>
                  <w:tcW w:w="395" w:type="pct"/>
                  <w:vMerge w:val="continue"/>
                  <w:tcBorders>
                    <w:top w:val="nil"/>
                    <w:bottom w:val="nil"/>
                    <w:right w:val="nil"/>
                  </w:tcBorders>
                  <w:vAlign w:val="center"/>
                </w:tcPr>
                <w:p>
                  <w:pPr>
                    <w:jc w:val="center"/>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043" w:type="pct"/>
                  <w:gridSpan w:val="2"/>
                  <w:tcBorders>
                    <w:left w:val="nil"/>
                  </w:tcBorders>
                  <w:vAlign w:val="center"/>
                </w:tcPr>
                <w:p>
                  <w:pPr>
                    <w:jc w:val="center"/>
                    <w:rPr>
                      <w:rFonts w:hint="default"/>
                    </w:rPr>
                  </w:pPr>
                  <w:r>
                    <w:rPr>
                      <w:rFonts w:hint="default"/>
                    </w:rPr>
                    <w:t>《加油站大气污染物排放标准》</w:t>
                  </w:r>
                </w:p>
                <w:p>
                  <w:pPr>
                    <w:jc w:val="center"/>
                    <w:rPr>
                      <w:rFonts w:hint="default"/>
                    </w:rPr>
                  </w:pPr>
                  <w:r>
                    <w:rPr>
                      <w:rFonts w:hint="default"/>
                    </w:rPr>
                    <w:t>(GB20952-2020)液阻最大压力限值</w:t>
                  </w:r>
                </w:p>
              </w:tc>
              <w:tc>
                <w:tcPr>
                  <w:tcW w:w="860" w:type="pct"/>
                  <w:vAlign w:val="center"/>
                </w:tcPr>
                <w:p>
                  <w:pPr>
                    <w:jc w:val="center"/>
                    <w:rPr>
                      <w:rFonts w:hint="default"/>
                    </w:rPr>
                  </w:pPr>
                  <w:r>
                    <w:rPr>
                      <w:rFonts w:hint="default"/>
                    </w:rPr>
                    <w:t>40</w:t>
                  </w:r>
                </w:p>
              </w:tc>
              <w:tc>
                <w:tcPr>
                  <w:tcW w:w="844" w:type="pct"/>
                  <w:vAlign w:val="center"/>
                </w:tcPr>
                <w:p>
                  <w:pPr>
                    <w:jc w:val="center"/>
                    <w:rPr>
                      <w:rFonts w:hint="default"/>
                    </w:rPr>
                  </w:pPr>
                  <w:r>
                    <w:rPr>
                      <w:rFonts w:hint="default"/>
                    </w:rPr>
                    <w:t>90</w:t>
                  </w:r>
                </w:p>
              </w:tc>
              <w:tc>
                <w:tcPr>
                  <w:tcW w:w="857" w:type="pct"/>
                  <w:vAlign w:val="center"/>
                </w:tcPr>
                <w:p>
                  <w:pPr>
                    <w:jc w:val="center"/>
                    <w:rPr>
                      <w:rFonts w:hint="default"/>
                    </w:rPr>
                  </w:pPr>
                  <w:r>
                    <w:rPr>
                      <w:rFonts w:hint="default"/>
                    </w:rPr>
                    <w:t>155</w:t>
                  </w:r>
                </w:p>
              </w:tc>
              <w:tc>
                <w:tcPr>
                  <w:tcW w:w="395" w:type="pct"/>
                  <w:vMerge w:val="continue"/>
                  <w:tcBorders>
                    <w:top w:val="nil"/>
                    <w:right w:val="nil"/>
                  </w:tcBorders>
                  <w:vAlign w:val="center"/>
                </w:tcPr>
                <w:p>
                  <w:pPr>
                    <w:jc w:val="center"/>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07" w:type="pct"/>
                  <w:tcBorders>
                    <w:left w:val="nil"/>
                  </w:tcBorders>
                  <w:vAlign w:val="center"/>
                </w:tcPr>
                <w:p>
                  <w:pPr>
                    <w:jc w:val="center"/>
                    <w:rPr>
                      <w:rFonts w:hint="default"/>
                    </w:rPr>
                  </w:pPr>
                  <w:r>
                    <w:rPr>
                      <w:rFonts w:hint="default"/>
                    </w:rPr>
                    <w:t>2</w:t>
                  </w:r>
                </w:p>
              </w:tc>
              <w:tc>
                <w:tcPr>
                  <w:tcW w:w="1236" w:type="pct"/>
                  <w:vAlign w:val="center"/>
                </w:tcPr>
                <w:p>
                  <w:pPr>
                    <w:jc w:val="center"/>
                    <w:rPr>
                      <w:rFonts w:hint="default"/>
                    </w:rPr>
                  </w:pPr>
                  <w:r>
                    <w:rPr>
                      <w:rFonts w:hint="default"/>
                    </w:rPr>
                    <w:t>92#</w:t>
                  </w:r>
                </w:p>
              </w:tc>
              <w:tc>
                <w:tcPr>
                  <w:tcW w:w="860" w:type="pct"/>
                  <w:vAlign w:val="center"/>
                </w:tcPr>
                <w:p>
                  <w:pPr>
                    <w:jc w:val="center"/>
                    <w:rPr>
                      <w:rFonts w:hint="default"/>
                    </w:rPr>
                  </w:pPr>
                  <w:r>
                    <w:rPr>
                      <w:rFonts w:hint="default"/>
                    </w:rPr>
                    <w:t>0</w:t>
                  </w:r>
                </w:p>
              </w:tc>
              <w:tc>
                <w:tcPr>
                  <w:tcW w:w="844" w:type="pct"/>
                  <w:vAlign w:val="center"/>
                </w:tcPr>
                <w:p>
                  <w:pPr>
                    <w:jc w:val="center"/>
                    <w:rPr>
                      <w:rFonts w:hint="default"/>
                    </w:rPr>
                  </w:pPr>
                  <w:r>
                    <w:rPr>
                      <w:rFonts w:hint="default"/>
                    </w:rPr>
                    <w:t>11</w:t>
                  </w:r>
                </w:p>
              </w:tc>
              <w:tc>
                <w:tcPr>
                  <w:tcW w:w="857" w:type="pct"/>
                  <w:vAlign w:val="center"/>
                </w:tcPr>
                <w:p>
                  <w:pPr>
                    <w:jc w:val="center"/>
                    <w:rPr>
                      <w:rFonts w:hint="default"/>
                    </w:rPr>
                  </w:pPr>
                  <w:r>
                    <w:rPr>
                      <w:rFonts w:hint="default"/>
                    </w:rPr>
                    <w:t>17</w:t>
                  </w:r>
                </w:p>
              </w:tc>
              <w:tc>
                <w:tcPr>
                  <w:tcW w:w="395"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07" w:type="pct"/>
                  <w:tcBorders>
                    <w:left w:val="nil"/>
                  </w:tcBorders>
                  <w:vAlign w:val="center"/>
                </w:tcPr>
                <w:p>
                  <w:pPr>
                    <w:jc w:val="center"/>
                    <w:rPr>
                      <w:rFonts w:hint="default"/>
                    </w:rPr>
                  </w:pPr>
                  <w:r>
                    <w:rPr>
                      <w:rFonts w:hint="default"/>
                    </w:rPr>
                    <w:t>3</w:t>
                  </w:r>
                </w:p>
              </w:tc>
              <w:tc>
                <w:tcPr>
                  <w:tcW w:w="1236" w:type="pct"/>
                  <w:vAlign w:val="center"/>
                </w:tcPr>
                <w:p>
                  <w:pPr>
                    <w:jc w:val="center"/>
                    <w:rPr>
                      <w:rFonts w:hint="default"/>
                    </w:rPr>
                  </w:pPr>
                  <w:r>
                    <w:rPr>
                      <w:rFonts w:hint="default"/>
                    </w:rPr>
                    <w:t>95#</w:t>
                  </w:r>
                </w:p>
              </w:tc>
              <w:tc>
                <w:tcPr>
                  <w:tcW w:w="860" w:type="pct"/>
                  <w:vAlign w:val="center"/>
                </w:tcPr>
                <w:p>
                  <w:pPr>
                    <w:jc w:val="center"/>
                    <w:rPr>
                      <w:rFonts w:hint="default"/>
                    </w:rPr>
                  </w:pPr>
                  <w:r>
                    <w:rPr>
                      <w:rFonts w:hint="default"/>
                    </w:rPr>
                    <w:t>0</w:t>
                  </w:r>
                </w:p>
              </w:tc>
              <w:tc>
                <w:tcPr>
                  <w:tcW w:w="844" w:type="pct"/>
                  <w:vAlign w:val="center"/>
                </w:tcPr>
                <w:p>
                  <w:pPr>
                    <w:jc w:val="center"/>
                    <w:rPr>
                      <w:rFonts w:hint="default"/>
                    </w:rPr>
                  </w:pPr>
                  <w:r>
                    <w:rPr>
                      <w:rFonts w:hint="default"/>
                    </w:rPr>
                    <w:t>12</w:t>
                  </w:r>
                </w:p>
              </w:tc>
              <w:tc>
                <w:tcPr>
                  <w:tcW w:w="857" w:type="pct"/>
                  <w:vAlign w:val="center"/>
                </w:tcPr>
                <w:p>
                  <w:pPr>
                    <w:jc w:val="center"/>
                    <w:rPr>
                      <w:rFonts w:hint="default"/>
                    </w:rPr>
                  </w:pPr>
                  <w:r>
                    <w:rPr>
                      <w:rFonts w:hint="default"/>
                    </w:rPr>
                    <w:t>19</w:t>
                  </w:r>
                </w:p>
              </w:tc>
              <w:tc>
                <w:tcPr>
                  <w:tcW w:w="395"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07" w:type="pct"/>
                  <w:tcBorders>
                    <w:left w:val="nil"/>
                  </w:tcBorders>
                  <w:vAlign w:val="center"/>
                </w:tcPr>
                <w:p>
                  <w:pPr>
                    <w:jc w:val="center"/>
                    <w:rPr>
                      <w:rFonts w:hint="default"/>
                    </w:rPr>
                  </w:pPr>
                  <w:r>
                    <w:rPr>
                      <w:rFonts w:hint="default"/>
                    </w:rPr>
                    <w:t>4</w:t>
                  </w:r>
                </w:p>
              </w:tc>
              <w:tc>
                <w:tcPr>
                  <w:tcW w:w="1236" w:type="pct"/>
                  <w:vAlign w:val="center"/>
                </w:tcPr>
                <w:p>
                  <w:pPr>
                    <w:jc w:val="center"/>
                    <w:rPr>
                      <w:rFonts w:hint="default"/>
                    </w:rPr>
                  </w:pPr>
                  <w:r>
                    <w:rPr>
                      <w:rFonts w:hint="default"/>
                    </w:rPr>
                    <w:t>92#、98#</w:t>
                  </w:r>
                </w:p>
              </w:tc>
              <w:tc>
                <w:tcPr>
                  <w:tcW w:w="860" w:type="pct"/>
                  <w:vAlign w:val="center"/>
                </w:tcPr>
                <w:p>
                  <w:pPr>
                    <w:jc w:val="center"/>
                    <w:rPr>
                      <w:rFonts w:hint="default"/>
                    </w:rPr>
                  </w:pPr>
                  <w:r>
                    <w:rPr>
                      <w:rFonts w:hint="default"/>
                    </w:rPr>
                    <w:t>0</w:t>
                  </w:r>
                </w:p>
              </w:tc>
              <w:tc>
                <w:tcPr>
                  <w:tcW w:w="844" w:type="pct"/>
                  <w:vAlign w:val="center"/>
                </w:tcPr>
                <w:p>
                  <w:pPr>
                    <w:jc w:val="center"/>
                    <w:rPr>
                      <w:rFonts w:hint="default"/>
                    </w:rPr>
                  </w:pPr>
                  <w:r>
                    <w:rPr>
                      <w:rFonts w:hint="default"/>
                    </w:rPr>
                    <w:t>20</w:t>
                  </w:r>
                </w:p>
              </w:tc>
              <w:tc>
                <w:tcPr>
                  <w:tcW w:w="857" w:type="pct"/>
                  <w:vAlign w:val="center"/>
                </w:tcPr>
                <w:p>
                  <w:pPr>
                    <w:jc w:val="center"/>
                    <w:rPr>
                      <w:rFonts w:hint="default"/>
                    </w:rPr>
                  </w:pPr>
                  <w:r>
                    <w:rPr>
                      <w:rFonts w:hint="default"/>
                    </w:rPr>
                    <w:t>24</w:t>
                  </w:r>
                </w:p>
              </w:tc>
              <w:tc>
                <w:tcPr>
                  <w:tcW w:w="395" w:type="pct"/>
                  <w:tcBorders>
                    <w:right w:val="nil"/>
                  </w:tcBorders>
                  <w:vAlign w:val="center"/>
                </w:tcPr>
                <w:p>
                  <w:pPr>
                    <w:jc w:val="center"/>
                    <w:rPr>
                      <w:rFonts w:hint="default"/>
                    </w:rPr>
                  </w:pPr>
                  <w:r>
                    <w:rPr>
                      <w:rFonts w:hint="default"/>
                    </w:rPr>
                    <w:t>达标</w:t>
                  </w:r>
                </w:p>
              </w:tc>
            </w:tr>
          </w:tbl>
          <w:p>
            <w:pPr>
              <w:jc w:val="center"/>
              <w:rPr>
                <w:rFonts w:hint="default"/>
                <w:b/>
                <w:bCs/>
              </w:rPr>
            </w:pPr>
            <w:r>
              <w:rPr>
                <w:rFonts w:hint="default"/>
                <w:b/>
                <w:bCs/>
              </w:rPr>
              <w:t>表</w:t>
            </w:r>
            <w:r>
              <w:rPr>
                <w:rFonts w:hint="eastAsia"/>
                <w:b/>
                <w:bCs/>
                <w:lang w:val="en-US" w:eastAsia="zh-CN"/>
              </w:rPr>
              <w:t xml:space="preserve">2-13 </w:t>
            </w:r>
            <w:r>
              <w:rPr>
                <w:rFonts w:hint="default"/>
                <w:b/>
                <w:bCs/>
              </w:rPr>
              <w:t>密闭性检测结果</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31"/>
              <w:gridCol w:w="1514"/>
              <w:gridCol w:w="1415"/>
              <w:gridCol w:w="1282"/>
              <w:gridCol w:w="982"/>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10" w:type="pct"/>
                  <w:tcBorders>
                    <w:left w:val="nil"/>
                  </w:tcBorders>
                  <w:vAlign w:val="center"/>
                </w:tcPr>
                <w:p>
                  <w:pPr>
                    <w:jc w:val="center"/>
                    <w:rPr>
                      <w:rFonts w:hint="default"/>
                      <w:b/>
                      <w:bCs/>
                    </w:rPr>
                  </w:pPr>
                  <w:r>
                    <w:rPr>
                      <w:rFonts w:hint="default"/>
                      <w:b/>
                      <w:bCs/>
                    </w:rPr>
                    <w:t>油罐编号</w:t>
                  </w:r>
                </w:p>
              </w:tc>
              <w:tc>
                <w:tcPr>
                  <w:tcW w:w="900" w:type="pct"/>
                  <w:vAlign w:val="center"/>
                </w:tcPr>
                <w:p>
                  <w:pPr>
                    <w:jc w:val="center"/>
                    <w:rPr>
                      <w:rFonts w:hint="default"/>
                      <w:b/>
                      <w:bCs/>
                    </w:rPr>
                  </w:pPr>
                  <w:r>
                    <w:rPr>
                      <w:rFonts w:hint="default"/>
                      <w:b/>
                      <w:bCs/>
                    </w:rPr>
                    <w:t>油罐服务枪数(把)</w:t>
                  </w:r>
                </w:p>
              </w:tc>
              <w:tc>
                <w:tcPr>
                  <w:tcW w:w="841" w:type="pct"/>
                  <w:vAlign w:val="center"/>
                </w:tcPr>
                <w:p>
                  <w:pPr>
                    <w:jc w:val="center"/>
                    <w:rPr>
                      <w:rFonts w:hint="default"/>
                      <w:b/>
                      <w:bCs/>
                    </w:rPr>
                  </w:pPr>
                  <w:r>
                    <w:rPr>
                      <w:rFonts w:hint="default"/>
                      <w:b/>
                      <w:bCs/>
                    </w:rPr>
                    <w:t>油罐容积(L)</w:t>
                  </w:r>
                </w:p>
              </w:tc>
              <w:tc>
                <w:tcPr>
                  <w:tcW w:w="1346" w:type="pct"/>
                  <w:gridSpan w:val="2"/>
                  <w:vAlign w:val="center"/>
                </w:tcPr>
                <w:p>
                  <w:pPr>
                    <w:jc w:val="center"/>
                    <w:rPr>
                      <w:rFonts w:hint="default"/>
                      <w:b/>
                      <w:bCs/>
                    </w:rPr>
                  </w:pPr>
                  <w:r>
                    <w:rPr>
                      <w:rFonts w:hint="default"/>
                      <w:b/>
                      <w:bCs/>
                    </w:rPr>
                    <w:t>汽油体积(L)</w:t>
                  </w:r>
                </w:p>
              </w:tc>
              <w:tc>
                <w:tcPr>
                  <w:tcW w:w="1001" w:type="pct"/>
                  <w:tcBorders>
                    <w:right w:val="nil"/>
                  </w:tcBorders>
                  <w:vAlign w:val="center"/>
                </w:tcPr>
                <w:p>
                  <w:pPr>
                    <w:jc w:val="center"/>
                    <w:rPr>
                      <w:rFonts w:hint="default"/>
                      <w:b/>
                      <w:bCs/>
                    </w:rPr>
                  </w:pPr>
                  <w:r>
                    <w:rPr>
                      <w:rFonts w:hint="default"/>
                      <w:b/>
                      <w:bCs/>
                    </w:rPr>
                    <w:t>油气体积(L)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0" w:type="pct"/>
                  <w:tcBorders>
                    <w:left w:val="nil"/>
                  </w:tcBorders>
                  <w:vAlign w:val="center"/>
                </w:tcPr>
                <w:p>
                  <w:pPr>
                    <w:jc w:val="center"/>
                    <w:rPr>
                      <w:rFonts w:hint="default"/>
                    </w:rPr>
                  </w:pPr>
                  <w:r>
                    <w:rPr>
                      <w:rFonts w:hint="default"/>
                    </w:rPr>
                    <w:t>1#</w:t>
                  </w:r>
                </w:p>
              </w:tc>
              <w:tc>
                <w:tcPr>
                  <w:tcW w:w="900" w:type="pct"/>
                  <w:vAlign w:val="center"/>
                </w:tcPr>
                <w:p>
                  <w:pPr>
                    <w:jc w:val="center"/>
                    <w:rPr>
                      <w:rFonts w:hint="default"/>
                    </w:rPr>
                  </w:pPr>
                  <w:r>
                    <w:rPr>
                      <w:rFonts w:hint="default"/>
                    </w:rPr>
                    <w:t>2</w:t>
                  </w:r>
                </w:p>
              </w:tc>
              <w:tc>
                <w:tcPr>
                  <w:tcW w:w="841" w:type="pct"/>
                  <w:vAlign w:val="center"/>
                </w:tcPr>
                <w:p>
                  <w:pPr>
                    <w:jc w:val="center"/>
                    <w:rPr>
                      <w:rFonts w:hint="default"/>
                    </w:rPr>
                  </w:pPr>
                  <w:r>
                    <w:rPr>
                      <w:rFonts w:hint="default"/>
                    </w:rPr>
                    <w:t>30000</w:t>
                  </w:r>
                </w:p>
              </w:tc>
              <w:tc>
                <w:tcPr>
                  <w:tcW w:w="1346" w:type="pct"/>
                  <w:gridSpan w:val="2"/>
                  <w:vAlign w:val="center"/>
                </w:tcPr>
                <w:p>
                  <w:pPr>
                    <w:jc w:val="center"/>
                    <w:rPr>
                      <w:rFonts w:hint="default"/>
                    </w:rPr>
                  </w:pPr>
                  <w:r>
                    <w:rPr>
                      <w:rFonts w:hint="default"/>
                    </w:rPr>
                    <w:t>21178</w:t>
                  </w:r>
                </w:p>
              </w:tc>
              <w:tc>
                <w:tcPr>
                  <w:tcW w:w="1001" w:type="pct"/>
                  <w:tcBorders>
                    <w:right w:val="nil"/>
                  </w:tcBorders>
                  <w:vAlign w:val="center"/>
                </w:tcPr>
                <w:p>
                  <w:pPr>
                    <w:jc w:val="center"/>
                    <w:rPr>
                      <w:rFonts w:hint="default"/>
                    </w:rPr>
                  </w:pPr>
                  <w:r>
                    <w:rPr>
                      <w:rFonts w:hint="default"/>
                    </w:rPr>
                    <w:t>8822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10" w:type="pct"/>
                  <w:tcBorders>
                    <w:left w:val="nil"/>
                  </w:tcBorders>
                  <w:vAlign w:val="center"/>
                </w:tcPr>
                <w:p>
                  <w:pPr>
                    <w:jc w:val="center"/>
                    <w:rPr>
                      <w:rFonts w:hint="default"/>
                    </w:rPr>
                  </w:pPr>
                  <w:r>
                    <w:rPr>
                      <w:rFonts w:hint="default"/>
                    </w:rPr>
                    <w:t>2#</w:t>
                  </w:r>
                </w:p>
              </w:tc>
              <w:tc>
                <w:tcPr>
                  <w:tcW w:w="900" w:type="pct"/>
                  <w:vAlign w:val="center"/>
                </w:tcPr>
                <w:p>
                  <w:pPr>
                    <w:jc w:val="center"/>
                    <w:rPr>
                      <w:rFonts w:hint="default"/>
                    </w:rPr>
                  </w:pPr>
                  <w:r>
                    <w:rPr>
                      <w:rFonts w:hint="default"/>
                    </w:rPr>
                    <w:t>3</w:t>
                  </w:r>
                </w:p>
              </w:tc>
              <w:tc>
                <w:tcPr>
                  <w:tcW w:w="841" w:type="pct"/>
                  <w:vAlign w:val="center"/>
                </w:tcPr>
                <w:p>
                  <w:pPr>
                    <w:jc w:val="center"/>
                    <w:rPr>
                      <w:rFonts w:hint="default"/>
                    </w:rPr>
                  </w:pPr>
                  <w:r>
                    <w:rPr>
                      <w:rFonts w:hint="default"/>
                    </w:rPr>
                    <w:t>30000</w:t>
                  </w:r>
                </w:p>
              </w:tc>
              <w:tc>
                <w:tcPr>
                  <w:tcW w:w="1346" w:type="pct"/>
                  <w:gridSpan w:val="2"/>
                  <w:vAlign w:val="center"/>
                </w:tcPr>
                <w:p>
                  <w:pPr>
                    <w:jc w:val="center"/>
                    <w:rPr>
                      <w:rFonts w:hint="default"/>
                    </w:rPr>
                  </w:pPr>
                  <w:r>
                    <w:rPr>
                      <w:rFonts w:hint="default"/>
                    </w:rPr>
                    <w:t>17418</w:t>
                  </w:r>
                </w:p>
              </w:tc>
              <w:tc>
                <w:tcPr>
                  <w:tcW w:w="1001" w:type="pct"/>
                  <w:tcBorders>
                    <w:right w:val="nil"/>
                  </w:tcBorders>
                  <w:vAlign w:val="center"/>
                </w:tcPr>
                <w:p>
                  <w:pPr>
                    <w:jc w:val="center"/>
                    <w:rPr>
                      <w:rFonts w:hint="default"/>
                    </w:rPr>
                  </w:pPr>
                  <w:r>
                    <w:rPr>
                      <w:rFonts w:hint="default"/>
                    </w:rPr>
                    <w:t>12582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0" w:type="pct"/>
                  <w:tcBorders>
                    <w:left w:val="nil"/>
                  </w:tcBorders>
                  <w:vAlign w:val="center"/>
                </w:tcPr>
                <w:p>
                  <w:pPr>
                    <w:jc w:val="center"/>
                    <w:rPr>
                      <w:rFonts w:hint="default"/>
                    </w:rPr>
                  </w:pPr>
                  <w:r>
                    <w:rPr>
                      <w:rFonts w:hint="default"/>
                    </w:rPr>
                    <w:t>3#</w:t>
                  </w:r>
                </w:p>
              </w:tc>
              <w:tc>
                <w:tcPr>
                  <w:tcW w:w="900" w:type="pct"/>
                  <w:vAlign w:val="center"/>
                </w:tcPr>
                <w:p>
                  <w:pPr>
                    <w:jc w:val="center"/>
                    <w:rPr>
                      <w:rFonts w:hint="default"/>
                    </w:rPr>
                  </w:pPr>
                  <w:r>
                    <w:rPr>
                      <w:rFonts w:hint="default"/>
                    </w:rPr>
                    <w:t>1</w:t>
                  </w:r>
                </w:p>
              </w:tc>
              <w:tc>
                <w:tcPr>
                  <w:tcW w:w="841" w:type="pct"/>
                  <w:vAlign w:val="center"/>
                </w:tcPr>
                <w:p>
                  <w:pPr>
                    <w:jc w:val="center"/>
                    <w:rPr>
                      <w:rFonts w:hint="default"/>
                    </w:rPr>
                  </w:pPr>
                  <w:r>
                    <w:rPr>
                      <w:rFonts w:hint="default"/>
                    </w:rPr>
                    <w:t>20000</w:t>
                  </w:r>
                </w:p>
              </w:tc>
              <w:tc>
                <w:tcPr>
                  <w:tcW w:w="1346" w:type="pct"/>
                  <w:gridSpan w:val="2"/>
                  <w:vAlign w:val="center"/>
                </w:tcPr>
                <w:p>
                  <w:pPr>
                    <w:jc w:val="center"/>
                    <w:rPr>
                      <w:rFonts w:hint="default"/>
                    </w:rPr>
                  </w:pPr>
                  <w:r>
                    <w:rPr>
                      <w:rFonts w:hint="default"/>
                    </w:rPr>
                    <w:t>7884</w:t>
                  </w:r>
                </w:p>
              </w:tc>
              <w:tc>
                <w:tcPr>
                  <w:tcW w:w="1001" w:type="pct"/>
                  <w:tcBorders>
                    <w:right w:val="nil"/>
                  </w:tcBorders>
                  <w:vAlign w:val="center"/>
                </w:tcPr>
                <w:p>
                  <w:pPr>
                    <w:jc w:val="center"/>
                    <w:rPr>
                      <w:rFonts w:hint="default"/>
                    </w:rPr>
                  </w:pPr>
                  <w:r>
                    <w:rPr>
                      <w:rFonts w:hint="default"/>
                    </w:rPr>
                    <w:t>12116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10" w:type="pct"/>
                  <w:tcBorders>
                    <w:left w:val="nil"/>
                  </w:tcBorders>
                  <w:vAlign w:val="center"/>
                </w:tcPr>
                <w:p>
                  <w:pPr>
                    <w:jc w:val="center"/>
                    <w:rPr>
                      <w:rFonts w:hint="default"/>
                    </w:rPr>
                  </w:pPr>
                  <w:r>
                    <w:rPr>
                      <w:rFonts w:hint="default"/>
                    </w:rPr>
                    <w:t>检测初始压力</w:t>
                  </w:r>
                </w:p>
                <w:p>
                  <w:pPr>
                    <w:jc w:val="center"/>
                    <w:rPr>
                      <w:rFonts w:hint="default"/>
                    </w:rPr>
                  </w:pPr>
                  <w:r>
                    <w:rPr>
                      <w:rFonts w:hint="default"/>
                    </w:rPr>
                    <w:t>(Pa)</w:t>
                  </w:r>
                </w:p>
              </w:tc>
              <w:tc>
                <w:tcPr>
                  <w:tcW w:w="900" w:type="pct"/>
                  <w:vAlign w:val="center"/>
                </w:tcPr>
                <w:p>
                  <w:pPr>
                    <w:jc w:val="center"/>
                    <w:rPr>
                      <w:rFonts w:hint="default"/>
                    </w:rPr>
                  </w:pPr>
                  <w:r>
                    <w:rPr>
                      <w:rFonts w:hint="default"/>
                    </w:rPr>
                    <w:t>1min后压力(Pa)</w:t>
                  </w:r>
                </w:p>
              </w:tc>
              <w:tc>
                <w:tcPr>
                  <w:tcW w:w="841" w:type="pct"/>
                  <w:vAlign w:val="center"/>
                </w:tcPr>
                <w:p>
                  <w:pPr>
                    <w:jc w:val="center"/>
                    <w:rPr>
                      <w:rFonts w:hint="default"/>
                    </w:rPr>
                  </w:pPr>
                  <w:r>
                    <w:rPr>
                      <w:rFonts w:hint="default"/>
                    </w:rPr>
                    <w:t>2min后压力</w:t>
                  </w:r>
                </w:p>
                <w:p>
                  <w:pPr>
                    <w:jc w:val="center"/>
                    <w:rPr>
                      <w:rFonts w:hint="default"/>
                    </w:rPr>
                  </w:pPr>
                  <w:r>
                    <w:rPr>
                      <w:rFonts w:hint="default"/>
                    </w:rPr>
                    <w:t>(Pa)</w:t>
                  </w:r>
                </w:p>
              </w:tc>
              <w:tc>
                <w:tcPr>
                  <w:tcW w:w="762" w:type="pct"/>
                  <w:vAlign w:val="center"/>
                </w:tcPr>
                <w:p>
                  <w:pPr>
                    <w:jc w:val="center"/>
                    <w:rPr>
                      <w:rFonts w:hint="default"/>
                    </w:rPr>
                  </w:pPr>
                  <w:r>
                    <w:rPr>
                      <w:rFonts w:hint="default"/>
                    </w:rPr>
                    <w:t>3min后压力</w:t>
                  </w:r>
                </w:p>
                <w:p>
                  <w:pPr>
                    <w:jc w:val="center"/>
                    <w:rPr>
                      <w:rFonts w:hint="default"/>
                    </w:rPr>
                  </w:pPr>
                  <w:r>
                    <w:rPr>
                      <w:rFonts w:hint="default"/>
                    </w:rPr>
                    <w:t>(Pa)</w:t>
                  </w:r>
                </w:p>
              </w:tc>
              <w:tc>
                <w:tcPr>
                  <w:tcW w:w="583" w:type="pct"/>
                  <w:vAlign w:val="center"/>
                </w:tcPr>
                <w:p>
                  <w:pPr>
                    <w:jc w:val="center"/>
                    <w:rPr>
                      <w:rFonts w:hint="default"/>
                    </w:rPr>
                  </w:pPr>
                  <w:r>
                    <w:rPr>
                      <w:rFonts w:hint="default"/>
                    </w:rPr>
                    <w:t>4 min后压力</w:t>
                  </w:r>
                </w:p>
                <w:p>
                  <w:pPr>
                    <w:jc w:val="center"/>
                    <w:rPr>
                      <w:rFonts w:hint="default"/>
                    </w:rPr>
                  </w:pPr>
                  <w:r>
                    <w:rPr>
                      <w:rFonts w:hint="default"/>
                    </w:rPr>
                    <w:t>(Pa)</w:t>
                  </w:r>
                </w:p>
              </w:tc>
              <w:tc>
                <w:tcPr>
                  <w:tcW w:w="1001" w:type="pct"/>
                  <w:tcBorders>
                    <w:right w:val="nil"/>
                  </w:tcBorders>
                  <w:vAlign w:val="center"/>
                </w:tcPr>
                <w:p>
                  <w:pPr>
                    <w:jc w:val="center"/>
                    <w:rPr>
                      <w:rFonts w:hint="default"/>
                    </w:rPr>
                  </w:pPr>
                  <w:r>
                    <w:rPr>
                      <w:rFonts w:hint="default"/>
                    </w:rPr>
                    <w:t>5 min后压力</w:t>
                  </w:r>
                </w:p>
                <w:p>
                  <w:pPr>
                    <w:jc w:val="center"/>
                    <w:rPr>
                      <w:rFonts w:hint="default"/>
                    </w:rPr>
                  </w:pPr>
                  <w:r>
                    <w:rPr>
                      <w:rFonts w:hint="default"/>
                    </w:rPr>
                    <w:t>(Pa)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10" w:type="pct"/>
                  <w:tcBorders>
                    <w:left w:val="nil"/>
                  </w:tcBorders>
                  <w:vAlign w:val="center"/>
                </w:tcPr>
                <w:p>
                  <w:pPr>
                    <w:jc w:val="center"/>
                    <w:rPr>
                      <w:rFonts w:hint="default"/>
                    </w:rPr>
                  </w:pPr>
                  <w:r>
                    <w:rPr>
                      <w:rFonts w:hint="default"/>
                    </w:rPr>
                    <w:t>505</w:t>
                  </w:r>
                </w:p>
              </w:tc>
              <w:tc>
                <w:tcPr>
                  <w:tcW w:w="900" w:type="pct"/>
                  <w:vAlign w:val="center"/>
                </w:tcPr>
                <w:p>
                  <w:pPr>
                    <w:jc w:val="center"/>
                    <w:rPr>
                      <w:rFonts w:hint="default"/>
                    </w:rPr>
                  </w:pPr>
                  <w:r>
                    <w:rPr>
                      <w:rFonts w:hint="default"/>
                    </w:rPr>
                    <w:t>502</w:t>
                  </w:r>
                </w:p>
              </w:tc>
              <w:tc>
                <w:tcPr>
                  <w:tcW w:w="841" w:type="pct"/>
                  <w:vAlign w:val="center"/>
                </w:tcPr>
                <w:p>
                  <w:pPr>
                    <w:jc w:val="center"/>
                    <w:rPr>
                      <w:rFonts w:hint="default"/>
                    </w:rPr>
                  </w:pPr>
                  <w:r>
                    <w:rPr>
                      <w:rFonts w:hint="default"/>
                    </w:rPr>
                    <w:t>499</w:t>
                  </w:r>
                </w:p>
              </w:tc>
              <w:tc>
                <w:tcPr>
                  <w:tcW w:w="762" w:type="pct"/>
                  <w:vAlign w:val="center"/>
                </w:tcPr>
                <w:p>
                  <w:pPr>
                    <w:jc w:val="center"/>
                    <w:rPr>
                      <w:rFonts w:hint="default"/>
                    </w:rPr>
                  </w:pPr>
                  <w:r>
                    <w:rPr>
                      <w:rFonts w:hint="default"/>
                    </w:rPr>
                    <w:t>496</w:t>
                  </w:r>
                </w:p>
              </w:tc>
              <w:tc>
                <w:tcPr>
                  <w:tcW w:w="583" w:type="pct"/>
                  <w:vAlign w:val="center"/>
                </w:tcPr>
                <w:p>
                  <w:pPr>
                    <w:jc w:val="center"/>
                    <w:rPr>
                      <w:rFonts w:hint="default"/>
                    </w:rPr>
                  </w:pPr>
                  <w:r>
                    <w:rPr>
                      <w:rFonts w:hint="default"/>
                    </w:rPr>
                    <w:t>494</w:t>
                  </w:r>
                </w:p>
              </w:tc>
              <w:tc>
                <w:tcPr>
                  <w:tcW w:w="1001" w:type="pct"/>
                  <w:tcBorders>
                    <w:right w:val="nil"/>
                  </w:tcBorders>
                  <w:vAlign w:val="center"/>
                </w:tcPr>
                <w:p>
                  <w:pPr>
                    <w:jc w:val="center"/>
                    <w:rPr>
                      <w:rFonts w:hint="default"/>
                    </w:rPr>
                  </w:pPr>
                  <w:r>
                    <w:rPr>
                      <w:rFonts w:hint="default"/>
                    </w:rPr>
                    <w:t>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910" w:type="pct"/>
                  <w:tcBorders>
                    <w:left w:val="nil"/>
                  </w:tcBorders>
                  <w:vAlign w:val="center"/>
                </w:tcPr>
                <w:p>
                  <w:pPr>
                    <w:jc w:val="center"/>
                    <w:rPr>
                      <w:rFonts w:hint="default"/>
                    </w:rPr>
                  </w:pPr>
                  <w:r>
                    <w:rPr>
                      <w:rFonts w:hint="default"/>
                    </w:rPr>
                    <w:t>最小剩余压力限</w:t>
                  </w:r>
                </w:p>
                <w:p>
                  <w:pPr>
                    <w:jc w:val="center"/>
                    <w:rPr>
                      <w:rFonts w:hint="default"/>
                    </w:rPr>
                  </w:pPr>
                  <w:r>
                    <w:rPr>
                      <w:rFonts w:hint="default"/>
                    </w:rPr>
                    <w:t>值(Pa)</w:t>
                  </w:r>
                </w:p>
              </w:tc>
              <w:tc>
                <w:tcPr>
                  <w:tcW w:w="4089" w:type="pct"/>
                  <w:gridSpan w:val="5"/>
                  <w:tcBorders>
                    <w:right w:val="nil"/>
                  </w:tcBorders>
                  <w:vAlign w:val="center"/>
                </w:tcPr>
                <w:p>
                  <w:pPr>
                    <w:jc w:val="center"/>
                    <w:rPr>
                      <w:rFonts w:hint="default"/>
                    </w:rPr>
                  </w:pPr>
                </w:p>
                <w:p>
                  <w:pPr>
                    <w:jc w:val="center"/>
                    <w:rPr>
                      <w:rFonts w:hint="default"/>
                    </w:rPr>
                  </w:pPr>
                  <w:r>
                    <w:rPr>
                      <w:rFonts w:hint="default"/>
                    </w:rPr>
                    <w:t>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10" w:type="pct"/>
                  <w:tcBorders>
                    <w:left w:val="nil"/>
                  </w:tcBorders>
                  <w:vAlign w:val="center"/>
                </w:tcPr>
                <w:p>
                  <w:pPr>
                    <w:jc w:val="center"/>
                    <w:rPr>
                      <w:rFonts w:hint="default"/>
                    </w:rPr>
                  </w:pPr>
                  <w:r>
                    <w:rPr>
                      <w:rFonts w:hint="default"/>
                    </w:rPr>
                    <w:t>是否达标</w:t>
                  </w:r>
                </w:p>
              </w:tc>
              <w:tc>
                <w:tcPr>
                  <w:tcW w:w="4089" w:type="pct"/>
                  <w:gridSpan w:val="5"/>
                  <w:tcBorders>
                    <w:right w:val="nil"/>
                  </w:tcBorders>
                  <w:vAlign w:val="center"/>
                </w:tcPr>
                <w:p>
                  <w:pPr>
                    <w:jc w:val="center"/>
                    <w:rPr>
                      <w:rFonts w:hint="default"/>
                    </w:rPr>
                  </w:pPr>
                  <w:r>
                    <w:rPr>
                      <w:rFonts w:hint="default"/>
                    </w:rPr>
                    <w:t>是</w:t>
                  </w:r>
                </w:p>
              </w:tc>
            </w:tr>
          </w:tbl>
          <w:p>
            <w:pPr>
              <w:rPr>
                <w:rFonts w:hint="default"/>
              </w:rPr>
            </w:pPr>
            <w:r>
              <w:rPr>
                <w:rFonts w:hint="default"/>
              </w:rPr>
              <w:t>备注：参考《加油站大气污染物排放标准》(GB 20952-2020)表2最小剩余压力限值。</w:t>
            </w:r>
          </w:p>
          <w:p>
            <w:pPr>
              <w:rPr>
                <w:rFonts w:hint="default"/>
              </w:rPr>
            </w:pPr>
          </w:p>
          <w:p>
            <w:pPr>
              <w:jc w:val="center"/>
              <w:rPr>
                <w:rFonts w:hint="default"/>
                <w:b/>
                <w:bCs/>
              </w:rPr>
            </w:pPr>
            <w:r>
              <w:rPr>
                <w:rFonts w:hint="default"/>
                <w:b/>
                <w:bCs/>
              </w:rPr>
              <w:t>表</w:t>
            </w:r>
            <w:r>
              <w:rPr>
                <w:rFonts w:hint="eastAsia"/>
                <w:b/>
                <w:bCs/>
                <w:lang w:val="en-US" w:eastAsia="zh-CN"/>
              </w:rPr>
              <w:t>2-14</w:t>
            </w:r>
            <w:r>
              <w:rPr>
                <w:rFonts w:hint="default"/>
                <w:b/>
                <w:bCs/>
              </w:rPr>
              <w:t>气液比检测结果</w:t>
            </w:r>
          </w:p>
          <w:p>
            <w:pPr>
              <w:rPr>
                <w:rFonts w:hint="default"/>
              </w:rPr>
            </w:pPr>
          </w:p>
          <w:tbl>
            <w:tblPr>
              <w:tblStyle w:val="1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1334"/>
              <w:gridCol w:w="787"/>
              <w:gridCol w:w="796"/>
              <w:gridCol w:w="1144"/>
              <w:gridCol w:w="1009"/>
              <w:gridCol w:w="992"/>
              <w:gridCol w:w="831"/>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398" w:type="pct"/>
                  <w:tcBorders>
                    <w:left w:val="nil"/>
                  </w:tcBorders>
                  <w:vAlign w:val="center"/>
                </w:tcPr>
                <w:p>
                  <w:pPr>
                    <w:jc w:val="center"/>
                    <w:rPr>
                      <w:rFonts w:hint="default"/>
                      <w:b/>
                      <w:bCs/>
                    </w:rPr>
                  </w:pPr>
                  <w:r>
                    <w:rPr>
                      <w:rFonts w:hint="default"/>
                      <w:b/>
                      <w:bCs/>
                    </w:rPr>
                    <w:t>加油</w:t>
                  </w:r>
                </w:p>
                <w:p>
                  <w:pPr>
                    <w:jc w:val="center"/>
                    <w:rPr>
                      <w:rFonts w:hint="default"/>
                      <w:b/>
                      <w:bCs/>
                    </w:rPr>
                  </w:pPr>
                  <w:r>
                    <w:rPr>
                      <w:rFonts w:hint="default"/>
                      <w:b/>
                      <w:bCs/>
                    </w:rPr>
                    <w:t>枪编</w:t>
                  </w:r>
                </w:p>
                <w:p>
                  <w:pPr>
                    <w:jc w:val="center"/>
                    <w:rPr>
                      <w:rFonts w:hint="default"/>
                      <w:b/>
                      <w:bCs/>
                    </w:rPr>
                  </w:pPr>
                  <w:r>
                    <w:rPr>
                      <w:rFonts w:hint="default"/>
                      <w:b/>
                      <w:bCs/>
                    </w:rPr>
                    <w:t>号</w:t>
                  </w:r>
                </w:p>
              </w:tc>
              <w:tc>
                <w:tcPr>
                  <w:tcW w:w="792" w:type="pct"/>
                  <w:vAlign w:val="center"/>
                </w:tcPr>
                <w:p>
                  <w:pPr>
                    <w:jc w:val="center"/>
                    <w:rPr>
                      <w:rFonts w:hint="default"/>
                      <w:b/>
                      <w:bCs/>
                    </w:rPr>
                  </w:pPr>
                  <w:r>
                    <w:rPr>
                      <w:rFonts w:hint="default"/>
                      <w:b/>
                      <w:bCs/>
                    </w:rPr>
                    <w:t>加油枪品牌和</w:t>
                  </w:r>
                </w:p>
                <w:p>
                  <w:pPr>
                    <w:jc w:val="center"/>
                    <w:rPr>
                      <w:rFonts w:hint="default"/>
                      <w:b/>
                      <w:bCs/>
                    </w:rPr>
                  </w:pPr>
                  <w:r>
                    <w:rPr>
                      <w:rFonts w:hint="default"/>
                      <w:b/>
                      <w:bCs/>
                    </w:rPr>
                    <w:t>型号</w:t>
                  </w:r>
                </w:p>
              </w:tc>
              <w:tc>
                <w:tcPr>
                  <w:tcW w:w="468" w:type="pct"/>
                  <w:vAlign w:val="center"/>
                </w:tcPr>
                <w:p>
                  <w:pPr>
                    <w:jc w:val="center"/>
                    <w:rPr>
                      <w:rFonts w:hint="default"/>
                      <w:b/>
                      <w:bCs/>
                    </w:rPr>
                  </w:pPr>
                </w:p>
                <w:p>
                  <w:pPr>
                    <w:jc w:val="center"/>
                    <w:rPr>
                      <w:rFonts w:hint="default"/>
                      <w:b/>
                      <w:bCs/>
                    </w:rPr>
                  </w:pPr>
                  <w:r>
                    <w:rPr>
                      <w:rFonts w:hint="default"/>
                      <w:b/>
                      <w:bCs/>
                    </w:rPr>
                    <w:t>档位</w:t>
                  </w:r>
                </w:p>
              </w:tc>
              <w:tc>
                <w:tcPr>
                  <w:tcW w:w="473" w:type="pct"/>
                  <w:vAlign w:val="center"/>
                </w:tcPr>
                <w:p>
                  <w:pPr>
                    <w:jc w:val="center"/>
                    <w:rPr>
                      <w:rFonts w:hint="default"/>
                      <w:b/>
                      <w:bCs/>
                    </w:rPr>
                  </w:pPr>
                  <w:r>
                    <w:rPr>
                      <w:rFonts w:hint="default"/>
                      <w:b/>
                      <w:bCs/>
                    </w:rPr>
                    <w:t>加油体</w:t>
                  </w:r>
                </w:p>
                <w:p>
                  <w:pPr>
                    <w:jc w:val="center"/>
                    <w:rPr>
                      <w:rFonts w:hint="default"/>
                      <w:b/>
                      <w:bCs/>
                    </w:rPr>
                  </w:pPr>
                  <w:r>
                    <w:rPr>
                      <w:rFonts w:hint="default"/>
                      <w:b/>
                      <w:bCs/>
                    </w:rPr>
                    <w:t>积 ( L )</w:t>
                  </w:r>
                </w:p>
              </w:tc>
              <w:tc>
                <w:tcPr>
                  <w:tcW w:w="680" w:type="pct"/>
                  <w:vAlign w:val="center"/>
                </w:tcPr>
                <w:p>
                  <w:pPr>
                    <w:jc w:val="center"/>
                    <w:rPr>
                      <w:rFonts w:hint="default"/>
                      <w:b/>
                      <w:bCs/>
                    </w:rPr>
                  </w:pPr>
                  <w:r>
                    <w:rPr>
                      <w:rFonts w:hint="default"/>
                      <w:b/>
                      <w:bCs/>
                    </w:rPr>
                    <w:t>气体流量计</w:t>
                  </w:r>
                </w:p>
                <w:p>
                  <w:pPr>
                    <w:jc w:val="center"/>
                    <w:rPr>
                      <w:rFonts w:hint="default"/>
                      <w:b/>
                      <w:bCs/>
                    </w:rPr>
                  </w:pPr>
                  <w:r>
                    <w:rPr>
                      <w:rFonts w:hint="default"/>
                      <w:b/>
                      <w:bCs/>
                    </w:rPr>
                    <w:t>最初读数</w:t>
                  </w:r>
                </w:p>
                <w:p>
                  <w:pPr>
                    <w:jc w:val="center"/>
                    <w:rPr>
                      <w:rFonts w:hint="default"/>
                      <w:b/>
                      <w:bCs/>
                    </w:rPr>
                  </w:pPr>
                  <w:r>
                    <w:rPr>
                      <w:rFonts w:hint="default"/>
                      <w:b/>
                      <w:bCs/>
                    </w:rPr>
                    <w:t>(L)</w:t>
                  </w:r>
                </w:p>
              </w:tc>
              <w:tc>
                <w:tcPr>
                  <w:tcW w:w="600" w:type="pct"/>
                  <w:vAlign w:val="center"/>
                </w:tcPr>
                <w:p>
                  <w:pPr>
                    <w:jc w:val="center"/>
                    <w:rPr>
                      <w:rFonts w:hint="default"/>
                      <w:b/>
                      <w:bCs/>
                    </w:rPr>
                  </w:pPr>
                  <w:r>
                    <w:rPr>
                      <w:rFonts w:hint="default"/>
                      <w:b/>
                      <w:bCs/>
                    </w:rPr>
                    <w:t>气体流量 计最终读</w:t>
                  </w:r>
                </w:p>
                <w:p>
                  <w:pPr>
                    <w:jc w:val="center"/>
                    <w:rPr>
                      <w:rFonts w:hint="default"/>
                      <w:b/>
                      <w:bCs/>
                    </w:rPr>
                  </w:pPr>
                  <w:r>
                    <w:rPr>
                      <w:rFonts w:hint="default"/>
                      <w:b/>
                      <w:bCs/>
                    </w:rPr>
                    <w:t>数 ( L )</w:t>
                  </w:r>
                </w:p>
              </w:tc>
              <w:tc>
                <w:tcPr>
                  <w:tcW w:w="590" w:type="pct"/>
                  <w:vAlign w:val="center"/>
                </w:tcPr>
                <w:p>
                  <w:pPr>
                    <w:jc w:val="center"/>
                    <w:rPr>
                      <w:rFonts w:hint="default"/>
                      <w:b/>
                      <w:bCs/>
                    </w:rPr>
                  </w:pPr>
                  <w:r>
                    <w:rPr>
                      <w:rFonts w:hint="default"/>
                      <w:b/>
                      <w:bCs/>
                    </w:rPr>
                    <w:t>回收油气</w:t>
                  </w:r>
                </w:p>
                <w:p>
                  <w:pPr>
                    <w:jc w:val="center"/>
                    <w:rPr>
                      <w:rFonts w:hint="default"/>
                      <w:b/>
                      <w:bCs/>
                    </w:rPr>
                  </w:pPr>
                  <w:r>
                    <w:rPr>
                      <w:rFonts w:hint="default"/>
                      <w:b/>
                      <w:bCs/>
                    </w:rPr>
                    <w:t>体积(L)</w:t>
                  </w:r>
                </w:p>
              </w:tc>
              <w:tc>
                <w:tcPr>
                  <w:tcW w:w="494" w:type="pct"/>
                  <w:vAlign w:val="center"/>
                </w:tcPr>
                <w:p>
                  <w:pPr>
                    <w:jc w:val="center"/>
                    <w:rPr>
                      <w:rFonts w:hint="default"/>
                      <w:b/>
                      <w:bCs/>
                    </w:rPr>
                  </w:pPr>
                  <w:r>
                    <w:rPr>
                      <w:rFonts w:hint="default"/>
                      <w:b/>
                      <w:bCs/>
                    </w:rPr>
                    <w:t>气液比</w:t>
                  </w:r>
                </w:p>
                <w:p>
                  <w:pPr>
                    <w:jc w:val="center"/>
                    <w:rPr>
                      <w:rFonts w:hint="default"/>
                      <w:b/>
                      <w:bCs/>
                    </w:rPr>
                  </w:pPr>
                  <w:r>
                    <w:rPr>
                      <w:rFonts w:hint="default"/>
                      <w:b/>
                      <w:bCs/>
                    </w:rPr>
                    <w:t>(无量</w:t>
                  </w:r>
                </w:p>
                <w:p>
                  <w:pPr>
                    <w:jc w:val="center"/>
                    <w:rPr>
                      <w:rFonts w:hint="default"/>
                      <w:b/>
                      <w:bCs/>
                    </w:rPr>
                  </w:pPr>
                  <w:r>
                    <w:rPr>
                      <w:rFonts w:hint="default"/>
                      <w:b/>
                      <w:bCs/>
                    </w:rPr>
                    <w:t>纲 )</w:t>
                  </w:r>
                </w:p>
              </w:tc>
              <w:tc>
                <w:tcPr>
                  <w:tcW w:w="500" w:type="pct"/>
                  <w:tcBorders>
                    <w:right w:val="nil"/>
                  </w:tcBorders>
                  <w:vAlign w:val="center"/>
                </w:tcPr>
                <w:p>
                  <w:pPr>
                    <w:jc w:val="center"/>
                    <w:rPr>
                      <w:rFonts w:hint="default"/>
                      <w:b/>
                      <w:bCs/>
                    </w:rPr>
                  </w:pPr>
                  <w:r>
                    <w:rPr>
                      <w:rFonts w:hint="default"/>
                      <w:b/>
                      <w:bCs/>
                    </w:rPr>
                    <w:t>是否达</w:t>
                  </w:r>
                </w:p>
                <w:p>
                  <w:pPr>
                    <w:jc w:val="center"/>
                    <w:rPr>
                      <w:rFonts w:hint="default"/>
                      <w:b/>
                      <w:bCs/>
                    </w:rPr>
                  </w:pPr>
                  <w:r>
                    <w:rPr>
                      <w:rFonts w:hint="default"/>
                      <w:b/>
                      <w:bCs/>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98" w:type="pct"/>
                  <w:tcBorders>
                    <w:left w:val="nil"/>
                  </w:tcBorders>
                  <w:vAlign w:val="center"/>
                </w:tcPr>
                <w:p>
                  <w:pPr>
                    <w:jc w:val="center"/>
                    <w:rPr>
                      <w:rFonts w:hint="default"/>
                    </w:rPr>
                  </w:pPr>
                  <w:r>
                    <w:rPr>
                      <w:rFonts w:hint="default"/>
                    </w:rPr>
                    <w:t>3</w:t>
                  </w:r>
                </w:p>
              </w:tc>
              <w:tc>
                <w:tcPr>
                  <w:tcW w:w="792" w:type="pct"/>
                  <w:vAlign w:val="center"/>
                </w:tcPr>
                <w:p>
                  <w:pPr>
                    <w:jc w:val="center"/>
                    <w:rPr>
                      <w:rFonts w:hint="default"/>
                    </w:rPr>
                  </w:pPr>
                  <w:r>
                    <w:rPr>
                      <w:rFonts w:hint="default"/>
                    </w:rPr>
                    <w:t>92#SEMIGER</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15.67</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15.92</w:t>
                  </w:r>
                </w:p>
              </w:tc>
              <w:tc>
                <w:tcPr>
                  <w:tcW w:w="494" w:type="pct"/>
                  <w:vAlign w:val="center"/>
                </w:tcPr>
                <w:p>
                  <w:pPr>
                    <w:jc w:val="center"/>
                    <w:rPr>
                      <w:rFonts w:hint="default"/>
                    </w:rPr>
                  </w:pPr>
                  <w:r>
                    <w:rPr>
                      <w:rFonts w:hint="default"/>
                    </w:rPr>
                    <w:t>1.02</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98" w:type="pct"/>
                  <w:tcBorders>
                    <w:left w:val="nil"/>
                  </w:tcBorders>
                  <w:vAlign w:val="center"/>
                </w:tcPr>
                <w:p>
                  <w:pPr>
                    <w:jc w:val="center"/>
                    <w:rPr>
                      <w:rFonts w:hint="default"/>
                    </w:rPr>
                  </w:pPr>
                  <w:r>
                    <w:rPr>
                      <w:rFonts w:hint="default"/>
                    </w:rPr>
                    <w:t>4</w:t>
                  </w:r>
                </w:p>
              </w:tc>
              <w:tc>
                <w:tcPr>
                  <w:tcW w:w="792" w:type="pct"/>
                  <w:vAlign w:val="center"/>
                </w:tcPr>
                <w:p>
                  <w:pPr>
                    <w:jc w:val="center"/>
                    <w:rPr>
                      <w:rFonts w:hint="default"/>
                    </w:rPr>
                  </w:pPr>
                  <w:r>
                    <w:rPr>
                      <w:rFonts w:hint="default"/>
                    </w:rPr>
                    <w:t>92#SEMIGER</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15.77</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16.23</w:t>
                  </w:r>
                </w:p>
              </w:tc>
              <w:tc>
                <w:tcPr>
                  <w:tcW w:w="494" w:type="pct"/>
                  <w:vAlign w:val="center"/>
                </w:tcPr>
                <w:p>
                  <w:pPr>
                    <w:jc w:val="center"/>
                    <w:rPr>
                      <w:rFonts w:hint="default"/>
                    </w:rPr>
                  </w:pPr>
                  <w:r>
                    <w:rPr>
                      <w:rFonts w:hint="default"/>
                    </w:rPr>
                    <w:t>1.03</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98" w:type="pct"/>
                  <w:tcBorders>
                    <w:left w:val="nil"/>
                  </w:tcBorders>
                  <w:vAlign w:val="center"/>
                </w:tcPr>
                <w:p>
                  <w:pPr>
                    <w:jc w:val="center"/>
                    <w:rPr>
                      <w:rFonts w:hint="default"/>
                    </w:rPr>
                  </w:pPr>
                  <w:r>
                    <w:rPr>
                      <w:rFonts w:hint="default"/>
                    </w:rPr>
                    <w:t>5</w:t>
                  </w:r>
                </w:p>
              </w:tc>
              <w:tc>
                <w:tcPr>
                  <w:tcW w:w="792" w:type="pct"/>
                  <w:vAlign w:val="center"/>
                </w:tcPr>
                <w:p>
                  <w:pPr>
                    <w:jc w:val="center"/>
                    <w:rPr>
                      <w:rFonts w:hint="default"/>
                    </w:rPr>
                  </w:pPr>
                  <w:r>
                    <w:rPr>
                      <w:rFonts w:hint="default"/>
                    </w:rPr>
                    <w:t>95#LISTED</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15.52</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15.74</w:t>
                  </w:r>
                </w:p>
              </w:tc>
              <w:tc>
                <w:tcPr>
                  <w:tcW w:w="494" w:type="pct"/>
                  <w:vAlign w:val="center"/>
                </w:tcPr>
                <w:p>
                  <w:pPr>
                    <w:jc w:val="center"/>
                    <w:rPr>
                      <w:rFonts w:hint="default"/>
                    </w:rPr>
                  </w:pPr>
                  <w:r>
                    <w:rPr>
                      <w:rFonts w:hint="default"/>
                    </w:rPr>
                    <w:t>1.01</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98" w:type="pct"/>
                  <w:tcBorders>
                    <w:left w:val="nil"/>
                  </w:tcBorders>
                  <w:vAlign w:val="center"/>
                </w:tcPr>
                <w:p>
                  <w:pPr>
                    <w:jc w:val="center"/>
                    <w:rPr>
                      <w:rFonts w:hint="default"/>
                    </w:rPr>
                  </w:pPr>
                  <w:r>
                    <w:rPr>
                      <w:rFonts w:hint="default"/>
                    </w:rPr>
                    <w:t>6</w:t>
                  </w:r>
                </w:p>
              </w:tc>
              <w:tc>
                <w:tcPr>
                  <w:tcW w:w="792" w:type="pct"/>
                  <w:vAlign w:val="center"/>
                </w:tcPr>
                <w:p>
                  <w:pPr>
                    <w:jc w:val="center"/>
                    <w:rPr>
                      <w:rFonts w:hint="default"/>
                    </w:rPr>
                  </w:pPr>
                  <w:r>
                    <w:rPr>
                      <w:rFonts w:hint="default"/>
                    </w:rPr>
                    <w:t>95#LISTED</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15.78</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15.93</w:t>
                  </w:r>
                </w:p>
              </w:tc>
              <w:tc>
                <w:tcPr>
                  <w:tcW w:w="494" w:type="pct"/>
                  <w:vAlign w:val="center"/>
                </w:tcPr>
                <w:p>
                  <w:pPr>
                    <w:jc w:val="center"/>
                    <w:rPr>
                      <w:rFonts w:hint="default"/>
                    </w:rPr>
                  </w:pPr>
                  <w:r>
                    <w:rPr>
                      <w:rFonts w:hint="default"/>
                    </w:rPr>
                    <w:t>1.01</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98" w:type="pct"/>
                  <w:tcBorders>
                    <w:left w:val="nil"/>
                  </w:tcBorders>
                  <w:vAlign w:val="center"/>
                </w:tcPr>
                <w:p>
                  <w:pPr>
                    <w:jc w:val="center"/>
                    <w:rPr>
                      <w:rFonts w:hint="default"/>
                    </w:rPr>
                  </w:pPr>
                  <w:r>
                    <w:rPr>
                      <w:rFonts w:hint="default"/>
                    </w:rPr>
                    <w:t>7</w:t>
                  </w:r>
                </w:p>
              </w:tc>
              <w:tc>
                <w:tcPr>
                  <w:tcW w:w="792" w:type="pct"/>
                  <w:vAlign w:val="center"/>
                </w:tcPr>
                <w:p>
                  <w:pPr>
                    <w:jc w:val="center"/>
                    <w:rPr>
                      <w:rFonts w:hint="default"/>
                    </w:rPr>
                  </w:pPr>
                  <w:r>
                    <w:rPr>
                      <w:rFonts w:hint="default"/>
                    </w:rPr>
                    <w:t>98#LISTED</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15.54</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16.34</w:t>
                  </w:r>
                </w:p>
              </w:tc>
              <w:tc>
                <w:tcPr>
                  <w:tcW w:w="494" w:type="pct"/>
                  <w:vAlign w:val="center"/>
                </w:tcPr>
                <w:p>
                  <w:pPr>
                    <w:jc w:val="center"/>
                    <w:rPr>
                      <w:rFonts w:hint="default"/>
                    </w:rPr>
                  </w:pPr>
                  <w:r>
                    <w:rPr>
                      <w:rFonts w:hint="default"/>
                    </w:rPr>
                    <w:t>1.05</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98" w:type="pct"/>
                  <w:tcBorders>
                    <w:left w:val="nil"/>
                  </w:tcBorders>
                  <w:vAlign w:val="center"/>
                </w:tcPr>
                <w:p>
                  <w:pPr>
                    <w:jc w:val="center"/>
                    <w:rPr>
                      <w:rFonts w:hint="default"/>
                    </w:rPr>
                  </w:pPr>
                  <w:r>
                    <w:rPr>
                      <w:rFonts w:hint="default"/>
                    </w:rPr>
                    <w:t>8</w:t>
                  </w:r>
                </w:p>
              </w:tc>
              <w:tc>
                <w:tcPr>
                  <w:tcW w:w="792" w:type="pct"/>
                  <w:vAlign w:val="center"/>
                </w:tcPr>
                <w:p>
                  <w:pPr>
                    <w:jc w:val="center"/>
                    <w:rPr>
                      <w:rFonts w:hint="default"/>
                    </w:rPr>
                  </w:pPr>
                  <w:r>
                    <w:rPr>
                      <w:rFonts w:hint="default"/>
                    </w:rPr>
                    <w:t>92#ZYQ</w:t>
                  </w:r>
                </w:p>
              </w:tc>
              <w:tc>
                <w:tcPr>
                  <w:tcW w:w="468" w:type="pct"/>
                  <w:vAlign w:val="center"/>
                </w:tcPr>
                <w:p>
                  <w:pPr>
                    <w:jc w:val="center"/>
                    <w:rPr>
                      <w:rFonts w:hint="default"/>
                    </w:rPr>
                  </w:pPr>
                  <w:r>
                    <w:rPr>
                      <w:rFonts w:hint="default"/>
                    </w:rPr>
                    <w:t>高档</w:t>
                  </w:r>
                </w:p>
              </w:tc>
              <w:tc>
                <w:tcPr>
                  <w:tcW w:w="473" w:type="pct"/>
                  <w:vAlign w:val="center"/>
                </w:tcPr>
                <w:p>
                  <w:pPr>
                    <w:jc w:val="center"/>
                    <w:rPr>
                      <w:rFonts w:hint="default"/>
                    </w:rPr>
                  </w:pPr>
                  <w:r>
                    <w:rPr>
                      <w:rFonts w:hint="default"/>
                    </w:rPr>
                    <w:t>15.25</w:t>
                  </w:r>
                </w:p>
              </w:tc>
              <w:tc>
                <w:tcPr>
                  <w:tcW w:w="680" w:type="pct"/>
                  <w:vAlign w:val="center"/>
                </w:tcPr>
                <w:p>
                  <w:pPr>
                    <w:jc w:val="center"/>
                    <w:rPr>
                      <w:rFonts w:hint="default"/>
                    </w:rPr>
                  </w:pPr>
                  <w:r>
                    <w:rPr>
                      <w:rFonts w:hint="default"/>
                    </w:rPr>
                    <w:t>/</w:t>
                  </w:r>
                </w:p>
              </w:tc>
              <w:tc>
                <w:tcPr>
                  <w:tcW w:w="600" w:type="pct"/>
                  <w:vAlign w:val="center"/>
                </w:tcPr>
                <w:p>
                  <w:pPr>
                    <w:jc w:val="center"/>
                    <w:rPr>
                      <w:rFonts w:hint="default"/>
                    </w:rPr>
                  </w:pPr>
                  <w:r>
                    <w:rPr>
                      <w:rFonts w:hint="default"/>
                    </w:rPr>
                    <w:t>/</w:t>
                  </w:r>
                </w:p>
              </w:tc>
              <w:tc>
                <w:tcPr>
                  <w:tcW w:w="590" w:type="pct"/>
                  <w:vAlign w:val="center"/>
                </w:tcPr>
                <w:p>
                  <w:pPr>
                    <w:jc w:val="center"/>
                    <w:rPr>
                      <w:rFonts w:hint="default"/>
                    </w:rPr>
                  </w:pPr>
                  <w:r>
                    <w:rPr>
                      <w:rFonts w:hint="default"/>
                    </w:rPr>
                    <w:t>15.47</w:t>
                  </w:r>
                </w:p>
              </w:tc>
              <w:tc>
                <w:tcPr>
                  <w:tcW w:w="494" w:type="pct"/>
                  <w:vAlign w:val="center"/>
                </w:tcPr>
                <w:p>
                  <w:pPr>
                    <w:jc w:val="center"/>
                    <w:rPr>
                      <w:rFonts w:hint="default"/>
                    </w:rPr>
                  </w:pPr>
                  <w:r>
                    <w:rPr>
                      <w:rFonts w:hint="default"/>
                    </w:rPr>
                    <w:t>1.01</w:t>
                  </w:r>
                </w:p>
              </w:tc>
              <w:tc>
                <w:tcPr>
                  <w:tcW w:w="500" w:type="pct"/>
                  <w:tcBorders>
                    <w:right w:val="nil"/>
                  </w:tcBorders>
                  <w:vAlign w:val="center"/>
                </w:tcPr>
                <w:p>
                  <w:pPr>
                    <w:jc w:val="center"/>
                    <w:rPr>
                      <w:rFonts w:hint="default"/>
                    </w:rPr>
                  </w:pPr>
                  <w:r>
                    <w:rPr>
                      <w:rFonts w:hint="default"/>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191" w:type="pct"/>
                  <w:gridSpan w:val="2"/>
                  <w:tcBorders>
                    <w:left w:val="nil"/>
                  </w:tcBorders>
                  <w:vAlign w:val="center"/>
                </w:tcPr>
                <w:p>
                  <w:pPr>
                    <w:jc w:val="center"/>
                    <w:rPr>
                      <w:rFonts w:hint="default"/>
                    </w:rPr>
                  </w:pPr>
                  <w:r>
                    <w:rPr>
                      <w:rFonts w:hint="default"/>
                    </w:rPr>
                    <w:t>气液比(无量纲)</w:t>
                  </w:r>
                </w:p>
              </w:tc>
              <w:tc>
                <w:tcPr>
                  <w:tcW w:w="3808" w:type="pct"/>
                  <w:gridSpan w:val="7"/>
                  <w:tcBorders>
                    <w:right w:val="nil"/>
                  </w:tcBorders>
                  <w:vAlign w:val="center"/>
                </w:tcPr>
                <w:p>
                  <w:pPr>
                    <w:jc w:val="center"/>
                    <w:rPr>
                      <w:rFonts w:hint="default"/>
                    </w:rPr>
                  </w:pPr>
                  <w:r>
                    <w:rPr>
                      <w:rFonts w:hint="default"/>
                    </w:rPr>
                    <w:t>≥1.0,≤1.2</w:t>
                  </w:r>
                </w:p>
              </w:tc>
            </w:tr>
          </w:tbl>
          <w:p>
            <w:pPr>
              <w:rPr>
                <w:rFonts w:hint="default"/>
              </w:rPr>
            </w:pPr>
            <w:r>
              <w:rPr>
                <w:rFonts w:hint="default"/>
              </w:rPr>
              <w:tab/>
            </w:r>
            <w:r>
              <w:rPr>
                <w:rFonts w:hint="default"/>
              </w:rPr>
              <w:t xml:space="preserve">备注：《加油站大气污染物排放标准》(GB 20952-2020)4.3.3。                                     </w:t>
            </w:r>
          </w:p>
          <w:p>
            <w:pPr>
              <w:jc w:val="center"/>
              <w:rPr>
                <w:rFonts w:hint="default"/>
                <w:b/>
                <w:bCs/>
              </w:rPr>
            </w:pPr>
            <w:r>
              <w:rPr>
                <w:rFonts w:hint="default"/>
                <w:b/>
                <w:bCs/>
              </w:rPr>
              <w:t>表</w:t>
            </w:r>
            <w:r>
              <w:rPr>
                <w:rFonts w:hint="eastAsia"/>
                <w:b/>
                <w:bCs/>
                <w:lang w:val="en-US" w:eastAsia="zh-CN"/>
              </w:rPr>
              <w:t>2-15</w:t>
            </w:r>
            <w:r>
              <w:rPr>
                <w:rFonts w:hint="default"/>
                <w:b/>
                <w:bCs/>
              </w:rPr>
              <w:t xml:space="preserve">  无组织废气检测结果</w:t>
            </w:r>
          </w:p>
          <w:p>
            <w:pPr>
              <w:rPr>
                <w:rFonts w:hint="default"/>
              </w:rPr>
            </w:pP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7"/>
              <w:gridCol w:w="3166"/>
              <w:gridCol w:w="1564"/>
              <w:gridCol w:w="141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533" w:type="pct"/>
                  <w:tcBorders>
                    <w:left w:val="nil"/>
                  </w:tcBorders>
                  <w:vAlign w:val="center"/>
                </w:tcPr>
                <w:p>
                  <w:pPr>
                    <w:jc w:val="center"/>
                    <w:rPr>
                      <w:rFonts w:hint="default"/>
                      <w:b/>
                      <w:bCs/>
                    </w:rPr>
                  </w:pPr>
                  <w:r>
                    <w:rPr>
                      <w:rFonts w:hint="default"/>
                      <w:b/>
                      <w:bCs/>
                    </w:rPr>
                    <w:t>检测项</w:t>
                  </w:r>
                </w:p>
                <w:p>
                  <w:pPr>
                    <w:jc w:val="center"/>
                    <w:rPr>
                      <w:rFonts w:hint="default"/>
                      <w:b/>
                      <w:bCs/>
                    </w:rPr>
                  </w:pPr>
                  <w:r>
                    <w:rPr>
                      <w:rFonts w:hint="default"/>
                      <w:b/>
                      <w:bCs/>
                    </w:rPr>
                    <w:t>目</w:t>
                  </w:r>
                </w:p>
              </w:tc>
              <w:tc>
                <w:tcPr>
                  <w:tcW w:w="1881" w:type="pct"/>
                  <w:vAlign w:val="center"/>
                </w:tcPr>
                <w:p>
                  <w:pPr>
                    <w:jc w:val="center"/>
                    <w:rPr>
                      <w:rFonts w:hint="default"/>
                      <w:b/>
                      <w:bCs/>
                    </w:rPr>
                  </w:pPr>
                </w:p>
                <w:p>
                  <w:pPr>
                    <w:jc w:val="center"/>
                    <w:rPr>
                      <w:rFonts w:hint="default"/>
                      <w:b/>
                      <w:bCs/>
                    </w:rPr>
                  </w:pPr>
                  <w:r>
                    <w:rPr>
                      <w:rFonts w:hint="default"/>
                      <w:b/>
                      <w:bCs/>
                    </w:rPr>
                    <w:t>检测点位编号</w:t>
                  </w:r>
                </w:p>
              </w:tc>
              <w:tc>
                <w:tcPr>
                  <w:tcW w:w="929" w:type="pct"/>
                  <w:vAlign w:val="center"/>
                </w:tcPr>
                <w:p>
                  <w:pPr>
                    <w:jc w:val="center"/>
                    <w:rPr>
                      <w:rFonts w:hint="default"/>
                      <w:b/>
                      <w:bCs/>
                    </w:rPr>
                  </w:pPr>
                </w:p>
                <w:p>
                  <w:pPr>
                    <w:jc w:val="center"/>
                    <w:rPr>
                      <w:rFonts w:hint="default"/>
                      <w:b/>
                      <w:bCs/>
                    </w:rPr>
                  </w:pPr>
                  <w:r>
                    <w:rPr>
                      <w:rFonts w:hint="default"/>
                      <w:b/>
                      <w:bCs/>
                    </w:rPr>
                    <w:t>泄漏浓度(PPM)</w:t>
                  </w:r>
                </w:p>
              </w:tc>
              <w:tc>
                <w:tcPr>
                  <w:tcW w:w="843" w:type="pct"/>
                  <w:vAlign w:val="center"/>
                </w:tcPr>
                <w:p>
                  <w:pPr>
                    <w:jc w:val="center"/>
                    <w:rPr>
                      <w:rFonts w:hint="default"/>
                      <w:b/>
                      <w:bCs/>
                    </w:rPr>
                  </w:pPr>
                  <w:r>
                    <w:rPr>
                      <w:rFonts w:hint="default"/>
                      <w:b/>
                      <w:bCs/>
                    </w:rPr>
                    <w:t>标准限值</w:t>
                  </w:r>
                </w:p>
                <w:p>
                  <w:pPr>
                    <w:jc w:val="center"/>
                    <w:rPr>
                      <w:rFonts w:hint="default"/>
                      <w:b/>
                      <w:bCs/>
                    </w:rPr>
                  </w:pPr>
                  <w:r>
                    <w:rPr>
                      <w:rFonts w:hint="default"/>
                      <w:b/>
                      <w:bCs/>
                    </w:rPr>
                    <w:t>(PPM)</w:t>
                  </w:r>
                </w:p>
              </w:tc>
              <w:tc>
                <w:tcPr>
                  <w:tcW w:w="811" w:type="pct"/>
                  <w:tcBorders>
                    <w:right w:val="nil"/>
                  </w:tcBorders>
                  <w:vAlign w:val="center"/>
                </w:tcPr>
                <w:p>
                  <w:pPr>
                    <w:jc w:val="center"/>
                    <w:rPr>
                      <w:rFonts w:hint="default"/>
                      <w:b/>
                      <w:bCs/>
                    </w:rPr>
                  </w:pPr>
                </w:p>
                <w:p>
                  <w:pPr>
                    <w:jc w:val="center"/>
                    <w:rPr>
                      <w:rFonts w:hint="default"/>
                      <w:b/>
                      <w:bCs/>
                    </w:rPr>
                  </w:pPr>
                  <w:r>
                    <w:rPr>
                      <w:rFonts w:hint="default"/>
                      <w:b/>
                      <w:bCs/>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3" w:type="pct"/>
                  <w:vMerge w:val="restart"/>
                  <w:tcBorders>
                    <w:left w:val="nil"/>
                    <w:bottom w:val="nil"/>
                  </w:tcBorders>
                  <w:vAlign w:val="center"/>
                </w:tcPr>
                <w:p>
                  <w:pPr>
                    <w:jc w:val="center"/>
                    <w:rPr>
                      <w:rFonts w:hint="default"/>
                    </w:rPr>
                  </w:pPr>
                </w:p>
                <w:p>
                  <w:pPr>
                    <w:jc w:val="center"/>
                    <w:rPr>
                      <w:rFonts w:hint="default"/>
                    </w:rPr>
                  </w:pPr>
                </w:p>
                <w:p>
                  <w:pPr>
                    <w:jc w:val="center"/>
                    <w:rPr>
                      <w:rFonts w:hint="default"/>
                    </w:rPr>
                  </w:pPr>
                </w:p>
                <w:p>
                  <w:pPr>
                    <w:jc w:val="center"/>
                    <w:rPr>
                      <w:rFonts w:hint="default"/>
                    </w:rPr>
                  </w:pPr>
                </w:p>
                <w:p>
                  <w:pPr>
                    <w:jc w:val="center"/>
                    <w:rPr>
                      <w:rFonts w:hint="default"/>
                    </w:rPr>
                  </w:pPr>
                  <w:r>
                    <w:rPr>
                      <w:rFonts w:hint="default"/>
                    </w:rPr>
                    <w:t>泄露浓</w:t>
                  </w:r>
                </w:p>
                <w:p>
                  <w:pPr>
                    <w:jc w:val="center"/>
                    <w:rPr>
                      <w:rFonts w:hint="default"/>
                    </w:rPr>
                  </w:pPr>
                  <w:r>
                    <w:rPr>
                      <w:rFonts w:hint="default"/>
                    </w:rPr>
                    <w:t>度-挥发</w:t>
                  </w:r>
                </w:p>
                <w:p>
                  <w:pPr>
                    <w:jc w:val="center"/>
                    <w:rPr>
                      <w:rFonts w:hint="default"/>
                    </w:rPr>
                  </w:pPr>
                  <w:r>
                    <w:rPr>
                      <w:rFonts w:hint="default"/>
                    </w:rPr>
                    <w:t>性有机</w:t>
                  </w:r>
                </w:p>
                <w:p>
                  <w:pPr>
                    <w:jc w:val="center"/>
                    <w:rPr>
                      <w:rFonts w:hint="default"/>
                    </w:rPr>
                  </w:pPr>
                  <w:r>
                    <w:rPr>
                      <w:rFonts w:hint="default"/>
                    </w:rPr>
                    <w:t>物</w:t>
                  </w:r>
                </w:p>
              </w:tc>
              <w:tc>
                <w:tcPr>
                  <w:tcW w:w="1881" w:type="pct"/>
                  <w:vAlign w:val="center"/>
                </w:tcPr>
                <w:p>
                  <w:pPr>
                    <w:jc w:val="center"/>
                    <w:rPr>
                      <w:rFonts w:hint="default"/>
                    </w:rPr>
                  </w:pPr>
                  <w:r>
                    <w:rPr>
                      <w:rFonts w:hint="default"/>
                    </w:rPr>
                    <w:t>油气回收盖帽</w:t>
                  </w:r>
                </w:p>
              </w:tc>
              <w:tc>
                <w:tcPr>
                  <w:tcW w:w="929" w:type="pct"/>
                  <w:vAlign w:val="center"/>
                </w:tcPr>
                <w:p>
                  <w:pPr>
                    <w:jc w:val="center"/>
                    <w:rPr>
                      <w:rFonts w:hint="default"/>
                    </w:rPr>
                  </w:pPr>
                  <w:r>
                    <w:rPr>
                      <w:rFonts w:hint="default"/>
                    </w:rPr>
                    <w:t>4.9</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92#2号罐卸油口</w:t>
                  </w:r>
                </w:p>
              </w:tc>
              <w:tc>
                <w:tcPr>
                  <w:tcW w:w="929" w:type="pct"/>
                  <w:vAlign w:val="center"/>
                </w:tcPr>
                <w:p>
                  <w:pPr>
                    <w:jc w:val="center"/>
                    <w:rPr>
                      <w:rFonts w:hint="default"/>
                    </w:rPr>
                  </w:pPr>
                  <w:r>
                    <w:rPr>
                      <w:rFonts w:hint="default"/>
                    </w:rPr>
                    <w:t>0.8</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95#1号罐卸油口</w:t>
                  </w:r>
                </w:p>
              </w:tc>
              <w:tc>
                <w:tcPr>
                  <w:tcW w:w="929" w:type="pct"/>
                  <w:vAlign w:val="center"/>
                </w:tcPr>
                <w:p>
                  <w:pPr>
                    <w:jc w:val="center"/>
                    <w:rPr>
                      <w:rFonts w:hint="default"/>
                    </w:rPr>
                  </w:pPr>
                  <w:r>
                    <w:rPr>
                      <w:rFonts w:hint="default"/>
                    </w:rPr>
                    <w:t>0.7</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98#3号罐卸油口</w:t>
                  </w:r>
                </w:p>
              </w:tc>
              <w:tc>
                <w:tcPr>
                  <w:tcW w:w="929" w:type="pct"/>
                  <w:vAlign w:val="center"/>
                </w:tcPr>
                <w:p>
                  <w:pPr>
                    <w:jc w:val="center"/>
                    <w:rPr>
                      <w:rFonts w:hint="default"/>
                    </w:rPr>
                  </w:pPr>
                  <w:r>
                    <w:rPr>
                      <w:rFonts w:hint="default"/>
                    </w:rPr>
                    <w:t>1.8</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92#2号罐检查井</w:t>
                  </w:r>
                </w:p>
              </w:tc>
              <w:tc>
                <w:tcPr>
                  <w:tcW w:w="929" w:type="pct"/>
                  <w:vAlign w:val="center"/>
                </w:tcPr>
                <w:p>
                  <w:pPr>
                    <w:jc w:val="center"/>
                    <w:rPr>
                      <w:rFonts w:hint="default"/>
                    </w:rPr>
                  </w:pPr>
                  <w:r>
                    <w:rPr>
                      <w:rFonts w:hint="default"/>
                    </w:rPr>
                    <w:t>12.5</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95#1号罐检查井</w:t>
                  </w:r>
                </w:p>
              </w:tc>
              <w:tc>
                <w:tcPr>
                  <w:tcW w:w="929" w:type="pct"/>
                  <w:vAlign w:val="center"/>
                </w:tcPr>
                <w:p>
                  <w:pPr>
                    <w:jc w:val="center"/>
                    <w:rPr>
                      <w:rFonts w:hint="default"/>
                    </w:rPr>
                  </w:pPr>
                  <w:r>
                    <w:rPr>
                      <w:rFonts w:hint="default"/>
                    </w:rPr>
                    <w:t>164.3</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3" w:type="pct"/>
                  <w:vMerge w:val="continue"/>
                  <w:tcBorders>
                    <w:top w:val="nil"/>
                    <w:left w:val="nil"/>
                    <w:bottom w:val="nil"/>
                  </w:tcBorders>
                  <w:vAlign w:val="center"/>
                </w:tcPr>
                <w:p>
                  <w:pPr>
                    <w:jc w:val="center"/>
                    <w:rPr>
                      <w:rFonts w:hint="default"/>
                    </w:rPr>
                  </w:pPr>
                </w:p>
              </w:tc>
              <w:tc>
                <w:tcPr>
                  <w:tcW w:w="1881" w:type="pct"/>
                  <w:vAlign w:val="center"/>
                </w:tcPr>
                <w:p>
                  <w:pPr>
                    <w:jc w:val="center"/>
                    <w:rPr>
                      <w:rFonts w:hint="default"/>
                    </w:rPr>
                  </w:pPr>
                  <w:r>
                    <w:rPr>
                      <w:rFonts w:hint="default"/>
                    </w:rPr>
                    <w:t>98#3号罐检查井</w:t>
                  </w:r>
                </w:p>
              </w:tc>
              <w:tc>
                <w:tcPr>
                  <w:tcW w:w="929" w:type="pct"/>
                  <w:vAlign w:val="center"/>
                </w:tcPr>
                <w:p>
                  <w:pPr>
                    <w:jc w:val="center"/>
                    <w:rPr>
                      <w:rFonts w:hint="default"/>
                    </w:rPr>
                  </w:pPr>
                  <w:r>
                    <w:rPr>
                      <w:rFonts w:hint="default"/>
                    </w:rPr>
                    <w:t>124.3</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33" w:type="pct"/>
                  <w:vMerge w:val="continue"/>
                  <w:tcBorders>
                    <w:top w:val="nil"/>
                    <w:left w:val="nil"/>
                  </w:tcBorders>
                  <w:vAlign w:val="center"/>
                </w:tcPr>
                <w:p>
                  <w:pPr>
                    <w:jc w:val="center"/>
                    <w:rPr>
                      <w:rFonts w:hint="default"/>
                    </w:rPr>
                  </w:pPr>
                </w:p>
              </w:tc>
              <w:tc>
                <w:tcPr>
                  <w:tcW w:w="1881" w:type="pct"/>
                  <w:vAlign w:val="center"/>
                </w:tcPr>
                <w:p>
                  <w:pPr>
                    <w:jc w:val="center"/>
                    <w:rPr>
                      <w:rFonts w:hint="default"/>
                    </w:rPr>
                  </w:pPr>
                  <w:r>
                    <w:rPr>
                      <w:rFonts w:hint="default"/>
                    </w:rPr>
                    <w:t>呼吸阀</w:t>
                  </w:r>
                </w:p>
              </w:tc>
              <w:tc>
                <w:tcPr>
                  <w:tcW w:w="929" w:type="pct"/>
                  <w:vAlign w:val="center"/>
                </w:tcPr>
                <w:p>
                  <w:pPr>
                    <w:jc w:val="center"/>
                    <w:rPr>
                      <w:rFonts w:hint="default"/>
                    </w:rPr>
                  </w:pPr>
                  <w:r>
                    <w:rPr>
                      <w:rFonts w:hint="default"/>
                    </w:rPr>
                    <w:t>0.4</w:t>
                  </w:r>
                </w:p>
              </w:tc>
              <w:tc>
                <w:tcPr>
                  <w:tcW w:w="843" w:type="pct"/>
                  <w:vAlign w:val="center"/>
                </w:tcPr>
                <w:p>
                  <w:pPr>
                    <w:jc w:val="center"/>
                    <w:rPr>
                      <w:rFonts w:hint="default"/>
                    </w:rPr>
                  </w:pPr>
                  <w:r>
                    <w:rPr>
                      <w:rFonts w:hint="default"/>
                    </w:rPr>
                    <w:t>500</w:t>
                  </w:r>
                </w:p>
              </w:tc>
              <w:tc>
                <w:tcPr>
                  <w:tcW w:w="811" w:type="pct"/>
                  <w:tcBorders>
                    <w:right w:val="nil"/>
                  </w:tcBorders>
                  <w:vAlign w:val="center"/>
                </w:tcPr>
                <w:p>
                  <w:pPr>
                    <w:jc w:val="center"/>
                    <w:rPr>
                      <w:rFonts w:hint="default"/>
                    </w:rPr>
                  </w:pPr>
                  <w:r>
                    <w:rPr>
                      <w:rFonts w:hint="default"/>
                    </w:rPr>
                    <w:t>达标</w:t>
                  </w:r>
                </w:p>
              </w:tc>
            </w:tr>
          </w:tbl>
          <w:p>
            <w:pPr>
              <w:spacing w:before="123" w:line="219" w:lineRule="auto"/>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备注：参考《加油站大气污染物排放标准》</w:t>
            </w:r>
            <w:r>
              <w:rPr>
                <w:rFonts w:hint="default" w:ascii="Times New Roman" w:hAnsi="Times New Roman" w:eastAsia="宋体" w:cs="Times New Roman"/>
                <w:spacing w:val="79"/>
                <w:sz w:val="21"/>
                <w:szCs w:val="21"/>
              </w:rPr>
              <w:t xml:space="preserve"> </w:t>
            </w:r>
            <w:r>
              <w:rPr>
                <w:rFonts w:hint="default" w:ascii="Times New Roman" w:hAnsi="Times New Roman" w:eastAsia="宋体" w:cs="Times New Roman"/>
                <w:spacing w:val="-9"/>
                <w:sz w:val="21"/>
                <w:szCs w:val="21"/>
              </w:rPr>
              <w:t>(GB20952-2020)</w:t>
            </w:r>
            <w:r>
              <w:rPr>
                <w:rFonts w:hint="default" w:ascii="Times New Roman" w:hAnsi="Times New Roman" w:eastAsia="宋体" w:cs="Times New Roman"/>
                <w:spacing w:val="71"/>
                <w:sz w:val="21"/>
                <w:szCs w:val="21"/>
              </w:rPr>
              <w:t xml:space="preserve"> </w:t>
            </w:r>
            <w:r>
              <w:rPr>
                <w:rFonts w:hint="default" w:ascii="Times New Roman" w:hAnsi="Times New Roman" w:eastAsia="宋体" w:cs="Times New Roman"/>
                <w:spacing w:val="-9"/>
                <w:sz w:val="21"/>
                <w:szCs w:val="21"/>
              </w:rPr>
              <w:t>中5.5的要求。</w:t>
            </w:r>
          </w:p>
          <w:p>
            <w:pPr>
              <w:keepNext w:val="0"/>
              <w:keepLines w:val="0"/>
              <w:pageBreakBefore w:val="0"/>
              <w:widowControl w:val="0"/>
              <w:kinsoku/>
              <w:wordWrap/>
              <w:overflowPunct/>
              <w:topLinePunct w:val="0"/>
              <w:autoSpaceDE/>
              <w:autoSpaceDN/>
              <w:bidi w:val="0"/>
              <w:adjustRightInd/>
              <w:snapToGrid/>
              <w:spacing w:before="123" w:line="360" w:lineRule="auto"/>
              <w:ind w:firstLine="420" w:firstLineChars="200"/>
              <w:textAlignment w:val="auto"/>
              <w:rPr>
                <w:rFonts w:hint="default" w:ascii="Times New Roman" w:hAnsi="Times New Roman" w:eastAsia="宋体" w:cs="Times New Roman"/>
                <w:spacing w:val="-9"/>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99695</wp:posOffset>
                      </wp:positionV>
                      <wp:extent cx="5238750" cy="9525"/>
                      <wp:effectExtent l="0" t="6350" r="0" b="12700"/>
                      <wp:wrapNone/>
                      <wp:docPr id="3" name="直接连接符 3"/>
                      <wp:cNvGraphicFramePr/>
                      <a:graphic xmlns:a="http://schemas.openxmlformats.org/drawingml/2006/main">
                        <a:graphicData uri="http://schemas.microsoft.com/office/word/2010/wordprocessingShape">
                          <wps:wsp>
                            <wps:cNvCnPr/>
                            <wps:spPr>
                              <a:xfrm flipV="1">
                                <a:off x="1340485" y="5807710"/>
                                <a:ext cx="523875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85pt;margin-top:7.85pt;height:0.75pt;width:412.5pt;z-index:251659264;mso-width-relative:page;mso-height-relative:page;" filled="f" stroked="t" coordsize="21600,21600" o:gfxdata="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wVjWdQAAAAHAQAADwAAAAAAAAABACAAAAAiAAAAZHJzL2Rvd25yZXYueG1s&#10;UEsBAhQAFAAAAAgAh07iQJJBgTX8AQAAywMAAA4AAAAAAAAAAQAgAAAAIwEAAGRycy9lMm9Eb2Mu&#10;eG1sUEsFBgAAAAAGAAYAWQEAAJEFAAAAAA==&#10;">
                      <v:fill on="f" focussize="0,0"/>
                      <v:stroke weight="1pt" color="#000000 [3213]"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123" w:line="360" w:lineRule="auto"/>
              <w:ind w:firstLine="384" w:firstLineChars="200"/>
              <w:textAlignment w:val="auto"/>
              <w:rPr>
                <w:rFonts w:hint="default" w:ascii="Times New Roman" w:hAnsi="Times New Roman" w:eastAsia="宋体" w:cs="Times New Roman"/>
                <w:spacing w:val="-9"/>
                <w:sz w:val="21"/>
                <w:szCs w:val="21"/>
              </w:rPr>
            </w:pPr>
            <w:r>
              <w:rPr>
                <w:rFonts w:hint="default" w:ascii="Times New Roman" w:hAnsi="Times New Roman" w:eastAsia="宋体" w:cs="Times New Roman"/>
                <w:spacing w:val="-9"/>
                <w:sz w:val="21"/>
                <w:szCs w:val="21"/>
              </w:rPr>
              <w:t>建设单位委托中国检验认证集团湖南有限公司于2023 年 09 月 07 日对加油站</w:t>
            </w:r>
            <w:r>
              <w:rPr>
                <w:rFonts w:hint="eastAsia" w:ascii="Times New Roman" w:hAnsi="Times New Roman" w:eastAsia="宋体" w:cs="Times New Roman"/>
                <w:spacing w:val="-9"/>
                <w:sz w:val="21"/>
                <w:szCs w:val="21"/>
                <w:lang w:eastAsia="zh-CN"/>
              </w:rPr>
              <w:t>无组织废气</w:t>
            </w:r>
            <w:r>
              <w:rPr>
                <w:rFonts w:hint="default" w:ascii="Times New Roman" w:hAnsi="Times New Roman" w:eastAsia="宋体" w:cs="Times New Roman"/>
                <w:spacing w:val="-9"/>
                <w:sz w:val="21"/>
                <w:szCs w:val="21"/>
              </w:rPr>
              <w:t>进行了现场检测。工程废气监测结果如下表</w:t>
            </w:r>
          </w:p>
          <w:p>
            <w:pPr>
              <w:pStyle w:val="27"/>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b/>
                <w:bCs/>
                <w:color w:val="000000"/>
                <w:lang w:val="en-US" w:eastAsia="zh-CN"/>
              </w:rPr>
            </w:pPr>
            <w:r>
              <w:rPr>
                <w:rFonts w:hint="eastAsia"/>
                <w:b/>
                <w:bCs/>
                <w:color w:val="000000"/>
                <w:lang w:val="en-US" w:eastAsia="zh-CN"/>
              </w:rPr>
              <w:t>表2-16 非甲烷总烃无组织检测结果</w:t>
            </w:r>
          </w:p>
          <w:tbl>
            <w:tblPr>
              <w:tblStyle w:val="16"/>
              <w:tblW w:w="499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9"/>
              <w:gridCol w:w="696"/>
              <w:gridCol w:w="824"/>
              <w:gridCol w:w="716"/>
              <w:gridCol w:w="1782"/>
              <w:gridCol w:w="938"/>
              <w:gridCol w:w="805"/>
              <w:gridCol w:w="966"/>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04" w:type="pct"/>
                  <w:vAlign w:val="center"/>
                </w:tcPr>
                <w:p>
                  <w:pPr>
                    <w:jc w:val="center"/>
                    <w:rPr>
                      <w:b/>
                      <w:bCs/>
                    </w:rPr>
                  </w:pPr>
                  <w:r>
                    <w:rPr>
                      <w:b/>
                      <w:bCs/>
                    </w:rPr>
                    <w:t>采样点</w:t>
                  </w:r>
                </w:p>
              </w:tc>
              <w:tc>
                <w:tcPr>
                  <w:tcW w:w="414" w:type="pct"/>
                  <w:vAlign w:val="center"/>
                </w:tcPr>
                <w:p>
                  <w:pPr>
                    <w:jc w:val="center"/>
                    <w:rPr>
                      <w:b/>
                      <w:bCs/>
                    </w:rPr>
                  </w:pPr>
                  <w:r>
                    <w:rPr>
                      <w:b/>
                      <w:bCs/>
                    </w:rPr>
                    <w:t>采样日期</w:t>
                  </w:r>
                </w:p>
              </w:tc>
              <w:tc>
                <w:tcPr>
                  <w:tcW w:w="490" w:type="pct"/>
                  <w:vAlign w:val="center"/>
                </w:tcPr>
                <w:p>
                  <w:pPr>
                    <w:jc w:val="center"/>
                    <w:rPr>
                      <w:b/>
                      <w:bCs/>
                    </w:rPr>
                  </w:pPr>
                  <w:r>
                    <w:rPr>
                      <w:b/>
                      <w:bCs/>
                    </w:rPr>
                    <w:t>检测项目</w:t>
                  </w:r>
                </w:p>
              </w:tc>
              <w:tc>
                <w:tcPr>
                  <w:tcW w:w="426" w:type="pct"/>
                  <w:vAlign w:val="center"/>
                </w:tcPr>
                <w:p>
                  <w:pPr>
                    <w:jc w:val="center"/>
                    <w:rPr>
                      <w:b/>
                      <w:bCs/>
                    </w:rPr>
                  </w:pPr>
                  <w:r>
                    <w:rPr>
                      <w:b/>
                      <w:bCs/>
                    </w:rPr>
                    <w:t>检测频次</w:t>
                  </w:r>
                </w:p>
              </w:tc>
              <w:tc>
                <w:tcPr>
                  <w:tcW w:w="1060" w:type="pct"/>
                  <w:vAlign w:val="center"/>
                </w:tcPr>
                <w:p>
                  <w:pPr>
                    <w:jc w:val="center"/>
                    <w:rPr>
                      <w:b/>
                      <w:bCs/>
                    </w:rPr>
                  </w:pPr>
                  <w:r>
                    <w:rPr>
                      <w:b/>
                      <w:bCs/>
                    </w:rPr>
                    <w:t>样品编号</w:t>
                  </w:r>
                </w:p>
              </w:tc>
              <w:tc>
                <w:tcPr>
                  <w:tcW w:w="558" w:type="pct"/>
                  <w:vAlign w:val="center"/>
                </w:tcPr>
                <w:p>
                  <w:pPr>
                    <w:jc w:val="center"/>
                    <w:rPr>
                      <w:b/>
                      <w:bCs/>
                    </w:rPr>
                  </w:pPr>
                  <w:r>
                    <w:rPr>
                      <w:b/>
                      <w:bCs/>
                    </w:rPr>
                    <w:t>检测结果</w:t>
                  </w:r>
                </w:p>
              </w:tc>
              <w:tc>
                <w:tcPr>
                  <w:tcW w:w="479" w:type="pct"/>
                  <w:vAlign w:val="center"/>
                </w:tcPr>
                <w:p>
                  <w:pPr>
                    <w:jc w:val="center"/>
                    <w:rPr>
                      <w:b/>
                      <w:bCs/>
                    </w:rPr>
                  </w:pPr>
                  <w:r>
                    <w:rPr>
                      <w:b/>
                      <w:bCs/>
                    </w:rPr>
                    <w:t>均值</w:t>
                  </w:r>
                </w:p>
              </w:tc>
              <w:tc>
                <w:tcPr>
                  <w:tcW w:w="574" w:type="pct"/>
                  <w:vAlign w:val="center"/>
                </w:tcPr>
                <w:p>
                  <w:pPr>
                    <w:jc w:val="center"/>
                    <w:rPr>
                      <w:b/>
                      <w:bCs/>
                    </w:rPr>
                  </w:pPr>
                  <w:r>
                    <w:rPr>
                      <w:b/>
                      <w:bCs/>
                    </w:rPr>
                    <w:t>标准限值</w:t>
                  </w:r>
                </w:p>
              </w:tc>
              <w:tc>
                <w:tcPr>
                  <w:tcW w:w="590" w:type="pct"/>
                  <w:vAlign w:val="center"/>
                </w:tcPr>
                <w:p>
                  <w:pPr>
                    <w:jc w:val="center"/>
                    <w:rPr>
                      <w:b/>
                      <w:bCs/>
                    </w:rPr>
                  </w:pPr>
                  <w:r>
                    <w:rPr>
                      <w:b/>
                      <w:bCs/>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04" w:type="pct"/>
                  <w:vMerge w:val="restart"/>
                  <w:tcBorders>
                    <w:bottom w:val="nil"/>
                  </w:tcBorders>
                  <w:vAlign w:val="center"/>
                </w:tcPr>
                <w:p>
                  <w:pPr>
                    <w:jc w:val="center"/>
                  </w:pPr>
                </w:p>
                <w:p>
                  <w:pPr>
                    <w:jc w:val="center"/>
                  </w:pPr>
                  <w:r>
                    <w:t>下风向 ○1#</w:t>
                  </w:r>
                </w:p>
              </w:tc>
              <w:tc>
                <w:tcPr>
                  <w:tcW w:w="414" w:type="pct"/>
                  <w:vMerge w:val="restart"/>
                  <w:tcBorders>
                    <w:bottom w:val="nil"/>
                  </w:tcBorders>
                  <w:vAlign w:val="center"/>
                </w:tcPr>
                <w:p>
                  <w:pPr>
                    <w:jc w:val="center"/>
                  </w:pPr>
                  <w:r>
                    <w:t>2023 年</w:t>
                  </w:r>
                </w:p>
                <w:p>
                  <w:pPr>
                    <w:jc w:val="center"/>
                  </w:pPr>
                  <w:r>
                    <w:t>09 月 07</w:t>
                  </w:r>
                </w:p>
                <w:p>
                  <w:pPr>
                    <w:jc w:val="center"/>
                  </w:pPr>
                  <w:r>
                    <w:t>日</w:t>
                  </w:r>
                </w:p>
              </w:tc>
              <w:tc>
                <w:tcPr>
                  <w:tcW w:w="490" w:type="pct"/>
                  <w:vMerge w:val="restart"/>
                  <w:tcBorders>
                    <w:bottom w:val="nil"/>
                  </w:tcBorders>
                  <w:vAlign w:val="center"/>
                </w:tcPr>
                <w:p>
                  <w:pPr>
                    <w:jc w:val="center"/>
                  </w:pPr>
                </w:p>
                <w:p>
                  <w:pPr>
                    <w:jc w:val="center"/>
                  </w:pPr>
                  <w:r>
                    <w:t>非甲烷总烃 （以碳计）</w:t>
                  </w:r>
                </w:p>
              </w:tc>
              <w:tc>
                <w:tcPr>
                  <w:tcW w:w="426" w:type="pct"/>
                  <w:vAlign w:val="center"/>
                </w:tcPr>
                <w:p>
                  <w:pPr>
                    <w:jc w:val="center"/>
                  </w:pPr>
                  <w:r>
                    <w:t>第一次</w:t>
                  </w:r>
                </w:p>
              </w:tc>
              <w:tc>
                <w:tcPr>
                  <w:tcW w:w="1060" w:type="pct"/>
                  <w:vAlign w:val="center"/>
                </w:tcPr>
                <w:p>
                  <w:pPr>
                    <w:jc w:val="center"/>
                  </w:pPr>
                  <w:r>
                    <w:t>4304230918459-Q</w:t>
                  </w:r>
                </w:p>
              </w:tc>
              <w:tc>
                <w:tcPr>
                  <w:tcW w:w="558" w:type="pct"/>
                  <w:vAlign w:val="center"/>
                </w:tcPr>
                <w:p>
                  <w:pPr>
                    <w:jc w:val="center"/>
                  </w:pPr>
                  <w:r>
                    <w:t>0.24</w:t>
                  </w:r>
                </w:p>
              </w:tc>
              <w:tc>
                <w:tcPr>
                  <w:tcW w:w="479" w:type="pct"/>
                  <w:vMerge w:val="restart"/>
                  <w:tcBorders>
                    <w:bottom w:val="nil"/>
                  </w:tcBorders>
                  <w:vAlign w:val="center"/>
                </w:tcPr>
                <w:p>
                  <w:pPr>
                    <w:jc w:val="center"/>
                  </w:pPr>
                </w:p>
                <w:p>
                  <w:pPr>
                    <w:jc w:val="center"/>
                  </w:pPr>
                </w:p>
                <w:p>
                  <w:pPr>
                    <w:jc w:val="center"/>
                  </w:pPr>
                  <w:r>
                    <w:t>0.23</w:t>
                  </w:r>
                </w:p>
              </w:tc>
              <w:tc>
                <w:tcPr>
                  <w:tcW w:w="574" w:type="pct"/>
                  <w:vMerge w:val="restart"/>
                  <w:tcBorders>
                    <w:bottom w:val="nil"/>
                  </w:tcBorders>
                  <w:vAlign w:val="center"/>
                </w:tcPr>
                <w:p>
                  <w:pPr>
                    <w:jc w:val="center"/>
                  </w:pPr>
                </w:p>
                <w:p>
                  <w:pPr>
                    <w:jc w:val="center"/>
                  </w:pPr>
                </w:p>
                <w:p>
                  <w:pPr>
                    <w:jc w:val="center"/>
                  </w:pPr>
                  <w:r>
                    <w:t>4.0</w:t>
                  </w:r>
                </w:p>
              </w:tc>
              <w:tc>
                <w:tcPr>
                  <w:tcW w:w="590" w:type="pct"/>
                  <w:vMerge w:val="restart"/>
                  <w:tcBorders>
                    <w:bottom w:val="nil"/>
                  </w:tcBorders>
                  <w:vAlign w:val="center"/>
                </w:tcPr>
                <w:p>
                  <w:pPr>
                    <w:jc w:val="center"/>
                  </w:pPr>
                </w:p>
                <w:p>
                  <w:pPr>
                    <w:jc w:val="center"/>
                  </w:pPr>
                  <w:r>
                    <w:t>mg/m³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04" w:type="pct"/>
                  <w:vMerge w:val="continue"/>
                  <w:tcBorders>
                    <w:top w:val="nil"/>
                    <w:bottom w:val="nil"/>
                  </w:tcBorders>
                  <w:vAlign w:val="center"/>
                </w:tcPr>
                <w:p>
                  <w:pPr>
                    <w:jc w:val="center"/>
                  </w:pPr>
                </w:p>
              </w:tc>
              <w:tc>
                <w:tcPr>
                  <w:tcW w:w="414" w:type="pct"/>
                  <w:vMerge w:val="continue"/>
                  <w:tcBorders>
                    <w:top w:val="nil"/>
                    <w:bottom w:val="nil"/>
                  </w:tcBorders>
                  <w:vAlign w:val="center"/>
                </w:tcPr>
                <w:p>
                  <w:pPr>
                    <w:jc w:val="center"/>
                  </w:pPr>
                </w:p>
              </w:tc>
              <w:tc>
                <w:tcPr>
                  <w:tcW w:w="490" w:type="pct"/>
                  <w:vMerge w:val="continue"/>
                  <w:tcBorders>
                    <w:top w:val="nil"/>
                    <w:bottom w:val="nil"/>
                  </w:tcBorders>
                  <w:vAlign w:val="center"/>
                </w:tcPr>
                <w:p>
                  <w:pPr>
                    <w:jc w:val="center"/>
                  </w:pPr>
                </w:p>
              </w:tc>
              <w:tc>
                <w:tcPr>
                  <w:tcW w:w="426" w:type="pct"/>
                  <w:vAlign w:val="center"/>
                </w:tcPr>
                <w:p>
                  <w:pPr>
                    <w:jc w:val="center"/>
                  </w:pPr>
                  <w:r>
                    <w:t>第二次</w:t>
                  </w:r>
                </w:p>
              </w:tc>
              <w:tc>
                <w:tcPr>
                  <w:tcW w:w="1060" w:type="pct"/>
                  <w:vAlign w:val="center"/>
                </w:tcPr>
                <w:p>
                  <w:pPr>
                    <w:jc w:val="center"/>
                  </w:pPr>
                  <w:r>
                    <w:t>4304230918460-Q</w:t>
                  </w:r>
                </w:p>
              </w:tc>
              <w:tc>
                <w:tcPr>
                  <w:tcW w:w="558" w:type="pct"/>
                  <w:vAlign w:val="center"/>
                </w:tcPr>
                <w:p>
                  <w:pPr>
                    <w:jc w:val="center"/>
                  </w:pPr>
                  <w:r>
                    <w:t>0.20</w:t>
                  </w:r>
                </w:p>
              </w:tc>
              <w:tc>
                <w:tcPr>
                  <w:tcW w:w="479" w:type="pct"/>
                  <w:vMerge w:val="continue"/>
                  <w:tcBorders>
                    <w:top w:val="nil"/>
                    <w:bottom w:val="nil"/>
                  </w:tcBorders>
                  <w:vAlign w:val="center"/>
                </w:tcPr>
                <w:p>
                  <w:pPr>
                    <w:jc w:val="center"/>
                  </w:pPr>
                </w:p>
              </w:tc>
              <w:tc>
                <w:tcPr>
                  <w:tcW w:w="574" w:type="pct"/>
                  <w:vMerge w:val="continue"/>
                  <w:tcBorders>
                    <w:top w:val="nil"/>
                    <w:bottom w:val="nil"/>
                  </w:tcBorders>
                  <w:vAlign w:val="center"/>
                </w:tcPr>
                <w:p>
                  <w:pPr>
                    <w:jc w:val="center"/>
                  </w:pPr>
                </w:p>
              </w:tc>
              <w:tc>
                <w:tcPr>
                  <w:tcW w:w="590" w:type="pct"/>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04" w:type="pct"/>
                  <w:vMerge w:val="continue"/>
                  <w:tcBorders>
                    <w:top w:val="nil"/>
                  </w:tcBorders>
                  <w:vAlign w:val="center"/>
                </w:tcPr>
                <w:p>
                  <w:pPr>
                    <w:jc w:val="center"/>
                  </w:pPr>
                </w:p>
              </w:tc>
              <w:tc>
                <w:tcPr>
                  <w:tcW w:w="414" w:type="pct"/>
                  <w:vMerge w:val="continue"/>
                  <w:tcBorders>
                    <w:top w:val="nil"/>
                  </w:tcBorders>
                  <w:vAlign w:val="center"/>
                </w:tcPr>
                <w:p>
                  <w:pPr>
                    <w:jc w:val="center"/>
                  </w:pPr>
                </w:p>
              </w:tc>
              <w:tc>
                <w:tcPr>
                  <w:tcW w:w="490" w:type="pct"/>
                  <w:vMerge w:val="continue"/>
                  <w:tcBorders>
                    <w:top w:val="nil"/>
                  </w:tcBorders>
                  <w:vAlign w:val="center"/>
                </w:tcPr>
                <w:p>
                  <w:pPr>
                    <w:jc w:val="center"/>
                  </w:pPr>
                </w:p>
              </w:tc>
              <w:tc>
                <w:tcPr>
                  <w:tcW w:w="426" w:type="pct"/>
                  <w:vAlign w:val="center"/>
                </w:tcPr>
                <w:p>
                  <w:pPr>
                    <w:jc w:val="center"/>
                  </w:pPr>
                  <w:r>
                    <w:t>第三次</w:t>
                  </w:r>
                </w:p>
              </w:tc>
              <w:tc>
                <w:tcPr>
                  <w:tcW w:w="1060" w:type="pct"/>
                  <w:vAlign w:val="center"/>
                </w:tcPr>
                <w:p>
                  <w:pPr>
                    <w:jc w:val="center"/>
                  </w:pPr>
                  <w:r>
                    <w:t>4304230918461-Q</w:t>
                  </w:r>
                </w:p>
              </w:tc>
              <w:tc>
                <w:tcPr>
                  <w:tcW w:w="558" w:type="pct"/>
                  <w:vAlign w:val="center"/>
                </w:tcPr>
                <w:p>
                  <w:pPr>
                    <w:jc w:val="center"/>
                  </w:pPr>
                  <w:r>
                    <w:t>0.24</w:t>
                  </w:r>
                </w:p>
              </w:tc>
              <w:tc>
                <w:tcPr>
                  <w:tcW w:w="479" w:type="pct"/>
                  <w:vMerge w:val="continue"/>
                  <w:tcBorders>
                    <w:top w:val="nil"/>
                  </w:tcBorders>
                  <w:vAlign w:val="center"/>
                </w:tcPr>
                <w:p>
                  <w:pPr>
                    <w:jc w:val="center"/>
                  </w:pPr>
                </w:p>
              </w:tc>
              <w:tc>
                <w:tcPr>
                  <w:tcW w:w="574" w:type="pct"/>
                  <w:vMerge w:val="continue"/>
                  <w:tcBorders>
                    <w:top w:val="nil"/>
                  </w:tcBorders>
                  <w:vAlign w:val="center"/>
                </w:tcPr>
                <w:p>
                  <w:pPr>
                    <w:jc w:val="center"/>
                  </w:pPr>
                </w:p>
              </w:tc>
              <w:tc>
                <w:tcPr>
                  <w:tcW w:w="590" w:type="pct"/>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404" w:type="pct"/>
                  <w:vMerge w:val="restart"/>
                  <w:tcBorders>
                    <w:bottom w:val="nil"/>
                  </w:tcBorders>
                  <w:vAlign w:val="center"/>
                </w:tcPr>
                <w:p>
                  <w:pPr>
                    <w:jc w:val="center"/>
                  </w:pPr>
                </w:p>
                <w:p>
                  <w:pPr>
                    <w:jc w:val="center"/>
                  </w:pPr>
                  <w:r>
                    <w:t>下风向 ○2#</w:t>
                  </w:r>
                </w:p>
              </w:tc>
              <w:tc>
                <w:tcPr>
                  <w:tcW w:w="414" w:type="pct"/>
                  <w:vMerge w:val="restart"/>
                  <w:tcBorders>
                    <w:bottom w:val="nil"/>
                  </w:tcBorders>
                  <w:vAlign w:val="center"/>
                </w:tcPr>
                <w:p>
                  <w:pPr>
                    <w:jc w:val="center"/>
                  </w:pPr>
                  <w:r>
                    <w:t>2023 年</w:t>
                  </w:r>
                </w:p>
                <w:p>
                  <w:pPr>
                    <w:jc w:val="center"/>
                  </w:pPr>
                  <w:r>
                    <w:t>09 月 07</w:t>
                  </w:r>
                </w:p>
                <w:p>
                  <w:pPr>
                    <w:jc w:val="center"/>
                  </w:pPr>
                  <w:r>
                    <w:t>日</w:t>
                  </w:r>
                </w:p>
              </w:tc>
              <w:tc>
                <w:tcPr>
                  <w:tcW w:w="490" w:type="pct"/>
                  <w:vMerge w:val="restart"/>
                  <w:tcBorders>
                    <w:bottom w:val="nil"/>
                  </w:tcBorders>
                  <w:vAlign w:val="center"/>
                </w:tcPr>
                <w:p>
                  <w:pPr>
                    <w:jc w:val="center"/>
                  </w:pPr>
                </w:p>
                <w:p>
                  <w:pPr>
                    <w:jc w:val="center"/>
                  </w:pPr>
                  <w:r>
                    <w:t>非甲烷总烃 （以碳计）</w:t>
                  </w:r>
                </w:p>
              </w:tc>
              <w:tc>
                <w:tcPr>
                  <w:tcW w:w="426" w:type="pct"/>
                  <w:vAlign w:val="center"/>
                </w:tcPr>
                <w:p>
                  <w:pPr>
                    <w:jc w:val="center"/>
                  </w:pPr>
                  <w:r>
                    <w:t>第一次</w:t>
                  </w:r>
                </w:p>
              </w:tc>
              <w:tc>
                <w:tcPr>
                  <w:tcW w:w="1060" w:type="pct"/>
                  <w:vAlign w:val="center"/>
                </w:tcPr>
                <w:p>
                  <w:pPr>
                    <w:jc w:val="center"/>
                  </w:pPr>
                  <w:r>
                    <w:t>4304230918462-Q</w:t>
                  </w:r>
                </w:p>
              </w:tc>
              <w:tc>
                <w:tcPr>
                  <w:tcW w:w="558" w:type="pct"/>
                  <w:vAlign w:val="center"/>
                </w:tcPr>
                <w:p>
                  <w:pPr>
                    <w:jc w:val="center"/>
                  </w:pPr>
                  <w:r>
                    <w:t>1.07</w:t>
                  </w:r>
                </w:p>
              </w:tc>
              <w:tc>
                <w:tcPr>
                  <w:tcW w:w="479" w:type="pct"/>
                  <w:vMerge w:val="restart"/>
                  <w:tcBorders>
                    <w:bottom w:val="nil"/>
                  </w:tcBorders>
                  <w:vAlign w:val="center"/>
                </w:tcPr>
                <w:p>
                  <w:pPr>
                    <w:jc w:val="center"/>
                  </w:pPr>
                </w:p>
                <w:p>
                  <w:pPr>
                    <w:jc w:val="center"/>
                  </w:pPr>
                </w:p>
                <w:p>
                  <w:pPr>
                    <w:jc w:val="center"/>
                  </w:pPr>
                  <w:r>
                    <w:t>1.02</w:t>
                  </w:r>
                </w:p>
              </w:tc>
              <w:tc>
                <w:tcPr>
                  <w:tcW w:w="574" w:type="pct"/>
                  <w:vMerge w:val="restart"/>
                  <w:tcBorders>
                    <w:bottom w:val="nil"/>
                  </w:tcBorders>
                  <w:vAlign w:val="center"/>
                </w:tcPr>
                <w:p>
                  <w:pPr>
                    <w:jc w:val="center"/>
                  </w:pPr>
                </w:p>
                <w:p>
                  <w:pPr>
                    <w:jc w:val="center"/>
                  </w:pPr>
                </w:p>
                <w:p>
                  <w:pPr>
                    <w:jc w:val="center"/>
                  </w:pPr>
                  <w:r>
                    <w:t>4.0</w:t>
                  </w:r>
                </w:p>
              </w:tc>
              <w:tc>
                <w:tcPr>
                  <w:tcW w:w="590" w:type="pct"/>
                  <w:vMerge w:val="restart"/>
                  <w:tcBorders>
                    <w:bottom w:val="nil"/>
                  </w:tcBorders>
                  <w:vAlign w:val="center"/>
                </w:tcPr>
                <w:p>
                  <w:pPr>
                    <w:jc w:val="center"/>
                  </w:pPr>
                </w:p>
                <w:p>
                  <w:pPr>
                    <w:jc w:val="center"/>
                  </w:pPr>
                  <w:r>
                    <w:t>mg/m³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404" w:type="pct"/>
                  <w:vMerge w:val="continue"/>
                  <w:tcBorders>
                    <w:top w:val="nil"/>
                    <w:bottom w:val="nil"/>
                  </w:tcBorders>
                  <w:vAlign w:val="center"/>
                </w:tcPr>
                <w:p>
                  <w:pPr>
                    <w:jc w:val="center"/>
                  </w:pPr>
                </w:p>
              </w:tc>
              <w:tc>
                <w:tcPr>
                  <w:tcW w:w="414" w:type="pct"/>
                  <w:vMerge w:val="continue"/>
                  <w:tcBorders>
                    <w:top w:val="nil"/>
                    <w:bottom w:val="nil"/>
                  </w:tcBorders>
                  <w:vAlign w:val="center"/>
                </w:tcPr>
                <w:p>
                  <w:pPr>
                    <w:jc w:val="center"/>
                  </w:pPr>
                </w:p>
              </w:tc>
              <w:tc>
                <w:tcPr>
                  <w:tcW w:w="490" w:type="pct"/>
                  <w:vMerge w:val="continue"/>
                  <w:tcBorders>
                    <w:top w:val="nil"/>
                    <w:bottom w:val="nil"/>
                  </w:tcBorders>
                  <w:vAlign w:val="center"/>
                </w:tcPr>
                <w:p>
                  <w:pPr>
                    <w:jc w:val="center"/>
                  </w:pPr>
                </w:p>
              </w:tc>
              <w:tc>
                <w:tcPr>
                  <w:tcW w:w="426" w:type="pct"/>
                  <w:vAlign w:val="center"/>
                </w:tcPr>
                <w:p>
                  <w:pPr>
                    <w:jc w:val="center"/>
                  </w:pPr>
                  <w:r>
                    <w:t>第二次</w:t>
                  </w:r>
                </w:p>
              </w:tc>
              <w:tc>
                <w:tcPr>
                  <w:tcW w:w="1060" w:type="pct"/>
                  <w:vAlign w:val="center"/>
                </w:tcPr>
                <w:p>
                  <w:pPr>
                    <w:jc w:val="center"/>
                  </w:pPr>
                  <w:r>
                    <w:t>4304230918463-Q</w:t>
                  </w:r>
                </w:p>
              </w:tc>
              <w:tc>
                <w:tcPr>
                  <w:tcW w:w="558" w:type="pct"/>
                  <w:vAlign w:val="center"/>
                </w:tcPr>
                <w:p>
                  <w:pPr>
                    <w:jc w:val="center"/>
                  </w:pPr>
                  <w:r>
                    <w:t>0.96</w:t>
                  </w:r>
                </w:p>
              </w:tc>
              <w:tc>
                <w:tcPr>
                  <w:tcW w:w="479" w:type="pct"/>
                  <w:vMerge w:val="continue"/>
                  <w:tcBorders>
                    <w:top w:val="nil"/>
                    <w:bottom w:val="nil"/>
                  </w:tcBorders>
                  <w:vAlign w:val="center"/>
                </w:tcPr>
                <w:p>
                  <w:pPr>
                    <w:jc w:val="center"/>
                  </w:pPr>
                </w:p>
              </w:tc>
              <w:tc>
                <w:tcPr>
                  <w:tcW w:w="574" w:type="pct"/>
                  <w:vMerge w:val="continue"/>
                  <w:tcBorders>
                    <w:top w:val="nil"/>
                    <w:bottom w:val="nil"/>
                  </w:tcBorders>
                  <w:vAlign w:val="center"/>
                </w:tcPr>
                <w:p>
                  <w:pPr>
                    <w:jc w:val="center"/>
                  </w:pPr>
                </w:p>
              </w:tc>
              <w:tc>
                <w:tcPr>
                  <w:tcW w:w="590" w:type="pct"/>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04" w:type="pct"/>
                  <w:vMerge w:val="continue"/>
                  <w:tcBorders>
                    <w:top w:val="nil"/>
                    <w:bottom w:val="nil"/>
                  </w:tcBorders>
                  <w:vAlign w:val="center"/>
                </w:tcPr>
                <w:p>
                  <w:pPr>
                    <w:jc w:val="center"/>
                  </w:pPr>
                </w:p>
              </w:tc>
              <w:tc>
                <w:tcPr>
                  <w:tcW w:w="414" w:type="pct"/>
                  <w:vMerge w:val="continue"/>
                  <w:tcBorders>
                    <w:top w:val="nil"/>
                    <w:bottom w:val="nil"/>
                  </w:tcBorders>
                  <w:vAlign w:val="center"/>
                </w:tcPr>
                <w:p>
                  <w:pPr>
                    <w:jc w:val="center"/>
                  </w:pPr>
                </w:p>
              </w:tc>
              <w:tc>
                <w:tcPr>
                  <w:tcW w:w="490" w:type="pct"/>
                  <w:vMerge w:val="continue"/>
                  <w:tcBorders>
                    <w:top w:val="nil"/>
                    <w:bottom w:val="nil"/>
                  </w:tcBorders>
                  <w:vAlign w:val="center"/>
                </w:tcPr>
                <w:p>
                  <w:pPr>
                    <w:jc w:val="center"/>
                  </w:pPr>
                </w:p>
              </w:tc>
              <w:tc>
                <w:tcPr>
                  <w:tcW w:w="426" w:type="pct"/>
                  <w:vAlign w:val="center"/>
                </w:tcPr>
                <w:p>
                  <w:pPr>
                    <w:jc w:val="center"/>
                  </w:pPr>
                  <w:r>
                    <w:t>第三次</w:t>
                  </w:r>
                </w:p>
              </w:tc>
              <w:tc>
                <w:tcPr>
                  <w:tcW w:w="1060" w:type="pct"/>
                  <w:vAlign w:val="center"/>
                </w:tcPr>
                <w:p>
                  <w:pPr>
                    <w:jc w:val="center"/>
                  </w:pPr>
                  <w:r>
                    <w:t>4304230918464-Q</w:t>
                  </w:r>
                </w:p>
              </w:tc>
              <w:tc>
                <w:tcPr>
                  <w:tcW w:w="558" w:type="pct"/>
                  <w:vAlign w:val="center"/>
                </w:tcPr>
                <w:p>
                  <w:pPr>
                    <w:jc w:val="center"/>
                  </w:pPr>
                  <w:r>
                    <w:t>1.03</w:t>
                  </w:r>
                </w:p>
              </w:tc>
              <w:tc>
                <w:tcPr>
                  <w:tcW w:w="479" w:type="pct"/>
                  <w:vMerge w:val="continue"/>
                  <w:tcBorders>
                    <w:top w:val="nil"/>
                    <w:bottom w:val="nil"/>
                  </w:tcBorders>
                  <w:vAlign w:val="center"/>
                </w:tcPr>
                <w:p>
                  <w:pPr>
                    <w:jc w:val="center"/>
                  </w:pPr>
                </w:p>
              </w:tc>
              <w:tc>
                <w:tcPr>
                  <w:tcW w:w="574" w:type="pct"/>
                  <w:vMerge w:val="continue"/>
                  <w:tcBorders>
                    <w:top w:val="nil"/>
                    <w:bottom w:val="nil"/>
                  </w:tcBorders>
                  <w:vAlign w:val="center"/>
                </w:tcPr>
                <w:p>
                  <w:pPr>
                    <w:jc w:val="center"/>
                  </w:pPr>
                </w:p>
              </w:tc>
              <w:tc>
                <w:tcPr>
                  <w:tcW w:w="590" w:type="pct"/>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 w:hRule="atLeast"/>
              </w:trPr>
              <w:tc>
                <w:tcPr>
                  <w:tcW w:w="404" w:type="pct"/>
                  <w:vMerge w:val="restart"/>
                  <w:tcBorders>
                    <w:top w:val="nil"/>
                  </w:tcBorders>
                  <w:vAlign w:val="center"/>
                </w:tcPr>
                <w:p>
                  <w:pPr>
                    <w:jc w:val="center"/>
                  </w:pPr>
                </w:p>
                <w:p>
                  <w:pPr>
                    <w:jc w:val="center"/>
                  </w:pPr>
                  <w:r>
                    <w:t>下风向 ○3#</w:t>
                  </w:r>
                </w:p>
              </w:tc>
              <w:tc>
                <w:tcPr>
                  <w:tcW w:w="414" w:type="pct"/>
                  <w:vMerge w:val="restart"/>
                  <w:tcBorders>
                    <w:top w:val="nil"/>
                  </w:tcBorders>
                  <w:vAlign w:val="center"/>
                </w:tcPr>
                <w:p>
                  <w:pPr>
                    <w:jc w:val="center"/>
                  </w:pPr>
                  <w:r>
                    <w:t>2023 年</w:t>
                  </w:r>
                </w:p>
                <w:p>
                  <w:pPr>
                    <w:jc w:val="center"/>
                  </w:pPr>
                  <w:r>
                    <w:t>09 月 07</w:t>
                  </w:r>
                </w:p>
                <w:p>
                  <w:pPr>
                    <w:jc w:val="center"/>
                  </w:pPr>
                  <w:r>
                    <w:t>日</w:t>
                  </w:r>
                </w:p>
              </w:tc>
              <w:tc>
                <w:tcPr>
                  <w:tcW w:w="490" w:type="pct"/>
                  <w:vMerge w:val="restart"/>
                  <w:tcBorders>
                    <w:top w:val="nil"/>
                  </w:tcBorders>
                  <w:vAlign w:val="center"/>
                </w:tcPr>
                <w:p>
                  <w:pPr>
                    <w:jc w:val="center"/>
                  </w:pPr>
                </w:p>
                <w:p>
                  <w:pPr>
                    <w:jc w:val="center"/>
                  </w:pPr>
                  <w:r>
                    <w:t>非甲烷总烃 （以碳计）</w:t>
                  </w:r>
                </w:p>
              </w:tc>
              <w:tc>
                <w:tcPr>
                  <w:tcW w:w="426" w:type="pct"/>
                  <w:vAlign w:val="center"/>
                </w:tcPr>
                <w:p>
                  <w:pPr>
                    <w:jc w:val="center"/>
                  </w:pPr>
                  <w:r>
                    <w:t>第一次</w:t>
                  </w:r>
                </w:p>
              </w:tc>
              <w:tc>
                <w:tcPr>
                  <w:tcW w:w="1060" w:type="pct"/>
                  <w:vAlign w:val="center"/>
                </w:tcPr>
                <w:p>
                  <w:pPr>
                    <w:jc w:val="center"/>
                  </w:pPr>
                  <w:r>
                    <w:t>4304230918465-Q</w:t>
                  </w:r>
                </w:p>
              </w:tc>
              <w:tc>
                <w:tcPr>
                  <w:tcW w:w="558" w:type="pct"/>
                  <w:vAlign w:val="center"/>
                </w:tcPr>
                <w:p>
                  <w:pPr>
                    <w:jc w:val="center"/>
                  </w:pPr>
                  <w:r>
                    <w:t>1.03</w:t>
                  </w:r>
                </w:p>
              </w:tc>
              <w:tc>
                <w:tcPr>
                  <w:tcW w:w="479" w:type="pct"/>
                  <w:vMerge w:val="restart"/>
                  <w:tcBorders>
                    <w:top w:val="nil"/>
                  </w:tcBorders>
                  <w:vAlign w:val="center"/>
                </w:tcPr>
                <w:p>
                  <w:pPr>
                    <w:jc w:val="center"/>
                  </w:pPr>
                </w:p>
                <w:p>
                  <w:pPr>
                    <w:jc w:val="center"/>
                  </w:pPr>
                </w:p>
                <w:p>
                  <w:pPr>
                    <w:jc w:val="center"/>
                  </w:pPr>
                  <w:r>
                    <w:t>1.08</w:t>
                  </w:r>
                </w:p>
              </w:tc>
              <w:tc>
                <w:tcPr>
                  <w:tcW w:w="574" w:type="pct"/>
                  <w:vMerge w:val="restart"/>
                  <w:tcBorders>
                    <w:top w:val="nil"/>
                  </w:tcBorders>
                  <w:vAlign w:val="center"/>
                </w:tcPr>
                <w:p>
                  <w:pPr>
                    <w:jc w:val="center"/>
                  </w:pPr>
                </w:p>
                <w:p>
                  <w:pPr>
                    <w:jc w:val="center"/>
                  </w:pPr>
                </w:p>
                <w:p>
                  <w:pPr>
                    <w:jc w:val="center"/>
                  </w:pPr>
                  <w:r>
                    <w:t>4.0</w:t>
                  </w:r>
                </w:p>
              </w:tc>
              <w:tc>
                <w:tcPr>
                  <w:tcW w:w="590" w:type="pct"/>
                  <w:vMerge w:val="restart"/>
                  <w:tcBorders>
                    <w:top w:val="nil"/>
                  </w:tcBorders>
                  <w:vAlign w:val="center"/>
                </w:tcPr>
                <w:p>
                  <w:pPr>
                    <w:jc w:val="center"/>
                  </w:pPr>
                </w:p>
                <w:p>
                  <w:pPr>
                    <w:jc w:val="center"/>
                  </w:pPr>
                  <w:r>
                    <w:t>mg/m³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 w:hRule="atLeast"/>
              </w:trPr>
              <w:tc>
                <w:tcPr>
                  <w:tcW w:w="404" w:type="pct"/>
                  <w:vMerge w:val="continue"/>
                  <w:vAlign w:val="center"/>
                </w:tcPr>
                <w:p>
                  <w:pPr>
                    <w:jc w:val="center"/>
                  </w:pPr>
                </w:p>
              </w:tc>
              <w:tc>
                <w:tcPr>
                  <w:tcW w:w="414" w:type="pct"/>
                  <w:vMerge w:val="continue"/>
                  <w:vAlign w:val="center"/>
                </w:tcPr>
                <w:p>
                  <w:pPr>
                    <w:jc w:val="center"/>
                  </w:pPr>
                </w:p>
              </w:tc>
              <w:tc>
                <w:tcPr>
                  <w:tcW w:w="490" w:type="pct"/>
                  <w:vMerge w:val="continue"/>
                  <w:vAlign w:val="center"/>
                </w:tcPr>
                <w:p>
                  <w:pPr>
                    <w:jc w:val="center"/>
                  </w:pPr>
                </w:p>
              </w:tc>
              <w:tc>
                <w:tcPr>
                  <w:tcW w:w="426" w:type="pct"/>
                  <w:vAlign w:val="center"/>
                </w:tcPr>
                <w:p>
                  <w:pPr>
                    <w:jc w:val="center"/>
                  </w:pPr>
                  <w:r>
                    <w:t>第二次</w:t>
                  </w:r>
                </w:p>
              </w:tc>
              <w:tc>
                <w:tcPr>
                  <w:tcW w:w="1060" w:type="pct"/>
                  <w:vAlign w:val="center"/>
                </w:tcPr>
                <w:p>
                  <w:pPr>
                    <w:jc w:val="center"/>
                  </w:pPr>
                  <w:r>
                    <w:t>4304230918466-Q</w:t>
                  </w:r>
                </w:p>
              </w:tc>
              <w:tc>
                <w:tcPr>
                  <w:tcW w:w="558" w:type="pct"/>
                  <w:vAlign w:val="center"/>
                </w:tcPr>
                <w:p>
                  <w:pPr>
                    <w:jc w:val="center"/>
                  </w:pPr>
                  <w:r>
                    <w:t>1.09</w:t>
                  </w:r>
                </w:p>
              </w:tc>
              <w:tc>
                <w:tcPr>
                  <w:tcW w:w="479" w:type="pct"/>
                  <w:vMerge w:val="continue"/>
                  <w:vAlign w:val="center"/>
                </w:tcPr>
                <w:p>
                  <w:pPr>
                    <w:jc w:val="center"/>
                  </w:pPr>
                </w:p>
              </w:tc>
              <w:tc>
                <w:tcPr>
                  <w:tcW w:w="574" w:type="pct"/>
                  <w:vMerge w:val="continue"/>
                  <w:vAlign w:val="center"/>
                </w:tcPr>
                <w:p>
                  <w:pPr>
                    <w:jc w:val="center"/>
                  </w:pPr>
                </w:p>
              </w:tc>
              <w:tc>
                <w:tcPr>
                  <w:tcW w:w="590" w:type="pct"/>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04" w:type="pct"/>
                  <w:vMerge w:val="continue"/>
                  <w:vAlign w:val="center"/>
                </w:tcPr>
                <w:p>
                  <w:pPr>
                    <w:jc w:val="center"/>
                  </w:pPr>
                </w:p>
              </w:tc>
              <w:tc>
                <w:tcPr>
                  <w:tcW w:w="414" w:type="pct"/>
                  <w:vMerge w:val="continue"/>
                  <w:vAlign w:val="center"/>
                </w:tcPr>
                <w:p>
                  <w:pPr>
                    <w:jc w:val="center"/>
                  </w:pPr>
                </w:p>
              </w:tc>
              <w:tc>
                <w:tcPr>
                  <w:tcW w:w="490" w:type="pct"/>
                  <w:vMerge w:val="continue"/>
                  <w:vAlign w:val="center"/>
                </w:tcPr>
                <w:p>
                  <w:pPr>
                    <w:jc w:val="center"/>
                  </w:pPr>
                </w:p>
              </w:tc>
              <w:tc>
                <w:tcPr>
                  <w:tcW w:w="426" w:type="pct"/>
                  <w:vAlign w:val="center"/>
                </w:tcPr>
                <w:p>
                  <w:pPr>
                    <w:jc w:val="center"/>
                  </w:pPr>
                  <w:r>
                    <w:t>第三次</w:t>
                  </w:r>
                </w:p>
              </w:tc>
              <w:tc>
                <w:tcPr>
                  <w:tcW w:w="1060" w:type="pct"/>
                  <w:vAlign w:val="center"/>
                </w:tcPr>
                <w:p>
                  <w:pPr>
                    <w:jc w:val="center"/>
                  </w:pPr>
                  <w:r>
                    <w:t>4304230918467-Q</w:t>
                  </w:r>
                </w:p>
              </w:tc>
              <w:tc>
                <w:tcPr>
                  <w:tcW w:w="558" w:type="pct"/>
                  <w:vAlign w:val="center"/>
                </w:tcPr>
                <w:p>
                  <w:pPr>
                    <w:jc w:val="center"/>
                  </w:pPr>
                  <w:r>
                    <w:t>1. 12</w:t>
                  </w:r>
                </w:p>
              </w:tc>
              <w:tc>
                <w:tcPr>
                  <w:tcW w:w="479" w:type="pct"/>
                  <w:vMerge w:val="continue"/>
                  <w:vAlign w:val="center"/>
                </w:tcPr>
                <w:p>
                  <w:pPr>
                    <w:jc w:val="center"/>
                  </w:pPr>
                </w:p>
              </w:tc>
              <w:tc>
                <w:tcPr>
                  <w:tcW w:w="574" w:type="pct"/>
                  <w:vMerge w:val="continue"/>
                  <w:vAlign w:val="center"/>
                </w:tcPr>
                <w:p>
                  <w:pPr>
                    <w:jc w:val="center"/>
                  </w:pPr>
                </w:p>
              </w:tc>
              <w:tc>
                <w:tcPr>
                  <w:tcW w:w="590" w:type="pct"/>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 w:hRule="atLeast"/>
              </w:trPr>
              <w:tc>
                <w:tcPr>
                  <w:tcW w:w="404" w:type="pct"/>
                  <w:vAlign w:val="center"/>
                </w:tcPr>
                <w:p>
                  <w:pPr>
                    <w:jc w:val="center"/>
                    <w:rPr>
                      <w:rFonts w:hint="eastAsia"/>
                      <w:lang w:val="en-US" w:eastAsia="zh-CN"/>
                    </w:rPr>
                  </w:pPr>
                  <w:r>
                    <w:rPr>
                      <w:rFonts w:hint="eastAsia"/>
                      <w:lang w:val="en-US" w:eastAsia="zh-CN"/>
                    </w:rPr>
                    <w:t>备注</w:t>
                  </w:r>
                </w:p>
              </w:tc>
              <w:tc>
                <w:tcPr>
                  <w:tcW w:w="4595" w:type="pct"/>
                  <w:gridSpan w:val="8"/>
                  <w:vAlign w:val="center"/>
                </w:tcPr>
                <w:p>
                  <w:pPr>
                    <w:jc w:val="center"/>
                  </w:pPr>
                  <w:r>
                    <w:t>1.表中标准限值依据《加油站大气污染物排放标准》 （GB20952-2020）表 3 油气浓度无组织排放限值中相关标准。</w:t>
                  </w:r>
                </w:p>
                <w:p>
                  <w:pPr>
                    <w:jc w:val="center"/>
                    <w:rPr>
                      <w:lang w:val="en-US" w:eastAsia="en-US"/>
                    </w:rPr>
                  </w:pPr>
                  <w:r>
                    <w:t>2. 气象参数：天气（晴）; 气温（30.7℃) ; 气压（100.9KPa）;风速（1.7m/s）;风向（东北）。</w:t>
                  </w:r>
                </w:p>
              </w:tc>
            </w:tr>
          </w:tbl>
          <w:p>
            <w:pPr>
              <w:rPr>
                <w:rFonts w:ascii="Arial"/>
                <w:sz w:val="21"/>
              </w:rPr>
            </w:pPr>
          </w:p>
          <w:p>
            <w:pPr>
              <w:pStyle w:val="27"/>
              <w:keepNext w:val="0"/>
              <w:keepLines w:val="0"/>
              <w:pageBreakBefore w:val="0"/>
              <w:widowControl w:val="0"/>
              <w:kinsoku/>
              <w:wordWrap/>
              <w:overflowPunct/>
              <w:topLinePunct w:val="0"/>
              <w:autoSpaceDE/>
              <w:autoSpaceDN/>
              <w:bidi w:val="0"/>
              <w:adjustRightInd w:val="0"/>
              <w:snapToGrid w:val="0"/>
              <w:ind w:left="0" w:leftChars="0" w:firstLine="420" w:firstLineChars="200"/>
              <w:jc w:val="both"/>
              <w:textAlignment w:val="auto"/>
              <w:rPr>
                <w:rFonts w:hint="eastAsia"/>
                <w:b w:val="0"/>
                <w:bCs w:val="0"/>
                <w:color w:val="000000"/>
                <w:lang w:val="en-US" w:eastAsia="zh-CN"/>
              </w:rPr>
            </w:pPr>
            <w:r>
              <w:rPr>
                <w:rFonts w:hint="eastAsia"/>
                <w:b w:val="0"/>
                <w:bCs w:val="0"/>
                <w:color w:val="000000"/>
                <w:lang w:val="en-US" w:eastAsia="zh-CN"/>
              </w:rPr>
              <w:t>根据检测结果，本项目现有工程气液比、液阻、密闭性、泄漏检测值、厂界非甲烷总烃均符合《加油站大气污染物排放标准》（GB 20952-2020）标准。</w:t>
            </w:r>
          </w:p>
          <w:p>
            <w:pPr>
              <w:pStyle w:val="27"/>
              <w:keepNext w:val="0"/>
              <w:keepLines w:val="0"/>
              <w:pageBreakBefore w:val="0"/>
              <w:widowControl w:val="0"/>
              <w:kinsoku/>
              <w:wordWrap/>
              <w:overflowPunct/>
              <w:topLinePunct w:val="0"/>
              <w:autoSpaceDE/>
              <w:autoSpaceDN/>
              <w:bidi w:val="0"/>
              <w:adjustRightInd w:val="0"/>
              <w:snapToGrid w:val="0"/>
              <w:ind w:left="0" w:leftChars="0" w:firstLine="422" w:firstLineChars="200"/>
              <w:jc w:val="both"/>
              <w:textAlignment w:val="auto"/>
              <w:rPr>
                <w:rFonts w:hint="eastAsia"/>
                <w:b/>
                <w:bCs/>
                <w:color w:val="000000"/>
                <w:lang w:val="en-US" w:eastAsia="zh-CN"/>
              </w:rPr>
            </w:pPr>
            <w:r>
              <w:rPr>
                <w:rFonts w:hint="eastAsia"/>
                <w:b/>
                <w:bCs/>
                <w:color w:val="000000"/>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b/>
                <w:bCs/>
              </w:rPr>
            </w:pPr>
            <w:r>
              <w:rPr>
                <w:rFonts w:hint="eastAsia"/>
                <w:b w:val="0"/>
                <w:bCs w:val="0"/>
                <w:color w:val="000000"/>
              </w:rPr>
              <w:t>现有工程运营期</w:t>
            </w:r>
            <w:r>
              <w:rPr>
                <w:rFonts w:hint="eastAsia"/>
                <w:b w:val="0"/>
                <w:bCs w:val="0"/>
                <w:color w:val="000000"/>
                <w:lang w:val="en-US" w:eastAsia="zh-CN"/>
              </w:rPr>
              <w:t>废水经化粪池、隔油池预处理后经市政管网进入桃源污水处理厂。建设单位委托中国检验认证集团湖南有限公司于2023 年 11 月 01日对加油站废水进行了现场检测。废水监测结果如下表</w:t>
            </w:r>
          </w:p>
          <w:p>
            <w:pPr>
              <w:pStyle w:val="4"/>
              <w:spacing w:line="221" w:lineRule="auto"/>
              <w:jc w:val="center"/>
              <w:rPr>
                <w:b/>
                <w:bCs/>
                <w:sz w:val="20"/>
                <w:szCs w:val="20"/>
              </w:rPr>
            </w:pPr>
            <w:r>
              <w:rPr>
                <w:b/>
                <w:bCs/>
              </w:rPr>
              <w:drawing>
                <wp:anchor distT="0" distB="0" distL="0" distR="0" simplePos="0" relativeHeight="251660288" behindDoc="0" locked="0" layoutInCell="1" allowOverlap="1">
                  <wp:simplePos x="0" y="0"/>
                  <wp:positionH relativeFrom="column">
                    <wp:posOffset>6528435</wp:posOffset>
                  </wp:positionH>
                  <wp:positionV relativeFrom="paragraph">
                    <wp:posOffset>3486785</wp:posOffset>
                  </wp:positionV>
                  <wp:extent cx="369570" cy="1297305"/>
                  <wp:effectExtent l="0" t="0" r="11430" b="17145"/>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369454" cy="1297289"/>
                          </a:xfrm>
                          <a:prstGeom prst="rect">
                            <a:avLst/>
                          </a:prstGeom>
                        </pic:spPr>
                      </pic:pic>
                    </a:graphicData>
                  </a:graphic>
                </wp:anchor>
              </w:drawing>
            </w:r>
            <w:r>
              <w:rPr>
                <w:b/>
                <w:bCs/>
                <w:spacing w:val="6"/>
                <w:sz w:val="20"/>
                <w:szCs w:val="20"/>
              </w:rPr>
              <w:t>表</w:t>
            </w:r>
            <w:r>
              <w:rPr>
                <w:b/>
                <w:bCs/>
                <w:spacing w:val="-39"/>
                <w:sz w:val="20"/>
                <w:szCs w:val="20"/>
              </w:rPr>
              <w:t xml:space="preserve"> </w:t>
            </w:r>
            <w:r>
              <w:rPr>
                <w:rFonts w:hint="eastAsia" w:ascii="Times New Roman" w:hAnsi="Times New Roman" w:eastAsia="宋体" w:cs="Times New Roman"/>
                <w:b/>
                <w:bCs/>
                <w:spacing w:val="6"/>
                <w:sz w:val="20"/>
                <w:szCs w:val="20"/>
                <w:lang w:val="en-US" w:eastAsia="zh-CN"/>
              </w:rPr>
              <w:t>2-17</w:t>
            </w:r>
            <w:r>
              <w:rPr>
                <w:rFonts w:ascii="Times New Roman" w:hAnsi="Times New Roman" w:eastAsia="Times New Roman" w:cs="Times New Roman"/>
                <w:b/>
                <w:bCs/>
                <w:spacing w:val="6"/>
                <w:sz w:val="20"/>
                <w:szCs w:val="20"/>
              </w:rPr>
              <w:t xml:space="preserve"> </w:t>
            </w:r>
            <w:r>
              <w:rPr>
                <w:rFonts w:hint="eastAsia" w:ascii="Times New Roman" w:hAnsi="Times New Roman" w:eastAsia="宋体" w:cs="Times New Roman"/>
                <w:b/>
                <w:bCs/>
                <w:spacing w:val="6"/>
                <w:sz w:val="20"/>
                <w:szCs w:val="20"/>
                <w:lang w:val="en-US" w:eastAsia="zh-CN"/>
              </w:rPr>
              <w:t>废水</w:t>
            </w:r>
            <w:r>
              <w:rPr>
                <w:b/>
                <w:bCs/>
                <w:spacing w:val="6"/>
                <w:sz w:val="20"/>
                <w:szCs w:val="20"/>
              </w:rPr>
              <w:t>检测结果</w:t>
            </w:r>
          </w:p>
          <w:tbl>
            <w:tblPr>
              <w:tblStyle w:val="1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0"/>
              <w:gridCol w:w="1573"/>
              <w:gridCol w:w="2346"/>
              <w:gridCol w:w="989"/>
              <w:gridCol w:w="1155"/>
              <w:gridCol w:w="879"/>
              <w:gridCol w:w="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0" w:type="auto"/>
                  <w:vAlign w:val="center"/>
                </w:tcPr>
                <w:p>
                  <w:pPr>
                    <w:jc w:val="center"/>
                    <w:rPr>
                      <w:b/>
                      <w:bCs/>
                    </w:rPr>
                  </w:pPr>
                  <w:r>
                    <w:rPr>
                      <w:b/>
                      <w:bCs/>
                    </w:rPr>
                    <w:t>检测项目</w:t>
                  </w:r>
                </w:p>
              </w:tc>
              <w:tc>
                <w:tcPr>
                  <w:tcW w:w="0" w:type="auto"/>
                  <w:vAlign w:val="center"/>
                </w:tcPr>
                <w:p>
                  <w:pPr>
                    <w:jc w:val="center"/>
                    <w:rPr>
                      <w:b/>
                      <w:bCs/>
                    </w:rPr>
                  </w:pPr>
                  <w:r>
                    <w:rPr>
                      <w:b/>
                      <w:bCs/>
                    </w:rPr>
                    <w:t>样品名称</w:t>
                  </w:r>
                </w:p>
              </w:tc>
              <w:tc>
                <w:tcPr>
                  <w:tcW w:w="0" w:type="auto"/>
                  <w:vAlign w:val="center"/>
                </w:tcPr>
                <w:p>
                  <w:pPr>
                    <w:jc w:val="center"/>
                    <w:rPr>
                      <w:b/>
                      <w:bCs/>
                    </w:rPr>
                  </w:pPr>
                  <w:r>
                    <w:rPr>
                      <w:b/>
                      <w:bCs/>
                    </w:rPr>
                    <w:t>样品编号</w:t>
                  </w:r>
                </w:p>
              </w:tc>
              <w:tc>
                <w:tcPr>
                  <w:tcW w:w="0" w:type="auto"/>
                  <w:vAlign w:val="center"/>
                </w:tcPr>
                <w:p>
                  <w:pPr>
                    <w:jc w:val="center"/>
                    <w:rPr>
                      <w:b/>
                      <w:bCs/>
                    </w:rPr>
                  </w:pPr>
                  <w:r>
                    <w:rPr>
                      <w:b/>
                      <w:bCs/>
                    </w:rPr>
                    <w:t>检测结果</w:t>
                  </w:r>
                </w:p>
              </w:tc>
              <w:tc>
                <w:tcPr>
                  <w:tcW w:w="0" w:type="auto"/>
                  <w:vAlign w:val="center"/>
                </w:tcPr>
                <w:p>
                  <w:pPr>
                    <w:jc w:val="center"/>
                    <w:rPr>
                      <w:b/>
                      <w:bCs/>
                    </w:rPr>
                  </w:pPr>
                  <w:r>
                    <w:rPr>
                      <w:b/>
                      <w:bCs/>
                    </w:rPr>
                    <w:t>均值/范围</w:t>
                  </w:r>
                </w:p>
              </w:tc>
              <w:tc>
                <w:tcPr>
                  <w:tcW w:w="0" w:type="auto"/>
                  <w:vAlign w:val="center"/>
                </w:tcPr>
                <w:p>
                  <w:pPr>
                    <w:jc w:val="center"/>
                    <w:rPr>
                      <w:b/>
                      <w:bCs/>
                    </w:rPr>
                  </w:pPr>
                  <w:r>
                    <w:rPr>
                      <w:b/>
                      <w:bCs/>
                    </w:rPr>
                    <w:t>标准限值</w:t>
                  </w:r>
                </w:p>
              </w:tc>
              <w:tc>
                <w:tcPr>
                  <w:tcW w:w="0" w:type="auto"/>
                  <w:vAlign w:val="center"/>
                </w:tcPr>
                <w:p>
                  <w:pPr>
                    <w:jc w:val="center"/>
                    <w:rPr>
                      <w:b/>
                      <w:bCs/>
                    </w:rPr>
                  </w:pPr>
                  <w:r>
                    <w:rPr>
                      <w:b/>
                      <w:bCs/>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0" w:type="auto"/>
                  <w:vMerge w:val="restart"/>
                  <w:tcBorders>
                    <w:bottom w:val="nil"/>
                  </w:tcBorders>
                  <w:vAlign w:val="center"/>
                </w:tcPr>
                <w:p>
                  <w:pPr>
                    <w:jc w:val="center"/>
                  </w:pPr>
                </w:p>
                <w:p>
                  <w:pPr>
                    <w:jc w:val="center"/>
                  </w:pPr>
                  <w:r>
                    <w:t>pH值</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8.0</w:t>
                  </w:r>
                </w:p>
              </w:tc>
              <w:tc>
                <w:tcPr>
                  <w:tcW w:w="0" w:type="auto"/>
                  <w:vMerge w:val="restart"/>
                  <w:tcBorders>
                    <w:bottom w:val="nil"/>
                  </w:tcBorders>
                  <w:vAlign w:val="center"/>
                </w:tcPr>
                <w:p>
                  <w:pPr>
                    <w:jc w:val="center"/>
                  </w:pPr>
                </w:p>
                <w:p>
                  <w:pPr>
                    <w:jc w:val="center"/>
                  </w:pPr>
                  <w:r>
                    <w:t>7.8~8.0</w:t>
                  </w:r>
                </w:p>
              </w:tc>
              <w:tc>
                <w:tcPr>
                  <w:tcW w:w="0" w:type="auto"/>
                  <w:vMerge w:val="restart"/>
                  <w:tcBorders>
                    <w:bottom w:val="nil"/>
                  </w:tcBorders>
                  <w:vAlign w:val="center"/>
                </w:tcPr>
                <w:p>
                  <w:pPr>
                    <w:jc w:val="center"/>
                  </w:pPr>
                </w:p>
                <w:p>
                  <w:pPr>
                    <w:jc w:val="center"/>
                  </w:pPr>
                  <w:r>
                    <w:t>6~9</w:t>
                  </w:r>
                </w:p>
              </w:tc>
              <w:tc>
                <w:tcPr>
                  <w:tcW w:w="0" w:type="auto"/>
                  <w:vMerge w:val="restart"/>
                  <w:tcBorders>
                    <w:bottom w:val="nil"/>
                  </w:tcBorders>
                  <w:vAlign w:val="center"/>
                </w:tcPr>
                <w:p>
                  <w:pPr>
                    <w:jc w:val="center"/>
                  </w:pPr>
                </w:p>
                <w:p>
                  <w:pPr>
                    <w:jc w:val="center"/>
                  </w:pPr>
                  <w:r>
                    <w:t>无量纲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7.8</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7.9</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0" w:type="auto"/>
                  <w:vMerge w:val="restart"/>
                  <w:tcBorders>
                    <w:bottom w:val="nil"/>
                  </w:tcBorders>
                  <w:vAlign w:val="center"/>
                </w:tcPr>
                <w:p>
                  <w:pPr>
                    <w:jc w:val="center"/>
                  </w:pPr>
                </w:p>
                <w:p>
                  <w:pPr>
                    <w:jc w:val="center"/>
                  </w:pPr>
                  <w:r>
                    <w:t>五日生化需 氧量</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8.8</w:t>
                  </w:r>
                </w:p>
              </w:tc>
              <w:tc>
                <w:tcPr>
                  <w:tcW w:w="0" w:type="auto"/>
                  <w:vMerge w:val="restart"/>
                  <w:tcBorders>
                    <w:bottom w:val="nil"/>
                  </w:tcBorders>
                  <w:vAlign w:val="center"/>
                </w:tcPr>
                <w:p>
                  <w:pPr>
                    <w:jc w:val="center"/>
                  </w:pPr>
                </w:p>
                <w:p>
                  <w:pPr>
                    <w:jc w:val="center"/>
                  </w:pPr>
                  <w:r>
                    <w:t>8.0</w:t>
                  </w:r>
                </w:p>
              </w:tc>
              <w:tc>
                <w:tcPr>
                  <w:tcW w:w="0" w:type="auto"/>
                  <w:vMerge w:val="restart"/>
                  <w:tcBorders>
                    <w:bottom w:val="nil"/>
                  </w:tcBorders>
                  <w:vAlign w:val="center"/>
                </w:tcPr>
                <w:p>
                  <w:pPr>
                    <w:jc w:val="center"/>
                  </w:pPr>
                </w:p>
                <w:p>
                  <w:pPr>
                    <w:jc w:val="center"/>
                  </w:pPr>
                  <w:r>
                    <w:t>300</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7.9</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7.4</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restart"/>
                  <w:tcBorders>
                    <w:bottom w:val="nil"/>
                  </w:tcBorders>
                  <w:vAlign w:val="center"/>
                </w:tcPr>
                <w:p>
                  <w:pPr>
                    <w:jc w:val="center"/>
                  </w:pPr>
                </w:p>
                <w:p>
                  <w:pPr>
                    <w:jc w:val="center"/>
                  </w:pPr>
                  <w:r>
                    <w:t>化学需氧量</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24</w:t>
                  </w:r>
                </w:p>
              </w:tc>
              <w:tc>
                <w:tcPr>
                  <w:tcW w:w="0" w:type="auto"/>
                  <w:vMerge w:val="restart"/>
                  <w:tcBorders>
                    <w:bottom w:val="nil"/>
                  </w:tcBorders>
                  <w:vAlign w:val="center"/>
                </w:tcPr>
                <w:p>
                  <w:pPr>
                    <w:jc w:val="center"/>
                  </w:pPr>
                </w:p>
                <w:p>
                  <w:pPr>
                    <w:jc w:val="center"/>
                  </w:pPr>
                  <w:r>
                    <w:t>23</w:t>
                  </w:r>
                </w:p>
              </w:tc>
              <w:tc>
                <w:tcPr>
                  <w:tcW w:w="0" w:type="auto"/>
                  <w:vMerge w:val="restart"/>
                  <w:tcBorders>
                    <w:bottom w:val="nil"/>
                  </w:tcBorders>
                  <w:vAlign w:val="center"/>
                </w:tcPr>
                <w:p>
                  <w:pPr>
                    <w:jc w:val="center"/>
                  </w:pPr>
                </w:p>
                <w:p>
                  <w:pPr>
                    <w:jc w:val="center"/>
                  </w:pPr>
                  <w:r>
                    <w:t>500</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23</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21</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restart"/>
                  <w:tcBorders>
                    <w:bottom w:val="nil"/>
                  </w:tcBorders>
                  <w:vAlign w:val="center"/>
                </w:tcPr>
                <w:p>
                  <w:pPr>
                    <w:jc w:val="center"/>
                  </w:pPr>
                </w:p>
                <w:p>
                  <w:pPr>
                    <w:jc w:val="center"/>
                  </w:pPr>
                  <w:r>
                    <w:t>悬浮物</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10</w:t>
                  </w:r>
                </w:p>
              </w:tc>
              <w:tc>
                <w:tcPr>
                  <w:tcW w:w="0" w:type="auto"/>
                  <w:vMerge w:val="restart"/>
                  <w:tcBorders>
                    <w:bottom w:val="nil"/>
                  </w:tcBorders>
                  <w:vAlign w:val="center"/>
                </w:tcPr>
                <w:p>
                  <w:pPr>
                    <w:jc w:val="center"/>
                  </w:pPr>
                </w:p>
                <w:p>
                  <w:pPr>
                    <w:jc w:val="center"/>
                  </w:pPr>
                  <w:r>
                    <w:t>9</w:t>
                  </w:r>
                </w:p>
              </w:tc>
              <w:tc>
                <w:tcPr>
                  <w:tcW w:w="0" w:type="auto"/>
                  <w:vMerge w:val="restart"/>
                  <w:tcBorders>
                    <w:bottom w:val="nil"/>
                  </w:tcBorders>
                  <w:vAlign w:val="center"/>
                </w:tcPr>
                <w:p>
                  <w:pPr>
                    <w:jc w:val="center"/>
                  </w:pPr>
                </w:p>
                <w:p>
                  <w:pPr>
                    <w:jc w:val="center"/>
                  </w:pPr>
                  <w:r>
                    <w:t>400</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7</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10</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restart"/>
                  <w:tcBorders>
                    <w:bottom w:val="nil"/>
                  </w:tcBorders>
                  <w:vAlign w:val="center"/>
                </w:tcPr>
                <w:p>
                  <w:pPr>
                    <w:jc w:val="center"/>
                  </w:pPr>
                </w:p>
                <w:p>
                  <w:pPr>
                    <w:jc w:val="center"/>
                  </w:pPr>
                  <w:r>
                    <w:t>氨氮</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0.341</w:t>
                  </w:r>
                </w:p>
              </w:tc>
              <w:tc>
                <w:tcPr>
                  <w:tcW w:w="0" w:type="auto"/>
                  <w:vMerge w:val="restart"/>
                  <w:tcBorders>
                    <w:bottom w:val="nil"/>
                  </w:tcBorders>
                  <w:vAlign w:val="center"/>
                </w:tcPr>
                <w:p>
                  <w:pPr>
                    <w:jc w:val="center"/>
                  </w:pPr>
                </w:p>
                <w:p>
                  <w:pPr>
                    <w:jc w:val="center"/>
                  </w:pPr>
                  <w:r>
                    <w:t>0.333</w:t>
                  </w:r>
                </w:p>
              </w:tc>
              <w:tc>
                <w:tcPr>
                  <w:tcW w:w="0" w:type="auto"/>
                  <w:vMerge w:val="restart"/>
                  <w:tcBorders>
                    <w:bottom w:val="nil"/>
                  </w:tcBorders>
                  <w:vAlign w:val="center"/>
                </w:tcPr>
                <w:p>
                  <w:pPr>
                    <w:jc w:val="center"/>
                  </w:pPr>
                </w:p>
                <w:p>
                  <w:pPr>
                    <w:jc w:val="center"/>
                  </w:pPr>
                  <w:r>
                    <w:t>45</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0.297</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0.360</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restart"/>
                  <w:tcBorders>
                    <w:bottom w:val="nil"/>
                  </w:tcBorders>
                  <w:vAlign w:val="center"/>
                </w:tcPr>
                <w:p>
                  <w:pPr>
                    <w:jc w:val="center"/>
                  </w:pPr>
                </w:p>
                <w:p>
                  <w:pPr>
                    <w:jc w:val="center"/>
                  </w:pPr>
                  <w:r>
                    <w:t>石油类</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ND</w:t>
                  </w:r>
                </w:p>
              </w:tc>
              <w:tc>
                <w:tcPr>
                  <w:tcW w:w="0" w:type="auto"/>
                  <w:vMerge w:val="restart"/>
                  <w:tcBorders>
                    <w:bottom w:val="nil"/>
                  </w:tcBorders>
                  <w:vAlign w:val="center"/>
                </w:tcPr>
                <w:p>
                  <w:pPr>
                    <w:jc w:val="center"/>
                  </w:pPr>
                </w:p>
                <w:p>
                  <w:pPr>
                    <w:jc w:val="center"/>
                  </w:pPr>
                  <w:r>
                    <w:t>ND</w:t>
                  </w:r>
                </w:p>
              </w:tc>
              <w:tc>
                <w:tcPr>
                  <w:tcW w:w="0" w:type="auto"/>
                  <w:vMerge w:val="restart"/>
                  <w:tcBorders>
                    <w:bottom w:val="nil"/>
                  </w:tcBorders>
                  <w:vAlign w:val="center"/>
                </w:tcPr>
                <w:p>
                  <w:pPr>
                    <w:jc w:val="center"/>
                  </w:pPr>
                </w:p>
                <w:p>
                  <w:pPr>
                    <w:jc w:val="center"/>
                  </w:pPr>
                  <w:r>
                    <w:t>20</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center"/>
                </w:tcPr>
                <w:p>
                  <w:pPr>
                    <w:jc w:val="center"/>
                  </w:pPr>
                </w:p>
              </w:tc>
              <w:tc>
                <w:tcPr>
                  <w:tcW w:w="0" w:type="auto"/>
                  <w:vAlign w:val="center"/>
                </w:tcPr>
                <w:p>
                  <w:pPr>
                    <w:jc w:val="center"/>
                  </w:pPr>
                  <w:r>
                    <w:t>废水总排口（2）</w:t>
                  </w:r>
                </w:p>
              </w:tc>
              <w:tc>
                <w:tcPr>
                  <w:tcW w:w="0" w:type="auto"/>
                  <w:vAlign w:val="center"/>
                </w:tcPr>
                <w:p>
                  <w:pPr>
                    <w:jc w:val="center"/>
                  </w:pPr>
                  <w:r>
                    <w:t>4304231129115-Q</w:t>
                  </w:r>
                </w:p>
              </w:tc>
              <w:tc>
                <w:tcPr>
                  <w:tcW w:w="0" w:type="auto"/>
                  <w:vAlign w:val="center"/>
                </w:tcPr>
                <w:p>
                  <w:pPr>
                    <w:jc w:val="center"/>
                  </w:pPr>
                  <w:r>
                    <w:t>ND</w:t>
                  </w: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c>
                <w:tcPr>
                  <w:tcW w:w="0" w:type="auto"/>
                  <w:vMerge w:val="continue"/>
                  <w:tcBorders>
                    <w:top w:val="nil"/>
                    <w:bottom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tcBorders>
                  <w:vAlign w:val="center"/>
                </w:tcPr>
                <w:p>
                  <w:pPr>
                    <w:jc w:val="center"/>
                  </w:pPr>
                </w:p>
              </w:tc>
              <w:tc>
                <w:tcPr>
                  <w:tcW w:w="0" w:type="auto"/>
                  <w:vAlign w:val="center"/>
                </w:tcPr>
                <w:p>
                  <w:pPr>
                    <w:jc w:val="center"/>
                  </w:pPr>
                  <w:r>
                    <w:t>废水总排口（3）</w:t>
                  </w:r>
                </w:p>
              </w:tc>
              <w:tc>
                <w:tcPr>
                  <w:tcW w:w="0" w:type="auto"/>
                  <w:vAlign w:val="center"/>
                </w:tcPr>
                <w:p>
                  <w:pPr>
                    <w:jc w:val="center"/>
                  </w:pPr>
                  <w:r>
                    <w:t>4304231129116-Q</w:t>
                  </w:r>
                </w:p>
              </w:tc>
              <w:tc>
                <w:tcPr>
                  <w:tcW w:w="0" w:type="auto"/>
                  <w:vAlign w:val="center"/>
                </w:tcPr>
                <w:p>
                  <w:pPr>
                    <w:jc w:val="center"/>
                  </w:pPr>
                  <w:r>
                    <w:t>ND</w:t>
                  </w: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c>
                <w:tcPr>
                  <w:tcW w:w="0" w:type="auto"/>
                  <w:vMerge w:val="continue"/>
                  <w:tcBorders>
                    <w:top w:val="nil"/>
                  </w:tcBorders>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restart"/>
                  <w:tcBorders>
                    <w:bottom w:val="nil"/>
                  </w:tcBorders>
                  <w:vAlign w:val="center"/>
                </w:tcPr>
                <w:p>
                  <w:pPr>
                    <w:jc w:val="center"/>
                  </w:pPr>
                </w:p>
                <w:p>
                  <w:pPr>
                    <w:jc w:val="center"/>
                  </w:pPr>
                  <w:r>
                    <w:t>阴离子表面 活性剂</w:t>
                  </w:r>
                </w:p>
              </w:tc>
              <w:tc>
                <w:tcPr>
                  <w:tcW w:w="0" w:type="auto"/>
                  <w:vAlign w:val="center"/>
                </w:tcPr>
                <w:p>
                  <w:pPr>
                    <w:jc w:val="center"/>
                  </w:pPr>
                  <w:r>
                    <w:t>废水总排口（1）</w:t>
                  </w:r>
                </w:p>
              </w:tc>
              <w:tc>
                <w:tcPr>
                  <w:tcW w:w="0" w:type="auto"/>
                  <w:vAlign w:val="center"/>
                </w:tcPr>
                <w:p>
                  <w:pPr>
                    <w:jc w:val="center"/>
                  </w:pPr>
                  <w:r>
                    <w:t>4304231129114-Q</w:t>
                  </w:r>
                </w:p>
              </w:tc>
              <w:tc>
                <w:tcPr>
                  <w:tcW w:w="0" w:type="auto"/>
                  <w:vAlign w:val="center"/>
                </w:tcPr>
                <w:p>
                  <w:pPr>
                    <w:jc w:val="center"/>
                  </w:pPr>
                  <w:r>
                    <w:t>ND</w:t>
                  </w:r>
                </w:p>
              </w:tc>
              <w:tc>
                <w:tcPr>
                  <w:tcW w:w="0" w:type="auto"/>
                  <w:vMerge w:val="restart"/>
                  <w:tcBorders>
                    <w:bottom w:val="nil"/>
                  </w:tcBorders>
                  <w:vAlign w:val="center"/>
                </w:tcPr>
                <w:p>
                  <w:pPr>
                    <w:jc w:val="center"/>
                  </w:pPr>
                </w:p>
                <w:p>
                  <w:pPr>
                    <w:jc w:val="center"/>
                  </w:pPr>
                  <w:r>
                    <w:t>ND</w:t>
                  </w:r>
                </w:p>
              </w:tc>
              <w:tc>
                <w:tcPr>
                  <w:tcW w:w="0" w:type="auto"/>
                  <w:vMerge w:val="restart"/>
                  <w:tcBorders>
                    <w:bottom w:val="nil"/>
                  </w:tcBorders>
                  <w:vAlign w:val="center"/>
                </w:tcPr>
                <w:p>
                  <w:pPr>
                    <w:jc w:val="center"/>
                  </w:pPr>
                </w:p>
                <w:p>
                  <w:pPr>
                    <w:jc w:val="center"/>
                  </w:pPr>
                  <w:r>
                    <w:t>20</w:t>
                  </w:r>
                </w:p>
              </w:tc>
              <w:tc>
                <w:tcPr>
                  <w:tcW w:w="0" w:type="auto"/>
                  <w:vMerge w:val="restart"/>
                  <w:tcBorders>
                    <w:bottom w:val="nil"/>
                  </w:tcBorders>
                  <w:vAlign w:val="center"/>
                </w:tcPr>
                <w:p>
                  <w:pPr>
                    <w:jc w:val="center"/>
                  </w:pPr>
                </w:p>
                <w:p>
                  <w:pPr>
                    <w:jc w:val="center"/>
                  </w:pPr>
                  <w:r>
                    <w:t>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bottom w:val="nil"/>
                  </w:tcBorders>
                  <w:vAlign w:val="top"/>
                </w:tcPr>
                <w:p>
                  <w:pPr>
                    <w:jc w:val="left"/>
                  </w:pPr>
                </w:p>
              </w:tc>
              <w:tc>
                <w:tcPr>
                  <w:tcW w:w="0" w:type="auto"/>
                  <w:vAlign w:val="top"/>
                </w:tcPr>
                <w:p>
                  <w:pPr>
                    <w:jc w:val="left"/>
                  </w:pPr>
                  <w:r>
                    <w:t>废水总排口（2）</w:t>
                  </w:r>
                </w:p>
              </w:tc>
              <w:tc>
                <w:tcPr>
                  <w:tcW w:w="0" w:type="auto"/>
                  <w:vAlign w:val="top"/>
                </w:tcPr>
                <w:p>
                  <w:pPr>
                    <w:jc w:val="left"/>
                  </w:pPr>
                  <w:r>
                    <w:t>4304231129115-Q</w:t>
                  </w:r>
                </w:p>
              </w:tc>
              <w:tc>
                <w:tcPr>
                  <w:tcW w:w="0" w:type="auto"/>
                  <w:vAlign w:val="top"/>
                </w:tcPr>
                <w:p>
                  <w:pPr>
                    <w:jc w:val="left"/>
                  </w:pPr>
                  <w:r>
                    <w:t>ND</w:t>
                  </w:r>
                </w:p>
              </w:tc>
              <w:tc>
                <w:tcPr>
                  <w:tcW w:w="0" w:type="auto"/>
                  <w:vMerge w:val="continue"/>
                  <w:tcBorders>
                    <w:top w:val="nil"/>
                    <w:bottom w:val="nil"/>
                  </w:tcBorders>
                  <w:vAlign w:val="top"/>
                </w:tcPr>
                <w:p>
                  <w:pPr>
                    <w:jc w:val="left"/>
                  </w:pPr>
                </w:p>
              </w:tc>
              <w:tc>
                <w:tcPr>
                  <w:tcW w:w="0" w:type="auto"/>
                  <w:vMerge w:val="continue"/>
                  <w:tcBorders>
                    <w:top w:val="nil"/>
                    <w:bottom w:val="nil"/>
                  </w:tcBorders>
                  <w:vAlign w:val="top"/>
                </w:tcPr>
                <w:p>
                  <w:pPr>
                    <w:jc w:val="left"/>
                  </w:pPr>
                </w:p>
              </w:tc>
              <w:tc>
                <w:tcPr>
                  <w:tcW w:w="0" w:type="auto"/>
                  <w:vMerge w:val="continue"/>
                  <w:tcBorders>
                    <w:top w:val="nil"/>
                    <w:bottom w:val="nil"/>
                  </w:tcBorders>
                  <w:vAlign w:val="top"/>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0" w:type="auto"/>
                  <w:vMerge w:val="continue"/>
                  <w:tcBorders>
                    <w:top w:val="nil"/>
                  </w:tcBorders>
                  <w:vAlign w:val="top"/>
                </w:tcPr>
                <w:p>
                  <w:pPr>
                    <w:jc w:val="left"/>
                  </w:pPr>
                </w:p>
              </w:tc>
              <w:tc>
                <w:tcPr>
                  <w:tcW w:w="0" w:type="auto"/>
                  <w:vAlign w:val="top"/>
                </w:tcPr>
                <w:p>
                  <w:pPr>
                    <w:jc w:val="left"/>
                  </w:pPr>
                  <w:r>
                    <w:t>废水总排口（3）</w:t>
                  </w:r>
                </w:p>
              </w:tc>
              <w:tc>
                <w:tcPr>
                  <w:tcW w:w="0" w:type="auto"/>
                  <w:vAlign w:val="top"/>
                </w:tcPr>
                <w:p>
                  <w:pPr>
                    <w:jc w:val="left"/>
                  </w:pPr>
                  <w:r>
                    <w:t>4304231129116-Q</w:t>
                  </w:r>
                </w:p>
              </w:tc>
              <w:tc>
                <w:tcPr>
                  <w:tcW w:w="0" w:type="auto"/>
                  <w:vAlign w:val="top"/>
                </w:tcPr>
                <w:p>
                  <w:pPr>
                    <w:jc w:val="left"/>
                  </w:pPr>
                  <w:r>
                    <w:t>ND</w:t>
                  </w:r>
                </w:p>
              </w:tc>
              <w:tc>
                <w:tcPr>
                  <w:tcW w:w="0" w:type="auto"/>
                  <w:vMerge w:val="continue"/>
                  <w:tcBorders>
                    <w:top w:val="nil"/>
                  </w:tcBorders>
                  <w:vAlign w:val="top"/>
                </w:tcPr>
                <w:p>
                  <w:pPr>
                    <w:jc w:val="left"/>
                  </w:pPr>
                </w:p>
              </w:tc>
              <w:tc>
                <w:tcPr>
                  <w:tcW w:w="0" w:type="auto"/>
                  <w:vMerge w:val="continue"/>
                  <w:tcBorders>
                    <w:top w:val="nil"/>
                  </w:tcBorders>
                  <w:vAlign w:val="top"/>
                </w:tcPr>
                <w:p>
                  <w:pPr>
                    <w:jc w:val="left"/>
                  </w:pPr>
                </w:p>
              </w:tc>
              <w:tc>
                <w:tcPr>
                  <w:tcW w:w="0" w:type="auto"/>
                  <w:vMerge w:val="continue"/>
                  <w:tcBorders>
                    <w:top w:val="nil"/>
                  </w:tcBorders>
                  <w:vAlign w:val="top"/>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0" w:type="auto"/>
                  <w:vAlign w:val="top"/>
                </w:tcPr>
                <w:p>
                  <w:pPr>
                    <w:jc w:val="left"/>
                  </w:pPr>
                </w:p>
                <w:p>
                  <w:pPr>
                    <w:jc w:val="left"/>
                  </w:pPr>
                  <w:r>
                    <w:t>备注</w:t>
                  </w:r>
                </w:p>
              </w:tc>
              <w:tc>
                <w:tcPr>
                  <w:tcW w:w="0" w:type="auto"/>
                  <w:gridSpan w:val="6"/>
                  <w:vAlign w:val="top"/>
                </w:tcPr>
                <w:p>
                  <w:pPr>
                    <w:jc w:val="left"/>
                  </w:pPr>
                  <w:r>
                    <w:t>表中标准限值由委托方指定，氨氮标准限值依据《污水排入城镇下水道水质标准》（GB/T  31962-2015）表 1 中相关标准；其余项 目依据《污水综合排放标准》（GB 8978-1996）表 4 中三级标准。</w:t>
                  </w:r>
                </w:p>
              </w:tc>
            </w:tr>
          </w:tbl>
          <w:p>
            <w:pPr>
              <w:pStyle w:val="27"/>
              <w:keepNext w:val="0"/>
              <w:keepLines w:val="0"/>
              <w:pageBreakBefore w:val="0"/>
              <w:widowControl w:val="0"/>
              <w:kinsoku/>
              <w:wordWrap/>
              <w:overflowPunct/>
              <w:topLinePunct w:val="0"/>
              <w:autoSpaceDE/>
              <w:autoSpaceDN/>
              <w:bidi w:val="0"/>
              <w:adjustRightInd w:val="0"/>
              <w:snapToGrid w:val="0"/>
              <w:spacing w:before="157" w:beforeLines="50"/>
              <w:ind w:left="0" w:leftChars="0" w:firstLine="420" w:firstLineChars="200"/>
              <w:jc w:val="both"/>
              <w:textAlignment w:val="auto"/>
              <w:rPr>
                <w:rFonts w:hint="eastAsia"/>
                <w:b w:val="0"/>
                <w:bCs w:val="0"/>
                <w:color w:val="000000"/>
                <w:lang w:val="en-US" w:eastAsia="zh-CN"/>
              </w:rPr>
            </w:pPr>
            <w:r>
              <w:rPr>
                <w:rFonts w:hint="eastAsia"/>
                <w:b w:val="0"/>
                <w:bCs w:val="0"/>
                <w:color w:val="000000"/>
                <w:lang w:val="en-US" w:eastAsia="zh-CN"/>
              </w:rPr>
              <w:t>根据检测结果，本项目现有工程废水水质能满足《污水综合排放标准》（GB8978-1996）表4三级标准以及桃源县污水处理厂进水水质要求。</w:t>
            </w:r>
          </w:p>
          <w:p>
            <w:pPr>
              <w:keepNext w:val="0"/>
              <w:keepLines w:val="0"/>
              <w:widowControl/>
              <w:numPr>
                <w:ilvl w:val="0"/>
                <w:numId w:val="1"/>
              </w:numPr>
              <w:suppressLineNumbers w:val="0"/>
              <w:spacing w:line="360" w:lineRule="auto"/>
              <w:jc w:val="left"/>
              <w:rPr>
                <w:b/>
                <w:bCs/>
                <w:sz w:val="21"/>
                <w:szCs w:val="21"/>
              </w:rPr>
            </w:pPr>
            <w:r>
              <w:rPr>
                <w:rFonts w:hint="eastAsia"/>
                <w:b/>
                <w:bCs/>
                <w:sz w:val="21"/>
                <w:szCs w:val="21"/>
              </w:rPr>
              <w:t>现有环境问题及以新带老措施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根据现场踏勘以及竣工环境保护验收报告结论，项目运营期间各类污染物等均处置合理，无遗留环境污染问题。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cs="Times New Roman"/>
                <w:bCs/>
                <w:szCs w:val="21"/>
                <w:lang w:eastAsia="zh-CN"/>
              </w:rPr>
            </w:pPr>
          </w:p>
        </w:tc>
      </w:tr>
    </w:tbl>
    <w:p>
      <w:pPr>
        <w:pStyle w:val="6"/>
        <w:tabs>
          <w:tab w:val="left" w:pos="332"/>
          <w:tab w:val="center" w:pos="6506"/>
        </w:tabs>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8"/>
        <w:tblW w:w="9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0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7"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区域</w:t>
            </w:r>
          </w:p>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9061"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20" w:line="240" w:lineRule="auto"/>
              <w:ind w:left="544"/>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 xml:space="preserve"> 1.环境空气质量现状</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环境空气质量</w:t>
            </w:r>
            <w:r>
              <w:rPr>
                <w:rFonts w:hint="default" w:ascii="Times New Roman" w:hAnsi="Times New Roman" w:eastAsia="宋体" w:cs="Times New Roman"/>
                <w:sz w:val="21"/>
                <w:szCs w:val="21"/>
                <w:highlight w:val="none"/>
                <w:lang w:val="en-US" w:eastAsia="zh-CN"/>
              </w:rPr>
              <w:t>标准</w:t>
            </w:r>
            <w:r>
              <w:rPr>
                <w:rFonts w:hint="default" w:ascii="Times New Roman" w:hAnsi="Times New Roman" w:eastAsia="宋体" w:cs="Times New Roman"/>
                <w:sz w:val="21"/>
                <w:szCs w:val="21"/>
                <w:highlight w:val="none"/>
              </w:rPr>
              <w:t>：执行《环境空气质量标准》（GB3095-2012）中二级标准。</w:t>
            </w:r>
          </w:p>
          <w:p>
            <w:pPr>
              <w:autoSpaceDE w:val="0"/>
              <w:autoSpaceDN w:val="0"/>
              <w:adjustRightInd w:val="0"/>
              <w:snapToGrid w:val="0"/>
              <w:spacing w:line="360" w:lineRule="auto"/>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环境影响评价技术导则—大气环境》（HJ2.2-2018），项目所在区域达标判定，优先采用国家或地方生态环境主管部门公开发布的评价基准年环境质量公告或环境质量报告中的数据或结论，本次环境影响评价空气质量现状监测数据引用《202</w:t>
            </w: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年1-12月常德市环境空气质量状况</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中</w:t>
            </w:r>
            <w:r>
              <w:rPr>
                <w:rFonts w:hint="eastAsia" w:cs="Times New Roman"/>
                <w:sz w:val="21"/>
                <w:szCs w:val="21"/>
                <w:highlight w:val="none"/>
                <w:lang w:val="en-US" w:eastAsia="zh-CN"/>
              </w:rPr>
              <w:t>桃源</w:t>
            </w:r>
            <w:r>
              <w:rPr>
                <w:rFonts w:hint="default" w:ascii="Times New Roman" w:hAnsi="Times New Roman" w:eastAsia="宋体" w:cs="Times New Roman"/>
                <w:sz w:val="21"/>
                <w:szCs w:val="21"/>
                <w:highlight w:val="none"/>
                <w:lang w:val="en-US" w:eastAsia="zh-CN"/>
              </w:rPr>
              <w:t>县的基本污染物环境质量现状数据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202</w:t>
            </w:r>
            <w:r>
              <w:rPr>
                <w:rFonts w:hint="eastAsia" w:cs="Times New Roman"/>
                <w:sz w:val="21"/>
                <w:szCs w:val="21"/>
                <w:highlight w:val="none"/>
                <w:lang w:val="en-US" w:eastAsia="zh-CN"/>
              </w:rPr>
              <w:t>3</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桃源</w:t>
            </w:r>
            <w:r>
              <w:rPr>
                <w:rFonts w:hint="eastAsia" w:cs="Times New Roman"/>
                <w:sz w:val="21"/>
                <w:szCs w:val="21"/>
                <w:highlight w:val="none"/>
                <w:lang w:eastAsia="zh-CN"/>
              </w:rPr>
              <w:t>县</w:t>
            </w:r>
            <w:r>
              <w:rPr>
                <w:rFonts w:hint="default" w:ascii="Times New Roman" w:hAnsi="Times New Roman" w:eastAsia="宋体" w:cs="Times New Roman"/>
                <w:sz w:val="21"/>
                <w:szCs w:val="21"/>
                <w:highlight w:val="none"/>
              </w:rPr>
              <w:t>环境空气质量状况统计情况见表 3-1 。</w:t>
            </w:r>
          </w:p>
          <w:p>
            <w:pPr>
              <w:pStyle w:val="15"/>
              <w:spacing w:before="163" w:line="226" w:lineRule="auto"/>
              <w:ind w:left="1833"/>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表 3-1 项目区域 202</w:t>
            </w:r>
            <w:r>
              <w:rPr>
                <w:rFonts w:hint="eastAsia" w:ascii="Times New Roman" w:hAnsi="Times New Roman" w:cs="Times New Roman"/>
                <w:b/>
                <w:bCs/>
                <w:kern w:val="2"/>
                <w:sz w:val="21"/>
                <w:szCs w:val="21"/>
                <w:highlight w:val="none"/>
                <w:lang w:val="en-US" w:eastAsia="zh-CN" w:bidi="ar-SA"/>
              </w:rPr>
              <w:t>3</w:t>
            </w:r>
            <w:r>
              <w:rPr>
                <w:rFonts w:hint="default" w:ascii="Times New Roman" w:hAnsi="Times New Roman" w:eastAsia="宋体" w:cs="Times New Roman"/>
                <w:b/>
                <w:bCs/>
                <w:kern w:val="2"/>
                <w:sz w:val="21"/>
                <w:szCs w:val="21"/>
                <w:highlight w:val="none"/>
                <w:lang w:val="en-US" w:eastAsia="zh-CN" w:bidi="ar-SA"/>
              </w:rPr>
              <w:t xml:space="preserve"> 年 1~12 月环境空气质量现状评价表</w:t>
            </w:r>
          </w:p>
          <w:p>
            <w:pPr>
              <w:spacing w:line="132" w:lineRule="exact"/>
              <w:rPr>
                <w:rFonts w:hint="default" w:ascii="Times New Roman" w:hAnsi="Times New Roman" w:eastAsia="宋体" w:cs="Times New Roman"/>
                <w:sz w:val="21"/>
                <w:szCs w:val="21"/>
              </w:rPr>
            </w:pPr>
          </w:p>
          <w:tbl>
            <w:tblPr>
              <w:tblStyle w:val="16"/>
              <w:tblW w:w="7963" w:type="dxa"/>
              <w:tblInd w:w="5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0"/>
              <w:gridCol w:w="1325"/>
              <w:gridCol w:w="1460"/>
              <w:gridCol w:w="1350"/>
              <w:gridCol w:w="1167"/>
              <w:gridCol w:w="1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330" w:type="dxa"/>
                  <w:vAlign w:val="top"/>
                </w:tcPr>
                <w:p>
                  <w:pPr>
                    <w:pStyle w:val="15"/>
                    <w:spacing w:before="174" w:line="228" w:lineRule="auto"/>
                    <w:ind w:left="250"/>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监测因子</w:t>
                  </w:r>
                </w:p>
              </w:tc>
              <w:tc>
                <w:tcPr>
                  <w:tcW w:w="1325" w:type="dxa"/>
                  <w:vAlign w:val="top"/>
                </w:tcPr>
                <w:p>
                  <w:pPr>
                    <w:pStyle w:val="15"/>
                    <w:spacing w:before="174" w:line="226" w:lineRule="auto"/>
                    <w:ind w:left="139"/>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年评价指标</w:t>
                  </w:r>
                </w:p>
              </w:tc>
              <w:tc>
                <w:tcPr>
                  <w:tcW w:w="1460" w:type="dxa"/>
                  <w:vAlign w:val="top"/>
                </w:tcPr>
                <w:p>
                  <w:pPr>
                    <w:pStyle w:val="15"/>
                    <w:spacing w:before="34" w:line="256" w:lineRule="auto"/>
                    <w:ind w:left="298" w:right="238" w:hanging="50"/>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现状浓度 /(ug/m3)</w:t>
                  </w:r>
                </w:p>
              </w:tc>
              <w:tc>
                <w:tcPr>
                  <w:tcW w:w="1350" w:type="dxa"/>
                  <w:vAlign w:val="top"/>
                </w:tcPr>
                <w:p>
                  <w:pPr>
                    <w:pStyle w:val="15"/>
                    <w:spacing w:before="35" w:line="333" w:lineRule="exact"/>
                    <w:ind w:left="353"/>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标准值</w:t>
                  </w:r>
                </w:p>
                <w:p>
                  <w:pPr>
                    <w:spacing w:line="196" w:lineRule="auto"/>
                    <w:ind w:left="298"/>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/(ug/m3)</w:t>
                  </w:r>
                </w:p>
              </w:tc>
              <w:tc>
                <w:tcPr>
                  <w:tcW w:w="1167" w:type="dxa"/>
                  <w:vAlign w:val="top"/>
                </w:tcPr>
                <w:p>
                  <w:pPr>
                    <w:pStyle w:val="15"/>
                    <w:spacing w:before="173" w:line="228" w:lineRule="auto"/>
                    <w:ind w:left="253"/>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占标率/%</w:t>
                  </w:r>
                </w:p>
              </w:tc>
              <w:tc>
                <w:tcPr>
                  <w:tcW w:w="1331" w:type="dxa"/>
                  <w:vAlign w:val="top"/>
                </w:tcPr>
                <w:p>
                  <w:pPr>
                    <w:pStyle w:val="15"/>
                    <w:spacing w:before="174" w:line="228" w:lineRule="auto"/>
                    <w:ind w:left="248"/>
                    <w:jc w:val="both"/>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达标情况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pacing w:val="8"/>
                      <w:sz w:val="21"/>
                      <w:szCs w:val="21"/>
                    </w:rPr>
                    <w:t>2.5</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年平均浓度</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31</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88.6</w:t>
                  </w:r>
                </w:p>
              </w:tc>
              <w:tc>
                <w:tcPr>
                  <w:tcW w:w="1331"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PM</w:t>
                  </w:r>
                  <w:r>
                    <w:rPr>
                      <w:rFonts w:hint="default" w:ascii="Times New Roman" w:hAnsi="Times New Roman" w:eastAsia="宋体" w:cs="Times New Roman"/>
                      <w:spacing w:val="9"/>
                      <w:sz w:val="21"/>
                      <w:szCs w:val="21"/>
                    </w:rPr>
                    <w:t>10</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年平均浓度</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pacing w:val="3"/>
                      <w:sz w:val="21"/>
                      <w:szCs w:val="21"/>
                    </w:rPr>
                    <w:t>4</w:t>
                  </w:r>
                  <w:r>
                    <w:rPr>
                      <w:rFonts w:hint="eastAsia" w:cs="Times New Roman"/>
                      <w:spacing w:val="3"/>
                      <w:sz w:val="21"/>
                      <w:szCs w:val="21"/>
                      <w:lang w:val="en-US" w:eastAsia="zh-CN"/>
                    </w:rPr>
                    <w:t>8</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70</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68.6</w:t>
                  </w:r>
                </w:p>
              </w:tc>
              <w:tc>
                <w:tcPr>
                  <w:tcW w:w="1331"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w:t>
                  </w:r>
                  <w:r>
                    <w:rPr>
                      <w:rFonts w:hint="default" w:ascii="Times New Roman" w:hAnsi="Times New Roman" w:eastAsia="宋体" w:cs="Times New Roman"/>
                      <w:spacing w:val="4"/>
                      <w:sz w:val="21"/>
                      <w:szCs w:val="21"/>
                    </w:rPr>
                    <w:t>2</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年平均浓度</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6</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331"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NO2</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年平均浓度</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pacing w:val="-9"/>
                      <w:sz w:val="21"/>
                      <w:szCs w:val="21"/>
                      <w:lang w:val="en-US" w:eastAsia="zh-CN"/>
                    </w:rPr>
                    <w:t>12</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30</w:t>
                  </w:r>
                </w:p>
              </w:tc>
              <w:tc>
                <w:tcPr>
                  <w:tcW w:w="1331"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CO</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right="106" w:firstLine="52"/>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 xml:space="preserve">24h平均浓 </w:t>
                  </w:r>
                  <w:r>
                    <w:rPr>
                      <w:rFonts w:hint="default" w:ascii="Times New Roman" w:hAnsi="Times New Roman" w:eastAsia="宋体" w:cs="Times New Roman"/>
                      <w:spacing w:val="7"/>
                      <w:sz w:val="21"/>
                      <w:szCs w:val="21"/>
                    </w:rPr>
                    <w:t>度9</w:t>
                  </w:r>
                  <w:r>
                    <w:rPr>
                      <w:rFonts w:hint="eastAsia" w:ascii="Times New Roman" w:hAnsi="Times New Roman" w:cs="Times New Roman"/>
                      <w:spacing w:val="7"/>
                      <w:sz w:val="21"/>
                      <w:szCs w:val="21"/>
                      <w:lang w:val="en-US" w:eastAsia="zh-CN"/>
                    </w:rPr>
                    <w:t>5</w:t>
                  </w:r>
                  <w:r>
                    <w:rPr>
                      <w:rFonts w:hint="default" w:ascii="Times New Roman" w:hAnsi="Times New Roman" w:eastAsia="宋体" w:cs="Times New Roman"/>
                      <w:spacing w:val="7"/>
                      <w:sz w:val="21"/>
                      <w:szCs w:val="21"/>
                    </w:rPr>
                    <w:t>百分位</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1"/>
                      <w:sz w:val="21"/>
                      <w:szCs w:val="21"/>
                    </w:rPr>
                    <w:t>1</w:t>
                  </w:r>
                  <w:r>
                    <w:rPr>
                      <w:rFonts w:hint="eastAsia" w:cs="Times New Roman"/>
                      <w:spacing w:val="-1"/>
                      <w:sz w:val="21"/>
                      <w:szCs w:val="21"/>
                      <w:lang w:val="en-US" w:eastAsia="zh-CN"/>
                    </w:rPr>
                    <w:t>100</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27.5</w:t>
                  </w:r>
                </w:p>
              </w:tc>
              <w:tc>
                <w:tcPr>
                  <w:tcW w:w="1331"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33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O3</w:t>
                  </w:r>
                </w:p>
              </w:tc>
              <w:tc>
                <w:tcPr>
                  <w:tcW w:w="1325" w:type="dxa"/>
                  <w:vAlign w:val="center"/>
                </w:tcPr>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最大</w:t>
                  </w:r>
                  <w:r>
                    <w:rPr>
                      <w:rFonts w:hint="default" w:ascii="Times New Roman" w:hAnsi="Times New Roman" w:eastAsia="宋体" w:cs="Times New Roman"/>
                      <w:spacing w:val="-55"/>
                      <w:sz w:val="21"/>
                      <w:szCs w:val="21"/>
                    </w:rPr>
                    <w:t xml:space="preserve"> </w:t>
                  </w:r>
                  <w:r>
                    <w:rPr>
                      <w:rFonts w:hint="default" w:ascii="Times New Roman" w:hAnsi="Times New Roman" w:eastAsia="宋体" w:cs="Times New Roman"/>
                      <w:spacing w:val="2"/>
                      <w:sz w:val="21"/>
                      <w:szCs w:val="21"/>
                    </w:rPr>
                    <w:t>8h</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2"/>
                      <w:sz w:val="21"/>
                      <w:szCs w:val="21"/>
                    </w:rPr>
                    <w:t>平均</w:t>
                  </w:r>
                </w:p>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浓度90百分</w:t>
                  </w:r>
                  <w:r>
                    <w:rPr>
                      <w:rFonts w:hint="default" w:ascii="Times New Roman" w:hAnsi="Times New Roman" w:eastAsia="宋体" w:cs="Times New Roman"/>
                      <w:sz w:val="21"/>
                      <w:szCs w:val="21"/>
                    </w:rPr>
                    <w:t>位</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pacing w:val="-4"/>
                      <w:sz w:val="21"/>
                      <w:szCs w:val="21"/>
                      <w:lang w:val="en-US" w:eastAsia="zh-CN"/>
                    </w:rPr>
                    <w:t>126</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160</w:t>
                  </w:r>
                </w:p>
              </w:tc>
              <w:tc>
                <w:tcPr>
                  <w:tcW w:w="1167"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78.8</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p>
                <w:p>
                  <w:pPr>
                    <w:pStyle w:val="15"/>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达标</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Times New Roman" w:hAnsi="Times New Roman" w:eastAsia="宋体" w:cs="Times New Roman"/>
                <w:bCs/>
                <w:szCs w:val="21"/>
                <w:lang w:eastAsia="zh-CN"/>
              </w:rPr>
            </w:pPr>
            <w:r>
              <w:rPr>
                <w:rFonts w:hint="eastAsia" w:ascii="Times New Roman" w:hAnsi="Times New Roman" w:cs="Times New Roman"/>
                <w:bCs/>
                <w:szCs w:val="21"/>
                <w:lang w:val="en-US" w:eastAsia="zh-CN"/>
              </w:rPr>
              <w:t xml:space="preserve">    </w:t>
            </w:r>
            <w:r>
              <w:rPr>
                <w:rFonts w:hint="default" w:ascii="Times New Roman" w:hAnsi="Times New Roman" w:cs="Times New Roman"/>
                <w:bCs/>
                <w:szCs w:val="21"/>
              </w:rPr>
              <w:t>经判定 PM2.5 、PM10 、SO2 、NO2 年平均浓度、CO24  小时平均浓度、O3 最大8小时平</w:t>
            </w:r>
            <w:r>
              <w:rPr>
                <w:rFonts w:hint="eastAsia" w:ascii="Times New Roman" w:hAnsi="Times New Roman" w:cs="Times New Roman"/>
                <w:bCs/>
                <w:szCs w:val="21"/>
                <w:lang w:eastAsia="zh-CN"/>
              </w:rPr>
              <w:t>均</w:t>
            </w:r>
            <w:r>
              <w:rPr>
                <w:rFonts w:hint="default" w:ascii="Times New Roman" w:hAnsi="Times New Roman" w:cs="Times New Roman"/>
                <w:bCs/>
                <w:szCs w:val="21"/>
              </w:rPr>
              <w:t>浓度均符合《环境空气质量标准》（GB3095-2012）二级标准，因此判定项目所在区域为达标区</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（2）其他污染物环境质量现状监测</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根据本项目工艺流程及产污环节示意图，本次环评的环境空气质量调查其他污染为：非甲烷总烃。</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①监测点位及基本信息本次评价引用《中国石化销售股份有限公司湖南常德桃源石油分公司新河桥加油站废气检测》中中国检验认证集团湖南有限公司对</w:t>
            </w:r>
            <w:r>
              <w:rPr>
                <w:rFonts w:hint="eastAsia" w:ascii="Times New Roman" w:hAnsi="Times New Roman" w:cs="Times New Roman"/>
                <w:kern w:val="2"/>
                <w:sz w:val="21"/>
                <w:szCs w:val="21"/>
                <w:highlight w:val="none"/>
                <w:lang w:val="en-US" w:eastAsia="zh-CN" w:bidi="ar-SA"/>
              </w:rPr>
              <w:t>本</w:t>
            </w:r>
            <w:r>
              <w:rPr>
                <w:rFonts w:hint="default" w:ascii="Times New Roman" w:hAnsi="Times New Roman" w:eastAsia="宋体" w:cs="Times New Roman"/>
                <w:kern w:val="2"/>
                <w:sz w:val="21"/>
                <w:szCs w:val="21"/>
                <w:highlight w:val="none"/>
                <w:lang w:val="en-US" w:eastAsia="zh-CN" w:bidi="ar-SA"/>
              </w:rPr>
              <w:t>项目进行的现状监测结果。监测时间为 202</w:t>
            </w:r>
            <w:r>
              <w:rPr>
                <w:rFonts w:hint="eastAsia" w:ascii="Times New Roman" w:hAnsi="Times New Roman" w:cs="Times New Roman"/>
                <w:kern w:val="2"/>
                <w:sz w:val="21"/>
                <w:szCs w:val="21"/>
                <w:highlight w:val="none"/>
                <w:lang w:val="en-US" w:eastAsia="zh-CN" w:bidi="ar-SA"/>
              </w:rPr>
              <w:t>3</w:t>
            </w:r>
            <w:r>
              <w:rPr>
                <w:rFonts w:hint="default" w:ascii="Times New Roman" w:hAnsi="Times New Roman" w:eastAsia="宋体" w:cs="Times New Roman"/>
                <w:kern w:val="2"/>
                <w:sz w:val="21"/>
                <w:szCs w:val="21"/>
                <w:highlight w:val="none"/>
                <w:lang w:val="en-US" w:eastAsia="zh-CN" w:bidi="ar-SA"/>
              </w:rPr>
              <w:t>年</w:t>
            </w:r>
            <w:r>
              <w:rPr>
                <w:rFonts w:hint="eastAsia" w:ascii="Times New Roman" w:hAnsi="Times New Roman" w:cs="Times New Roman"/>
                <w:kern w:val="2"/>
                <w:sz w:val="21"/>
                <w:szCs w:val="21"/>
                <w:highlight w:val="none"/>
                <w:lang w:val="en-US" w:eastAsia="zh-CN" w:bidi="ar-SA"/>
              </w:rPr>
              <w:t>9</w:t>
            </w:r>
            <w:r>
              <w:rPr>
                <w:rFonts w:hint="default" w:ascii="Times New Roman" w:hAnsi="Times New Roman" w:eastAsia="宋体" w:cs="Times New Roman"/>
                <w:kern w:val="2"/>
                <w:sz w:val="21"/>
                <w:szCs w:val="21"/>
                <w:highlight w:val="none"/>
                <w:lang w:val="en-US" w:eastAsia="zh-CN" w:bidi="ar-SA"/>
              </w:rPr>
              <w:t>月</w:t>
            </w:r>
            <w:r>
              <w:rPr>
                <w:rFonts w:hint="eastAsia" w:ascii="Times New Roman" w:hAnsi="Times New Roman" w:cs="Times New Roman"/>
                <w:kern w:val="2"/>
                <w:sz w:val="21"/>
                <w:szCs w:val="21"/>
                <w:highlight w:val="none"/>
                <w:lang w:val="en-US" w:eastAsia="zh-CN" w:bidi="ar-SA"/>
              </w:rPr>
              <w:t>07</w:t>
            </w:r>
            <w:r>
              <w:rPr>
                <w:rFonts w:hint="default" w:ascii="Times New Roman" w:hAnsi="Times New Roman" w:eastAsia="宋体" w:cs="Times New Roman"/>
                <w:kern w:val="2"/>
                <w:sz w:val="21"/>
                <w:szCs w:val="21"/>
                <w:highlight w:val="none"/>
                <w:lang w:val="en-US" w:eastAsia="zh-CN" w:bidi="ar-SA"/>
              </w:rPr>
              <w:t>日。监测点位在本项目</w:t>
            </w:r>
            <w:r>
              <w:rPr>
                <w:rFonts w:hint="eastAsia" w:ascii="Times New Roman" w:hAnsi="Times New Roman" w:cs="Times New Roman"/>
                <w:kern w:val="2"/>
                <w:sz w:val="21"/>
                <w:szCs w:val="21"/>
                <w:highlight w:val="none"/>
                <w:lang w:val="en-US" w:eastAsia="zh-CN" w:bidi="ar-SA"/>
              </w:rPr>
              <w:t>厂界</w:t>
            </w:r>
            <w:r>
              <w:rPr>
                <w:rFonts w:hint="default" w:ascii="Times New Roman" w:hAnsi="Times New Roman" w:eastAsia="宋体" w:cs="Times New Roman"/>
                <w:kern w:val="2"/>
                <w:sz w:val="21"/>
                <w:szCs w:val="21"/>
                <w:highlight w:val="none"/>
                <w:lang w:val="en-US" w:eastAsia="zh-CN" w:bidi="ar-SA"/>
              </w:rPr>
              <w:t>，且数据在3年内。</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②监测结果与评价环境空气质量监测结果见表 3-2。</w:t>
            </w:r>
          </w:p>
          <w:p>
            <w:pPr>
              <w:adjustRightInd w:val="0"/>
              <w:snapToGrid w:val="0"/>
              <w:spacing w:line="360" w:lineRule="auto"/>
              <w:jc w:val="center"/>
              <w:rPr>
                <w:rFonts w:hint="eastAsia"/>
                <w:b/>
                <w:kern w:val="0"/>
                <w:szCs w:val="21"/>
              </w:rPr>
            </w:pPr>
          </w:p>
          <w:p>
            <w:pPr>
              <w:adjustRightInd w:val="0"/>
              <w:snapToGrid w:val="0"/>
              <w:spacing w:line="360" w:lineRule="auto"/>
              <w:jc w:val="center"/>
              <w:rPr>
                <w:rFonts w:hint="eastAsia"/>
                <w:b/>
                <w:kern w:val="0"/>
                <w:szCs w:val="21"/>
              </w:rPr>
            </w:pPr>
          </w:p>
          <w:p>
            <w:pPr>
              <w:adjustRightInd w:val="0"/>
              <w:snapToGrid w:val="0"/>
              <w:spacing w:line="360" w:lineRule="auto"/>
              <w:jc w:val="center"/>
              <w:rPr>
                <w:rFonts w:hint="eastAsia"/>
                <w:b/>
                <w:kern w:val="0"/>
                <w:szCs w:val="21"/>
              </w:rPr>
            </w:pPr>
          </w:p>
          <w:p>
            <w:pPr>
              <w:adjustRightInd w:val="0"/>
              <w:snapToGrid w:val="0"/>
              <w:spacing w:line="360" w:lineRule="auto"/>
              <w:jc w:val="center"/>
              <w:rPr>
                <w:rFonts w:hint="eastAsia"/>
                <w:b/>
                <w:kern w:val="0"/>
                <w:szCs w:val="21"/>
              </w:rPr>
            </w:pPr>
            <w:r>
              <w:rPr>
                <w:rFonts w:hint="eastAsia"/>
                <w:b/>
                <w:kern w:val="0"/>
                <w:szCs w:val="21"/>
              </w:rPr>
              <w:t>表3-</w:t>
            </w:r>
            <w:r>
              <w:rPr>
                <w:b/>
                <w:kern w:val="0"/>
                <w:szCs w:val="21"/>
              </w:rPr>
              <w:t xml:space="preserve">2  </w:t>
            </w:r>
            <w:r>
              <w:rPr>
                <w:rFonts w:hint="eastAsia"/>
                <w:b/>
                <w:kern w:val="0"/>
                <w:szCs w:val="21"/>
              </w:rPr>
              <w:t xml:space="preserve">环境空气质量现状监测结果统计与评价 </w:t>
            </w:r>
            <w:r>
              <w:rPr>
                <w:b/>
                <w:kern w:val="0"/>
                <w:szCs w:val="21"/>
              </w:rPr>
              <w:t xml:space="preserve"> 单位：</w:t>
            </w:r>
            <w:r>
              <w:rPr>
                <w:rFonts w:hint="eastAsia"/>
                <w:b/>
                <w:kern w:val="0"/>
                <w:szCs w:val="21"/>
                <w:lang w:val="en-US" w:eastAsia="zh-CN"/>
              </w:rPr>
              <w:t>u</w:t>
            </w:r>
            <w:r>
              <w:rPr>
                <w:b/>
                <w:szCs w:val="21"/>
              </w:rPr>
              <w:t>g/m</w:t>
            </w:r>
            <w:r>
              <w:rPr>
                <w:b/>
                <w:szCs w:val="21"/>
                <w:vertAlign w:val="superscript"/>
              </w:rPr>
              <w:t>3</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056"/>
              <w:gridCol w:w="919"/>
              <w:gridCol w:w="938"/>
              <w:gridCol w:w="956"/>
              <w:gridCol w:w="1048"/>
              <w:gridCol w:w="1018"/>
              <w:gridCol w:w="1189"/>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53"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监测点位</w:t>
                  </w:r>
                </w:p>
              </w:tc>
              <w:tc>
                <w:tcPr>
                  <w:tcW w:w="530"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监测时间</w:t>
                  </w:r>
                </w:p>
              </w:tc>
              <w:tc>
                <w:tcPr>
                  <w:tcW w:w="528"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项目</w:t>
                  </w:r>
                </w:p>
              </w:tc>
              <w:tc>
                <w:tcPr>
                  <w:tcW w:w="539"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第一次</w:t>
                  </w:r>
                </w:p>
              </w:tc>
              <w:tc>
                <w:tcPr>
                  <w:tcW w:w="549"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第二次</w:t>
                  </w:r>
                </w:p>
              </w:tc>
              <w:tc>
                <w:tcPr>
                  <w:tcW w:w="601"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第三次</w:t>
                  </w:r>
                </w:p>
              </w:tc>
              <w:tc>
                <w:tcPr>
                  <w:tcW w:w="584" w:type="pct"/>
                  <w:shd w:val="clear" w:color="auto" w:fill="auto"/>
                  <w:noWrap w:val="0"/>
                  <w:vAlign w:val="center"/>
                </w:tcPr>
                <w:p>
                  <w:pPr>
                    <w:adjustRightInd w:val="0"/>
                    <w:snapToGrid w:val="0"/>
                    <w:spacing w:line="360" w:lineRule="auto"/>
                    <w:jc w:val="center"/>
                    <w:rPr>
                      <w:rFonts w:hint="eastAsia" w:eastAsia="宋体"/>
                      <w:b/>
                      <w:bCs/>
                      <w:kern w:val="0"/>
                      <w:szCs w:val="21"/>
                      <w:lang w:eastAsia="zh-CN"/>
                    </w:rPr>
                  </w:pPr>
                  <w:r>
                    <w:rPr>
                      <w:rFonts w:hint="eastAsia"/>
                      <w:b/>
                      <w:bCs/>
                      <w:kern w:val="0"/>
                      <w:szCs w:val="21"/>
                      <w:lang w:eastAsia="zh-CN"/>
                    </w:rPr>
                    <w:t>均值</w:t>
                  </w:r>
                </w:p>
              </w:tc>
              <w:tc>
                <w:tcPr>
                  <w:tcW w:w="673"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评价标准</w:t>
                  </w:r>
                </w:p>
              </w:tc>
              <w:tc>
                <w:tcPr>
                  <w:tcW w:w="437" w:type="pct"/>
                  <w:shd w:val="clear" w:color="auto" w:fill="auto"/>
                  <w:noWrap w:val="0"/>
                  <w:vAlign w:val="center"/>
                </w:tcPr>
                <w:p>
                  <w:pPr>
                    <w:adjustRightInd w:val="0"/>
                    <w:snapToGrid w:val="0"/>
                    <w:spacing w:line="360" w:lineRule="auto"/>
                    <w:jc w:val="center"/>
                    <w:rPr>
                      <w:rFonts w:hint="eastAsia"/>
                      <w:b/>
                      <w:bCs/>
                      <w:kern w:val="0"/>
                      <w:szCs w:val="21"/>
                    </w:rPr>
                  </w:pPr>
                  <w:r>
                    <w:rPr>
                      <w:rFonts w:hint="eastAsia"/>
                      <w:b/>
                      <w:bCs/>
                      <w:kern w:val="0"/>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lang w:eastAsia="zh-CN"/>
                    </w:rPr>
                  </w:pPr>
                  <w:r>
                    <w:rPr>
                      <w:rFonts w:hint="eastAsia"/>
                      <w:bCs/>
                      <w:kern w:val="0"/>
                      <w:szCs w:val="21"/>
                      <w:lang w:eastAsia="zh-CN"/>
                    </w:rPr>
                    <w:t>下风向</w:t>
                  </w:r>
                </w:p>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default" w:eastAsia="宋体"/>
                      <w:bCs/>
                      <w:kern w:val="0"/>
                      <w:szCs w:val="21"/>
                      <w:lang w:val="en-US" w:eastAsia="zh-CN"/>
                    </w:rPr>
                  </w:pPr>
                  <w:r>
                    <w:rPr>
                      <w:rFonts w:hint="eastAsia"/>
                      <w:bCs/>
                      <w:kern w:val="0"/>
                      <w:szCs w:val="21"/>
                      <w:lang w:eastAsia="zh-CN"/>
                    </w:rPr>
                    <w:t>○1#</w:t>
                  </w:r>
                </w:p>
              </w:tc>
              <w:tc>
                <w:tcPr>
                  <w:tcW w:w="530"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default" w:eastAsia="宋体"/>
                      <w:bCs/>
                      <w:kern w:val="0"/>
                      <w:szCs w:val="21"/>
                      <w:lang w:val="en-US" w:eastAsia="zh-CN"/>
                    </w:rPr>
                  </w:pPr>
                  <w:r>
                    <w:rPr>
                      <w:rFonts w:hint="eastAsia"/>
                      <w:bCs/>
                      <w:kern w:val="0"/>
                      <w:szCs w:val="21"/>
                      <w:lang w:val="en-US" w:eastAsia="zh-CN"/>
                    </w:rPr>
                    <w:t>2023.9.07</w:t>
                  </w:r>
                </w:p>
              </w:tc>
              <w:tc>
                <w:tcPr>
                  <w:tcW w:w="528"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bCs/>
                      <w:kern w:val="0"/>
                      <w:szCs w:val="21"/>
                    </w:rPr>
                    <w:t>非甲烷总烃</w:t>
                  </w:r>
                </w:p>
              </w:tc>
              <w:tc>
                <w:tcPr>
                  <w:tcW w:w="53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0.24</w:t>
                  </w:r>
                </w:p>
              </w:tc>
              <w:tc>
                <w:tcPr>
                  <w:tcW w:w="54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0.20</w:t>
                  </w:r>
                </w:p>
              </w:tc>
              <w:tc>
                <w:tcPr>
                  <w:tcW w:w="601"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0.24</w:t>
                  </w:r>
                </w:p>
              </w:tc>
              <w:tc>
                <w:tcPr>
                  <w:tcW w:w="584"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0.23</w:t>
                  </w:r>
                </w:p>
              </w:tc>
              <w:tc>
                <w:tcPr>
                  <w:tcW w:w="673"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lang w:val="en-US" w:eastAsia="zh-CN"/>
                    </w:rPr>
                    <w:t>2.0</w:t>
                  </w:r>
                  <w:r>
                    <w:t>（</w:t>
                  </w:r>
                  <w:r>
                    <w:rPr>
                      <w:rFonts w:hint="eastAsia"/>
                      <w:lang w:val="en-US" w:eastAsia="zh-CN"/>
                    </w:rPr>
                    <w:t>m</w:t>
                  </w:r>
                  <w:r>
                    <w:t>g/m³）</w:t>
                  </w:r>
                </w:p>
              </w:tc>
              <w:tc>
                <w:tcPr>
                  <w:tcW w:w="437" w:type="pct"/>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bCs/>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bCs/>
                      <w:kern w:val="0"/>
                      <w:szCs w:val="21"/>
                    </w:rPr>
                    <w:t>下风向</w:t>
                  </w:r>
                </w:p>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bCs/>
                      <w:kern w:val="0"/>
                      <w:szCs w:val="21"/>
                    </w:rPr>
                    <w:t>○2#</w:t>
                  </w:r>
                </w:p>
              </w:tc>
              <w:tc>
                <w:tcPr>
                  <w:tcW w:w="530"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default" w:eastAsia="宋体"/>
                      <w:bCs/>
                      <w:kern w:val="0"/>
                      <w:szCs w:val="21"/>
                      <w:lang w:val="en-US" w:eastAsia="zh-CN"/>
                    </w:rPr>
                  </w:pPr>
                </w:p>
              </w:tc>
              <w:tc>
                <w:tcPr>
                  <w:tcW w:w="528"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c>
                <w:tcPr>
                  <w:tcW w:w="53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1.07</w:t>
                  </w:r>
                </w:p>
              </w:tc>
              <w:tc>
                <w:tcPr>
                  <w:tcW w:w="54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0.96</w:t>
                  </w:r>
                </w:p>
              </w:tc>
              <w:tc>
                <w:tcPr>
                  <w:tcW w:w="601"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eastAsia="宋体" w:cs="Times New Roman"/>
                      <w:bCs/>
                      <w:kern w:val="0"/>
                      <w:sz w:val="21"/>
                      <w:szCs w:val="21"/>
                      <w:lang w:val="en-US" w:eastAsia="zh-CN"/>
                    </w:rPr>
                  </w:pPr>
                  <w:r>
                    <w:rPr>
                      <w:rFonts w:hint="eastAsia" w:cs="Times New Roman"/>
                      <w:bCs/>
                      <w:kern w:val="0"/>
                      <w:sz w:val="21"/>
                      <w:szCs w:val="21"/>
                      <w:lang w:val="en-US" w:eastAsia="zh-CN"/>
                    </w:rPr>
                    <w:t>1.03</w:t>
                  </w:r>
                </w:p>
              </w:tc>
              <w:tc>
                <w:tcPr>
                  <w:tcW w:w="584"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1.02</w:t>
                  </w:r>
                </w:p>
              </w:tc>
              <w:tc>
                <w:tcPr>
                  <w:tcW w:w="673"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c>
                <w:tcPr>
                  <w:tcW w:w="437"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5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bCs/>
                      <w:kern w:val="0"/>
                      <w:szCs w:val="21"/>
                    </w:rPr>
                    <w:t>下风向</w:t>
                  </w:r>
                </w:p>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r>
                    <w:rPr>
                      <w:rFonts w:hint="eastAsia"/>
                      <w:bCs/>
                      <w:kern w:val="0"/>
                      <w:szCs w:val="21"/>
                    </w:rPr>
                    <w:t>○3#</w:t>
                  </w:r>
                </w:p>
              </w:tc>
              <w:tc>
                <w:tcPr>
                  <w:tcW w:w="530"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c>
                <w:tcPr>
                  <w:tcW w:w="528"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c>
                <w:tcPr>
                  <w:tcW w:w="53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1.03</w:t>
                  </w:r>
                </w:p>
              </w:tc>
              <w:tc>
                <w:tcPr>
                  <w:tcW w:w="549"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1.09</w:t>
                  </w:r>
                </w:p>
              </w:tc>
              <w:tc>
                <w:tcPr>
                  <w:tcW w:w="601"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1.12</w:t>
                  </w:r>
                </w:p>
              </w:tc>
              <w:tc>
                <w:tcPr>
                  <w:tcW w:w="584" w:type="pct"/>
                  <w:shd w:val="clear" w:color="auto" w:fill="auto"/>
                  <w:noWrap w:val="0"/>
                  <w:vAlign w:val="center"/>
                </w:tcPr>
                <w:p>
                  <w:pPr>
                    <w:keepNext w:val="0"/>
                    <w:keepLines w:val="0"/>
                    <w:pageBreakBefore w:val="0"/>
                    <w:widowControl w:val="0"/>
                    <w:kinsoku/>
                    <w:wordWrap/>
                    <w:overflowPunct/>
                    <w:topLinePunct w:val="0"/>
                    <w:autoSpaceDE/>
                    <w:autoSpaceDN/>
                    <w:bidi w:val="0"/>
                    <w:spacing w:line="0" w:lineRule="atLeast"/>
                    <w:ind w:left="0" w:leftChars="0"/>
                    <w:jc w:val="center"/>
                    <w:textAlignment w:val="auto"/>
                    <w:rPr>
                      <w:rFonts w:hint="default" w:ascii="Times New Roman" w:hAnsi="Times New Roman" w:cs="Times New Roman"/>
                      <w:bCs/>
                      <w:kern w:val="0"/>
                      <w:sz w:val="21"/>
                      <w:szCs w:val="21"/>
                      <w:lang w:val="en-US" w:eastAsia="zh-CN"/>
                    </w:rPr>
                  </w:pPr>
                  <w:r>
                    <w:rPr>
                      <w:rFonts w:hint="eastAsia" w:cs="Times New Roman"/>
                      <w:bCs/>
                      <w:kern w:val="0"/>
                      <w:sz w:val="21"/>
                      <w:szCs w:val="21"/>
                      <w:lang w:val="en-US" w:eastAsia="zh-CN"/>
                    </w:rPr>
                    <w:t>1.08</w:t>
                  </w:r>
                </w:p>
              </w:tc>
              <w:tc>
                <w:tcPr>
                  <w:tcW w:w="673"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c>
                <w:tcPr>
                  <w:tcW w:w="437" w:type="pct"/>
                  <w:vMerge w:val="continue"/>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jc w:val="center"/>
                    <w:textAlignment w:val="auto"/>
                    <w:rPr>
                      <w:rFonts w:hint="eastAsia"/>
                      <w:bCs/>
                      <w:kern w:val="0"/>
                      <w:szCs w:val="21"/>
                    </w:rPr>
                  </w:pPr>
                </w:p>
              </w:tc>
            </w:tr>
          </w:tbl>
          <w:p>
            <w:pPr>
              <w:adjustRightInd w:val="0"/>
              <w:snapToGrid w:val="0"/>
              <w:spacing w:line="360" w:lineRule="auto"/>
              <w:ind w:firstLine="420" w:firstLineChars="200"/>
              <w:jc w:val="left"/>
              <w:rPr>
                <w:rFonts w:hint="eastAsia" w:eastAsia="宋体"/>
                <w:bCs/>
                <w:kern w:val="0"/>
                <w:szCs w:val="21"/>
                <w:lang w:eastAsia="zh-CN"/>
              </w:rPr>
            </w:pPr>
            <w:r>
              <w:rPr>
                <w:rFonts w:hint="eastAsia"/>
                <w:bCs/>
                <w:kern w:val="0"/>
                <w:szCs w:val="21"/>
              </w:rPr>
              <w:t>从上表可以看出，项目所在区域环境空气中</w:t>
            </w:r>
            <w:r>
              <w:rPr>
                <w:bCs/>
                <w:kern w:val="0"/>
                <w:szCs w:val="21"/>
              </w:rPr>
              <w:t>非甲烷总烃</w:t>
            </w:r>
            <w:r>
              <w:rPr>
                <w:rFonts w:hint="eastAsia"/>
                <w:bCs/>
                <w:kern w:val="0"/>
                <w:szCs w:val="21"/>
              </w:rPr>
              <w:t>浓度满足《大气污染物综合排放标准详解》</w:t>
            </w:r>
            <w:r>
              <w:rPr>
                <w:rFonts w:hint="eastAsia"/>
                <w:bCs/>
                <w:kern w:val="0"/>
                <w:szCs w:val="21"/>
                <w:lang w:eastAsia="zh-CN"/>
              </w:rPr>
              <w:t>中环境质量</w:t>
            </w:r>
            <w:r>
              <w:rPr>
                <w:rFonts w:hint="eastAsia"/>
                <w:bCs/>
                <w:kern w:val="0"/>
                <w:szCs w:val="21"/>
              </w:rPr>
              <w:t>限值要求</w:t>
            </w:r>
            <w:r>
              <w:t>。</w:t>
            </w:r>
          </w:p>
          <w:p>
            <w:pPr>
              <w:adjustRightInd w:val="0"/>
              <w:snapToGrid w:val="0"/>
              <w:spacing w:line="360" w:lineRule="auto"/>
              <w:ind w:firstLine="422" w:firstLineChars="200"/>
              <w:jc w:val="left"/>
              <w:rPr>
                <w:b/>
                <w:kern w:val="0"/>
                <w:szCs w:val="21"/>
              </w:rPr>
            </w:pPr>
            <w:r>
              <w:rPr>
                <w:rFonts w:hint="eastAsia"/>
                <w:b/>
                <w:kern w:val="0"/>
                <w:szCs w:val="21"/>
              </w:rPr>
              <w:t>（3）结论</w:t>
            </w:r>
          </w:p>
          <w:p>
            <w:pPr>
              <w:adjustRightInd w:val="0"/>
              <w:snapToGrid w:val="0"/>
              <w:spacing w:line="360" w:lineRule="auto"/>
              <w:ind w:firstLine="420" w:firstLineChars="200"/>
              <w:jc w:val="left"/>
              <w:rPr>
                <w:rFonts w:hint="eastAsia" w:eastAsia="宋体"/>
                <w:bCs/>
                <w:kern w:val="0"/>
                <w:szCs w:val="21"/>
                <w:lang w:eastAsia="zh-CN"/>
              </w:rPr>
            </w:pPr>
            <w:r>
              <w:rPr>
                <w:rFonts w:hint="eastAsia"/>
                <w:bCs/>
                <w:kern w:val="0"/>
                <w:szCs w:val="21"/>
              </w:rPr>
              <w:t>项目</w:t>
            </w:r>
            <w:r>
              <w:t>所在区域细颗粒物（PM</w:t>
            </w:r>
            <w:r>
              <w:rPr>
                <w:vertAlign w:val="subscript"/>
              </w:rPr>
              <w:t>2.5</w:t>
            </w:r>
            <w:r>
              <w:t>）、可吸入颗粒物（PM</w:t>
            </w:r>
            <w:r>
              <w:rPr>
                <w:vertAlign w:val="subscript"/>
              </w:rPr>
              <w:t>10</w:t>
            </w:r>
            <w:r>
              <w:t>）、二氧化硫、二氧化氮、一氧化碳、臭氧可满足《环境空气质量标准》（GB3095-2012）二级标准要求；非甲烷总烃浓度满足</w:t>
            </w:r>
            <w:r>
              <w:rPr>
                <w:rFonts w:hint="eastAsia"/>
                <w:bCs/>
                <w:kern w:val="0"/>
                <w:szCs w:val="21"/>
              </w:rPr>
              <w:t>《大气污染物综合排放标准详解》</w:t>
            </w:r>
            <w:r>
              <w:rPr>
                <w:rFonts w:hint="eastAsia"/>
                <w:bCs/>
                <w:kern w:val="0"/>
                <w:szCs w:val="21"/>
                <w:lang w:eastAsia="zh-CN"/>
              </w:rPr>
              <w:t>中环境质量</w:t>
            </w:r>
            <w:r>
              <w:rPr>
                <w:rFonts w:hint="eastAsia"/>
                <w:bCs/>
                <w:kern w:val="0"/>
                <w:szCs w:val="21"/>
              </w:rPr>
              <w:t>限值要求</w:t>
            </w:r>
            <w:r>
              <w:t>。</w:t>
            </w:r>
          </w:p>
          <w:p>
            <w:pPr>
              <w:adjustRightInd w:val="0"/>
              <w:snapToGrid w:val="0"/>
              <w:spacing w:line="360" w:lineRule="auto"/>
              <w:ind w:firstLine="422" w:firstLineChars="200"/>
              <w:jc w:val="left"/>
              <w:rPr>
                <w:b/>
                <w:bCs/>
              </w:rPr>
            </w:pPr>
            <w:r>
              <w:rPr>
                <w:rFonts w:hint="eastAsia"/>
                <w:b/>
                <w:bCs/>
              </w:rPr>
              <w:t>2</w:t>
            </w:r>
            <w:r>
              <w:rPr>
                <w:b/>
                <w:bCs/>
              </w:rPr>
              <w:t>.地表水</w:t>
            </w:r>
            <w:r>
              <w:rPr>
                <w:rFonts w:hint="eastAsia"/>
                <w:b/>
                <w:bCs/>
              </w:rPr>
              <w:t>环境质量现状</w:t>
            </w:r>
          </w:p>
          <w:p>
            <w:pPr>
              <w:adjustRightInd w:val="0"/>
              <w:snapToGrid w:val="0"/>
              <w:spacing w:line="360" w:lineRule="auto"/>
              <w:ind w:firstLine="420" w:firstLineChars="200"/>
              <w:jc w:val="left"/>
              <w:rPr>
                <w:rFonts w:hint="eastAsia"/>
                <w:szCs w:val="21"/>
              </w:rPr>
            </w:pPr>
            <w:r>
              <w:rPr>
                <w:rFonts w:hint="eastAsia"/>
                <w:szCs w:val="21"/>
              </w:rPr>
              <w:t>本项目</w:t>
            </w:r>
            <w:r>
              <w:rPr>
                <w:rFonts w:hint="eastAsia"/>
                <w:szCs w:val="21"/>
                <w:lang w:eastAsia="zh-CN"/>
              </w:rPr>
              <w:t>废水经市政管网进入桃源污水处理厂</w:t>
            </w:r>
            <w:r>
              <w:rPr>
                <w:rFonts w:hint="eastAsia"/>
                <w:szCs w:val="21"/>
              </w:rPr>
              <w:t>，</w:t>
            </w:r>
            <w:r>
              <w:rPr>
                <w:rFonts w:hint="eastAsia"/>
                <w:szCs w:val="21"/>
                <w:lang w:eastAsia="zh-CN"/>
              </w:rPr>
              <w:t>处理达标后经新河进入沅江干流</w:t>
            </w:r>
            <w:r>
              <w:rPr>
                <w:rFonts w:hint="eastAsia"/>
                <w:szCs w:val="21"/>
              </w:rPr>
              <w:t>，为了解项目所在区域地表水环境质量现状，根据《建设项目环境影响报告表编制技术指南（污染影响类）（试行）》</w:t>
            </w:r>
            <w:r>
              <w:rPr>
                <w:rFonts w:hint="eastAsia"/>
                <w:szCs w:val="21"/>
                <w:lang w:eastAsia="zh-CN"/>
              </w:rPr>
              <w:t>，</w:t>
            </w:r>
            <w:r>
              <w:rPr>
                <w:rFonts w:hint="eastAsia"/>
                <w:szCs w:val="21"/>
              </w:rPr>
              <w:t>地表水环境引用与建设项目距离近的有效数据，因此，本项目引用常德市生态环境局政府网站上公布的常德市2023年12月地表水监测断面水质状况来说明区域水环境质量现状。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72"/>
              <w:gridCol w:w="1472"/>
              <w:gridCol w:w="1472"/>
              <w:gridCol w:w="1472"/>
              <w:gridCol w:w="820"/>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序号</w:t>
                  </w:r>
                </w:p>
              </w:tc>
              <w:tc>
                <w:tcPr>
                  <w:tcW w:w="833" w:type="pct"/>
                  <w:vMerge w:val="restar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所在地</w:t>
                  </w:r>
                </w:p>
              </w:tc>
              <w:tc>
                <w:tcPr>
                  <w:tcW w:w="833" w:type="pct"/>
                  <w:vMerge w:val="restar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河湖名称</w:t>
                  </w:r>
                </w:p>
              </w:tc>
              <w:tc>
                <w:tcPr>
                  <w:tcW w:w="833" w:type="pct"/>
                  <w:vMerge w:val="restar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断面名称</w:t>
                  </w:r>
                </w:p>
              </w:tc>
              <w:tc>
                <w:tcPr>
                  <w:tcW w:w="833" w:type="pct"/>
                  <w:vMerge w:val="restar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断面属性</w:t>
                  </w:r>
                </w:p>
              </w:tc>
              <w:tc>
                <w:tcPr>
                  <w:tcW w:w="834" w:type="pct"/>
                  <w:gridSpan w:val="2"/>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水质类别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vAlign w:val="center"/>
                </w:tcPr>
                <w:p>
                  <w:pPr>
                    <w:pStyle w:val="17"/>
                    <w:bidi w:val="0"/>
                    <w:jc w:val="center"/>
                    <w:rPr>
                      <w:rFonts w:hint="eastAsia"/>
                      <w:b/>
                      <w:bCs/>
                      <w:szCs w:val="21"/>
                      <w:vertAlign w:val="baseline"/>
                    </w:rPr>
                  </w:pPr>
                </w:p>
              </w:tc>
              <w:tc>
                <w:tcPr>
                  <w:tcW w:w="833" w:type="pct"/>
                  <w:vMerge w:val="continue"/>
                  <w:vAlign w:val="center"/>
                </w:tcPr>
                <w:p>
                  <w:pPr>
                    <w:pStyle w:val="17"/>
                    <w:bidi w:val="0"/>
                    <w:jc w:val="center"/>
                    <w:rPr>
                      <w:rFonts w:hint="eastAsia"/>
                      <w:b/>
                      <w:bCs/>
                      <w:szCs w:val="21"/>
                      <w:vertAlign w:val="baseline"/>
                    </w:rPr>
                  </w:pPr>
                </w:p>
              </w:tc>
              <w:tc>
                <w:tcPr>
                  <w:tcW w:w="833" w:type="pct"/>
                  <w:vMerge w:val="continue"/>
                  <w:vAlign w:val="center"/>
                </w:tcPr>
                <w:p>
                  <w:pPr>
                    <w:pStyle w:val="17"/>
                    <w:bidi w:val="0"/>
                    <w:jc w:val="center"/>
                    <w:rPr>
                      <w:rFonts w:hint="eastAsia"/>
                      <w:b/>
                      <w:bCs/>
                      <w:szCs w:val="21"/>
                      <w:vertAlign w:val="baseline"/>
                    </w:rPr>
                  </w:pPr>
                </w:p>
              </w:tc>
              <w:tc>
                <w:tcPr>
                  <w:tcW w:w="833" w:type="pct"/>
                  <w:vMerge w:val="continue"/>
                  <w:vAlign w:val="center"/>
                </w:tcPr>
                <w:p>
                  <w:pPr>
                    <w:pStyle w:val="17"/>
                    <w:bidi w:val="0"/>
                    <w:jc w:val="center"/>
                    <w:rPr>
                      <w:rFonts w:hint="eastAsia"/>
                      <w:b/>
                      <w:bCs/>
                      <w:szCs w:val="21"/>
                      <w:vertAlign w:val="baseline"/>
                    </w:rPr>
                  </w:pPr>
                </w:p>
              </w:tc>
              <w:tc>
                <w:tcPr>
                  <w:tcW w:w="833" w:type="pct"/>
                  <w:vMerge w:val="continue"/>
                  <w:vAlign w:val="center"/>
                </w:tcPr>
                <w:p>
                  <w:pPr>
                    <w:pStyle w:val="17"/>
                    <w:bidi w:val="0"/>
                    <w:jc w:val="center"/>
                    <w:rPr>
                      <w:rFonts w:hint="eastAsia"/>
                      <w:b/>
                      <w:bCs/>
                      <w:szCs w:val="21"/>
                      <w:vertAlign w:val="baseline"/>
                    </w:rPr>
                  </w:pPr>
                </w:p>
              </w:tc>
              <w:tc>
                <w:tcPr>
                  <w:tcW w:w="464" w:type="pct"/>
                  <w:vAlign w:val="center"/>
                </w:tcPr>
                <w:p>
                  <w:pPr>
                    <w:pStyle w:val="17"/>
                    <w:bidi w:val="0"/>
                    <w:jc w:val="center"/>
                    <w:rPr>
                      <w:rFonts w:hint="eastAsia"/>
                      <w:b/>
                      <w:bCs/>
                      <w:szCs w:val="21"/>
                      <w:vertAlign w:val="baseline"/>
                    </w:rPr>
                  </w:pPr>
                  <w:r>
                    <w:rPr>
                      <w:rFonts w:hint="eastAsia" w:ascii="宋体" w:hAnsi="宋体" w:eastAsia="宋体" w:cs="宋体"/>
                      <w:b/>
                      <w:bCs/>
                      <w:color w:val="000000" w:themeColor="text1"/>
                      <w:lang w:val="en-US" w:eastAsia="zh-CN"/>
                      <w14:textFill>
                        <w14:solidFill>
                          <w14:schemeClr w14:val="tx1"/>
                        </w14:solidFill>
                      </w14:textFill>
                    </w:rPr>
                    <w:t>上年同期</w:t>
                  </w:r>
                </w:p>
              </w:tc>
              <w:tc>
                <w:tcPr>
                  <w:tcW w:w="370" w:type="pct"/>
                  <w:vAlign w:val="center"/>
                </w:tcPr>
                <w:p>
                  <w:pPr>
                    <w:pStyle w:val="17"/>
                    <w:bidi w:val="0"/>
                    <w:jc w:val="center"/>
                    <w:rPr>
                      <w:b/>
                      <w:bCs/>
                    </w:rPr>
                  </w:pPr>
                  <w:r>
                    <w:rPr>
                      <w:rFonts w:hint="eastAsia" w:ascii="宋体" w:hAnsi="宋体" w:eastAsia="宋体" w:cs="宋体"/>
                      <w:b/>
                      <w:bCs/>
                      <w:color w:val="000000" w:themeColor="text1"/>
                      <w:lang w:val="en-US" w:eastAsia="zh-CN"/>
                      <w14:textFill>
                        <w14:solidFill>
                          <w14:schemeClr w14:val="tx1"/>
                        </w14:solidFill>
                      </w14:textFill>
                    </w:rPr>
                    <w:t>本年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pPr>
                    <w:pStyle w:val="17"/>
                    <w:bidi w:val="0"/>
                    <w:jc w:val="center"/>
                    <w:rPr>
                      <w:rFonts w:hint="eastAsia"/>
                      <w:szCs w:val="21"/>
                      <w:vertAlign w:val="baseline"/>
                    </w:rPr>
                  </w:pPr>
                  <w:r>
                    <w:rPr>
                      <w:rFonts w:hint="eastAsia" w:ascii="宋体" w:hAnsi="宋体" w:eastAsia="宋体" w:cs="宋体"/>
                      <w:color w:val="000000" w:themeColor="text1"/>
                      <w:lang w:val="en-US" w:eastAsia="zh-CN"/>
                      <w14:textFill>
                        <w14:solidFill>
                          <w14:schemeClr w14:val="tx1"/>
                        </w14:solidFill>
                      </w14:textFill>
                    </w:rPr>
                    <w:t>1</w:t>
                  </w:r>
                </w:p>
              </w:tc>
              <w:tc>
                <w:tcPr>
                  <w:tcW w:w="833" w:type="pct"/>
                  <w:vAlign w:val="center"/>
                </w:tcPr>
                <w:p>
                  <w:pPr>
                    <w:pStyle w:val="17"/>
                    <w:bidi w:val="0"/>
                    <w:jc w:val="center"/>
                    <w:rPr>
                      <w:rFonts w:hint="eastAsia"/>
                      <w:szCs w:val="21"/>
                      <w:vertAlign w:val="baseline"/>
                    </w:rPr>
                  </w:pPr>
                  <w:r>
                    <w:rPr>
                      <w:rFonts w:hint="eastAsia" w:ascii="宋体" w:hAnsi="宋体" w:eastAsia="宋体" w:cs="宋体"/>
                      <w:color w:val="000000" w:themeColor="text1"/>
                      <w:lang w:val="en-US" w:eastAsia="zh-CN"/>
                      <w14:textFill>
                        <w14:solidFill>
                          <w14:schemeClr w14:val="tx1"/>
                        </w14:solidFill>
                      </w14:textFill>
                    </w:rPr>
                    <w:t>桃源县</w:t>
                  </w:r>
                </w:p>
              </w:tc>
              <w:tc>
                <w:tcPr>
                  <w:tcW w:w="833" w:type="pct"/>
                  <w:vAlign w:val="center"/>
                </w:tcPr>
                <w:p>
                  <w:pPr>
                    <w:pStyle w:val="17"/>
                    <w:bidi w:val="0"/>
                    <w:jc w:val="center"/>
                    <w:rPr>
                      <w:rFonts w:hint="eastAsia"/>
                      <w:szCs w:val="21"/>
                      <w:vertAlign w:val="baseline"/>
                    </w:rPr>
                  </w:pPr>
                  <w:r>
                    <w:rPr>
                      <w:rFonts w:hint="eastAsia" w:ascii="宋体" w:hAnsi="宋体" w:eastAsia="宋体" w:cs="宋体"/>
                      <w:color w:val="000000" w:themeColor="text1"/>
                      <w:lang w:val="en-US" w:eastAsia="zh-CN"/>
                      <w14:textFill>
                        <w14:solidFill>
                          <w14:schemeClr w14:val="tx1"/>
                        </w14:solidFill>
                      </w14:textFill>
                    </w:rPr>
                    <w:t>沅江干流</w:t>
                  </w:r>
                </w:p>
              </w:tc>
              <w:tc>
                <w:tcPr>
                  <w:tcW w:w="833" w:type="pct"/>
                  <w:vAlign w:val="center"/>
                </w:tcPr>
                <w:p>
                  <w:pPr>
                    <w:pStyle w:val="17"/>
                    <w:bidi w:val="0"/>
                    <w:jc w:val="center"/>
                    <w:rPr>
                      <w:rFonts w:hint="eastAsia"/>
                      <w:szCs w:val="21"/>
                      <w:vertAlign w:val="baseline"/>
                    </w:rPr>
                  </w:pPr>
                  <w:r>
                    <w:rPr>
                      <w:rFonts w:hint="eastAsia" w:ascii="宋体" w:hAnsi="宋体" w:eastAsia="宋体" w:cs="宋体"/>
                      <w:color w:val="000000" w:themeColor="text1"/>
                      <w:lang w:val="en-US" w:eastAsia="zh-CN"/>
                      <w14:textFill>
                        <w14:solidFill>
                          <w14:schemeClr w14:val="tx1"/>
                        </w14:solidFill>
                      </w14:textFill>
                    </w:rPr>
                    <w:t>黄潭洲</w:t>
                  </w:r>
                </w:p>
              </w:tc>
              <w:tc>
                <w:tcPr>
                  <w:tcW w:w="833" w:type="pct"/>
                  <w:vAlign w:val="center"/>
                </w:tcPr>
                <w:p>
                  <w:pPr>
                    <w:pStyle w:val="17"/>
                    <w:bidi w:val="0"/>
                    <w:jc w:val="center"/>
                    <w:rPr>
                      <w:rFonts w:hint="eastAsia"/>
                      <w:szCs w:val="21"/>
                      <w:vertAlign w:val="baseline"/>
                    </w:rPr>
                  </w:pPr>
                  <w:r>
                    <w:rPr>
                      <w:rFonts w:hint="eastAsia" w:ascii="宋体" w:hAnsi="宋体" w:eastAsia="宋体" w:cs="宋体"/>
                      <w:color w:val="000000" w:themeColor="text1"/>
                      <w:lang w:val="en-US" w:eastAsia="zh-CN"/>
                      <w14:textFill>
                        <w14:solidFill>
                          <w14:schemeClr w14:val="tx1"/>
                        </w14:solidFill>
                      </w14:textFill>
                    </w:rPr>
                    <w:t>省考核</w:t>
                  </w:r>
                </w:p>
              </w:tc>
              <w:tc>
                <w:tcPr>
                  <w:tcW w:w="464" w:type="pct"/>
                  <w:vAlign w:val="center"/>
                </w:tcPr>
                <w:p>
                  <w:pPr>
                    <w:keepNext w:val="0"/>
                    <w:keepLines w:val="0"/>
                    <w:widowControl/>
                    <w:suppressLineNumbers w:val="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Ⅱ</w:t>
                  </w:r>
                </w:p>
              </w:tc>
              <w:tc>
                <w:tcPr>
                  <w:tcW w:w="370" w:type="pct"/>
                  <w:vAlign w:val="center"/>
                </w:tcPr>
                <w:p>
                  <w:pPr>
                    <w:pStyle w:val="17"/>
                    <w:bidi w:val="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Ⅱ</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630" w:firstLineChars="300"/>
              <w:jc w:val="left"/>
              <w:textAlignment w:val="auto"/>
              <w:rPr>
                <w:rFonts w:hint="eastAsia"/>
                <w:szCs w:val="21"/>
              </w:rPr>
            </w:pPr>
            <w:r>
              <w:rPr>
                <w:rFonts w:hint="eastAsia"/>
                <w:szCs w:val="21"/>
              </w:rPr>
              <w:t>根据公布结果显示，沅江黄潭洲断监测断面水质状况能够达到《地表水环境质量标准》（GB3838-2002）III类标准要求，表明沅江水</w:t>
            </w:r>
            <w:r>
              <w:rPr>
                <w:rFonts w:hint="eastAsia"/>
                <w:szCs w:val="21"/>
                <w:lang w:eastAsia="zh-CN"/>
              </w:rPr>
              <w:t>环境质量状况良</w:t>
            </w:r>
            <w:r>
              <w:rPr>
                <w:rFonts w:hint="eastAsia"/>
                <w:szCs w:val="21"/>
              </w:rPr>
              <w:t>好。</w:t>
            </w:r>
          </w:p>
          <w:p>
            <w:pPr>
              <w:adjustRightInd w:val="0"/>
              <w:snapToGrid w:val="0"/>
              <w:spacing w:line="360" w:lineRule="auto"/>
              <w:ind w:firstLine="422" w:firstLineChars="200"/>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声环境质量现状</w:t>
            </w:r>
          </w:p>
          <w:p>
            <w:pPr>
              <w:adjustRightInd w:val="0"/>
              <w:snapToGrid w:val="0"/>
              <w:spacing w:line="360" w:lineRule="auto"/>
              <w:ind w:firstLine="420" w:firstLineChars="200"/>
              <w:jc w:val="left"/>
              <w:rPr>
                <w:rFonts w:hint="eastAsia"/>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根据现场踏勘，本项目场界外周边50m范围内有声环境敏感点。为了解本项目区域声环境现状情况，本次评价委托湖南华运环境科技有限公司于20</w:t>
            </w:r>
            <w:r>
              <w:rPr>
                <w:rFonts w:hint="eastAsia"/>
                <w:color w:val="000000" w:themeColor="text1"/>
                <w:kern w:val="0"/>
                <w:szCs w:val="21"/>
                <w:lang w:val="en-US" w:eastAsia="zh-CN"/>
                <w14:textFill>
                  <w14:solidFill>
                    <w14:schemeClr w14:val="tx1"/>
                  </w14:solidFill>
                </w14:textFill>
              </w:rPr>
              <w:t>24</w:t>
            </w:r>
            <w:r>
              <w:rPr>
                <w:rFonts w:hint="eastAsia"/>
                <w:color w:val="000000" w:themeColor="text1"/>
                <w:kern w:val="0"/>
                <w:szCs w:val="21"/>
                <w:lang w:eastAsia="zh-CN"/>
                <w14:textFill>
                  <w14:solidFill>
                    <w14:schemeClr w14:val="tx1"/>
                  </w14:solidFill>
                </w14:textFill>
              </w:rPr>
              <w:t>年</w:t>
            </w:r>
            <w:r>
              <w:rPr>
                <w:rFonts w:hint="eastAsia"/>
                <w:color w:val="000000" w:themeColor="text1"/>
                <w:kern w:val="0"/>
                <w:szCs w:val="21"/>
                <w:lang w:val="en-US" w:eastAsia="zh-CN"/>
                <w14:textFill>
                  <w14:solidFill>
                    <w14:schemeClr w14:val="tx1"/>
                  </w14:solidFill>
                </w14:textFill>
              </w:rPr>
              <w:t>3</w:t>
            </w:r>
            <w:r>
              <w:rPr>
                <w:rFonts w:hint="eastAsia"/>
                <w:color w:val="000000" w:themeColor="text1"/>
                <w:kern w:val="0"/>
                <w:szCs w:val="21"/>
                <w:lang w:eastAsia="zh-CN"/>
                <w14:textFill>
                  <w14:solidFill>
                    <w14:schemeClr w14:val="tx1"/>
                  </w14:solidFill>
                </w14:textFill>
              </w:rPr>
              <w:t>月</w:t>
            </w:r>
            <w:r>
              <w:rPr>
                <w:rFonts w:hint="eastAsia"/>
                <w:color w:val="000000" w:themeColor="text1"/>
                <w:kern w:val="0"/>
                <w:szCs w:val="21"/>
                <w:lang w:val="en-US" w:eastAsia="zh-CN"/>
                <w14:textFill>
                  <w14:solidFill>
                    <w14:schemeClr w14:val="tx1"/>
                  </w14:solidFill>
                </w14:textFill>
              </w:rPr>
              <w:t>22</w:t>
            </w:r>
            <w:r>
              <w:rPr>
                <w:rFonts w:hint="eastAsia"/>
                <w:color w:val="000000" w:themeColor="text1"/>
                <w:kern w:val="0"/>
                <w:szCs w:val="21"/>
                <w:lang w:eastAsia="zh-CN"/>
                <w14:textFill>
                  <w14:solidFill>
                    <w14:schemeClr w14:val="tx1"/>
                  </w14:solidFill>
                </w14:textFill>
              </w:rPr>
              <w:t>日对项目厂界居民敏感点进行了噪声现状布点监测，监测结果详见表3-</w:t>
            </w:r>
            <w:r>
              <w:rPr>
                <w:rFonts w:hint="eastAsia"/>
                <w:color w:val="000000" w:themeColor="text1"/>
                <w:kern w:val="0"/>
                <w:szCs w:val="21"/>
                <w:lang w:val="en-US" w:eastAsia="zh-CN"/>
                <w14:textFill>
                  <w14:solidFill>
                    <w14:schemeClr w14:val="tx1"/>
                  </w14:solidFill>
                </w14:textFill>
              </w:rPr>
              <w:t>2</w:t>
            </w:r>
            <w:r>
              <w:rPr>
                <w:rFonts w:hint="eastAsia"/>
                <w:color w:val="000000" w:themeColor="text1"/>
                <w:kern w:val="0"/>
                <w:szCs w:val="21"/>
                <w:lang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firstLine="422" w:firstLineChars="20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lang w:val="en-US" w:eastAsia="zh-CN"/>
                <w14:textFill>
                  <w14:solidFill>
                    <w14:schemeClr w14:val="tx1"/>
                  </w14:solidFill>
                </w14:textFill>
              </w:rPr>
              <w:t>表3-</w:t>
            </w:r>
            <w:r>
              <w:rPr>
                <w:rFonts w:hint="eastAsia" w:cs="Times New Roman"/>
                <w:b/>
                <w:bCs w:val="0"/>
                <w:color w:val="000000" w:themeColor="text1"/>
                <w:sz w:val="21"/>
                <w:szCs w:val="21"/>
                <w:highlight w:val="none"/>
                <w:u w:val="none" w:color="auto"/>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u w:val="none" w:color="auto"/>
                <w:lang w:val="en-US" w:eastAsia="zh-CN"/>
                <w14:textFill>
                  <w14:solidFill>
                    <w14:schemeClr w14:val="tx1"/>
                  </w14:solidFill>
                </w14:textFill>
              </w:rPr>
              <w:t xml:space="preserve">  声环境现状监测结果统计表（dB（A））</w:t>
            </w:r>
          </w:p>
          <w:tbl>
            <w:tblPr>
              <w:tblStyle w:val="9"/>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99"/>
              <w:gridCol w:w="1239"/>
              <w:gridCol w:w="1470"/>
              <w:gridCol w:w="1470"/>
              <w:gridCol w:w="1470"/>
              <w:gridCol w:w="14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检测点位</w:t>
                  </w:r>
                </w:p>
              </w:tc>
              <w:tc>
                <w:tcPr>
                  <w:tcW w:w="702"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检测日期</w:t>
                  </w:r>
                </w:p>
              </w:tc>
              <w:tc>
                <w:tcPr>
                  <w:tcW w:w="1666" w:type="pct"/>
                  <w:gridSpan w:val="2"/>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检测结果</w:t>
                  </w:r>
                </w:p>
              </w:tc>
              <w:tc>
                <w:tcPr>
                  <w:tcW w:w="1667" w:type="pct"/>
                  <w:gridSpan w:val="2"/>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3"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p>
              </w:tc>
              <w:tc>
                <w:tcPr>
                  <w:tcW w:w="702"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昼间</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夜间</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昼间</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u w:val="none" w:color="auto"/>
                      <w:vertAlign w:val="baseline"/>
                      <w:lang w:val="en-US" w:eastAsia="zh-CN"/>
                      <w14:textFill>
                        <w14:solidFill>
                          <w14:schemeClr w14:val="tx1"/>
                        </w14:solidFill>
                      </w14:textFill>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trPr>
              <w:tc>
                <w:tcPr>
                  <w:tcW w:w="96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厂界</w:t>
                  </w: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北</w:t>
                  </w: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侧外居民点</w:t>
                  </w:r>
                </w:p>
              </w:tc>
              <w:tc>
                <w:tcPr>
                  <w:tcW w:w="702"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2024.3.22</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51..4</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42.4</w:t>
                  </w:r>
                </w:p>
              </w:tc>
              <w:tc>
                <w:tcPr>
                  <w:tcW w:w="83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60</w:t>
                  </w:r>
                </w:p>
              </w:tc>
              <w:tc>
                <w:tcPr>
                  <w:tcW w:w="83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trPr>
              <w:tc>
                <w:tcPr>
                  <w:tcW w:w="96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厂界</w:t>
                  </w: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东</w:t>
                  </w: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侧外居民点</w:t>
                  </w:r>
                </w:p>
              </w:tc>
              <w:tc>
                <w:tcPr>
                  <w:tcW w:w="702"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ascii="Times New Roman" w:hAnsi="Times New Roman" w:eastAsia="宋体"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c>
                <w:tcPr>
                  <w:tcW w:w="833" w:type="pct"/>
                  <w:tcBorders>
                    <w:tl2br w:val="nil"/>
                    <w:tr2bl w:val="nil"/>
                  </w:tcBorders>
                  <w:vAlign w:val="center"/>
                </w:tcPr>
                <w:p>
                  <w:pPr>
                    <w:jc w:val="center"/>
                    <w:rPr>
                      <w:rFonts w:hint="default"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cs="Times New Roman"/>
                      <w:color w:val="000000" w:themeColor="text1"/>
                      <w:kern w:val="0"/>
                      <w:sz w:val="21"/>
                      <w:szCs w:val="21"/>
                      <w:u w:val="none" w:color="auto"/>
                      <w:lang w:val="en-US" w:eastAsia="zh-CN" w:bidi="ar-SA"/>
                      <w14:textFill>
                        <w14:solidFill>
                          <w14:schemeClr w14:val="tx1"/>
                        </w14:solidFill>
                      </w14:textFill>
                    </w:rPr>
                    <w:t>51.1</w:t>
                  </w:r>
                </w:p>
              </w:tc>
              <w:tc>
                <w:tcPr>
                  <w:tcW w:w="833" w:type="pct"/>
                  <w:tcBorders>
                    <w:tl2br w:val="nil"/>
                    <w:tr2bl w:val="nil"/>
                  </w:tcBorders>
                  <w:vAlign w:val="center"/>
                </w:tcPr>
                <w:p>
                  <w:pPr>
                    <w:jc w:val="center"/>
                    <w:rPr>
                      <w:rFonts w:hint="default"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cs="Times New Roman"/>
                      <w:color w:val="000000" w:themeColor="text1"/>
                      <w:kern w:val="0"/>
                      <w:sz w:val="21"/>
                      <w:szCs w:val="21"/>
                      <w:u w:val="none" w:color="auto"/>
                      <w:lang w:val="en-US" w:eastAsia="zh-CN" w:bidi="ar-SA"/>
                      <w14:textFill>
                        <w14:solidFill>
                          <w14:schemeClr w14:val="tx1"/>
                        </w14:solidFill>
                      </w14:textFill>
                    </w:rPr>
                    <w:t>44.3</w:t>
                  </w:r>
                </w:p>
              </w:tc>
              <w:tc>
                <w:tcPr>
                  <w:tcW w:w="833" w:type="pct"/>
                  <w:vMerge w:val="continue"/>
                  <w:tcBorders>
                    <w:tl2br w:val="nil"/>
                    <w:tr2bl w:val="nil"/>
                  </w:tcBorders>
                  <w:vAlign w:val="center"/>
                </w:tcPr>
                <w:p>
                  <w:pPr>
                    <w:jc w:val="center"/>
                    <w:rPr>
                      <w:rFonts w:hint="eastAsia" w:ascii="Times New Roman" w:hAnsi="Times New Roman" w:eastAsia="宋体" w:cs="Times New Roman"/>
                      <w:color w:val="000000" w:themeColor="text1"/>
                      <w:kern w:val="0"/>
                      <w:sz w:val="18"/>
                      <w:szCs w:val="20"/>
                      <w:u w:val="none" w:color="auto"/>
                      <w:lang w:val="en-US" w:eastAsia="zh-CN" w:bidi="ar-SA"/>
                      <w14:textFill>
                        <w14:solidFill>
                          <w14:schemeClr w14:val="tx1"/>
                        </w14:solidFill>
                      </w14:textFill>
                    </w:rPr>
                  </w:pPr>
                </w:p>
              </w:tc>
              <w:tc>
                <w:tcPr>
                  <w:tcW w:w="833" w:type="pct"/>
                  <w:vMerge w:val="continue"/>
                  <w:tcBorders>
                    <w:tl2br w:val="nil"/>
                    <w:tr2bl w:val="nil"/>
                  </w:tcBorders>
                  <w:vAlign w:val="center"/>
                </w:tcPr>
                <w:p>
                  <w:pPr>
                    <w:jc w:val="center"/>
                    <w:rPr>
                      <w:rFonts w:hint="eastAsia" w:ascii="Times New Roman" w:hAnsi="Times New Roman" w:eastAsia="宋体" w:cs="Times New Roman"/>
                      <w:color w:val="000000" w:themeColor="text1"/>
                      <w:kern w:val="0"/>
                      <w:sz w:val="18"/>
                      <w:szCs w:val="20"/>
                      <w:u w:val="none" w:color="auto"/>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963" w:type="pct"/>
                  <w:vMerge w:val="restar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厂界</w:t>
                  </w: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南</w:t>
                  </w: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侧外居民点</w:t>
                  </w:r>
                </w:p>
              </w:tc>
              <w:tc>
                <w:tcPr>
                  <w:tcW w:w="702"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t>53.7</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t>44.0</w:t>
                  </w:r>
                </w:p>
              </w:tc>
              <w:tc>
                <w:tcPr>
                  <w:tcW w:w="833"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c>
                <w:tcPr>
                  <w:tcW w:w="833"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4" w:hRule="atLeast"/>
              </w:trPr>
              <w:tc>
                <w:tcPr>
                  <w:tcW w:w="96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厂界</w:t>
                  </w:r>
                  <w:r>
                    <w:rPr>
                      <w:rFonts w:hint="eastAsia" w:cs="Times New Roman"/>
                      <w:b w:val="0"/>
                      <w:bCs/>
                      <w:color w:val="000000" w:themeColor="text1"/>
                      <w:sz w:val="21"/>
                      <w:szCs w:val="21"/>
                      <w:highlight w:val="none"/>
                      <w:u w:val="none" w:color="auto"/>
                      <w:vertAlign w:val="baseline"/>
                      <w:lang w:val="en-US" w:eastAsia="zh-CN"/>
                      <w14:textFill>
                        <w14:solidFill>
                          <w14:schemeClr w14:val="tx1"/>
                        </w14:solidFill>
                      </w14:textFill>
                    </w:rPr>
                    <w:t>西</w:t>
                  </w: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侧外居民点</w:t>
                  </w:r>
                </w:p>
              </w:tc>
              <w:tc>
                <w:tcPr>
                  <w:tcW w:w="702"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t>50.0</w:t>
                  </w:r>
                </w:p>
              </w:tc>
              <w:tc>
                <w:tcPr>
                  <w:tcW w:w="83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t>42.8</w:t>
                  </w:r>
                </w:p>
              </w:tc>
              <w:tc>
                <w:tcPr>
                  <w:tcW w:w="833"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c>
                <w:tcPr>
                  <w:tcW w:w="833" w:type="pct"/>
                  <w:vMerge w:val="continue"/>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气象标准</w:t>
                  </w:r>
                </w:p>
              </w:tc>
              <w:tc>
                <w:tcPr>
                  <w:tcW w:w="4036" w:type="pct"/>
                  <w:gridSpan w:val="5"/>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pPr>
                  <w:r>
                    <w:rPr>
                      <w:rFonts w:hint="eastAsia" w:cs="Times New Roman"/>
                      <w:b w:val="0"/>
                      <w:bCs/>
                      <w:color w:val="000000" w:themeColor="text1"/>
                      <w:kern w:val="0"/>
                      <w:sz w:val="21"/>
                      <w:szCs w:val="21"/>
                      <w:highlight w:val="none"/>
                      <w:u w:val="none" w:color="auto"/>
                      <w:vertAlign w:val="baseline"/>
                      <w:lang w:val="en-US" w:eastAsia="zh-CN" w:bidi="ar-SA"/>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3" w:type="pct"/>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执行标准</w:t>
                  </w:r>
                </w:p>
              </w:tc>
              <w:tc>
                <w:tcPr>
                  <w:tcW w:w="4036" w:type="pct"/>
                  <w:gridSpan w:val="5"/>
                  <w:tcBorders>
                    <w:tl2br w:val="nil"/>
                    <w:tr2bl w:val="nil"/>
                  </w:tcBorders>
                  <w:vAlign w:val="center"/>
                </w:tcPr>
                <w:p>
                  <w:pPr>
                    <w:pStyle w:val="4"/>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u w:val="none" w:color="auto"/>
                      <w:vertAlign w:val="baseline"/>
                      <w:lang w:val="en-US" w:eastAsia="zh-CN"/>
                      <w14:textFill>
                        <w14:solidFill>
                          <w14:schemeClr w14:val="tx1"/>
                        </w14:solidFill>
                      </w14:textFill>
                    </w:rPr>
                    <w:t>《声环境质量标准》（GB3096-2008）2类标准</w:t>
                  </w:r>
                </w:p>
              </w:tc>
            </w:tr>
          </w:tbl>
          <w:p>
            <w:pPr>
              <w:pStyle w:val="4"/>
              <w:keepNext w:val="0"/>
              <w:keepLines w:val="0"/>
              <w:pageBreakBefore w:val="0"/>
              <w:widowControl/>
              <w:kinsoku/>
              <w:wordWrap/>
              <w:overflowPunct/>
              <w:topLinePunct w:val="0"/>
              <w:autoSpaceDE/>
              <w:autoSpaceDN/>
              <w:bidi w:val="0"/>
              <w:adjustRightInd/>
              <w:snapToGrid w:val="0"/>
              <w:spacing w:before="0" w:after="0" w:line="360" w:lineRule="auto"/>
              <w:ind w:right="0" w:firstLine="420" w:firstLineChars="200"/>
              <w:textAlignment w:val="auto"/>
              <w:rPr>
                <w:rFonts w:hint="eastAsia"/>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监测结果表明，项目</w:t>
            </w:r>
            <w:r>
              <w:rPr>
                <w:rFonts w:hint="eastAsia" w:cs="Times New Roman"/>
                <w:color w:val="000000" w:themeColor="text1"/>
                <w:sz w:val="21"/>
                <w:szCs w:val="21"/>
                <w:u w:val="none" w:color="auto"/>
                <w:lang w:val="en-US" w:eastAsia="zh-CN"/>
                <w14:textFill>
                  <w14:solidFill>
                    <w14:schemeClr w14:val="tx1"/>
                  </w14:solidFill>
                </w14:textFill>
              </w:rPr>
              <w:t>居民敏感点</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声环境质量满足《声环境质量标准》（GB3096-2008）中的2类标准，区域声环境质量良好</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w:t>
            </w:r>
          </w:p>
          <w:p>
            <w:pPr>
              <w:adjustRightInd w:val="0"/>
              <w:snapToGrid w:val="0"/>
              <w:spacing w:line="360" w:lineRule="auto"/>
              <w:ind w:firstLine="422" w:firstLineChars="200"/>
              <w:jc w:val="left"/>
              <w:rPr>
                <w:rFonts w:ascii="宋体" w:hAnsi="宋体" w:cs="宋体"/>
                <w:b/>
                <w:bCs/>
                <w:kern w:val="0"/>
                <w:szCs w:val="21"/>
              </w:rPr>
            </w:pPr>
            <w:r>
              <w:rPr>
                <w:rFonts w:hint="eastAsia"/>
                <w:b/>
                <w:bCs/>
                <w:kern w:val="0"/>
                <w:szCs w:val="21"/>
              </w:rPr>
              <w:t>4</w:t>
            </w:r>
            <w:r>
              <w:rPr>
                <w:rFonts w:hint="eastAsia"/>
                <w:b/>
                <w:bCs/>
                <w:kern w:val="0"/>
                <w:szCs w:val="21"/>
                <w:lang w:eastAsia="zh-CN"/>
              </w:rPr>
              <w:t>.</w:t>
            </w:r>
            <w:r>
              <w:rPr>
                <w:rFonts w:hint="eastAsia"/>
                <w:b/>
                <w:bCs/>
                <w:kern w:val="0"/>
                <w:szCs w:val="21"/>
              </w:rPr>
              <w:t>地下水环境质量现状</w:t>
            </w:r>
          </w:p>
          <w:p>
            <w:pPr>
              <w:numPr>
                <w:ilvl w:val="0"/>
                <w:numId w:val="0"/>
              </w:numPr>
              <w:spacing w:line="360" w:lineRule="auto"/>
              <w:ind w:firstLine="630" w:firstLineChars="300"/>
              <w:rPr>
                <w:rFonts w:hint="eastAsia"/>
                <w:b/>
                <w:bCs/>
                <w:kern w:val="0"/>
                <w:szCs w:val="21"/>
              </w:rPr>
            </w:pPr>
            <w:r>
              <w:rPr>
                <w:rFonts w:hint="eastAsia"/>
                <w:color w:val="000000"/>
                <w:szCs w:val="21"/>
                <w:lang w:eastAsia="zh-CN"/>
              </w:rPr>
              <w:t>根据《环境影响评价技术导则 地下水环境》 （HJ 610-2016） ，本项目的地下水环境敏感程 度为不敏感，地下水环境影响评价项目类别为Ⅱ类，对照评价工作等级分级表，本项目地下水评价工作等级为三级评价。本项目场区按照设计要求进行地面硬化、防渗，包括针对加油区、地面冲洗水输送管道、隔油池及可能产生漏油的地方采取地面硬化等防渗漏措施，因此不会发生污染地下水环境的情况。因此不需要开展地下水环境质量现状调查。</w:t>
            </w:r>
          </w:p>
          <w:p>
            <w:pPr>
              <w:numPr>
                <w:ilvl w:val="0"/>
                <w:numId w:val="0"/>
              </w:numPr>
              <w:spacing w:line="360" w:lineRule="auto"/>
              <w:ind w:firstLine="422" w:firstLineChars="200"/>
              <w:rPr>
                <w:rFonts w:hint="eastAsia"/>
                <w:b/>
                <w:bCs/>
                <w:kern w:val="0"/>
                <w:szCs w:val="21"/>
              </w:rPr>
            </w:pPr>
            <w:r>
              <w:rPr>
                <w:rFonts w:hint="eastAsia" w:cs="Times New Roman"/>
                <w:b/>
                <w:bCs/>
                <w:kern w:val="0"/>
                <w:sz w:val="21"/>
                <w:szCs w:val="21"/>
                <w:lang w:val="en-US" w:eastAsia="zh-CN" w:bidi="ar-SA"/>
              </w:rPr>
              <w:t>5</w:t>
            </w:r>
            <w:r>
              <w:rPr>
                <w:rFonts w:hint="eastAsia" w:ascii="Times New Roman" w:hAnsi="Times New Roman" w:eastAsia="宋体" w:cs="Times New Roman"/>
                <w:b/>
                <w:bCs/>
                <w:kern w:val="0"/>
                <w:sz w:val="21"/>
                <w:szCs w:val="21"/>
                <w:lang w:val="en-US" w:eastAsia="zh-CN" w:bidi="ar-SA"/>
              </w:rPr>
              <w:t>.</w:t>
            </w:r>
            <w:r>
              <w:rPr>
                <w:rFonts w:hint="eastAsia"/>
                <w:b/>
                <w:bCs/>
                <w:kern w:val="0"/>
                <w:szCs w:val="21"/>
              </w:rPr>
              <w:t>土壤环境质量现状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b w:val="0"/>
                <w:bCs w:val="0"/>
                <w:kern w:val="0"/>
                <w:szCs w:val="21"/>
              </w:rPr>
            </w:pPr>
            <w:r>
              <w:rPr>
                <w:rFonts w:hint="eastAsia"/>
                <w:b w:val="0"/>
                <w:bCs w:val="0"/>
                <w:kern w:val="0"/>
                <w:szCs w:val="21"/>
              </w:rPr>
              <w:t>根据《环境影响评价技术导则 土壤环境》（HJ 964-2018），本项目占地面积小于 5hm</w:t>
            </w:r>
            <w:r>
              <w:rPr>
                <w:rFonts w:hint="eastAsia"/>
                <w:b w:val="0"/>
                <w:bCs w:val="0"/>
                <w:kern w:val="0"/>
                <w:szCs w:val="21"/>
                <w:vertAlign w:val="superscript"/>
              </w:rPr>
              <w:t>2</w:t>
            </w:r>
            <w:r>
              <w:rPr>
                <w:rFonts w:hint="eastAsia"/>
                <w:b w:val="0"/>
                <w:bCs w:val="0"/>
                <w:kern w:val="0"/>
                <w:szCs w:val="21"/>
              </w:rPr>
              <w:t xml:space="preserve"> ，为小型项目，周边无土壤环境敏感目标，土壤环境影响评价项目类别为Ⅲ类，对照评价工作等级分级表，本项目可不开展土壤环境影响评价工作。因此不需要开展土壤环境质量现状调查。</w:t>
            </w:r>
          </w:p>
          <w:p>
            <w:pPr>
              <w:numPr>
                <w:ilvl w:val="0"/>
                <w:numId w:val="0"/>
              </w:numPr>
              <w:spacing w:line="360" w:lineRule="auto"/>
              <w:ind w:firstLine="422" w:firstLineChars="200"/>
              <w:rPr>
                <w:rFonts w:hint="eastAsia"/>
                <w:b/>
                <w:bCs/>
                <w:kern w:val="0"/>
                <w:szCs w:val="21"/>
              </w:rPr>
            </w:pPr>
            <w:r>
              <w:rPr>
                <w:rFonts w:hint="eastAsia" w:cs="Times New Roman"/>
                <w:b/>
                <w:bCs/>
                <w:kern w:val="0"/>
                <w:sz w:val="21"/>
                <w:szCs w:val="21"/>
                <w:lang w:val="en-US" w:eastAsia="zh-CN" w:bidi="ar-SA"/>
              </w:rPr>
              <w:t>6</w:t>
            </w:r>
            <w:r>
              <w:rPr>
                <w:rFonts w:hint="eastAsia"/>
                <w:b/>
                <w:bCs/>
                <w:kern w:val="0"/>
                <w:szCs w:val="21"/>
              </w:rPr>
              <w:t>生态环境质量现状</w:t>
            </w:r>
          </w:p>
          <w:p>
            <w:pPr>
              <w:adjustRightInd w:val="0"/>
              <w:snapToGrid w:val="0"/>
              <w:spacing w:line="360" w:lineRule="auto"/>
              <w:ind w:firstLine="435"/>
              <w:jc w:val="left"/>
              <w:rPr>
                <w:rFonts w:hint="eastAsia" w:ascii="宋体" w:hAnsi="宋体" w:cs="宋体"/>
                <w:kern w:val="0"/>
                <w:szCs w:val="21"/>
              </w:rPr>
            </w:pPr>
            <w:r>
              <w:rPr>
                <w:rFonts w:hint="eastAsia" w:ascii="宋体" w:hAnsi="宋体" w:cs="宋体"/>
                <w:kern w:val="0"/>
                <w:szCs w:val="21"/>
              </w:rPr>
              <w:t>本项目用地范围内无生态保护目标，因此不需要进行生态环境质量现状调查。</w:t>
            </w: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ind w:firstLine="435"/>
              <w:jc w:val="left"/>
              <w:rPr>
                <w:rFonts w:hint="eastAsia" w:ascii="宋体" w:hAnsi="宋体" w:cs="宋体"/>
                <w:kern w:val="0"/>
                <w:szCs w:val="21"/>
              </w:rPr>
            </w:pPr>
          </w:p>
          <w:p>
            <w:pPr>
              <w:adjustRightInd w:val="0"/>
              <w:snapToGrid w:val="0"/>
              <w:spacing w:line="360" w:lineRule="auto"/>
              <w:jc w:val="left"/>
              <w:rPr>
                <w:rFonts w:hint="eastAsia" w:ascii="宋体" w:hAnsi="宋体" w:cs="宋体"/>
                <w:kern w:val="0"/>
                <w:szCs w:val="21"/>
              </w:rPr>
            </w:pPr>
          </w:p>
          <w:p>
            <w:pPr>
              <w:adjustRightInd w:val="0"/>
              <w:snapToGrid w:val="0"/>
              <w:spacing w:line="360" w:lineRule="auto"/>
              <w:jc w:val="left"/>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7"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环境</w:t>
            </w:r>
          </w:p>
          <w:p>
            <w:pPr>
              <w:adjustRightInd w:val="0"/>
              <w:snapToGrid w:val="0"/>
              <w:jc w:val="center"/>
              <w:rPr>
                <w:rFonts w:hint="eastAsia" w:ascii="宋体" w:hAnsi="宋体" w:cs="宋体"/>
                <w:kern w:val="0"/>
                <w:szCs w:val="21"/>
              </w:rPr>
            </w:pPr>
            <w:r>
              <w:rPr>
                <w:rFonts w:hint="eastAsia" w:ascii="宋体" w:hAnsi="宋体" w:cs="宋体"/>
                <w:kern w:val="0"/>
                <w:szCs w:val="21"/>
              </w:rPr>
              <w:t>保护</w:t>
            </w:r>
          </w:p>
          <w:p>
            <w:pPr>
              <w:adjustRightInd w:val="0"/>
              <w:snapToGrid w:val="0"/>
              <w:jc w:val="center"/>
              <w:rPr>
                <w:rFonts w:hint="eastAsia" w:ascii="宋体" w:hAnsi="宋体" w:cs="宋体"/>
                <w:kern w:val="0"/>
                <w:szCs w:val="21"/>
              </w:rPr>
            </w:pPr>
            <w:r>
              <w:rPr>
                <w:rFonts w:hint="eastAsia" w:ascii="宋体" w:hAnsi="宋体" w:cs="宋体"/>
                <w:kern w:val="0"/>
                <w:szCs w:val="21"/>
              </w:rPr>
              <w:t>目标</w:t>
            </w:r>
          </w:p>
        </w:tc>
        <w:tc>
          <w:tcPr>
            <w:tcW w:w="9061" w:type="dxa"/>
            <w:noWrap w:val="0"/>
            <w:vAlign w:val="top"/>
          </w:tcPr>
          <w:p>
            <w:pPr>
              <w:pStyle w:val="4"/>
              <w:spacing w:line="24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lang w:val="en-US" w:eastAsia="zh-CN"/>
              </w:rPr>
              <w:t>1、大气环境保护目标</w:t>
            </w:r>
          </w:p>
          <w:p>
            <w:pPr>
              <w:pStyle w:val="2"/>
              <w:spacing w:line="240" w:lineRule="auto"/>
              <w:ind w:firstLine="422"/>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bCs/>
                <w:color w:val="auto"/>
                <w:sz w:val="21"/>
                <w:szCs w:val="21"/>
                <w:u w:val="none" w:color="auto"/>
              </w:rPr>
              <w:t>表</w:t>
            </w:r>
            <w:r>
              <w:rPr>
                <w:rFonts w:hint="eastAsia" w:ascii="Times New Roman" w:hAnsi="Times New Roman" w:cs="Times New Roman"/>
                <w:b/>
                <w:bCs/>
                <w:color w:val="auto"/>
                <w:sz w:val="21"/>
                <w:szCs w:val="21"/>
                <w:u w:val="none" w:color="auto"/>
                <w:lang w:val="en-US" w:eastAsia="zh-CN"/>
              </w:rPr>
              <w:t>3-4</w:t>
            </w:r>
            <w:r>
              <w:rPr>
                <w:rFonts w:hint="default" w:ascii="Times New Roman" w:hAnsi="Times New Roman" w:eastAsia="宋体" w:cs="Times New Roman"/>
                <w:b/>
                <w:bCs/>
                <w:color w:val="auto"/>
                <w:sz w:val="21"/>
                <w:szCs w:val="21"/>
                <w:u w:val="none" w:color="auto"/>
                <w:lang w:val="en-US" w:eastAsia="zh-CN"/>
              </w:rPr>
              <w:t xml:space="preserve"> </w:t>
            </w:r>
            <w:r>
              <w:rPr>
                <w:rFonts w:hint="default" w:ascii="Times New Roman" w:hAnsi="Times New Roman" w:eastAsia="宋体" w:cs="Times New Roman"/>
                <w:b/>
                <w:bCs/>
                <w:color w:val="auto"/>
                <w:sz w:val="21"/>
                <w:szCs w:val="21"/>
                <w:u w:val="none" w:color="auto"/>
              </w:rPr>
              <w:t xml:space="preserve"> </w:t>
            </w:r>
            <w:r>
              <w:rPr>
                <w:rFonts w:hint="default" w:ascii="Times New Roman" w:hAnsi="Times New Roman" w:eastAsia="宋体" w:cs="Times New Roman"/>
                <w:b/>
                <w:bCs/>
                <w:color w:val="auto"/>
                <w:sz w:val="21"/>
                <w:szCs w:val="21"/>
                <w:u w:val="none" w:color="auto"/>
                <w:lang w:val="en-US" w:eastAsia="zh-CN"/>
              </w:rPr>
              <w:t>大气环境</w:t>
            </w:r>
            <w:r>
              <w:rPr>
                <w:rFonts w:hint="default" w:ascii="Times New Roman" w:hAnsi="Times New Roman" w:eastAsia="宋体" w:cs="Times New Roman"/>
                <w:b/>
                <w:bCs/>
                <w:color w:val="auto"/>
                <w:sz w:val="21"/>
                <w:szCs w:val="21"/>
                <w:u w:val="none" w:color="auto"/>
              </w:rPr>
              <w:t>保护目标一览表</w:t>
            </w:r>
          </w:p>
          <w:tbl>
            <w:tblPr>
              <w:tblStyle w:val="9"/>
              <w:tblW w:w="8545"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820"/>
              <w:gridCol w:w="1489"/>
              <w:gridCol w:w="1411"/>
              <w:gridCol w:w="608"/>
              <w:gridCol w:w="710"/>
              <w:gridCol w:w="1456"/>
              <w:gridCol w:w="896"/>
              <w:gridCol w:w="11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c>
                <w:tcPr>
                  <w:tcW w:w="912"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名称</w:t>
                  </w:r>
                </w:p>
              </w:tc>
              <w:tc>
                <w:tcPr>
                  <w:tcW w:w="2928" w:type="dxa"/>
                  <w:gridSpan w:val="2"/>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lang w:val="en-US" w:eastAsia="zh-CN"/>
                    </w:rPr>
                    <w:t>最近距离</w:t>
                  </w:r>
                  <w:r>
                    <w:rPr>
                      <w:rFonts w:hint="default" w:ascii="Times New Roman" w:hAnsi="Times New Roman" w:eastAsia="宋体" w:cs="Times New Roman"/>
                      <w:b/>
                      <w:bCs/>
                      <w:color w:val="auto"/>
                      <w:sz w:val="21"/>
                      <w:szCs w:val="21"/>
                      <w:u w:val="none" w:color="auto"/>
                    </w:rPr>
                    <w:t>坐标</w:t>
                  </w:r>
                </w:p>
              </w:tc>
              <w:tc>
                <w:tcPr>
                  <w:tcW w:w="66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保护对象</w:t>
                  </w:r>
                </w:p>
              </w:tc>
              <w:tc>
                <w:tcPr>
                  <w:tcW w:w="762"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保护内容</w:t>
                  </w:r>
                </w:p>
              </w:tc>
              <w:tc>
                <w:tcPr>
                  <w:tcW w:w="1083"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环境功能区</w:t>
                  </w:r>
                </w:p>
              </w:tc>
              <w:tc>
                <w:tcPr>
                  <w:tcW w:w="1002"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相对厂</w:t>
                  </w: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址方位</w:t>
                  </w:r>
                </w:p>
              </w:tc>
              <w:tc>
                <w:tcPr>
                  <w:tcW w:w="1198"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方位距离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44" w:hRule="atLeast"/>
              </w:trPr>
              <w:tc>
                <w:tcPr>
                  <w:tcW w:w="912"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500"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北纬</w:t>
                  </w:r>
                  <w:r>
                    <w:rPr>
                      <w:rFonts w:hint="default" w:ascii="Times New Roman" w:hAnsi="Times New Roman" w:eastAsia="宋体" w:cs="Times New Roman"/>
                      <w:b/>
                      <w:bCs/>
                      <w:color w:val="auto"/>
                      <w:sz w:val="21"/>
                      <w:szCs w:val="21"/>
                      <w:u w:val="none" w:color="auto"/>
                      <w:lang w:val="en-US" w:eastAsia="zh-CN"/>
                    </w:rPr>
                    <w:t>°</w:t>
                  </w:r>
                </w:p>
              </w:tc>
              <w:tc>
                <w:tcPr>
                  <w:tcW w:w="142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eastAsia="宋体" w:cs="Times New Roman"/>
                      <w:b/>
                      <w:bCs/>
                      <w:color w:val="auto"/>
                      <w:sz w:val="21"/>
                      <w:szCs w:val="21"/>
                      <w:u w:val="none" w:color="auto"/>
                    </w:rPr>
                    <w:t>东经</w:t>
                  </w:r>
                  <w:r>
                    <w:rPr>
                      <w:rFonts w:hint="default" w:ascii="Times New Roman" w:hAnsi="Times New Roman" w:eastAsia="宋体" w:cs="Times New Roman"/>
                      <w:b/>
                      <w:bCs/>
                      <w:color w:val="auto"/>
                      <w:sz w:val="21"/>
                      <w:szCs w:val="21"/>
                      <w:u w:val="none" w:color="auto"/>
                      <w:lang w:val="en-US" w:eastAsia="zh-CN"/>
                    </w:rPr>
                    <w:t>°</w:t>
                  </w:r>
                </w:p>
              </w:tc>
              <w:tc>
                <w:tcPr>
                  <w:tcW w:w="660"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762"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002"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c>
                <w:tcPr>
                  <w:tcW w:w="1198"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bCs/>
                      <w:color w:val="auto"/>
                      <w:sz w:val="21"/>
                      <w:szCs w:val="21"/>
                      <w:u w:val="none" w:color="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13" w:hRule="atLeast"/>
              </w:trPr>
              <w:tc>
                <w:tcPr>
                  <w:tcW w:w="91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桃源县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居民</w:t>
                  </w:r>
                </w:p>
              </w:tc>
              <w:tc>
                <w:tcPr>
                  <w:tcW w:w="1500" w:type="dxa"/>
                  <w:tcBorders>
                    <w:tl2br w:val="nil"/>
                    <w:tr2bl w:val="nil"/>
                  </w:tcBorders>
                  <w:noWrap w:val="0"/>
                  <w:vAlign w:val="center"/>
                </w:tcPr>
                <w:p>
                  <w:pPr>
                    <w:keepNext w:val="0"/>
                    <w:keepLines w:val="0"/>
                    <w:widowControl/>
                    <w:suppressLineNumbers w:val="0"/>
                    <w:jc w:val="center"/>
                    <w:textAlignment w:val="top"/>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111.48121196</w:t>
                  </w:r>
                </w:p>
              </w:tc>
              <w:tc>
                <w:tcPr>
                  <w:tcW w:w="1428" w:type="dxa"/>
                  <w:tcBorders>
                    <w:tl2br w:val="nil"/>
                    <w:tr2bl w:val="nil"/>
                  </w:tcBorders>
                  <w:noWrap w:val="0"/>
                  <w:vAlign w:val="center"/>
                </w:tcPr>
                <w:p>
                  <w:pPr>
                    <w:keepNext w:val="0"/>
                    <w:keepLines w:val="0"/>
                    <w:widowControl/>
                    <w:suppressLineNumbers w:val="0"/>
                    <w:jc w:val="center"/>
                    <w:textAlignment w:val="top"/>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28.91781613</w:t>
                  </w:r>
                </w:p>
              </w:tc>
              <w:tc>
                <w:tcPr>
                  <w:tcW w:w="660"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居民</w:t>
                  </w: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11</w:t>
                  </w:r>
                  <w:r>
                    <w:rPr>
                      <w:rFonts w:hint="default" w:ascii="Times New Roman" w:hAnsi="Times New Roman" w:eastAsia="宋体" w:cs="Times New Roman"/>
                      <w:color w:val="auto"/>
                      <w:sz w:val="21"/>
                      <w:szCs w:val="21"/>
                      <w:u w:val="none" w:color="auto"/>
                      <w:lang w:val="en-US" w:eastAsia="zh-CN"/>
                    </w:rPr>
                    <w:t>户</w:t>
                  </w:r>
                </w:p>
              </w:tc>
              <w:tc>
                <w:tcPr>
                  <w:tcW w:w="1083" w:type="dxa"/>
                  <w:vMerge w:val="restart"/>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《环境空气质量标准》(GB3095-2012)中二级标准</w:t>
                  </w: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lang w:val="en-US" w:eastAsia="zh-CN"/>
                    </w:rPr>
                    <w:t>~</w:t>
                  </w:r>
                  <w:r>
                    <w:rPr>
                      <w:rFonts w:hint="eastAsia" w:cs="Times New Roman"/>
                      <w:color w:val="auto"/>
                      <w:sz w:val="21"/>
                      <w:szCs w:val="21"/>
                      <w:u w:val="none" w:color="auto"/>
                      <w:lang w:val="en-US" w:eastAsia="zh-CN"/>
                    </w:rPr>
                    <w:t>500</w:t>
                  </w:r>
                  <w:r>
                    <w:rPr>
                      <w:rFonts w:hint="default" w:ascii="Times New Roman" w:hAnsi="Times New Roman" w:eastAsia="宋体" w:cs="Times New Roman"/>
                      <w:color w:val="auto"/>
                      <w:sz w:val="21"/>
                      <w:szCs w:val="21"/>
                      <w:u w:val="none" w:color="auto"/>
                      <w:lang w:val="en-US" w:eastAsia="zh-CN"/>
                    </w:rPr>
                    <w:t>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47" w:hRule="atLeast"/>
              </w:trPr>
              <w:tc>
                <w:tcPr>
                  <w:tcW w:w="91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500"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111.478703753</w:t>
                  </w:r>
                </w:p>
              </w:tc>
              <w:tc>
                <w:tcPr>
                  <w:tcW w:w="1428"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28.919834515</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29</w:t>
                  </w:r>
                  <w:r>
                    <w:rPr>
                      <w:rFonts w:hint="default" w:ascii="Times New Roman" w:hAnsi="Times New Roman" w:eastAsia="宋体" w:cs="Times New Roman"/>
                      <w:color w:val="auto"/>
                      <w:sz w:val="21"/>
                      <w:szCs w:val="21"/>
                      <w:u w:val="none" w:color="auto"/>
                      <w:lang w:val="en-US" w:eastAsia="zh-CN"/>
                    </w:rPr>
                    <w:t>户</w:t>
                  </w: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10-500m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47" w:hRule="atLeast"/>
              </w:trPr>
              <w:tc>
                <w:tcPr>
                  <w:tcW w:w="91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500"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111.479111449</w:t>
                  </w:r>
                </w:p>
              </w:tc>
              <w:tc>
                <w:tcPr>
                  <w:tcW w:w="1428"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28.916047236</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92</w:t>
                  </w:r>
                  <w:r>
                    <w:rPr>
                      <w:rFonts w:hint="default" w:ascii="Times New Roman" w:hAnsi="Times New Roman" w:eastAsia="宋体" w:cs="Times New Roman"/>
                      <w:color w:val="auto"/>
                      <w:sz w:val="21"/>
                      <w:szCs w:val="21"/>
                      <w:u w:val="none" w:color="auto"/>
                      <w:lang w:val="en-US" w:eastAsia="zh-CN"/>
                    </w:rPr>
                    <w:t>户</w:t>
                  </w: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10-500m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75" w:hRule="atLeast"/>
              </w:trPr>
              <w:tc>
                <w:tcPr>
                  <w:tcW w:w="91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p>
              </w:tc>
              <w:tc>
                <w:tcPr>
                  <w:tcW w:w="1500"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111.475388543</w:t>
                  </w:r>
                </w:p>
              </w:tc>
              <w:tc>
                <w:tcPr>
                  <w:tcW w:w="1428"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28.916336915</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约</w:t>
                  </w:r>
                  <w:r>
                    <w:rPr>
                      <w:rFonts w:hint="eastAsia" w:ascii="Times New Roman" w:hAnsi="Times New Roman" w:cs="Times New Roman"/>
                      <w:color w:val="auto"/>
                      <w:sz w:val="21"/>
                      <w:szCs w:val="21"/>
                      <w:u w:val="none" w:color="auto"/>
                      <w:lang w:val="en-US" w:eastAsia="zh-CN"/>
                    </w:rPr>
                    <w:t>72</w:t>
                  </w:r>
                  <w:r>
                    <w:rPr>
                      <w:rFonts w:hint="default" w:ascii="Times New Roman" w:hAnsi="Times New Roman" w:eastAsia="宋体" w:cs="Times New Roman"/>
                      <w:color w:val="auto"/>
                      <w:sz w:val="21"/>
                      <w:szCs w:val="21"/>
                      <w:u w:val="none" w:color="auto"/>
                      <w:lang w:val="en-US" w:eastAsia="zh-CN"/>
                    </w:rPr>
                    <w:t>户</w:t>
                  </w: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10-500m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886" w:hRule="atLeast"/>
              </w:trPr>
              <w:tc>
                <w:tcPr>
                  <w:tcW w:w="91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cs="Times New Roman"/>
                      <w:color w:val="auto"/>
                      <w:sz w:val="21"/>
                      <w:szCs w:val="21"/>
                      <w:u w:val="none" w:color="auto"/>
                      <w:lang w:eastAsia="zh-CN"/>
                    </w:rPr>
                  </w:pPr>
                  <w:r>
                    <w:rPr>
                      <w:rFonts w:hint="eastAsia" w:cs="Times New Roman"/>
                      <w:color w:val="auto"/>
                      <w:sz w:val="21"/>
                      <w:szCs w:val="21"/>
                      <w:u w:val="none" w:color="auto"/>
                      <w:lang w:eastAsia="zh-CN"/>
                    </w:rPr>
                    <w:t>桃源县康复医院</w:t>
                  </w:r>
                </w:p>
              </w:tc>
              <w:tc>
                <w:tcPr>
                  <w:tcW w:w="1500"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111.476949588</w:t>
                  </w:r>
                </w:p>
              </w:tc>
              <w:tc>
                <w:tcPr>
                  <w:tcW w:w="1428"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28.919880113</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约500人</w:t>
                  </w: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200m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615" w:hRule="atLeast"/>
              </w:trPr>
              <w:tc>
                <w:tcPr>
                  <w:tcW w:w="91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桃源广播电视大学</w:t>
                  </w:r>
                </w:p>
              </w:tc>
              <w:tc>
                <w:tcPr>
                  <w:tcW w:w="1500"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111.473622236</w:t>
                  </w:r>
                </w:p>
              </w:tc>
              <w:tc>
                <w:tcPr>
                  <w:tcW w:w="1428" w:type="dxa"/>
                  <w:tcBorders>
                    <w:tl2br w:val="nil"/>
                    <w:tr2bl w:val="nil"/>
                  </w:tcBorders>
                  <w:noWrap w:val="0"/>
                  <w:vAlign w:val="center"/>
                </w:tcPr>
                <w:p>
                  <w:pPr>
                    <w:pStyle w:val="17"/>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28.914913835</w:t>
                  </w:r>
                </w:p>
              </w:tc>
              <w:tc>
                <w:tcPr>
                  <w:tcW w:w="66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p>
              </w:tc>
              <w:tc>
                <w:tcPr>
                  <w:tcW w:w="76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约600人</w:t>
                  </w:r>
                </w:p>
              </w:tc>
              <w:tc>
                <w:tcPr>
                  <w:tcW w:w="1083" w:type="dxa"/>
                  <w:vMerge w:val="continue"/>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none" w:color="auto"/>
                    </w:rPr>
                  </w:pPr>
                </w:p>
              </w:tc>
              <w:tc>
                <w:tcPr>
                  <w:tcW w:w="100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西南</w:t>
                  </w:r>
                </w:p>
              </w:tc>
              <w:tc>
                <w:tcPr>
                  <w:tcW w:w="1198"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450m</w:t>
                  </w:r>
                </w:p>
              </w:tc>
            </w:tr>
          </w:tbl>
          <w:p>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2</w:t>
            </w:r>
            <w:r>
              <w:rPr>
                <w:rFonts w:hint="default" w:ascii="Times New Roman" w:hAnsi="Times New Roman" w:eastAsia="宋体" w:cs="Times New Roman"/>
                <w:b/>
                <w:bCs/>
                <w:color w:val="auto"/>
                <w:sz w:val="21"/>
                <w:szCs w:val="21"/>
                <w:u w:val="none" w:color="auto"/>
                <w:lang w:val="en-US" w:eastAsia="zh-CN"/>
              </w:rPr>
              <w:t>、声环境保护目标</w:t>
            </w:r>
          </w:p>
          <w:p>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表3-</w:t>
            </w:r>
            <w:r>
              <w:rPr>
                <w:rFonts w:hint="eastAsia" w:ascii="Times New Roman" w:hAnsi="Times New Roman" w:cs="Times New Roman"/>
                <w:b/>
                <w:bCs/>
                <w:color w:val="auto"/>
                <w:sz w:val="21"/>
                <w:szCs w:val="21"/>
                <w:highlight w:val="none"/>
                <w:u w:val="none" w:color="auto"/>
                <w:lang w:val="en-US" w:eastAsia="zh-CN"/>
              </w:rPr>
              <w:t>5</w:t>
            </w:r>
            <w:r>
              <w:rPr>
                <w:rFonts w:hint="default" w:ascii="Times New Roman" w:hAnsi="Times New Roman" w:eastAsia="宋体" w:cs="Times New Roman"/>
                <w:b/>
                <w:bCs/>
                <w:color w:val="auto"/>
                <w:sz w:val="21"/>
                <w:szCs w:val="21"/>
                <w:highlight w:val="none"/>
                <w:u w:val="none" w:color="auto"/>
                <w:lang w:val="en-US" w:eastAsia="zh-CN"/>
              </w:rPr>
              <w:t xml:space="preserve">  声环境保护目标一览表</w:t>
            </w:r>
          </w:p>
          <w:tbl>
            <w:tblPr>
              <w:tblStyle w:val="9"/>
              <w:tblW w:w="0" w:type="auto"/>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76"/>
              <w:gridCol w:w="1636"/>
              <w:gridCol w:w="1503"/>
              <w:gridCol w:w="1579"/>
              <w:gridCol w:w="1120"/>
              <w:gridCol w:w="19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trPr>
              <w:tc>
                <w:tcPr>
                  <w:tcW w:w="1076"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val="0"/>
                      <w:color w:val="auto"/>
                      <w:sz w:val="21"/>
                      <w:szCs w:val="21"/>
                      <w:highlight w:val="none"/>
                      <w:u w:val="none" w:color="auto"/>
                      <w:vertAlign w:val="baseline"/>
                      <w:lang w:val="en-US" w:eastAsia="zh-CN"/>
                    </w:rPr>
                    <w:t>保护目标</w:t>
                  </w:r>
                </w:p>
              </w:tc>
              <w:tc>
                <w:tcPr>
                  <w:tcW w:w="1636"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val="0"/>
                      <w:color w:val="auto"/>
                      <w:sz w:val="21"/>
                      <w:szCs w:val="21"/>
                      <w:highlight w:val="none"/>
                      <w:u w:val="none" w:color="auto"/>
                      <w:vertAlign w:val="baseline"/>
                      <w:lang w:val="en-US" w:eastAsia="zh-CN"/>
                    </w:rPr>
                    <w:t>相对厂界方位、最近距离</w:t>
                  </w:r>
                </w:p>
              </w:tc>
              <w:tc>
                <w:tcPr>
                  <w:tcW w:w="3082" w:type="dxa"/>
                  <w:gridSpan w:val="2"/>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val="0"/>
                      <w:color w:val="auto"/>
                      <w:sz w:val="21"/>
                      <w:szCs w:val="21"/>
                      <w:highlight w:val="none"/>
                      <w:u w:val="none" w:color="auto"/>
                      <w:vertAlign w:val="baseline"/>
                      <w:lang w:val="en-US" w:eastAsia="zh-CN"/>
                    </w:rPr>
                    <w:t>最近点坐标</w:t>
                  </w:r>
                </w:p>
              </w:tc>
              <w:tc>
                <w:tcPr>
                  <w:tcW w:w="1120"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val="0"/>
                      <w:color w:val="auto"/>
                      <w:sz w:val="21"/>
                      <w:szCs w:val="21"/>
                      <w:highlight w:val="none"/>
                      <w:u w:val="none" w:color="auto"/>
                      <w:vertAlign w:val="baseline"/>
                      <w:lang w:val="en-US" w:eastAsia="zh-CN"/>
                    </w:rPr>
                    <w:t>功能/规模</w:t>
                  </w:r>
                </w:p>
              </w:tc>
              <w:tc>
                <w:tcPr>
                  <w:tcW w:w="1906"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
                      <w:bCs w:val="0"/>
                      <w:color w:val="auto"/>
                      <w:sz w:val="21"/>
                      <w:szCs w:val="21"/>
                      <w:highlight w:val="none"/>
                      <w:u w:val="none" w:color="auto"/>
                      <w:vertAlign w:val="baseline"/>
                      <w:lang w:val="en-US" w:eastAsia="zh-CN"/>
                    </w:rPr>
                    <w:t>保护级别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trPr>
              <w:tc>
                <w:tcPr>
                  <w:tcW w:w="107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63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sz w:val="21"/>
                      <w:szCs w:val="21"/>
                    </w:rPr>
                  </w:pPr>
                </w:p>
              </w:tc>
              <w:tc>
                <w:tcPr>
                  <w:tcW w:w="1503"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u w:val="none" w:color="auto"/>
                    </w:rPr>
                    <w:t>北纬</w:t>
                  </w:r>
                  <w:r>
                    <w:rPr>
                      <w:rFonts w:hint="default" w:ascii="Times New Roman" w:hAnsi="Times New Roman" w:eastAsia="宋体" w:cs="Times New Roman"/>
                      <w:b/>
                      <w:bCs/>
                      <w:color w:val="auto"/>
                      <w:sz w:val="21"/>
                      <w:szCs w:val="21"/>
                      <w:u w:val="none" w:color="auto"/>
                      <w:lang w:val="en-US" w:eastAsia="zh-CN"/>
                    </w:rPr>
                    <w:t>°</w:t>
                  </w:r>
                </w:p>
              </w:tc>
              <w:tc>
                <w:tcPr>
                  <w:tcW w:w="1579"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val="0"/>
                      <w:color w:val="auto"/>
                      <w:sz w:val="21"/>
                      <w:szCs w:val="21"/>
                      <w:highlight w:val="none"/>
                      <w:u w:val="none" w:color="auto"/>
                      <w:vertAlign w:val="baseline"/>
                      <w:lang w:val="en-US" w:eastAsia="zh-CN"/>
                    </w:rPr>
                  </w:pPr>
                  <w:r>
                    <w:rPr>
                      <w:rFonts w:hint="default" w:ascii="Times New Roman" w:hAnsi="Times New Roman" w:eastAsia="宋体" w:cs="Times New Roman"/>
                      <w:b/>
                      <w:bCs/>
                      <w:color w:val="auto"/>
                      <w:sz w:val="21"/>
                      <w:szCs w:val="21"/>
                      <w:u w:val="none" w:color="auto"/>
                    </w:rPr>
                    <w:t>东经</w:t>
                  </w:r>
                  <w:r>
                    <w:rPr>
                      <w:rFonts w:hint="default" w:ascii="Times New Roman" w:hAnsi="Times New Roman" w:eastAsia="宋体" w:cs="Times New Roman"/>
                      <w:b/>
                      <w:bCs/>
                      <w:color w:val="auto"/>
                      <w:sz w:val="21"/>
                      <w:szCs w:val="21"/>
                      <w:u w:val="none" w:color="auto"/>
                      <w:lang w:val="en-US" w:eastAsia="zh-CN"/>
                    </w:rPr>
                    <w:t>°</w:t>
                  </w:r>
                </w:p>
              </w:tc>
              <w:tc>
                <w:tcPr>
                  <w:tcW w:w="1120"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21"/>
                      <w:szCs w:val="21"/>
                      <w:highlight w:val="none"/>
                      <w:u w:val="none" w:color="auto"/>
                      <w:vertAlign w:val="baseline"/>
                      <w:lang w:val="en-US" w:eastAsia="zh-CN"/>
                    </w:rPr>
                  </w:pPr>
                </w:p>
              </w:tc>
              <w:tc>
                <w:tcPr>
                  <w:tcW w:w="190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z w:val="21"/>
                      <w:szCs w:val="21"/>
                      <w:highlight w:val="none"/>
                      <w:u w:val="none" w:color="auto"/>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1076"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eastAsia" w:ascii="Times New Roman" w:hAnsi="Times New Roman" w:cs="Times New Roman"/>
                      <w:b w:val="0"/>
                      <w:bCs w:val="0"/>
                      <w:color w:val="auto"/>
                      <w:sz w:val="21"/>
                      <w:szCs w:val="21"/>
                      <w:highlight w:val="none"/>
                      <w:u w:val="none" w:color="auto"/>
                      <w:vertAlign w:val="baseline"/>
                      <w:lang w:val="en-US" w:eastAsia="zh-CN"/>
                    </w:rPr>
                    <w:t>居民</w:t>
                  </w:r>
                </w:p>
              </w:tc>
              <w:tc>
                <w:tcPr>
                  <w:tcW w:w="1636"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eastAsia"/>
                      <w:sz w:val="21"/>
                      <w:szCs w:val="21"/>
                      <w:lang w:eastAsia="zh-CN"/>
                    </w:rPr>
                    <w:t>东侧</w:t>
                  </w:r>
                  <w:r>
                    <w:rPr>
                      <w:rFonts w:hint="eastAsia"/>
                      <w:sz w:val="21"/>
                      <w:szCs w:val="21"/>
                      <w:lang w:val="en-US" w:eastAsia="zh-CN"/>
                    </w:rPr>
                    <w:t>10-50m</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28.918049506</w:t>
                  </w:r>
                </w:p>
              </w:tc>
              <w:tc>
                <w:tcPr>
                  <w:tcW w:w="15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111.477578566</w:t>
                  </w:r>
                </w:p>
              </w:tc>
              <w:tc>
                <w:tcPr>
                  <w:tcW w:w="1120"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eastAsia" w:ascii="Times New Roman" w:hAnsi="Times New Roman" w:cs="Times New Roman"/>
                      <w:b w:val="0"/>
                      <w:bCs w:val="0"/>
                      <w:color w:val="auto"/>
                      <w:sz w:val="21"/>
                      <w:szCs w:val="21"/>
                      <w:highlight w:val="none"/>
                      <w:u w:val="none" w:color="auto"/>
                      <w:vertAlign w:val="baseline"/>
                      <w:lang w:val="en-US" w:eastAsia="zh-CN"/>
                    </w:rPr>
                    <w:t>居民区</w:t>
                  </w:r>
                </w:p>
              </w:tc>
              <w:tc>
                <w:tcPr>
                  <w:tcW w:w="1906" w:type="dxa"/>
                  <w:vMerge w:val="restart"/>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u w:val="none" w:color="auto"/>
                      <w:vertAlign w:val="baseline"/>
                      <w:lang w:val="en-US" w:eastAsia="zh-CN"/>
                    </w:rPr>
                  </w:pPr>
                  <w:r>
                    <w:rPr>
                      <w:rFonts w:hint="default" w:ascii="Times New Roman" w:hAnsi="Times New Roman" w:eastAsia="宋体" w:cs="Times New Roman"/>
                      <w:bCs/>
                      <w:color w:val="auto"/>
                      <w:sz w:val="21"/>
                      <w:szCs w:val="21"/>
                      <w:highlight w:val="none"/>
                      <w:u w:val="none" w:color="auto"/>
                      <w:vertAlign w:val="baseline"/>
                      <w:lang w:val="en-US" w:eastAsia="zh-CN"/>
                    </w:rPr>
                    <w:t>《声环境质量标准》（GB3096-2008）中2类标准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4" w:hRule="atLeast"/>
              </w:trPr>
              <w:tc>
                <w:tcPr>
                  <w:tcW w:w="107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Cs/>
                      <w:color w:val="auto"/>
                      <w:sz w:val="21"/>
                      <w:szCs w:val="21"/>
                      <w:highlight w:val="none"/>
                      <w:u w:val="none" w:color="auto"/>
                      <w:vertAlign w:val="baseline"/>
                      <w:lang w:val="en-US" w:eastAsia="zh-CN"/>
                    </w:rPr>
                  </w:pPr>
                </w:p>
              </w:tc>
              <w:tc>
                <w:tcPr>
                  <w:tcW w:w="1636"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r>
                    <w:rPr>
                      <w:rFonts w:hint="eastAsia"/>
                      <w:sz w:val="21"/>
                      <w:szCs w:val="21"/>
                      <w:lang w:eastAsia="zh-CN"/>
                    </w:rPr>
                    <w:t>南侧</w:t>
                  </w:r>
                  <w:r>
                    <w:rPr>
                      <w:rFonts w:hint="eastAsia"/>
                      <w:sz w:val="21"/>
                      <w:szCs w:val="21"/>
                      <w:lang w:val="en-US" w:eastAsia="zh-CN"/>
                    </w:rPr>
                    <w:t>15-50m</w:t>
                  </w:r>
                </w:p>
              </w:tc>
              <w:tc>
                <w:tcPr>
                  <w:tcW w:w="1503"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28.917606941</w:t>
                  </w:r>
                </w:p>
              </w:tc>
              <w:tc>
                <w:tcPr>
                  <w:tcW w:w="1579"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111.477160142</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r>
                    <w:rPr>
                      <w:rFonts w:hint="eastAsia" w:ascii="Times New Roman" w:hAnsi="Times New Roman" w:cs="Times New Roman"/>
                      <w:b w:val="0"/>
                      <w:bCs w:val="0"/>
                      <w:color w:val="auto"/>
                      <w:sz w:val="21"/>
                      <w:szCs w:val="21"/>
                      <w:highlight w:val="none"/>
                      <w:u w:val="none" w:color="auto"/>
                      <w:vertAlign w:val="baseline"/>
                      <w:lang w:val="en-US" w:eastAsia="zh-CN"/>
                    </w:rPr>
                    <w:t>居民区</w:t>
                  </w:r>
                </w:p>
              </w:tc>
              <w:tc>
                <w:tcPr>
                  <w:tcW w:w="190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9" w:hRule="atLeast"/>
              </w:trPr>
              <w:tc>
                <w:tcPr>
                  <w:tcW w:w="107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Cs/>
                      <w:color w:val="auto"/>
                      <w:sz w:val="21"/>
                      <w:szCs w:val="21"/>
                      <w:highlight w:val="none"/>
                      <w:u w:val="none" w:color="auto"/>
                      <w:vertAlign w:val="baseline"/>
                      <w:lang w:val="en-US" w:eastAsia="zh-CN"/>
                    </w:rPr>
                  </w:pPr>
                </w:p>
              </w:tc>
              <w:tc>
                <w:tcPr>
                  <w:tcW w:w="1636"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eastAsia="zh-CN"/>
                    </w:rPr>
                    <w:t>西侧</w:t>
                  </w:r>
                  <w:r>
                    <w:rPr>
                      <w:rFonts w:hint="eastAsia"/>
                      <w:sz w:val="21"/>
                      <w:szCs w:val="21"/>
                      <w:lang w:val="en-US" w:eastAsia="zh-CN"/>
                    </w:rPr>
                    <w:t>50m</w:t>
                  </w:r>
                </w:p>
              </w:tc>
              <w:tc>
                <w:tcPr>
                  <w:tcW w:w="1503"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28.917864433</w:t>
                  </w:r>
                </w:p>
              </w:tc>
              <w:tc>
                <w:tcPr>
                  <w:tcW w:w="1579"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111.476562009</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Cs/>
                      <w:color w:val="auto"/>
                      <w:sz w:val="21"/>
                      <w:szCs w:val="21"/>
                      <w:highlight w:val="none"/>
                      <w:u w:val="none" w:color="auto"/>
                      <w:vertAlign w:val="baseline"/>
                      <w:lang w:val="en-US" w:eastAsia="zh-CN"/>
                    </w:rPr>
                  </w:pPr>
                  <w:r>
                    <w:rPr>
                      <w:rFonts w:hint="eastAsia" w:ascii="Times New Roman" w:hAnsi="Times New Roman" w:cs="Times New Roman"/>
                      <w:b w:val="0"/>
                      <w:bCs w:val="0"/>
                      <w:color w:val="auto"/>
                      <w:sz w:val="21"/>
                      <w:szCs w:val="21"/>
                      <w:highlight w:val="none"/>
                      <w:u w:val="none" w:color="auto"/>
                      <w:vertAlign w:val="baseline"/>
                      <w:lang w:val="en-US" w:eastAsia="zh-CN"/>
                    </w:rPr>
                    <w:t>居民区</w:t>
                  </w:r>
                </w:p>
              </w:tc>
              <w:tc>
                <w:tcPr>
                  <w:tcW w:w="190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7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Cs/>
                      <w:color w:val="auto"/>
                      <w:sz w:val="21"/>
                      <w:szCs w:val="21"/>
                      <w:highlight w:val="none"/>
                      <w:u w:val="none" w:color="auto"/>
                      <w:vertAlign w:val="baseline"/>
                      <w:lang w:val="en-US" w:eastAsia="zh-CN"/>
                    </w:rPr>
                  </w:pPr>
                </w:p>
              </w:tc>
              <w:tc>
                <w:tcPr>
                  <w:tcW w:w="1636" w:type="dxa"/>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sz w:val="21"/>
                      <w:szCs w:val="21"/>
                      <w:lang w:val="en-US" w:eastAsia="zh-CN"/>
                    </w:rPr>
                  </w:pPr>
                  <w:r>
                    <w:rPr>
                      <w:rFonts w:hint="eastAsia"/>
                      <w:sz w:val="21"/>
                      <w:szCs w:val="21"/>
                      <w:lang w:eastAsia="zh-CN"/>
                    </w:rPr>
                    <w:t>北侧</w:t>
                  </w:r>
                  <w:r>
                    <w:rPr>
                      <w:rFonts w:hint="eastAsia"/>
                      <w:sz w:val="21"/>
                      <w:szCs w:val="21"/>
                      <w:lang w:val="en-US" w:eastAsia="zh-CN"/>
                    </w:rPr>
                    <w:t>6-50m</w:t>
                  </w:r>
                </w:p>
              </w:tc>
              <w:tc>
                <w:tcPr>
                  <w:tcW w:w="1503"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28.918368688</w:t>
                  </w:r>
                </w:p>
              </w:tc>
              <w:tc>
                <w:tcPr>
                  <w:tcW w:w="1579" w:type="dxa"/>
                  <w:tcBorders>
                    <w:tl2br w:val="nil"/>
                    <w:tr2bl w:val="nil"/>
                  </w:tcBorders>
                  <w:noWrap w:val="0"/>
                  <w:vAlign w:val="center"/>
                </w:tcPr>
                <w:p>
                  <w:pPr>
                    <w:pStyle w:val="17"/>
                    <w:bidi w:val="0"/>
                    <w:ind w:firstLine="0" w:firstLineChars="0"/>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111.477079676</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bCs/>
                      <w:color w:val="auto"/>
                      <w:sz w:val="21"/>
                      <w:szCs w:val="21"/>
                      <w:highlight w:val="none"/>
                      <w:u w:val="none" w:color="auto"/>
                      <w:vertAlign w:val="baseline"/>
                      <w:lang w:val="en-US" w:eastAsia="zh-CN"/>
                    </w:rPr>
                  </w:pPr>
                  <w:r>
                    <w:rPr>
                      <w:rFonts w:hint="eastAsia" w:ascii="Times New Roman" w:hAnsi="Times New Roman" w:cs="Times New Roman"/>
                      <w:b w:val="0"/>
                      <w:bCs w:val="0"/>
                      <w:color w:val="auto"/>
                      <w:sz w:val="21"/>
                      <w:szCs w:val="21"/>
                      <w:highlight w:val="none"/>
                      <w:u w:val="none" w:color="auto"/>
                      <w:vertAlign w:val="baseline"/>
                      <w:lang w:val="en-US" w:eastAsia="zh-CN"/>
                    </w:rPr>
                    <w:t>居民区</w:t>
                  </w:r>
                </w:p>
              </w:tc>
              <w:tc>
                <w:tcPr>
                  <w:tcW w:w="1906" w:type="dxa"/>
                  <w:vMerge w:val="continue"/>
                  <w:tcBorders>
                    <w:tl2br w:val="nil"/>
                    <w:tr2bl w:val="nil"/>
                  </w:tcBorders>
                  <w:noWrap w:val="0"/>
                  <w:vAlign w:val="center"/>
                </w:tcPr>
                <w:p>
                  <w:pPr>
                    <w:pStyle w:val="1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p>
              </w:tc>
            </w:tr>
          </w:tbl>
          <w:p>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3</w:t>
            </w:r>
            <w:r>
              <w:rPr>
                <w:rFonts w:hint="default" w:ascii="Times New Roman" w:hAnsi="Times New Roman" w:eastAsia="宋体" w:cs="Times New Roman"/>
                <w:b/>
                <w:bCs/>
                <w:color w:val="auto"/>
                <w:sz w:val="21"/>
                <w:szCs w:val="21"/>
                <w:u w:val="none" w:color="auto"/>
                <w:lang w:val="en-US" w:eastAsia="zh-CN"/>
              </w:rPr>
              <w:t>、地下水环境保护目标</w:t>
            </w:r>
          </w:p>
          <w:p>
            <w:pPr>
              <w:spacing w:line="360" w:lineRule="auto"/>
              <w:ind w:firstLine="420" w:firstLineChars="200"/>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本项目厂界外500m范围内无地下水集中式饮用水水源和热水、矿泉水、温泉等特殊地下水资源。</w:t>
            </w:r>
          </w:p>
          <w:p>
            <w:pPr>
              <w:spacing w:line="360" w:lineRule="auto"/>
              <w:ind w:firstLine="422" w:firstLineChars="200"/>
              <w:rPr>
                <w:rFonts w:hint="default" w:ascii="Times New Roman" w:hAnsi="Times New Roman" w:eastAsia="宋体" w:cs="Times New Roman"/>
                <w:b/>
                <w:bCs/>
                <w:color w:val="auto"/>
                <w:sz w:val="21"/>
                <w:szCs w:val="21"/>
                <w:u w:val="none" w:color="auto"/>
                <w:lang w:val="en-US" w:eastAsia="zh-CN"/>
              </w:rPr>
            </w:pPr>
            <w:r>
              <w:rPr>
                <w:rFonts w:hint="eastAsia" w:cs="Times New Roman"/>
                <w:b/>
                <w:bCs/>
                <w:color w:val="auto"/>
                <w:sz w:val="21"/>
                <w:szCs w:val="21"/>
                <w:u w:val="none" w:color="auto"/>
                <w:lang w:val="en-US" w:eastAsia="zh-CN"/>
              </w:rPr>
              <w:t>4</w:t>
            </w:r>
            <w:r>
              <w:rPr>
                <w:rFonts w:hint="default" w:ascii="Times New Roman" w:hAnsi="Times New Roman" w:eastAsia="宋体" w:cs="Times New Roman"/>
                <w:b/>
                <w:bCs/>
                <w:color w:val="auto"/>
                <w:sz w:val="21"/>
                <w:szCs w:val="21"/>
                <w:u w:val="none" w:color="auto"/>
                <w:lang w:val="en-US" w:eastAsia="zh-CN"/>
              </w:rPr>
              <w:t>、生态环境保护目标</w:t>
            </w:r>
          </w:p>
          <w:p>
            <w:pPr>
              <w:numPr>
                <w:ilvl w:val="0"/>
                <w:numId w:val="0"/>
              </w:numPr>
              <w:adjustRightInd w:val="0"/>
              <w:snapToGrid w:val="0"/>
              <w:spacing w:line="360" w:lineRule="auto"/>
              <w:ind w:left="0" w:leftChars="0" w:firstLine="0" w:firstLineChars="0"/>
              <w:jc w:val="both"/>
              <w:rPr>
                <w:rFonts w:hint="eastAsia" w:ascii="Times New Roman" w:hAnsi="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本项目</w:t>
            </w:r>
            <w:r>
              <w:rPr>
                <w:rFonts w:hint="eastAsia"/>
                <w:color w:val="auto"/>
                <w:sz w:val="21"/>
                <w:szCs w:val="21"/>
                <w:u w:val="none" w:color="auto"/>
                <w:lang w:val="en-US" w:eastAsia="zh-CN"/>
              </w:rPr>
              <w:t>为扩建项目，</w:t>
            </w:r>
            <w:r>
              <w:rPr>
                <w:rFonts w:hint="default" w:ascii="Times New Roman" w:hAnsi="Times New Roman" w:eastAsia="宋体" w:cs="Times New Roman"/>
                <w:color w:val="auto"/>
                <w:sz w:val="21"/>
                <w:szCs w:val="21"/>
                <w:u w:val="none" w:color="auto"/>
                <w:lang w:val="en-US" w:eastAsia="zh-CN"/>
              </w:rPr>
              <w:t>建设点位于</w:t>
            </w:r>
            <w:r>
              <w:rPr>
                <w:rFonts w:hint="eastAsia" w:cs="Times New Roman"/>
                <w:color w:val="auto"/>
                <w:sz w:val="21"/>
                <w:szCs w:val="21"/>
                <w:u w:val="none" w:color="auto"/>
                <w:lang w:val="en-US" w:eastAsia="zh-CN"/>
              </w:rPr>
              <w:t>常德市桃源县漳江镇白佛阁社区漳江北路019号。</w:t>
            </w:r>
            <w:r>
              <w:rPr>
                <w:rFonts w:hint="eastAsia" w:ascii="Times New Roman" w:hAnsi="Times New Roman"/>
                <w:color w:val="auto"/>
                <w:sz w:val="21"/>
                <w:szCs w:val="21"/>
                <w:u w:val="none" w:color="auto"/>
                <w:lang w:val="en-US" w:eastAsia="zh-CN"/>
              </w:rPr>
              <w:t>根据现场</w:t>
            </w:r>
            <w:r>
              <w:rPr>
                <w:rFonts w:hint="eastAsia"/>
                <w:color w:val="auto"/>
                <w:sz w:val="21"/>
                <w:szCs w:val="21"/>
                <w:u w:val="none" w:color="auto"/>
                <w:lang w:val="en-US" w:eastAsia="zh-CN"/>
              </w:rPr>
              <w:t>调查，不占用基本农田，不占用林地，不新增建设用地，不涉及生态环境保护目标</w:t>
            </w:r>
            <w:r>
              <w:rPr>
                <w:rFonts w:hint="eastAsia" w:ascii="Times New Roman" w:hAnsi="Times New Roman"/>
                <w:color w:val="auto"/>
                <w:sz w:val="21"/>
                <w:szCs w:val="21"/>
                <w:u w:val="none" w:color="auto"/>
                <w:lang w:val="en-US" w:eastAsia="zh-CN"/>
              </w:rPr>
              <w:t>。</w:t>
            </w:r>
          </w:p>
          <w:p>
            <w:pPr>
              <w:numPr>
                <w:ilvl w:val="0"/>
                <w:numId w:val="0"/>
              </w:numPr>
              <w:adjustRightInd w:val="0"/>
              <w:snapToGrid w:val="0"/>
              <w:spacing w:line="360" w:lineRule="auto"/>
              <w:ind w:left="0" w:leftChars="0" w:firstLine="0" w:firstLineChars="0"/>
              <w:jc w:val="both"/>
              <w:rPr>
                <w:rFonts w:hint="eastAsia" w:ascii="Times New Roman" w:hAnsi="Times New Roman"/>
                <w:color w:val="auto"/>
                <w:sz w:val="21"/>
                <w:szCs w:val="21"/>
                <w:u w:val="none" w:color="auto"/>
                <w:lang w:val="en-US" w:eastAsia="zh-CN"/>
              </w:rPr>
            </w:pPr>
          </w:p>
          <w:p>
            <w:pPr>
              <w:numPr>
                <w:ilvl w:val="0"/>
                <w:numId w:val="0"/>
              </w:numPr>
              <w:adjustRightInd w:val="0"/>
              <w:snapToGrid w:val="0"/>
              <w:spacing w:line="360" w:lineRule="auto"/>
              <w:ind w:left="0" w:leftChars="0" w:firstLine="0" w:firstLineChars="0"/>
              <w:jc w:val="both"/>
              <w:rPr>
                <w:rFonts w:hint="eastAsia" w:ascii="Times New Roman" w:hAnsi="Times New Roman"/>
                <w:color w:val="auto"/>
                <w:sz w:val="21"/>
                <w:szCs w:val="21"/>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污染</w:t>
            </w:r>
          </w:p>
          <w:p>
            <w:pPr>
              <w:adjustRightInd w:val="0"/>
              <w:snapToGrid w:val="0"/>
              <w:jc w:val="center"/>
              <w:rPr>
                <w:rFonts w:hint="eastAsia" w:ascii="宋体" w:hAnsi="宋体" w:cs="宋体"/>
                <w:kern w:val="0"/>
                <w:szCs w:val="21"/>
              </w:rPr>
            </w:pPr>
            <w:r>
              <w:rPr>
                <w:rFonts w:hint="eastAsia" w:ascii="宋体" w:hAnsi="宋体" w:cs="宋体"/>
                <w:kern w:val="0"/>
                <w:szCs w:val="21"/>
              </w:rPr>
              <w:t>物排</w:t>
            </w:r>
          </w:p>
          <w:p>
            <w:pPr>
              <w:adjustRightInd w:val="0"/>
              <w:snapToGrid w:val="0"/>
              <w:jc w:val="center"/>
              <w:rPr>
                <w:rFonts w:hint="eastAsia" w:ascii="宋体" w:hAnsi="宋体" w:cs="宋体"/>
                <w:kern w:val="0"/>
                <w:szCs w:val="21"/>
              </w:rPr>
            </w:pPr>
            <w:r>
              <w:rPr>
                <w:rFonts w:hint="eastAsia" w:ascii="宋体" w:hAnsi="宋体" w:cs="宋体"/>
                <w:kern w:val="0"/>
                <w:szCs w:val="21"/>
              </w:rPr>
              <w:t>放控</w:t>
            </w:r>
          </w:p>
          <w:p>
            <w:pPr>
              <w:adjustRightInd w:val="0"/>
              <w:snapToGrid w:val="0"/>
              <w:jc w:val="center"/>
              <w:rPr>
                <w:rFonts w:hint="eastAsia"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vertAlign w:val="subscript"/>
              </w:rPr>
            </w:pPr>
            <w:r>
              <w:rPr>
                <w:rFonts w:hint="eastAsia" w:ascii="宋体" w:hAnsi="宋体" w:cs="宋体"/>
                <w:kern w:val="0"/>
                <w:szCs w:val="21"/>
              </w:rPr>
              <w:t>准</w:t>
            </w:r>
          </w:p>
        </w:tc>
        <w:tc>
          <w:tcPr>
            <w:tcW w:w="9061" w:type="dxa"/>
            <w:noWrap w:val="0"/>
            <w:vAlign w:val="center"/>
          </w:tcPr>
          <w:p>
            <w:pPr>
              <w:adjustRightInd w:val="0"/>
              <w:snapToGrid w:val="0"/>
              <w:spacing w:line="360" w:lineRule="auto"/>
              <w:ind w:firstLine="422" w:firstLineChars="200"/>
              <w:jc w:val="left"/>
              <w:rPr>
                <w:rFonts w:ascii="宋体" w:hAnsi="宋体" w:cs="宋体"/>
                <w:b/>
                <w:bCs/>
                <w:kern w:val="0"/>
                <w:sz w:val="21"/>
                <w:szCs w:val="21"/>
              </w:rPr>
            </w:pPr>
            <w:r>
              <w:rPr>
                <w:rFonts w:hint="eastAsia" w:ascii="宋体" w:hAnsi="宋体" w:cs="宋体"/>
                <w:b/>
                <w:bCs/>
                <w:kern w:val="0"/>
                <w:sz w:val="21"/>
                <w:szCs w:val="21"/>
              </w:rPr>
              <w:t>1</w:t>
            </w:r>
            <w:r>
              <w:rPr>
                <w:rFonts w:ascii="宋体" w:hAnsi="宋体" w:cs="宋体"/>
                <w:b/>
                <w:bCs/>
                <w:kern w:val="0"/>
                <w:sz w:val="21"/>
                <w:szCs w:val="21"/>
              </w:rPr>
              <w:t>.</w:t>
            </w:r>
            <w:r>
              <w:rPr>
                <w:rFonts w:hint="eastAsia" w:ascii="宋体" w:hAnsi="宋体" w:cs="宋体"/>
                <w:b/>
                <w:bCs/>
                <w:kern w:val="0"/>
                <w:sz w:val="21"/>
                <w:szCs w:val="21"/>
              </w:rPr>
              <w:t>废气排放标准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1"/>
                <w:szCs w:val="21"/>
              </w:rPr>
            </w:pPr>
            <w:r>
              <w:rPr>
                <w:rFonts w:hint="eastAsia"/>
                <w:sz w:val="21"/>
                <w:szCs w:val="21"/>
              </w:rPr>
              <w:t>（</w:t>
            </w:r>
            <w:r>
              <w:rPr>
                <w:rFonts w:hint="eastAsia"/>
                <w:sz w:val="21"/>
                <w:szCs w:val="21"/>
                <w:lang w:val="en-US" w:eastAsia="zh-CN"/>
              </w:rPr>
              <w:t>1</w:t>
            </w:r>
            <w:r>
              <w:rPr>
                <w:rFonts w:hint="eastAsia"/>
                <w:sz w:val="21"/>
                <w:szCs w:val="21"/>
              </w:rPr>
              <w:t>）营运期</w:t>
            </w:r>
            <w:r>
              <w:rPr>
                <w:sz w:val="21"/>
                <w:szCs w:val="21"/>
              </w:rPr>
              <w:t>厂界无组织非甲烷总烃执行《加油站大气污染物排放标准》（GB 20952-2020）表3中油气浓度无组织排放限值。</w:t>
            </w:r>
          </w:p>
          <w:p>
            <w:pPr>
              <w:jc w:val="center"/>
              <w:rPr>
                <w:b/>
                <w:bCs/>
                <w:sz w:val="21"/>
                <w:szCs w:val="21"/>
              </w:rPr>
            </w:pPr>
            <w:r>
              <w:rPr>
                <w:rFonts w:hint="eastAsia"/>
                <w:b/>
                <w:bCs/>
                <w:sz w:val="21"/>
                <w:szCs w:val="21"/>
              </w:rPr>
              <w:t>表3-</w:t>
            </w:r>
            <w:r>
              <w:rPr>
                <w:rFonts w:hint="eastAsia"/>
                <w:b/>
                <w:bCs/>
                <w:sz w:val="21"/>
                <w:szCs w:val="21"/>
                <w:lang w:val="en-US" w:eastAsia="zh-CN"/>
              </w:rPr>
              <w:t>6</w:t>
            </w:r>
            <w:r>
              <w:rPr>
                <w:rFonts w:hint="eastAsia"/>
                <w:b/>
                <w:bCs/>
                <w:sz w:val="21"/>
                <w:szCs w:val="21"/>
              </w:rPr>
              <w:t xml:space="preserve">  废气排放标准</w:t>
            </w:r>
          </w:p>
          <w:tbl>
            <w:tblPr>
              <w:tblStyle w:val="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473"/>
              <w:gridCol w:w="1641"/>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31" w:type="pct"/>
                  <w:tcBorders>
                    <w:tl2br w:val="nil"/>
                    <w:tr2bl w:val="nil"/>
                  </w:tcBorders>
                  <w:vAlign w:val="center"/>
                </w:tcPr>
                <w:p>
                  <w:pPr>
                    <w:jc w:val="center"/>
                    <w:rPr>
                      <w:b/>
                      <w:bCs/>
                      <w:sz w:val="21"/>
                      <w:szCs w:val="21"/>
                    </w:rPr>
                  </w:pPr>
                  <w:r>
                    <w:rPr>
                      <w:rFonts w:hint="eastAsia"/>
                      <w:b/>
                      <w:bCs/>
                      <w:sz w:val="21"/>
                      <w:szCs w:val="21"/>
                    </w:rPr>
                    <w:t>类别</w:t>
                  </w:r>
                </w:p>
              </w:tc>
              <w:tc>
                <w:tcPr>
                  <w:tcW w:w="842" w:type="pct"/>
                  <w:tcBorders>
                    <w:tl2br w:val="nil"/>
                    <w:tr2bl w:val="nil"/>
                  </w:tcBorders>
                  <w:vAlign w:val="center"/>
                </w:tcPr>
                <w:p>
                  <w:pPr>
                    <w:jc w:val="center"/>
                    <w:rPr>
                      <w:b/>
                      <w:bCs/>
                      <w:sz w:val="21"/>
                      <w:szCs w:val="21"/>
                    </w:rPr>
                  </w:pPr>
                  <w:r>
                    <w:rPr>
                      <w:rFonts w:hint="eastAsia"/>
                      <w:b/>
                      <w:bCs/>
                      <w:sz w:val="21"/>
                      <w:szCs w:val="21"/>
                    </w:rPr>
                    <w:t>污染物</w:t>
                  </w:r>
                </w:p>
              </w:tc>
              <w:tc>
                <w:tcPr>
                  <w:tcW w:w="938" w:type="pct"/>
                  <w:tcBorders>
                    <w:tl2br w:val="nil"/>
                    <w:tr2bl w:val="nil"/>
                  </w:tcBorders>
                  <w:vAlign w:val="center"/>
                </w:tcPr>
                <w:p>
                  <w:pPr>
                    <w:jc w:val="center"/>
                    <w:rPr>
                      <w:b/>
                      <w:bCs/>
                      <w:sz w:val="21"/>
                      <w:szCs w:val="21"/>
                    </w:rPr>
                  </w:pPr>
                  <w:r>
                    <w:rPr>
                      <w:rFonts w:hint="eastAsia"/>
                      <w:b/>
                      <w:bCs/>
                      <w:sz w:val="21"/>
                      <w:szCs w:val="21"/>
                    </w:rPr>
                    <w:t>标准限值</w:t>
                  </w:r>
                </w:p>
              </w:tc>
              <w:tc>
                <w:tcPr>
                  <w:tcW w:w="2189" w:type="pct"/>
                  <w:tcBorders>
                    <w:tl2br w:val="nil"/>
                    <w:tr2bl w:val="nil"/>
                  </w:tcBorders>
                  <w:vAlign w:val="center"/>
                </w:tcPr>
                <w:p>
                  <w:pPr>
                    <w:jc w:val="center"/>
                    <w:rPr>
                      <w:b/>
                      <w:bCs/>
                      <w:sz w:val="21"/>
                      <w:szCs w:val="21"/>
                    </w:rPr>
                  </w:pPr>
                  <w:r>
                    <w:rPr>
                      <w:rFonts w:hint="eastAsia"/>
                      <w:b/>
                      <w:bCs/>
                      <w:sz w:val="21"/>
                      <w:szCs w:val="21"/>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tcBorders>
                    <w:tl2br w:val="nil"/>
                    <w:tr2bl w:val="nil"/>
                  </w:tcBorders>
                  <w:vAlign w:val="center"/>
                </w:tcPr>
                <w:p>
                  <w:pPr>
                    <w:jc w:val="center"/>
                    <w:rPr>
                      <w:sz w:val="21"/>
                      <w:szCs w:val="21"/>
                    </w:rPr>
                  </w:pPr>
                  <w:r>
                    <w:rPr>
                      <w:rFonts w:hint="eastAsia"/>
                      <w:sz w:val="21"/>
                      <w:szCs w:val="21"/>
                    </w:rPr>
                    <w:t>无组织废气</w:t>
                  </w:r>
                </w:p>
              </w:tc>
              <w:tc>
                <w:tcPr>
                  <w:tcW w:w="842" w:type="pct"/>
                  <w:tcBorders>
                    <w:tl2br w:val="nil"/>
                    <w:tr2bl w:val="nil"/>
                  </w:tcBorders>
                  <w:vAlign w:val="center"/>
                </w:tcPr>
                <w:p>
                  <w:pPr>
                    <w:jc w:val="center"/>
                    <w:rPr>
                      <w:sz w:val="21"/>
                      <w:szCs w:val="21"/>
                    </w:rPr>
                  </w:pPr>
                  <w:r>
                    <w:rPr>
                      <w:rFonts w:hint="eastAsia"/>
                      <w:sz w:val="21"/>
                      <w:szCs w:val="21"/>
                    </w:rPr>
                    <w:t>非甲烷总烃</w:t>
                  </w:r>
                </w:p>
              </w:tc>
              <w:tc>
                <w:tcPr>
                  <w:tcW w:w="938" w:type="pct"/>
                  <w:tcBorders>
                    <w:tl2br w:val="nil"/>
                    <w:tr2bl w:val="nil"/>
                  </w:tcBorders>
                  <w:vAlign w:val="center"/>
                </w:tcPr>
                <w:p>
                  <w:pPr>
                    <w:jc w:val="center"/>
                    <w:rPr>
                      <w:sz w:val="21"/>
                      <w:szCs w:val="21"/>
                      <w:vertAlign w:val="superscript"/>
                    </w:rPr>
                  </w:pPr>
                  <w:r>
                    <w:rPr>
                      <w:rFonts w:hint="eastAsia"/>
                      <w:sz w:val="21"/>
                      <w:szCs w:val="21"/>
                    </w:rPr>
                    <w:t>4.0mg/m</w:t>
                  </w:r>
                  <w:r>
                    <w:rPr>
                      <w:rFonts w:hint="eastAsia"/>
                      <w:sz w:val="21"/>
                      <w:szCs w:val="21"/>
                      <w:vertAlign w:val="superscript"/>
                    </w:rPr>
                    <w:t>3</w:t>
                  </w:r>
                </w:p>
              </w:tc>
              <w:tc>
                <w:tcPr>
                  <w:tcW w:w="2189" w:type="pct"/>
                  <w:tcBorders>
                    <w:tl2br w:val="nil"/>
                    <w:tr2bl w:val="nil"/>
                  </w:tcBorders>
                  <w:vAlign w:val="center"/>
                </w:tcPr>
                <w:p>
                  <w:pPr>
                    <w:jc w:val="center"/>
                    <w:rPr>
                      <w:sz w:val="21"/>
                      <w:szCs w:val="21"/>
                    </w:rPr>
                  </w:pPr>
                  <w:r>
                    <w:rPr>
                      <w:rFonts w:hint="eastAsia"/>
                      <w:sz w:val="21"/>
                      <w:szCs w:val="21"/>
                    </w:rPr>
                    <w:t>《加油站大气污染物排放标准》（GB 20952-2020）</w:t>
                  </w:r>
                </w:p>
              </w:tc>
            </w:tr>
          </w:tbl>
          <w:p>
            <w:pPr>
              <w:adjustRightInd w:val="0"/>
              <w:snapToGrid w:val="0"/>
              <w:spacing w:before="120" w:beforeLines="50" w:line="360" w:lineRule="auto"/>
              <w:ind w:firstLine="420" w:firstLineChars="200"/>
              <w:rPr>
                <w:sz w:val="21"/>
                <w:szCs w:val="21"/>
              </w:rPr>
            </w:pPr>
            <w:r>
              <w:rPr>
                <w:rFonts w:hint="eastAsia"/>
                <w:sz w:val="21"/>
                <w:szCs w:val="21"/>
              </w:rPr>
              <w:t>（</w:t>
            </w:r>
            <w:r>
              <w:rPr>
                <w:rFonts w:hint="eastAsia"/>
                <w:sz w:val="21"/>
                <w:szCs w:val="21"/>
                <w:lang w:val="en-US" w:eastAsia="zh-CN"/>
              </w:rPr>
              <w:t>2</w:t>
            </w:r>
            <w:r>
              <w:rPr>
                <w:rFonts w:hint="eastAsia"/>
                <w:sz w:val="21"/>
                <w:szCs w:val="21"/>
              </w:rPr>
              <w:t>）营运期加油油气回收管线液阻检测值应执行《加油站大气污染物排放标准》（GB 20952-2020）表1中加油站油气回收管线液阻最大压力限值。</w:t>
            </w:r>
          </w:p>
          <w:p>
            <w:pPr>
              <w:jc w:val="center"/>
              <w:rPr>
                <w:b/>
                <w:bCs/>
                <w:sz w:val="21"/>
                <w:szCs w:val="21"/>
              </w:rPr>
            </w:pPr>
            <w:r>
              <w:rPr>
                <w:rFonts w:hint="eastAsia"/>
                <w:b/>
                <w:bCs/>
                <w:sz w:val="21"/>
                <w:szCs w:val="21"/>
              </w:rPr>
              <w:t>表3-</w:t>
            </w:r>
            <w:r>
              <w:rPr>
                <w:rFonts w:hint="eastAsia"/>
                <w:b/>
                <w:bCs/>
                <w:sz w:val="21"/>
                <w:szCs w:val="21"/>
                <w:lang w:val="en-US" w:eastAsia="zh-CN"/>
              </w:rPr>
              <w:t>7</w:t>
            </w:r>
            <w:r>
              <w:rPr>
                <w:rFonts w:hint="eastAsia"/>
                <w:b/>
                <w:bCs/>
                <w:sz w:val="21"/>
                <w:szCs w:val="21"/>
              </w:rPr>
              <w:t xml:space="preserve">  加油站油气回收管线液阻最大压力限值</w:t>
            </w:r>
          </w:p>
          <w:tbl>
            <w:tblPr>
              <w:tblStyle w:val="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3"/>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b/>
                      <w:sz w:val="21"/>
                      <w:szCs w:val="21"/>
                    </w:rPr>
                  </w:pPr>
                  <w:r>
                    <w:rPr>
                      <w:rFonts w:hint="eastAsia"/>
                      <w:b/>
                      <w:sz w:val="21"/>
                      <w:szCs w:val="21"/>
                    </w:rPr>
                    <w:t>通入氮气流量/（L/min）</w:t>
                  </w:r>
                </w:p>
              </w:tc>
              <w:tc>
                <w:tcPr>
                  <w:tcW w:w="3343" w:type="dxa"/>
                </w:tcPr>
                <w:p>
                  <w:pPr>
                    <w:jc w:val="center"/>
                    <w:rPr>
                      <w:b/>
                      <w:sz w:val="21"/>
                      <w:szCs w:val="21"/>
                    </w:rPr>
                  </w:pPr>
                  <w:r>
                    <w:rPr>
                      <w:rFonts w:hint="eastAsia"/>
                      <w:b/>
                      <w:sz w:val="21"/>
                      <w:szCs w:val="21"/>
                    </w:rPr>
                    <w:t>最大压力/Pa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18</w:t>
                  </w:r>
                </w:p>
              </w:tc>
              <w:tc>
                <w:tcPr>
                  <w:tcW w:w="3343" w:type="dxa"/>
                </w:tcPr>
                <w:p>
                  <w:pPr>
                    <w:jc w:val="center"/>
                    <w:rPr>
                      <w:sz w:val="21"/>
                      <w:szCs w:val="21"/>
                    </w:rPr>
                  </w:pPr>
                  <w:r>
                    <w:rPr>
                      <w:rFonts w:hint="eastAsi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28</w:t>
                  </w:r>
                </w:p>
              </w:tc>
              <w:tc>
                <w:tcPr>
                  <w:tcW w:w="3343" w:type="dxa"/>
                </w:tcPr>
                <w:p>
                  <w:pPr>
                    <w:jc w:val="center"/>
                    <w:rPr>
                      <w:sz w:val="21"/>
                      <w:szCs w:val="21"/>
                    </w:rPr>
                  </w:pPr>
                  <w:r>
                    <w:rPr>
                      <w:rFonts w:hint="eastAsia"/>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38</w:t>
                  </w:r>
                </w:p>
              </w:tc>
              <w:tc>
                <w:tcPr>
                  <w:tcW w:w="3343" w:type="dxa"/>
                </w:tcPr>
                <w:p>
                  <w:pPr>
                    <w:jc w:val="center"/>
                    <w:rPr>
                      <w:sz w:val="21"/>
                      <w:szCs w:val="21"/>
                    </w:rPr>
                  </w:pPr>
                  <w:r>
                    <w:rPr>
                      <w:rFonts w:hint="eastAsia"/>
                      <w:sz w:val="21"/>
                      <w:szCs w:val="21"/>
                    </w:rPr>
                    <w:t>155</w:t>
                  </w:r>
                </w:p>
              </w:tc>
            </w:tr>
          </w:tbl>
          <w:p>
            <w:pPr>
              <w:adjustRightInd w:val="0"/>
              <w:snapToGrid w:val="0"/>
              <w:spacing w:before="120" w:beforeLines="50" w:line="360" w:lineRule="auto"/>
              <w:ind w:firstLine="420" w:firstLineChars="200"/>
              <w:rPr>
                <w:sz w:val="21"/>
                <w:szCs w:val="21"/>
              </w:rPr>
            </w:pPr>
            <w:r>
              <w:rPr>
                <w:rFonts w:hint="eastAsia"/>
                <w:sz w:val="21"/>
                <w:szCs w:val="21"/>
              </w:rPr>
              <w:t>（</w:t>
            </w:r>
            <w:r>
              <w:rPr>
                <w:rFonts w:hint="eastAsia"/>
                <w:sz w:val="21"/>
                <w:szCs w:val="21"/>
                <w:lang w:val="en-US" w:eastAsia="zh-CN"/>
              </w:rPr>
              <w:t>3</w:t>
            </w:r>
            <w:r>
              <w:rPr>
                <w:rFonts w:hint="eastAsia"/>
                <w:sz w:val="21"/>
                <w:szCs w:val="21"/>
              </w:rPr>
              <w:t>）营运期油气回收系统密闭性压力检测值应执行《加油站大气污染物排放标准》（GB 20952-2020）表2中加油站油气回收系统密闭性检测最小剩余压力限值。</w:t>
            </w:r>
          </w:p>
          <w:p>
            <w:pPr>
              <w:jc w:val="center"/>
              <w:rPr>
                <w:b/>
                <w:bCs/>
                <w:sz w:val="21"/>
                <w:szCs w:val="21"/>
              </w:rPr>
            </w:pPr>
            <w:r>
              <w:rPr>
                <w:rFonts w:hint="eastAsia"/>
                <w:b/>
                <w:bCs/>
                <w:sz w:val="21"/>
                <w:szCs w:val="21"/>
              </w:rPr>
              <w:t>表3-</w:t>
            </w:r>
            <w:r>
              <w:rPr>
                <w:rFonts w:hint="eastAsia"/>
                <w:b/>
                <w:bCs/>
                <w:sz w:val="21"/>
                <w:szCs w:val="21"/>
                <w:lang w:val="en-US" w:eastAsia="zh-CN"/>
              </w:rPr>
              <w:t>8</w:t>
            </w:r>
            <w:r>
              <w:rPr>
                <w:rFonts w:hint="eastAsia"/>
                <w:b/>
                <w:bCs/>
                <w:sz w:val="21"/>
                <w:szCs w:val="21"/>
              </w:rPr>
              <w:t xml:space="preserve">  加油站油气回收系统密闭性检测最小剩余压力限值</w:t>
            </w:r>
          </w:p>
          <w:tbl>
            <w:tblPr>
              <w:tblStyle w:val="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3"/>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b/>
                      <w:sz w:val="21"/>
                      <w:szCs w:val="21"/>
                    </w:rPr>
                  </w:pPr>
                  <w:r>
                    <w:rPr>
                      <w:rFonts w:hint="eastAsia"/>
                      <w:b/>
                      <w:sz w:val="21"/>
                      <w:szCs w:val="21"/>
                    </w:rPr>
                    <w:t>储罐油气空间/（L）</w:t>
                  </w:r>
                </w:p>
              </w:tc>
              <w:tc>
                <w:tcPr>
                  <w:tcW w:w="3343" w:type="dxa"/>
                </w:tcPr>
                <w:p>
                  <w:pPr>
                    <w:jc w:val="center"/>
                    <w:rPr>
                      <w:b/>
                      <w:sz w:val="21"/>
                      <w:szCs w:val="21"/>
                    </w:rPr>
                  </w:pPr>
                  <w:r>
                    <w:rPr>
                      <w:rFonts w:hint="eastAsia"/>
                      <w:b/>
                      <w:sz w:val="21"/>
                      <w:szCs w:val="21"/>
                    </w:rPr>
                    <w:t>受影响的加油枪数/（19-24）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1893</w:t>
                  </w:r>
                </w:p>
              </w:tc>
              <w:tc>
                <w:tcPr>
                  <w:tcW w:w="3343" w:type="dxa"/>
                </w:tcPr>
                <w:p>
                  <w:pPr>
                    <w:jc w:val="center"/>
                    <w:rPr>
                      <w:sz w:val="21"/>
                      <w:szCs w:val="21"/>
                    </w:rPr>
                  </w:pPr>
                  <w:r>
                    <w:rPr>
                      <w:rFonts w:hint="eastAsia"/>
                      <w:sz w:val="21"/>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2082</w:t>
                  </w:r>
                </w:p>
              </w:tc>
              <w:tc>
                <w:tcPr>
                  <w:tcW w:w="3343" w:type="dxa"/>
                </w:tcPr>
                <w:p>
                  <w:pPr>
                    <w:jc w:val="center"/>
                    <w:rPr>
                      <w:sz w:val="21"/>
                      <w:szCs w:val="21"/>
                    </w:rPr>
                  </w:pPr>
                  <w:r>
                    <w:rPr>
                      <w:rFonts w:hint="eastAsia"/>
                      <w:sz w:val="21"/>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2271</w:t>
                  </w:r>
                </w:p>
              </w:tc>
              <w:tc>
                <w:tcPr>
                  <w:tcW w:w="3343" w:type="dxa"/>
                </w:tcPr>
                <w:p>
                  <w:pPr>
                    <w:jc w:val="center"/>
                    <w:rPr>
                      <w:sz w:val="21"/>
                      <w:szCs w:val="21"/>
                    </w:rPr>
                  </w:pPr>
                  <w:r>
                    <w:rPr>
                      <w:rFonts w:hint="eastAsia"/>
                      <w:sz w:val="21"/>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2460</w:t>
                  </w:r>
                </w:p>
              </w:tc>
              <w:tc>
                <w:tcPr>
                  <w:tcW w:w="3343" w:type="dxa"/>
                </w:tcPr>
                <w:p>
                  <w:pPr>
                    <w:jc w:val="center"/>
                    <w:rPr>
                      <w:sz w:val="21"/>
                      <w:szCs w:val="21"/>
                    </w:rPr>
                  </w:pPr>
                  <w:r>
                    <w:rPr>
                      <w:rFonts w:hint="eastAsia"/>
                      <w:sz w:val="21"/>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2650</w:t>
                  </w:r>
                </w:p>
              </w:tc>
              <w:tc>
                <w:tcPr>
                  <w:tcW w:w="3343" w:type="dxa"/>
                </w:tcPr>
                <w:p>
                  <w:pPr>
                    <w:jc w:val="center"/>
                    <w:rPr>
                      <w:sz w:val="21"/>
                      <w:szCs w:val="21"/>
                    </w:rPr>
                  </w:pPr>
                  <w:r>
                    <w:rPr>
                      <w:rFonts w:hint="eastAsia"/>
                      <w:sz w:val="21"/>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2839</w:t>
                  </w:r>
                </w:p>
              </w:tc>
              <w:tc>
                <w:tcPr>
                  <w:tcW w:w="3343" w:type="dxa"/>
                </w:tcPr>
                <w:p>
                  <w:pPr>
                    <w:jc w:val="center"/>
                    <w:rPr>
                      <w:sz w:val="21"/>
                      <w:szCs w:val="21"/>
                    </w:rPr>
                  </w:pPr>
                  <w:r>
                    <w:rPr>
                      <w:rFonts w:hint="eastAsia"/>
                      <w:sz w:val="21"/>
                      <w:szCs w:val="21"/>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3028</w:t>
                  </w:r>
                </w:p>
              </w:tc>
              <w:tc>
                <w:tcPr>
                  <w:tcW w:w="3343" w:type="dxa"/>
                </w:tcPr>
                <w:p>
                  <w:pPr>
                    <w:jc w:val="center"/>
                    <w:rPr>
                      <w:sz w:val="21"/>
                      <w:szCs w:val="21"/>
                    </w:rPr>
                  </w:pPr>
                  <w:r>
                    <w:rPr>
                      <w:rFonts w:hint="eastAsia"/>
                      <w:sz w:val="21"/>
                      <w:szCs w:val="21"/>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3217</w:t>
                  </w:r>
                </w:p>
              </w:tc>
              <w:tc>
                <w:tcPr>
                  <w:tcW w:w="3343" w:type="dxa"/>
                </w:tcPr>
                <w:p>
                  <w:pPr>
                    <w:jc w:val="center"/>
                    <w:rPr>
                      <w:sz w:val="21"/>
                      <w:szCs w:val="21"/>
                    </w:rPr>
                  </w:pPr>
                  <w:r>
                    <w:rPr>
                      <w:rFonts w:hint="eastAsia"/>
                      <w:sz w:val="21"/>
                      <w:szCs w:val="21"/>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3407</w:t>
                  </w:r>
                </w:p>
              </w:tc>
              <w:tc>
                <w:tcPr>
                  <w:tcW w:w="3343" w:type="dxa"/>
                </w:tcPr>
                <w:p>
                  <w:pPr>
                    <w:jc w:val="center"/>
                    <w:rPr>
                      <w:sz w:val="21"/>
                      <w:szCs w:val="21"/>
                    </w:rPr>
                  </w:pPr>
                  <w:r>
                    <w:rPr>
                      <w:rFonts w:hint="eastAsia"/>
                      <w:sz w:val="21"/>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3596</w:t>
                  </w:r>
                </w:p>
              </w:tc>
              <w:tc>
                <w:tcPr>
                  <w:tcW w:w="3343" w:type="dxa"/>
                </w:tcPr>
                <w:p>
                  <w:pPr>
                    <w:jc w:val="center"/>
                    <w:rPr>
                      <w:sz w:val="21"/>
                      <w:szCs w:val="21"/>
                    </w:rPr>
                  </w:pPr>
                  <w:r>
                    <w:rPr>
                      <w:rFonts w:hint="eastAsia"/>
                      <w:sz w:val="21"/>
                      <w:szCs w:val="21"/>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3785</w:t>
                  </w:r>
                </w:p>
              </w:tc>
              <w:tc>
                <w:tcPr>
                  <w:tcW w:w="3343" w:type="dxa"/>
                </w:tcPr>
                <w:p>
                  <w:pPr>
                    <w:jc w:val="center"/>
                    <w:rPr>
                      <w:sz w:val="21"/>
                      <w:szCs w:val="21"/>
                    </w:rPr>
                  </w:pPr>
                  <w:r>
                    <w:rPr>
                      <w:rFonts w:hint="eastAsia"/>
                      <w:sz w:val="21"/>
                      <w:szCs w:val="21"/>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4542</w:t>
                  </w:r>
                </w:p>
              </w:tc>
              <w:tc>
                <w:tcPr>
                  <w:tcW w:w="3343" w:type="dxa"/>
                </w:tcPr>
                <w:p>
                  <w:pPr>
                    <w:jc w:val="center"/>
                    <w:rPr>
                      <w:sz w:val="21"/>
                      <w:szCs w:val="21"/>
                    </w:rPr>
                  </w:pPr>
                  <w:r>
                    <w:rPr>
                      <w:rFonts w:hint="eastAsia"/>
                      <w:sz w:val="21"/>
                      <w:szCs w:val="21"/>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5299</w:t>
                  </w:r>
                </w:p>
              </w:tc>
              <w:tc>
                <w:tcPr>
                  <w:tcW w:w="3343" w:type="dxa"/>
                </w:tcPr>
                <w:p>
                  <w:pPr>
                    <w:jc w:val="center"/>
                    <w:rPr>
                      <w:sz w:val="21"/>
                      <w:szCs w:val="21"/>
                    </w:rPr>
                  </w:pPr>
                  <w:r>
                    <w:rPr>
                      <w:rFonts w:hint="eastAsia"/>
                      <w:sz w:val="21"/>
                      <w:szCs w:val="21"/>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6056</w:t>
                  </w:r>
                </w:p>
              </w:tc>
              <w:tc>
                <w:tcPr>
                  <w:tcW w:w="3343" w:type="dxa"/>
                </w:tcPr>
                <w:p>
                  <w:pPr>
                    <w:jc w:val="center"/>
                    <w:rPr>
                      <w:sz w:val="21"/>
                      <w:szCs w:val="21"/>
                    </w:rPr>
                  </w:pPr>
                  <w:r>
                    <w:rPr>
                      <w:rFonts w:hint="eastAsia"/>
                      <w:sz w:val="21"/>
                      <w:szCs w:val="21"/>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6813</w:t>
                  </w:r>
                </w:p>
              </w:tc>
              <w:tc>
                <w:tcPr>
                  <w:tcW w:w="3343" w:type="dxa"/>
                </w:tcPr>
                <w:p>
                  <w:pPr>
                    <w:jc w:val="center"/>
                    <w:rPr>
                      <w:sz w:val="21"/>
                      <w:szCs w:val="21"/>
                    </w:rPr>
                  </w:pPr>
                  <w:r>
                    <w:rPr>
                      <w:rFonts w:hint="eastAsia"/>
                      <w:sz w:val="21"/>
                      <w:szCs w:val="21"/>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7570</w:t>
                  </w:r>
                </w:p>
              </w:tc>
              <w:tc>
                <w:tcPr>
                  <w:tcW w:w="3343" w:type="dxa"/>
                </w:tcPr>
                <w:p>
                  <w:pPr>
                    <w:jc w:val="center"/>
                    <w:rPr>
                      <w:sz w:val="21"/>
                      <w:szCs w:val="21"/>
                    </w:rPr>
                  </w:pPr>
                  <w:r>
                    <w:rPr>
                      <w:rFonts w:hint="eastAsia"/>
                      <w:sz w:val="21"/>
                      <w:szCs w:val="21"/>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8327</w:t>
                  </w:r>
                </w:p>
              </w:tc>
              <w:tc>
                <w:tcPr>
                  <w:tcW w:w="3343" w:type="dxa"/>
                </w:tcPr>
                <w:p>
                  <w:pPr>
                    <w:jc w:val="center"/>
                    <w:rPr>
                      <w:sz w:val="21"/>
                      <w:szCs w:val="21"/>
                    </w:rPr>
                  </w:pPr>
                  <w:r>
                    <w:rPr>
                      <w:rFonts w:hint="eastAsia"/>
                      <w:sz w:val="21"/>
                      <w:szCs w:val="21"/>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9084</w:t>
                  </w:r>
                </w:p>
              </w:tc>
              <w:tc>
                <w:tcPr>
                  <w:tcW w:w="3343" w:type="dxa"/>
                </w:tcPr>
                <w:p>
                  <w:pPr>
                    <w:jc w:val="center"/>
                    <w:rPr>
                      <w:sz w:val="21"/>
                      <w:szCs w:val="21"/>
                    </w:rPr>
                  </w:pPr>
                  <w:r>
                    <w:rPr>
                      <w:rFonts w:hint="eastAsia"/>
                      <w:sz w:val="21"/>
                      <w:szCs w:val="21"/>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9841</w:t>
                  </w:r>
                </w:p>
              </w:tc>
              <w:tc>
                <w:tcPr>
                  <w:tcW w:w="3343" w:type="dxa"/>
                </w:tcPr>
                <w:p>
                  <w:pPr>
                    <w:jc w:val="center"/>
                    <w:rPr>
                      <w:sz w:val="21"/>
                      <w:szCs w:val="21"/>
                    </w:rPr>
                  </w:pPr>
                  <w:r>
                    <w:rPr>
                      <w:rFonts w:hint="eastAsia"/>
                      <w:sz w:val="21"/>
                      <w:szCs w:val="21"/>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10598</w:t>
                  </w:r>
                </w:p>
              </w:tc>
              <w:tc>
                <w:tcPr>
                  <w:tcW w:w="3343" w:type="dxa"/>
                </w:tcPr>
                <w:p>
                  <w:pPr>
                    <w:jc w:val="center"/>
                    <w:rPr>
                      <w:sz w:val="21"/>
                      <w:szCs w:val="21"/>
                    </w:rPr>
                  </w:pPr>
                  <w:r>
                    <w:rPr>
                      <w:rFonts w:hint="eastAsia"/>
                      <w:sz w:val="21"/>
                      <w:szCs w:val="21"/>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11355</w:t>
                  </w:r>
                </w:p>
              </w:tc>
              <w:tc>
                <w:tcPr>
                  <w:tcW w:w="3343" w:type="dxa"/>
                </w:tcPr>
                <w:p>
                  <w:pPr>
                    <w:jc w:val="center"/>
                    <w:rPr>
                      <w:sz w:val="21"/>
                      <w:szCs w:val="21"/>
                    </w:rPr>
                  </w:pPr>
                  <w:r>
                    <w:rPr>
                      <w:rFonts w:hint="eastAsia"/>
                      <w:sz w:val="21"/>
                      <w:szCs w:val="21"/>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13248</w:t>
                  </w:r>
                </w:p>
              </w:tc>
              <w:tc>
                <w:tcPr>
                  <w:tcW w:w="3343" w:type="dxa"/>
                </w:tcPr>
                <w:p>
                  <w:pPr>
                    <w:jc w:val="center"/>
                    <w:rPr>
                      <w:sz w:val="21"/>
                      <w:szCs w:val="21"/>
                    </w:rPr>
                  </w:pPr>
                  <w:r>
                    <w:rPr>
                      <w:rFonts w:hint="eastAsia"/>
                      <w:sz w:val="21"/>
                      <w:szCs w:val="21"/>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15140</w:t>
                  </w:r>
                </w:p>
              </w:tc>
              <w:tc>
                <w:tcPr>
                  <w:tcW w:w="3343" w:type="dxa"/>
                </w:tcPr>
                <w:p>
                  <w:pPr>
                    <w:jc w:val="center"/>
                    <w:rPr>
                      <w:sz w:val="21"/>
                      <w:szCs w:val="21"/>
                    </w:rPr>
                  </w:pPr>
                  <w:r>
                    <w:rPr>
                      <w:rFonts w:hint="eastAsia"/>
                      <w:sz w:val="21"/>
                      <w:szCs w:val="21"/>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17033</w:t>
                  </w:r>
                </w:p>
              </w:tc>
              <w:tc>
                <w:tcPr>
                  <w:tcW w:w="3343" w:type="dxa"/>
                </w:tcPr>
                <w:p>
                  <w:pPr>
                    <w:jc w:val="center"/>
                    <w:rPr>
                      <w:sz w:val="21"/>
                      <w:szCs w:val="21"/>
                    </w:rPr>
                  </w:pPr>
                  <w:r>
                    <w:rPr>
                      <w:rFonts w:hint="eastAsia"/>
                      <w:sz w:val="21"/>
                      <w:szCs w:val="21"/>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18925</w:t>
                  </w:r>
                </w:p>
              </w:tc>
              <w:tc>
                <w:tcPr>
                  <w:tcW w:w="3343" w:type="dxa"/>
                </w:tcPr>
                <w:p>
                  <w:pPr>
                    <w:jc w:val="center"/>
                    <w:rPr>
                      <w:sz w:val="21"/>
                      <w:szCs w:val="21"/>
                    </w:rPr>
                  </w:pPr>
                  <w:r>
                    <w:rPr>
                      <w:rFonts w:hint="eastAsia"/>
                      <w:sz w:val="21"/>
                      <w:szCs w:val="21"/>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22710</w:t>
                  </w:r>
                </w:p>
              </w:tc>
              <w:tc>
                <w:tcPr>
                  <w:tcW w:w="3343" w:type="dxa"/>
                </w:tcPr>
                <w:p>
                  <w:pPr>
                    <w:jc w:val="center"/>
                    <w:rPr>
                      <w:sz w:val="21"/>
                      <w:szCs w:val="21"/>
                    </w:rPr>
                  </w:pPr>
                  <w:r>
                    <w:rPr>
                      <w:rFonts w:hint="eastAsia"/>
                      <w:sz w:val="21"/>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26495</w:t>
                  </w:r>
                </w:p>
              </w:tc>
              <w:tc>
                <w:tcPr>
                  <w:tcW w:w="3343" w:type="dxa"/>
                </w:tcPr>
                <w:p>
                  <w:pPr>
                    <w:jc w:val="center"/>
                    <w:rPr>
                      <w:sz w:val="21"/>
                      <w:szCs w:val="21"/>
                    </w:rPr>
                  </w:pPr>
                  <w:r>
                    <w:rPr>
                      <w:rFonts w:hint="eastAsia"/>
                      <w:sz w:val="21"/>
                      <w:szCs w:val="21"/>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30280</w:t>
                  </w:r>
                </w:p>
              </w:tc>
              <w:tc>
                <w:tcPr>
                  <w:tcW w:w="3343" w:type="dxa"/>
                </w:tcPr>
                <w:p>
                  <w:pPr>
                    <w:jc w:val="center"/>
                    <w:rPr>
                      <w:sz w:val="21"/>
                      <w:szCs w:val="21"/>
                    </w:rPr>
                  </w:pPr>
                  <w:r>
                    <w:rPr>
                      <w:rFonts w:hint="eastAsia"/>
                      <w:sz w:val="21"/>
                      <w:szCs w:val="21"/>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34065</w:t>
                  </w:r>
                </w:p>
              </w:tc>
              <w:tc>
                <w:tcPr>
                  <w:tcW w:w="3343" w:type="dxa"/>
                </w:tcPr>
                <w:p>
                  <w:pPr>
                    <w:jc w:val="center"/>
                    <w:rPr>
                      <w:sz w:val="21"/>
                      <w:szCs w:val="21"/>
                    </w:rPr>
                  </w:pPr>
                  <w:r>
                    <w:rPr>
                      <w:rFonts w:hint="eastAsia"/>
                      <w:sz w:val="21"/>
                      <w:szCs w:val="21"/>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37850</w:t>
                  </w:r>
                </w:p>
              </w:tc>
              <w:tc>
                <w:tcPr>
                  <w:tcW w:w="3343" w:type="dxa"/>
                </w:tcPr>
                <w:p>
                  <w:pPr>
                    <w:jc w:val="center"/>
                    <w:rPr>
                      <w:sz w:val="21"/>
                      <w:szCs w:val="21"/>
                    </w:rPr>
                  </w:pPr>
                  <w:r>
                    <w:rPr>
                      <w:rFonts w:hint="eastAsia"/>
                      <w:sz w:val="21"/>
                      <w:szCs w:val="21"/>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56775</w:t>
                  </w:r>
                </w:p>
              </w:tc>
              <w:tc>
                <w:tcPr>
                  <w:tcW w:w="3343" w:type="dxa"/>
                </w:tcPr>
                <w:p>
                  <w:pPr>
                    <w:jc w:val="center"/>
                    <w:rPr>
                      <w:sz w:val="21"/>
                      <w:szCs w:val="21"/>
                    </w:rPr>
                  </w:pPr>
                  <w:r>
                    <w:rPr>
                      <w:rFonts w:hint="eastAsia"/>
                      <w:sz w:val="21"/>
                      <w:szCs w:val="21"/>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75700</w:t>
                  </w:r>
                </w:p>
              </w:tc>
              <w:tc>
                <w:tcPr>
                  <w:tcW w:w="3343" w:type="dxa"/>
                </w:tcPr>
                <w:p>
                  <w:pPr>
                    <w:jc w:val="center"/>
                    <w:rPr>
                      <w:sz w:val="21"/>
                      <w:szCs w:val="21"/>
                    </w:rPr>
                  </w:pPr>
                  <w:r>
                    <w:rPr>
                      <w:rFonts w:hint="eastAsia"/>
                      <w:sz w:val="21"/>
                      <w:szCs w:val="21"/>
                    </w:rP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2" w:type="dxa"/>
                </w:tcPr>
                <w:p>
                  <w:pPr>
                    <w:jc w:val="center"/>
                    <w:rPr>
                      <w:sz w:val="21"/>
                      <w:szCs w:val="21"/>
                    </w:rPr>
                  </w:pPr>
                  <w:r>
                    <w:rPr>
                      <w:rFonts w:hint="eastAsia"/>
                      <w:sz w:val="21"/>
                      <w:szCs w:val="21"/>
                    </w:rPr>
                    <w:t>94625</w:t>
                  </w:r>
                </w:p>
              </w:tc>
              <w:tc>
                <w:tcPr>
                  <w:tcW w:w="3343" w:type="dxa"/>
                </w:tcPr>
                <w:p>
                  <w:pPr>
                    <w:jc w:val="center"/>
                    <w:rPr>
                      <w:sz w:val="21"/>
                      <w:szCs w:val="21"/>
                    </w:rPr>
                  </w:pPr>
                  <w:r>
                    <w:rPr>
                      <w:rFonts w:hint="eastAsia"/>
                      <w:sz w:val="21"/>
                      <w:szCs w:val="21"/>
                    </w:rPr>
                    <w:t>486</w:t>
                  </w: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0" w:firstLineChars="200"/>
              <w:textAlignment w:val="auto"/>
              <w:rPr>
                <w:sz w:val="21"/>
                <w:szCs w:val="21"/>
              </w:rPr>
            </w:pPr>
            <w:r>
              <w:rPr>
                <w:rFonts w:hint="eastAsia"/>
                <w:sz w:val="21"/>
                <w:szCs w:val="21"/>
              </w:rPr>
              <w:t>（</w:t>
            </w:r>
            <w:r>
              <w:rPr>
                <w:rFonts w:hint="eastAsia"/>
                <w:sz w:val="21"/>
                <w:szCs w:val="21"/>
                <w:lang w:val="en-US" w:eastAsia="zh-CN"/>
              </w:rPr>
              <w:t>4</w:t>
            </w:r>
            <w:r>
              <w:rPr>
                <w:rFonts w:hint="eastAsia"/>
                <w:sz w:val="21"/>
                <w:szCs w:val="21"/>
              </w:rPr>
              <w:t>）营运期各种加油油气回收系统气液比应在大于等于1.0和小于等于1.2范围内。</w:t>
            </w:r>
          </w:p>
          <w:p>
            <w:pPr>
              <w:adjustRightInd w:val="0"/>
              <w:snapToGrid w:val="0"/>
              <w:spacing w:line="360" w:lineRule="auto"/>
              <w:ind w:firstLine="420" w:firstLineChars="200"/>
              <w:rPr>
                <w:sz w:val="21"/>
                <w:szCs w:val="21"/>
              </w:rPr>
            </w:pPr>
            <w:r>
              <w:rPr>
                <w:rFonts w:hint="eastAsia"/>
                <w:sz w:val="21"/>
                <w:szCs w:val="21"/>
              </w:rPr>
              <w:t>（</w:t>
            </w:r>
            <w:r>
              <w:rPr>
                <w:rFonts w:hint="eastAsia"/>
                <w:sz w:val="21"/>
                <w:szCs w:val="21"/>
                <w:lang w:val="en-US" w:eastAsia="zh-CN"/>
              </w:rPr>
              <w:t>5</w:t>
            </w:r>
            <w:r>
              <w:rPr>
                <w:rFonts w:hint="eastAsia"/>
                <w:sz w:val="21"/>
                <w:szCs w:val="21"/>
              </w:rPr>
              <w:t>）营运期采用氢火焰离子化检测仪（以甲烷或丙为校准气体）检测油气回收系统密闭点位，油气泄漏检测值应小于等于500</w:t>
            </w:r>
            <w:r>
              <w:rPr>
                <w:sz w:val="21"/>
                <w:szCs w:val="21"/>
              </w:rPr>
              <w:t>μ</w:t>
            </w:r>
            <w:r>
              <w:rPr>
                <w:rFonts w:hint="eastAsia"/>
                <w:sz w:val="21"/>
                <w:szCs w:val="21"/>
              </w:rPr>
              <w:t>mol/mol。</w:t>
            </w:r>
          </w:p>
          <w:p>
            <w:pPr>
              <w:adjustRightInd w:val="0"/>
              <w:snapToGrid w:val="0"/>
              <w:spacing w:line="360" w:lineRule="auto"/>
              <w:ind w:firstLine="420" w:firstLineChars="200"/>
              <w:rPr>
                <w:rFonts w:hint="eastAsia"/>
                <w:sz w:val="21"/>
                <w:szCs w:val="21"/>
              </w:rPr>
            </w:pPr>
            <w:r>
              <w:rPr>
                <w:rFonts w:hint="eastAsia"/>
                <w:sz w:val="21"/>
                <w:szCs w:val="21"/>
              </w:rPr>
              <w:t>（</w:t>
            </w:r>
            <w:r>
              <w:rPr>
                <w:rFonts w:hint="eastAsia"/>
                <w:sz w:val="21"/>
                <w:szCs w:val="21"/>
                <w:lang w:val="en-US" w:eastAsia="zh-CN"/>
              </w:rPr>
              <w:t>6</w:t>
            </w:r>
            <w:r>
              <w:rPr>
                <w:rFonts w:hint="eastAsia"/>
                <w:sz w:val="21"/>
                <w:szCs w:val="21"/>
              </w:rPr>
              <w:t>）油气处理装置的油气排放浓度1小时平均浓度值应小于等于25g/m</w:t>
            </w:r>
            <w:r>
              <w:rPr>
                <w:rFonts w:hint="eastAsia"/>
                <w:sz w:val="21"/>
                <w:szCs w:val="21"/>
                <w:vertAlign w:val="superscript"/>
              </w:rPr>
              <w:t>3</w:t>
            </w:r>
            <w:r>
              <w:rPr>
                <w:rFonts w:hint="eastAsia"/>
                <w:sz w:val="21"/>
                <w:szCs w:val="21"/>
              </w:rPr>
              <w:t>。</w:t>
            </w:r>
          </w:p>
          <w:p>
            <w:pPr>
              <w:pStyle w:val="14"/>
              <w:spacing w:line="360" w:lineRule="auto"/>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rFonts w:hint="eastAsia" w:ascii="Times New Roman" w:hAnsi="Times New Roman" w:eastAsia="宋体" w:cs="Times New Roman"/>
                <w:kern w:val="2"/>
                <w:sz w:val="21"/>
                <w:szCs w:val="21"/>
                <w:lang w:val="en-US" w:eastAsia="zh-CN" w:bidi="ar-SA"/>
              </w:rPr>
              <w:t>柴油发电机烟气执行《大气污染物综合排放标准》（GB16297-1996）中表2中的二级标准限值。</w:t>
            </w:r>
          </w:p>
          <w:p>
            <w:pPr>
              <w:adjustRightInd w:val="0"/>
              <w:snapToGrid w:val="0"/>
              <w:spacing w:line="360" w:lineRule="auto"/>
              <w:rPr>
                <w:b/>
                <w:bCs/>
                <w:kern w:val="0"/>
                <w:sz w:val="21"/>
                <w:szCs w:val="21"/>
              </w:rPr>
            </w:pPr>
            <w:r>
              <w:rPr>
                <w:rFonts w:hint="eastAsia" w:ascii="宋体" w:hAnsi="宋体" w:cs="宋体"/>
                <w:kern w:val="0"/>
                <w:sz w:val="21"/>
                <w:szCs w:val="21"/>
              </w:rPr>
              <w:t xml:space="preserve"> </w:t>
            </w:r>
            <w:r>
              <w:rPr>
                <w:rFonts w:ascii="宋体" w:hAnsi="宋体" w:cs="宋体"/>
                <w:kern w:val="0"/>
                <w:sz w:val="21"/>
                <w:szCs w:val="21"/>
              </w:rPr>
              <w:t xml:space="preserve">   </w:t>
            </w:r>
            <w:r>
              <w:rPr>
                <w:rFonts w:hint="cs"/>
                <w:b/>
                <w:bCs/>
                <w:kern w:val="0"/>
                <w:sz w:val="21"/>
                <w:szCs w:val="21"/>
              </w:rPr>
              <w:t>2</w:t>
            </w:r>
            <w:r>
              <w:rPr>
                <w:b/>
                <w:bCs/>
                <w:kern w:val="0"/>
                <w:sz w:val="21"/>
                <w:szCs w:val="21"/>
              </w:rPr>
              <w:t>.</w:t>
            </w:r>
            <w:r>
              <w:rPr>
                <w:rFonts w:hint="eastAsia"/>
                <w:b/>
                <w:bCs/>
                <w:kern w:val="0"/>
                <w:sz w:val="21"/>
                <w:szCs w:val="21"/>
              </w:rPr>
              <w:t>废水排放标准</w:t>
            </w:r>
          </w:p>
          <w:p>
            <w:pPr>
              <w:adjustRightInd w:val="0"/>
              <w:snapToGrid w:val="0"/>
              <w:spacing w:line="360" w:lineRule="auto"/>
              <w:ind w:firstLine="420" w:firstLineChars="200"/>
              <w:jc w:val="left"/>
              <w:rPr>
                <w:sz w:val="21"/>
                <w:szCs w:val="21"/>
              </w:rPr>
            </w:pPr>
            <w:r>
              <w:rPr>
                <w:sz w:val="21"/>
                <w:szCs w:val="21"/>
              </w:rPr>
              <w:t>执行《污水综合排放标准》（GB8978-1996）表4三级标准以及</w:t>
            </w:r>
            <w:r>
              <w:rPr>
                <w:rFonts w:hint="eastAsia" w:ascii="宋体" w:hAnsi="宋体"/>
                <w:bCs/>
                <w:sz w:val="21"/>
                <w:szCs w:val="21"/>
                <w:lang w:eastAsia="zh-CN"/>
              </w:rPr>
              <w:t>桃源县污水</w:t>
            </w:r>
            <w:r>
              <w:rPr>
                <w:rFonts w:hint="eastAsia" w:ascii="宋体" w:hAnsi="宋体"/>
                <w:bCs/>
                <w:sz w:val="21"/>
                <w:szCs w:val="21"/>
              </w:rPr>
              <w:t>处理厂</w:t>
            </w:r>
            <w:r>
              <w:rPr>
                <w:sz w:val="21"/>
                <w:szCs w:val="21"/>
              </w:rPr>
              <w:t>进水水质要求。</w:t>
            </w:r>
          </w:p>
          <w:p>
            <w:pPr>
              <w:adjustRightInd w:val="0"/>
              <w:snapToGrid w:val="0"/>
              <w:spacing w:line="360" w:lineRule="auto"/>
              <w:jc w:val="center"/>
              <w:rPr>
                <w:b/>
                <w:bCs/>
                <w:sz w:val="21"/>
                <w:szCs w:val="21"/>
              </w:rPr>
            </w:pPr>
            <w:r>
              <w:rPr>
                <w:rFonts w:hint="eastAsia"/>
                <w:b/>
                <w:bCs/>
                <w:sz w:val="21"/>
                <w:szCs w:val="21"/>
              </w:rPr>
              <w:t>表3-</w:t>
            </w:r>
            <w:r>
              <w:rPr>
                <w:rFonts w:hint="eastAsia"/>
                <w:b/>
                <w:bCs/>
                <w:sz w:val="21"/>
                <w:szCs w:val="21"/>
                <w:lang w:val="en-US" w:eastAsia="zh-CN"/>
              </w:rPr>
              <w:t>9</w:t>
            </w:r>
            <w:r>
              <w:rPr>
                <w:b/>
                <w:bCs/>
                <w:sz w:val="21"/>
                <w:szCs w:val="21"/>
              </w:rPr>
              <w:t xml:space="preserve"> </w:t>
            </w:r>
            <w:r>
              <w:rPr>
                <w:rFonts w:hint="eastAsia"/>
                <w:b/>
                <w:bCs/>
                <w:sz w:val="21"/>
                <w:szCs w:val="21"/>
              </w:rPr>
              <w:t>废水污染物排放标准 单位：</w:t>
            </w:r>
            <w:r>
              <w:rPr>
                <w:rFonts w:hint="cs"/>
                <w:b/>
                <w:bCs/>
                <w:sz w:val="21"/>
                <w:szCs w:val="21"/>
              </w:rPr>
              <w:t>m</w:t>
            </w:r>
            <w:r>
              <w:rPr>
                <w:b/>
                <w:bCs/>
                <w:sz w:val="21"/>
                <w:szCs w:val="21"/>
              </w:rPr>
              <w:t>g/L</w:t>
            </w:r>
          </w:p>
          <w:tbl>
            <w:tblPr>
              <w:tblStyle w:val="8"/>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146"/>
              <w:gridCol w:w="1160"/>
              <w:gridCol w:w="833"/>
              <w:gridCol w:w="821"/>
              <w:gridCol w:w="830"/>
              <w:gridCol w:w="82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Borders>
                    <w:top w:val="single" w:color="auto" w:sz="4" w:space="0"/>
                    <w:lef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标准</w:t>
                  </w:r>
                </w:p>
              </w:tc>
              <w:tc>
                <w:tcPr>
                  <w:tcW w:w="1172" w:type="dxa"/>
                  <w:tcBorders>
                    <w:top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pH</w:t>
                  </w:r>
                </w:p>
              </w:tc>
              <w:tc>
                <w:tcPr>
                  <w:tcW w:w="1172" w:type="dxa"/>
                  <w:tcBorders>
                    <w:top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sz w:val="21"/>
                      <w:szCs w:val="21"/>
                    </w:rPr>
                    <w:t>CODcr</w:t>
                  </w:r>
                </w:p>
              </w:tc>
              <w:tc>
                <w:tcPr>
                  <w:tcW w:w="837" w:type="dxa"/>
                  <w:tcBorders>
                    <w:top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sz w:val="21"/>
                      <w:szCs w:val="21"/>
                    </w:rPr>
                    <w:t>BOD</w:t>
                  </w:r>
                  <w:r>
                    <w:rPr>
                      <w:rFonts w:hint="default" w:ascii="Times New Roman" w:hAnsi="Times New Roman" w:cs="Times New Roman"/>
                      <w:b/>
                      <w:bCs/>
                      <w:sz w:val="21"/>
                      <w:szCs w:val="21"/>
                      <w:vertAlign w:val="subscript"/>
                    </w:rPr>
                    <w:t>5</w:t>
                  </w:r>
                </w:p>
              </w:tc>
              <w:tc>
                <w:tcPr>
                  <w:tcW w:w="726" w:type="dxa"/>
                  <w:tcBorders>
                    <w:top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sz w:val="21"/>
                      <w:szCs w:val="21"/>
                    </w:rPr>
                    <w:t>NH</w:t>
                  </w:r>
                  <w:r>
                    <w:rPr>
                      <w:rFonts w:hint="default" w:ascii="Times New Roman" w:hAnsi="Times New Roman" w:cs="Times New Roman"/>
                      <w:b/>
                      <w:bCs/>
                      <w:sz w:val="21"/>
                      <w:szCs w:val="21"/>
                      <w:vertAlign w:val="subscript"/>
                    </w:rPr>
                    <w:t>3</w:t>
                  </w:r>
                  <w:r>
                    <w:rPr>
                      <w:rFonts w:hint="default" w:ascii="Times New Roman" w:hAnsi="Times New Roman" w:cs="Times New Roman"/>
                      <w:b/>
                      <w:bCs/>
                      <w:sz w:val="21"/>
                      <w:szCs w:val="21"/>
                    </w:rPr>
                    <w:t>-N</w:t>
                  </w:r>
                </w:p>
              </w:tc>
              <w:tc>
                <w:tcPr>
                  <w:tcW w:w="837" w:type="dxa"/>
                  <w:tcBorders>
                    <w:top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sz w:val="21"/>
                      <w:szCs w:val="21"/>
                    </w:rPr>
                    <w:t>SS</w:t>
                  </w:r>
                </w:p>
              </w:tc>
              <w:tc>
                <w:tcPr>
                  <w:tcW w:w="837" w:type="dxa"/>
                  <w:tcBorders>
                    <w:top w:val="single" w:color="auto" w:sz="4" w:space="0"/>
                    <w:righ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石油类</w:t>
                  </w:r>
                </w:p>
              </w:tc>
              <w:tc>
                <w:tcPr>
                  <w:tcW w:w="838" w:type="dxa"/>
                  <w:tcBorders>
                    <w:top w:val="single" w:color="auto" w:sz="4" w:space="0"/>
                    <w:righ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eastAsia="宋体" w:cs="Times New Roman"/>
                      <w:b/>
                      <w:bCs/>
                      <w:kern w:val="0"/>
                      <w:sz w:val="21"/>
                      <w:szCs w:val="21"/>
                      <w:lang w:val="en-US" w:eastAsia="zh-CN"/>
                    </w:rPr>
                  </w:pPr>
                  <w:r>
                    <w:rPr>
                      <w:rFonts w:hint="default" w:ascii="Times New Roman" w:hAnsi="Times New Roman" w:cs="Times New Roman"/>
                      <w:b/>
                      <w:bCs/>
                      <w:kern w:val="0"/>
                      <w:sz w:val="21"/>
                      <w:szCs w:val="21"/>
                      <w:lang w:val="en-US"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Borders>
                    <w:lef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bCs/>
                      <w:kern w:val="0"/>
                      <w:sz w:val="21"/>
                      <w:szCs w:val="21"/>
                    </w:rPr>
                  </w:pPr>
                  <w:r>
                    <w:rPr>
                      <w:rFonts w:hint="default" w:ascii="Times New Roman" w:hAnsi="Times New Roman" w:cs="Times New Roman"/>
                      <w:sz w:val="21"/>
                      <w:szCs w:val="21"/>
                    </w:rPr>
                    <w:t>（GB8978-1996）表4三级标准</w:t>
                  </w:r>
                </w:p>
              </w:tc>
              <w:tc>
                <w:tcPr>
                  <w:tcW w:w="1172" w:type="dxa"/>
                  <w:shd w:val="clear" w:color="auto" w:fill="auto"/>
                  <w:noWrap w:val="0"/>
                  <w:vAlign w:val="center"/>
                </w:tcPr>
                <w:p>
                  <w:pPr>
                    <w:adjustRightInd w:val="0"/>
                    <w:snapToGrid w:val="0"/>
                    <w:spacing w:line="276"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6-9</w:t>
                  </w:r>
                </w:p>
              </w:tc>
              <w:tc>
                <w:tcPr>
                  <w:tcW w:w="1172" w:type="dxa"/>
                  <w:shd w:val="clear" w:color="auto" w:fill="auto"/>
                  <w:noWrap w:val="0"/>
                  <w:vAlign w:val="center"/>
                </w:tcPr>
                <w:p>
                  <w:pPr>
                    <w:adjustRightInd w:val="0"/>
                    <w:snapToGrid w:val="0"/>
                    <w:spacing w:line="276" w:lineRule="auto"/>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≤500</w:t>
                  </w:r>
                </w:p>
              </w:tc>
              <w:tc>
                <w:tcPr>
                  <w:tcW w:w="837" w:type="dxa"/>
                  <w:shd w:val="clear" w:color="auto" w:fill="auto"/>
                  <w:noWrap w:val="0"/>
                  <w:vAlign w:val="center"/>
                </w:tcPr>
                <w:p>
                  <w:pPr>
                    <w:adjustRightInd w:val="0"/>
                    <w:snapToGrid w:val="0"/>
                    <w:spacing w:line="276" w:lineRule="auto"/>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≤300</w:t>
                  </w:r>
                </w:p>
              </w:tc>
              <w:tc>
                <w:tcPr>
                  <w:tcW w:w="726" w:type="dxa"/>
                  <w:shd w:val="clear" w:color="auto" w:fill="auto"/>
                  <w:noWrap w:val="0"/>
                  <w:vAlign w:val="center"/>
                </w:tcPr>
                <w:p>
                  <w:pPr>
                    <w:adjustRightInd w:val="0"/>
                    <w:snapToGrid w:val="0"/>
                    <w:spacing w:line="276" w:lineRule="auto"/>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cs="Times New Roman"/>
                      <w:b w:val="0"/>
                      <w:bCs w:val="0"/>
                      <w:kern w:val="0"/>
                      <w:sz w:val="21"/>
                      <w:szCs w:val="21"/>
                      <w:lang w:val="en-US" w:eastAsia="zh-CN"/>
                    </w:rPr>
                    <w:t>-</w:t>
                  </w:r>
                </w:p>
              </w:tc>
              <w:tc>
                <w:tcPr>
                  <w:tcW w:w="837" w:type="dxa"/>
                  <w:shd w:val="clear" w:color="auto" w:fill="auto"/>
                  <w:noWrap w:val="0"/>
                  <w:vAlign w:val="center"/>
                </w:tcPr>
                <w:p>
                  <w:pPr>
                    <w:adjustRightInd w:val="0"/>
                    <w:snapToGrid w:val="0"/>
                    <w:spacing w:line="276" w:lineRule="auto"/>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≤400</w:t>
                  </w:r>
                </w:p>
              </w:tc>
              <w:tc>
                <w:tcPr>
                  <w:tcW w:w="837" w:type="dxa"/>
                  <w:tcBorders>
                    <w:righ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cs="Times New Roman"/>
                      <w:b w:val="0"/>
                      <w:bCs w:val="0"/>
                      <w:kern w:val="0"/>
                      <w:sz w:val="21"/>
                      <w:szCs w:val="21"/>
                    </w:rPr>
                  </w:pPr>
                  <w:r>
                    <w:rPr>
                      <w:rFonts w:hint="default" w:ascii="Times New Roman" w:hAnsi="Times New Roman" w:cs="Times New Roman"/>
                      <w:b w:val="0"/>
                      <w:bCs w:val="0"/>
                      <w:sz w:val="21"/>
                      <w:szCs w:val="21"/>
                    </w:rPr>
                    <w:t>≤20</w:t>
                  </w:r>
                </w:p>
              </w:tc>
              <w:tc>
                <w:tcPr>
                  <w:tcW w:w="838" w:type="dxa"/>
                  <w:tcBorders>
                    <w:right w:val="single" w:color="auto" w:sz="4" w:space="0"/>
                  </w:tcBorders>
                  <w:shd w:val="clear" w:color="auto" w:fill="auto"/>
                  <w:noWrap w:val="0"/>
                  <w:vAlign w:val="center"/>
                </w:tcPr>
                <w:p>
                  <w:pPr>
                    <w:adjustRightInd w:val="0"/>
                    <w:snapToGrid w:val="0"/>
                    <w:spacing w:line="276"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Borders>
                    <w:left w:val="single" w:color="auto" w:sz="4" w:space="0"/>
                    <w:bottom w:val="single" w:color="auto" w:sz="4" w:space="0"/>
                  </w:tcBorders>
                  <w:shd w:val="clear" w:color="auto" w:fill="auto"/>
                  <w:noWrap w:val="0"/>
                  <w:vAlign w:val="top"/>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bCs/>
                      <w:sz w:val="21"/>
                      <w:szCs w:val="21"/>
                      <w:lang w:eastAsia="zh-CN"/>
                    </w:rPr>
                    <w:t>桃源县</w:t>
                  </w:r>
                  <w:r>
                    <w:rPr>
                      <w:rFonts w:hint="default" w:ascii="Times New Roman" w:hAnsi="Times New Roman" w:cs="Times New Roman"/>
                      <w:bCs/>
                      <w:sz w:val="21"/>
                      <w:szCs w:val="21"/>
                    </w:rPr>
                    <w:t>污水处理厂</w:t>
                  </w:r>
                  <w:r>
                    <w:rPr>
                      <w:rFonts w:hint="default" w:ascii="Times New Roman" w:hAnsi="Times New Roman" w:cs="Times New Roman"/>
                      <w:sz w:val="21"/>
                      <w:szCs w:val="21"/>
                    </w:rPr>
                    <w:t>进水水质要求</w:t>
                  </w:r>
                </w:p>
              </w:tc>
              <w:tc>
                <w:tcPr>
                  <w:tcW w:w="1172"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6-9</w:t>
                  </w:r>
                </w:p>
              </w:tc>
              <w:tc>
                <w:tcPr>
                  <w:tcW w:w="1172"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kern w:val="0"/>
                      <w:sz w:val="21"/>
                      <w:szCs w:val="21"/>
                      <w:lang w:val="en-US" w:eastAsia="zh-CN"/>
                    </w:rPr>
                    <w:t>220</w:t>
                  </w:r>
                </w:p>
              </w:tc>
              <w:tc>
                <w:tcPr>
                  <w:tcW w:w="837"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kern w:val="0"/>
                      <w:sz w:val="21"/>
                      <w:szCs w:val="21"/>
                      <w:lang w:val="en-US" w:eastAsia="zh-CN"/>
                    </w:rPr>
                    <w:t>110</w:t>
                  </w:r>
                </w:p>
              </w:tc>
              <w:tc>
                <w:tcPr>
                  <w:tcW w:w="726"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kern w:val="0"/>
                      <w:sz w:val="21"/>
                      <w:szCs w:val="21"/>
                      <w:lang w:val="en-US" w:eastAsia="zh-CN"/>
                    </w:rPr>
                    <w:t>22</w:t>
                  </w:r>
                </w:p>
              </w:tc>
              <w:tc>
                <w:tcPr>
                  <w:tcW w:w="837"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kern w:val="0"/>
                      <w:sz w:val="21"/>
                      <w:szCs w:val="21"/>
                      <w:lang w:val="en-US" w:eastAsia="zh-CN"/>
                    </w:rPr>
                    <w:t>240</w:t>
                  </w:r>
                </w:p>
              </w:tc>
              <w:tc>
                <w:tcPr>
                  <w:tcW w:w="837" w:type="dxa"/>
                  <w:tcBorders>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kern w:val="0"/>
                      <w:sz w:val="21"/>
                      <w:szCs w:val="21"/>
                      <w:lang w:val="en-US" w:eastAsia="zh-CN"/>
                    </w:rPr>
                    <w:t>-</w:t>
                  </w:r>
                </w:p>
              </w:tc>
              <w:tc>
                <w:tcPr>
                  <w:tcW w:w="838" w:type="dxa"/>
                  <w:tcBorders>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Borders>
                    <w:left w:val="single" w:color="auto" w:sz="4" w:space="0"/>
                    <w:bottom w:val="single" w:color="auto" w:sz="4" w:space="0"/>
                  </w:tcBorders>
                  <w:shd w:val="clear" w:color="auto" w:fill="auto"/>
                  <w:noWrap w:val="0"/>
                  <w:vAlign w:val="top"/>
                </w:tcPr>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sz w:val="21"/>
                      <w:szCs w:val="21"/>
                    </w:rPr>
                    <w:t>本项目执行标准</w:t>
                  </w:r>
                </w:p>
              </w:tc>
              <w:tc>
                <w:tcPr>
                  <w:tcW w:w="1172"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6-9</w:t>
                  </w:r>
                </w:p>
              </w:tc>
              <w:tc>
                <w:tcPr>
                  <w:tcW w:w="1172"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220</w:t>
                  </w:r>
                </w:p>
              </w:tc>
              <w:tc>
                <w:tcPr>
                  <w:tcW w:w="837"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110</w:t>
                  </w:r>
                </w:p>
              </w:tc>
              <w:tc>
                <w:tcPr>
                  <w:tcW w:w="726"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22</w:t>
                  </w:r>
                </w:p>
              </w:tc>
              <w:tc>
                <w:tcPr>
                  <w:tcW w:w="837" w:type="dxa"/>
                  <w:tcBorders>
                    <w:bottom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240</w:t>
                  </w:r>
                </w:p>
              </w:tc>
              <w:tc>
                <w:tcPr>
                  <w:tcW w:w="837" w:type="dxa"/>
                  <w:tcBorders>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20</w:t>
                  </w:r>
                </w:p>
              </w:tc>
              <w:tc>
                <w:tcPr>
                  <w:tcW w:w="838" w:type="dxa"/>
                  <w:tcBorders>
                    <w:bottom w:val="single" w:color="auto" w:sz="4" w:space="0"/>
                    <w:right w:val="single" w:color="auto" w:sz="4" w:space="0"/>
                  </w:tcBorders>
                  <w:shd w:val="clear" w:color="auto" w:fill="auto"/>
                  <w:noWrap w:val="0"/>
                  <w:vAlign w:val="center"/>
                </w:tcPr>
                <w:p>
                  <w:pPr>
                    <w:adjustRightInd w:val="0"/>
                    <w:snapToGrid w:val="0"/>
                    <w:jc w:val="center"/>
                    <w:rPr>
                      <w:rFonts w:hint="default" w:ascii="Times New Roman" w:hAnsi="Times New Roman" w:eastAsia="宋体" w:cs="Times New Roman"/>
                      <w:b w:val="0"/>
                      <w:bCs w:val="0"/>
                      <w:sz w:val="21"/>
                      <w:szCs w:val="21"/>
                      <w:lang w:eastAsia="zh-CN"/>
                    </w:rPr>
                  </w:pPr>
                  <w:r>
                    <w:rPr>
                      <w:rFonts w:hint="default" w:ascii="Times New Roman" w:hAnsi="Times New Roman" w:cs="Times New Roman"/>
                      <w:b w:val="0"/>
                      <w:bCs w:val="0"/>
                      <w:sz w:val="21"/>
                      <w:szCs w:val="21"/>
                    </w:rPr>
                    <w:t>≤</w:t>
                  </w:r>
                  <w:r>
                    <w:rPr>
                      <w:rFonts w:hint="default" w:ascii="Times New Roman" w:hAnsi="Times New Roman" w:cs="Times New Roman"/>
                      <w:b w:val="0"/>
                      <w:bCs w:val="0"/>
                      <w:sz w:val="21"/>
                      <w:szCs w:val="21"/>
                      <w:lang w:val="en-US" w:eastAsia="zh-CN"/>
                    </w:rPr>
                    <w:t>4</w:t>
                  </w: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2" w:firstLineChars="200"/>
              <w:jc w:val="left"/>
              <w:textAlignment w:val="auto"/>
              <w:rPr>
                <w:b/>
                <w:bCs/>
                <w:kern w:val="0"/>
                <w:sz w:val="21"/>
                <w:szCs w:val="21"/>
              </w:rPr>
            </w:pPr>
            <w:r>
              <w:rPr>
                <w:rFonts w:hint="eastAsia"/>
                <w:b/>
                <w:bCs/>
                <w:kern w:val="0"/>
                <w:sz w:val="21"/>
                <w:szCs w:val="21"/>
              </w:rPr>
              <w:t>3</w:t>
            </w:r>
            <w:r>
              <w:rPr>
                <w:b/>
                <w:bCs/>
                <w:kern w:val="0"/>
                <w:sz w:val="21"/>
                <w:szCs w:val="21"/>
              </w:rPr>
              <w:t>.</w:t>
            </w:r>
            <w:r>
              <w:rPr>
                <w:rFonts w:hint="eastAsia"/>
                <w:b/>
                <w:bCs/>
                <w:kern w:val="0"/>
                <w:sz w:val="21"/>
                <w:szCs w:val="21"/>
              </w:rPr>
              <w:t>噪声排放标准</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jc w:val="left"/>
              <w:textAlignment w:val="auto"/>
              <w:rPr>
                <w:sz w:val="21"/>
                <w:szCs w:val="21"/>
              </w:rPr>
            </w:pPr>
            <w:r>
              <w:rPr>
                <w:sz w:val="21"/>
                <w:szCs w:val="21"/>
              </w:rPr>
              <w:t>营运期：厂界噪声执行《工业企业厂界环境噪声排放标准》（GB12348-2008）2标准，</w:t>
            </w:r>
            <w:r>
              <w:rPr>
                <w:rFonts w:hint="eastAsia"/>
                <w:sz w:val="21"/>
                <w:szCs w:val="21"/>
                <w:lang w:val="en-US" w:eastAsia="zh-CN"/>
              </w:rPr>
              <w:t>南</w:t>
            </w:r>
            <w:r>
              <w:rPr>
                <w:sz w:val="21"/>
                <w:szCs w:val="21"/>
              </w:rPr>
              <w:t>侧</w:t>
            </w:r>
            <w:r>
              <w:rPr>
                <w:rFonts w:hint="eastAsia"/>
                <w:sz w:val="21"/>
                <w:szCs w:val="21"/>
                <w:lang w:eastAsia="zh-CN"/>
              </w:rPr>
              <w:t>、西侧</w:t>
            </w:r>
            <w:r>
              <w:rPr>
                <w:sz w:val="21"/>
                <w:szCs w:val="21"/>
              </w:rPr>
              <w:t>临道路执行4</w:t>
            </w:r>
            <w:r>
              <w:rPr>
                <w:rFonts w:hint="eastAsia"/>
                <w:sz w:val="21"/>
                <w:szCs w:val="21"/>
              </w:rPr>
              <w:t>类</w:t>
            </w:r>
            <w:r>
              <w:rPr>
                <w:sz w:val="21"/>
                <w:szCs w:val="21"/>
              </w:rPr>
              <w:t>标准</w:t>
            </w:r>
            <w:r>
              <w:rPr>
                <w:rFonts w:hint="eastAsia"/>
                <w:sz w:val="21"/>
                <w:szCs w:val="21"/>
              </w:rPr>
              <w:t>。</w:t>
            </w:r>
          </w:p>
          <w:p>
            <w:pPr>
              <w:adjustRightInd w:val="0"/>
              <w:snapToGrid w:val="0"/>
              <w:spacing w:line="360" w:lineRule="auto"/>
              <w:jc w:val="center"/>
              <w:rPr>
                <w:b/>
                <w:bCs/>
                <w:sz w:val="21"/>
                <w:szCs w:val="21"/>
              </w:rPr>
            </w:pPr>
            <w:r>
              <w:rPr>
                <w:rFonts w:hint="eastAsia"/>
                <w:b/>
                <w:bCs/>
                <w:sz w:val="21"/>
                <w:szCs w:val="21"/>
              </w:rPr>
              <w:t>表3-</w:t>
            </w:r>
            <w:r>
              <w:rPr>
                <w:rFonts w:hint="eastAsia"/>
                <w:b/>
                <w:bCs/>
                <w:sz w:val="21"/>
                <w:szCs w:val="21"/>
                <w:lang w:val="en-US" w:eastAsia="zh-CN"/>
              </w:rPr>
              <w:t>10</w:t>
            </w:r>
            <w:r>
              <w:rPr>
                <w:b/>
                <w:bCs/>
                <w:sz w:val="21"/>
                <w:szCs w:val="21"/>
              </w:rPr>
              <w:t>工业企业厂界环境噪声排放限值 单位：dB （A）</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2678"/>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b/>
                      <w:bCs/>
                      <w:kern w:val="0"/>
                      <w:sz w:val="21"/>
                      <w:szCs w:val="21"/>
                    </w:rPr>
                  </w:pPr>
                  <w:r>
                    <w:rPr>
                      <w:rFonts w:hint="eastAsia"/>
                      <w:b/>
                      <w:bCs/>
                      <w:kern w:val="0"/>
                      <w:sz w:val="21"/>
                      <w:szCs w:val="21"/>
                    </w:rPr>
                    <w:t>标准</w:t>
                  </w:r>
                </w:p>
              </w:tc>
              <w:tc>
                <w:tcPr>
                  <w:tcW w:w="2268" w:type="dxa"/>
                  <w:shd w:val="clear" w:color="auto" w:fill="auto"/>
                  <w:noWrap w:val="0"/>
                  <w:vAlign w:val="center"/>
                </w:tcPr>
                <w:p>
                  <w:pPr>
                    <w:adjustRightInd w:val="0"/>
                    <w:snapToGrid w:val="0"/>
                    <w:spacing w:line="276" w:lineRule="auto"/>
                    <w:jc w:val="center"/>
                    <w:rPr>
                      <w:b/>
                      <w:bCs/>
                      <w:kern w:val="0"/>
                      <w:sz w:val="21"/>
                      <w:szCs w:val="21"/>
                    </w:rPr>
                  </w:pPr>
                  <w:r>
                    <w:rPr>
                      <w:rFonts w:hint="eastAsia"/>
                      <w:b/>
                      <w:bCs/>
                      <w:kern w:val="0"/>
                      <w:sz w:val="21"/>
                      <w:szCs w:val="21"/>
                    </w:rPr>
                    <w:t>昼间</w:t>
                  </w:r>
                </w:p>
              </w:tc>
              <w:tc>
                <w:tcPr>
                  <w:tcW w:w="2695" w:type="dxa"/>
                  <w:shd w:val="clear" w:color="auto" w:fill="auto"/>
                  <w:noWrap w:val="0"/>
                  <w:vAlign w:val="center"/>
                </w:tcPr>
                <w:p>
                  <w:pPr>
                    <w:adjustRightInd w:val="0"/>
                    <w:snapToGrid w:val="0"/>
                    <w:spacing w:line="276" w:lineRule="auto"/>
                    <w:jc w:val="center"/>
                    <w:rPr>
                      <w:b/>
                      <w:bCs/>
                      <w:kern w:val="0"/>
                      <w:sz w:val="21"/>
                      <w:szCs w:val="21"/>
                    </w:rPr>
                  </w:pPr>
                  <w:r>
                    <w:rPr>
                      <w:rFonts w:hint="eastAsia"/>
                      <w:b/>
                      <w:bCs/>
                      <w:kern w:val="0"/>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kern w:val="0"/>
                      <w:sz w:val="21"/>
                      <w:szCs w:val="21"/>
                    </w:rPr>
                  </w:pPr>
                  <w:r>
                    <w:rPr>
                      <w:rFonts w:hint="eastAsia"/>
                      <w:kern w:val="0"/>
                      <w:sz w:val="21"/>
                      <w:szCs w:val="21"/>
                    </w:rPr>
                    <w:t>2类</w:t>
                  </w:r>
                </w:p>
              </w:tc>
              <w:tc>
                <w:tcPr>
                  <w:tcW w:w="2268" w:type="dxa"/>
                  <w:shd w:val="clear" w:color="auto" w:fill="auto"/>
                  <w:noWrap w:val="0"/>
                  <w:vAlign w:val="center"/>
                </w:tcPr>
                <w:p>
                  <w:pPr>
                    <w:adjustRightInd w:val="0"/>
                    <w:snapToGrid w:val="0"/>
                    <w:spacing w:line="276" w:lineRule="auto"/>
                    <w:jc w:val="center"/>
                    <w:rPr>
                      <w:rFonts w:hint="eastAsia"/>
                      <w:kern w:val="0"/>
                      <w:sz w:val="21"/>
                      <w:szCs w:val="21"/>
                    </w:rPr>
                  </w:pPr>
                  <w:r>
                    <w:rPr>
                      <w:rFonts w:hint="eastAsia"/>
                      <w:kern w:val="0"/>
                      <w:sz w:val="21"/>
                      <w:szCs w:val="21"/>
                    </w:rPr>
                    <w:t>6</w:t>
                  </w:r>
                  <w:r>
                    <w:rPr>
                      <w:kern w:val="0"/>
                      <w:sz w:val="21"/>
                      <w:szCs w:val="21"/>
                    </w:rPr>
                    <w:t>0</w:t>
                  </w:r>
                </w:p>
              </w:tc>
              <w:tc>
                <w:tcPr>
                  <w:tcW w:w="2695" w:type="dxa"/>
                  <w:shd w:val="clear" w:color="auto" w:fill="auto"/>
                  <w:noWrap w:val="0"/>
                  <w:vAlign w:val="center"/>
                </w:tcPr>
                <w:p>
                  <w:pPr>
                    <w:adjustRightInd w:val="0"/>
                    <w:snapToGrid w:val="0"/>
                    <w:spacing w:line="276" w:lineRule="auto"/>
                    <w:jc w:val="center"/>
                    <w:rPr>
                      <w:rFonts w:hint="eastAsia"/>
                      <w:kern w:val="0"/>
                      <w:sz w:val="21"/>
                      <w:szCs w:val="21"/>
                    </w:rPr>
                  </w:pPr>
                  <w:r>
                    <w:rPr>
                      <w:rFonts w:hint="eastAsia"/>
                      <w:kern w:val="0"/>
                      <w:sz w:val="21"/>
                      <w:szCs w:val="21"/>
                    </w:rPr>
                    <w:t>5</w:t>
                  </w:r>
                  <w:r>
                    <w:rPr>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4" w:type="dxa"/>
                  <w:shd w:val="clear" w:color="auto" w:fill="auto"/>
                  <w:noWrap w:val="0"/>
                  <w:vAlign w:val="top"/>
                </w:tcPr>
                <w:p>
                  <w:pPr>
                    <w:adjustRightInd w:val="0"/>
                    <w:snapToGrid w:val="0"/>
                    <w:spacing w:line="276" w:lineRule="auto"/>
                    <w:jc w:val="center"/>
                    <w:rPr>
                      <w:rFonts w:hint="eastAsia"/>
                      <w:sz w:val="21"/>
                      <w:szCs w:val="21"/>
                    </w:rPr>
                  </w:pPr>
                  <w:r>
                    <w:rPr>
                      <w:rFonts w:hint="eastAsia"/>
                      <w:sz w:val="21"/>
                      <w:szCs w:val="21"/>
                    </w:rPr>
                    <w:t>4类</w:t>
                  </w:r>
                </w:p>
              </w:tc>
              <w:tc>
                <w:tcPr>
                  <w:tcW w:w="2268" w:type="dxa"/>
                  <w:shd w:val="clear" w:color="auto" w:fill="auto"/>
                  <w:noWrap w:val="0"/>
                  <w:vAlign w:val="center"/>
                </w:tcPr>
                <w:p>
                  <w:pPr>
                    <w:adjustRightInd w:val="0"/>
                    <w:snapToGrid w:val="0"/>
                    <w:spacing w:line="276" w:lineRule="auto"/>
                    <w:jc w:val="center"/>
                    <w:rPr>
                      <w:kern w:val="0"/>
                      <w:sz w:val="21"/>
                      <w:szCs w:val="21"/>
                    </w:rPr>
                  </w:pPr>
                  <w:r>
                    <w:rPr>
                      <w:rFonts w:hint="eastAsia"/>
                      <w:sz w:val="21"/>
                      <w:szCs w:val="21"/>
                    </w:rPr>
                    <w:t>7</w:t>
                  </w:r>
                  <w:r>
                    <w:rPr>
                      <w:sz w:val="21"/>
                      <w:szCs w:val="21"/>
                    </w:rPr>
                    <w:t>0</w:t>
                  </w:r>
                </w:p>
              </w:tc>
              <w:tc>
                <w:tcPr>
                  <w:tcW w:w="2695" w:type="dxa"/>
                  <w:shd w:val="clear" w:color="auto" w:fill="auto"/>
                  <w:noWrap w:val="0"/>
                  <w:vAlign w:val="center"/>
                </w:tcPr>
                <w:p>
                  <w:pPr>
                    <w:adjustRightInd w:val="0"/>
                    <w:snapToGrid w:val="0"/>
                    <w:spacing w:line="276" w:lineRule="auto"/>
                    <w:jc w:val="center"/>
                    <w:rPr>
                      <w:kern w:val="0"/>
                      <w:sz w:val="21"/>
                      <w:szCs w:val="21"/>
                    </w:rPr>
                  </w:pPr>
                  <w:r>
                    <w:rPr>
                      <w:sz w:val="21"/>
                      <w:szCs w:val="21"/>
                    </w:rPr>
                    <w:t>55</w:t>
                  </w:r>
                </w:p>
              </w:tc>
            </w:tr>
          </w:tbl>
          <w:p>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22" w:firstLineChars="200"/>
              <w:jc w:val="left"/>
              <w:textAlignment w:val="auto"/>
              <w:rPr>
                <w:b/>
                <w:bCs/>
                <w:kern w:val="0"/>
                <w:sz w:val="21"/>
                <w:szCs w:val="21"/>
              </w:rPr>
            </w:pPr>
            <w:r>
              <w:rPr>
                <w:b/>
                <w:bCs/>
                <w:kern w:val="0"/>
                <w:sz w:val="21"/>
                <w:szCs w:val="21"/>
              </w:rPr>
              <w:t>4.</w:t>
            </w:r>
            <w:r>
              <w:rPr>
                <w:rFonts w:hint="eastAsia"/>
                <w:b/>
                <w:bCs/>
                <w:kern w:val="0"/>
                <w:sz w:val="21"/>
                <w:szCs w:val="21"/>
              </w:rPr>
              <w:t>固废处置要求</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b/>
                <w:bCs/>
                <w:kern w:val="0"/>
                <w:sz w:val="21"/>
                <w:szCs w:val="21"/>
              </w:rPr>
            </w:pPr>
            <w:r>
              <w:rPr>
                <w:rFonts w:hint="eastAsia"/>
                <w:b/>
                <w:bCs/>
                <w:kern w:val="0"/>
                <w:sz w:val="21"/>
                <w:szCs w:val="21"/>
              </w:rPr>
              <w:t xml:space="preserve"> </w:t>
            </w:r>
            <w:r>
              <w:rPr>
                <w:b/>
                <w:bCs/>
                <w:kern w:val="0"/>
                <w:sz w:val="21"/>
                <w:szCs w:val="21"/>
              </w:rPr>
              <w:t xml:space="preserve">   </w:t>
            </w:r>
            <w:r>
              <w:rPr>
                <w:sz w:val="21"/>
                <w:szCs w:val="21"/>
              </w:rPr>
              <w:t>固体废物：生活垃圾委托环卫部门处置；一般工业废物执行《一般工业固体废物贮存和填埋污染控制标准》（GB18599-2020）；危险废物执行《危险废物贮存污染控制标准》（GB18597-20</w:t>
            </w:r>
            <w:r>
              <w:rPr>
                <w:rFonts w:hint="eastAsia"/>
                <w:sz w:val="21"/>
                <w:szCs w:val="21"/>
                <w:lang w:val="en-US" w:eastAsia="zh-CN"/>
              </w:rPr>
              <w:t>23</w:t>
            </w:r>
            <w:r>
              <w:rPr>
                <w:sz w:val="21"/>
                <w:szCs w:val="21"/>
              </w:rPr>
              <w:t>）中的规定，危废转移执行《危险废物转移联单管理办法》。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800" w:type="dxa"/>
            <w:noWrap w:val="0"/>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总量</w:t>
            </w:r>
          </w:p>
          <w:p>
            <w:pPr>
              <w:adjustRightInd w:val="0"/>
              <w:snapToGrid w:val="0"/>
              <w:jc w:val="center"/>
              <w:rPr>
                <w:rFonts w:hint="eastAsia"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9061" w:type="dxa"/>
            <w:noWrap w:val="0"/>
            <w:vAlign w:val="top"/>
          </w:tcPr>
          <w:p>
            <w:pPr>
              <w:adjustRightInd w:val="0"/>
              <w:snapToGrid w:val="0"/>
              <w:spacing w:line="360" w:lineRule="auto"/>
              <w:ind w:firstLine="422" w:firstLineChars="200"/>
              <w:jc w:val="left"/>
              <w:rPr>
                <w:rFonts w:hint="eastAsia"/>
                <w:color w:val="auto"/>
              </w:rPr>
            </w:pPr>
            <w:r>
              <w:rPr>
                <w:rFonts w:hint="eastAsia"/>
                <w:b/>
                <w:color w:val="auto"/>
                <w:lang w:val="en-US" w:eastAsia="zh-CN"/>
              </w:rPr>
              <w:t>1</w:t>
            </w:r>
            <w:r>
              <w:rPr>
                <w:b/>
                <w:color w:val="auto"/>
              </w:rPr>
              <w:t>、</w:t>
            </w:r>
            <w:r>
              <w:rPr>
                <w:rFonts w:hint="eastAsia"/>
                <w:b/>
                <w:color w:val="auto"/>
                <w:lang w:eastAsia="zh-CN"/>
              </w:rPr>
              <w:t>总量控制原则</w:t>
            </w:r>
          </w:p>
          <w:p>
            <w:pPr>
              <w:adjustRightInd w:val="0"/>
              <w:snapToGrid w:val="0"/>
              <w:spacing w:line="360" w:lineRule="auto"/>
              <w:ind w:firstLine="420"/>
              <w:jc w:val="left"/>
              <w:rPr>
                <w:rFonts w:hint="eastAsia"/>
                <w:color w:val="auto"/>
              </w:rPr>
            </w:pPr>
            <w:r>
              <w:rPr>
                <w:rFonts w:hint="eastAsia"/>
                <w:color w:val="auto"/>
              </w:rPr>
              <w:t>依据《湖南省“十三五”主要污染物减排规划》，湖南省对 COD、NH3-N、SO2、NOX、VOCs 五项污染物实施总量控制。根据本项目的特点，确定本项目的总量控制因子为：COD、NH3-N、VOCs。</w:t>
            </w:r>
          </w:p>
          <w:p>
            <w:pPr>
              <w:numPr>
                <w:ilvl w:val="0"/>
                <w:numId w:val="2"/>
              </w:numPr>
              <w:adjustRightInd w:val="0"/>
              <w:snapToGrid w:val="0"/>
              <w:spacing w:line="360" w:lineRule="auto"/>
              <w:ind w:left="420" w:leftChars="0" w:firstLine="0" w:firstLineChars="0"/>
              <w:jc w:val="left"/>
              <w:rPr>
                <w:rFonts w:hint="eastAsia"/>
                <w:b/>
                <w:color w:val="auto"/>
              </w:rPr>
            </w:pPr>
            <w:bookmarkStart w:id="4" w:name="_GoBack"/>
            <w:r>
              <w:rPr>
                <w:rFonts w:hint="eastAsia"/>
                <w:b/>
                <w:color w:val="auto"/>
              </w:rPr>
              <w:t>项目实施后总量指标</w:t>
            </w:r>
          </w:p>
          <w:p>
            <w:pPr>
              <w:numPr>
                <w:ilvl w:val="0"/>
                <w:numId w:val="0"/>
              </w:numPr>
              <w:adjustRightInd w:val="0"/>
              <w:snapToGrid w:val="0"/>
              <w:spacing w:line="360" w:lineRule="auto"/>
              <w:ind w:left="420" w:leftChars="0"/>
              <w:jc w:val="left"/>
              <w:rPr>
                <w:rFonts w:hint="eastAsia"/>
                <w:b w:val="0"/>
                <w:bCs/>
                <w:color w:val="auto"/>
              </w:rPr>
            </w:pPr>
            <w:r>
              <w:rPr>
                <w:rFonts w:hint="eastAsia"/>
                <w:b w:val="0"/>
                <w:bCs/>
                <w:color w:val="auto"/>
              </w:rPr>
              <w:t>本项目建成后企业总量指标情况如下表。</w:t>
            </w:r>
          </w:p>
          <w:p>
            <w:pPr>
              <w:adjustRightInd w:val="0"/>
              <w:snapToGrid w:val="0"/>
              <w:spacing w:line="360" w:lineRule="auto"/>
              <w:jc w:val="center"/>
              <w:rPr>
                <w:b/>
                <w:bCs/>
                <w:sz w:val="21"/>
                <w:szCs w:val="21"/>
              </w:rPr>
            </w:pPr>
            <w:r>
              <w:rPr>
                <w:rFonts w:hint="eastAsia"/>
                <w:b/>
                <w:bCs/>
                <w:sz w:val="21"/>
                <w:szCs w:val="21"/>
              </w:rPr>
              <w:t>表3-</w:t>
            </w:r>
            <w:r>
              <w:rPr>
                <w:rFonts w:hint="eastAsia"/>
                <w:b/>
                <w:bCs/>
                <w:sz w:val="21"/>
                <w:szCs w:val="21"/>
                <w:lang w:val="en-US" w:eastAsia="zh-CN"/>
              </w:rPr>
              <w:t>11 项目实施前后总量对照表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301"/>
              <w:gridCol w:w="1480"/>
              <w:gridCol w:w="1485"/>
              <w:gridCol w:w="1085"/>
              <w:gridCol w:w="170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66" w:type="dxa"/>
                  <w:vAlign w:val="center"/>
                </w:tcPr>
                <w:p>
                  <w:pPr>
                    <w:jc w:val="center"/>
                    <w:rPr>
                      <w:rFonts w:hint="eastAsia"/>
                      <w:b/>
                      <w:bCs/>
                      <w:lang w:eastAsia="zh-CN"/>
                    </w:rPr>
                  </w:pPr>
                  <w:r>
                    <w:rPr>
                      <w:rFonts w:hint="eastAsia"/>
                      <w:b/>
                      <w:bCs/>
                      <w:lang w:eastAsia="zh-CN"/>
                    </w:rPr>
                    <w:t>类别</w:t>
                  </w:r>
                </w:p>
              </w:tc>
              <w:tc>
                <w:tcPr>
                  <w:tcW w:w="1305" w:type="dxa"/>
                  <w:vAlign w:val="center"/>
                </w:tcPr>
                <w:p>
                  <w:pPr>
                    <w:jc w:val="center"/>
                    <w:rPr>
                      <w:rFonts w:hint="eastAsia"/>
                      <w:b/>
                      <w:bCs/>
                    </w:rPr>
                  </w:pPr>
                  <w:r>
                    <w:rPr>
                      <w:rFonts w:hint="eastAsia"/>
                      <w:b/>
                      <w:bCs/>
                      <w:lang w:val="en-US" w:eastAsia="zh-CN"/>
                    </w:rPr>
                    <w:t>污染物名称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lang w:val="en-US" w:eastAsia="zh-CN"/>
                    </w:rPr>
                  </w:pPr>
                  <w:r>
                    <w:rPr>
                      <w:rFonts w:hint="eastAsia"/>
                      <w:b/>
                      <w:bCs/>
                      <w:lang w:val="en-US" w:eastAsia="zh-CN"/>
                    </w:rPr>
                    <w:t>原有项目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rPr>
                  </w:pPr>
                  <w:r>
                    <w:rPr>
                      <w:rFonts w:hint="eastAsia"/>
                      <w:b/>
                      <w:bCs/>
                      <w:lang w:val="en-US" w:eastAsia="zh-CN"/>
                    </w:rPr>
                    <w:t>排放量</w:t>
                  </w:r>
                </w:p>
              </w:tc>
              <w:tc>
                <w:tcPr>
                  <w:tcW w:w="1490" w:type="dxa"/>
                  <w:vAlign w:val="center"/>
                </w:tcPr>
                <w:p>
                  <w:pPr>
                    <w:jc w:val="center"/>
                    <w:rPr>
                      <w:rFonts w:hint="eastAsia"/>
                      <w:b/>
                      <w:bCs/>
                      <w:lang w:val="en-US" w:eastAsia="zh-CN"/>
                    </w:rPr>
                  </w:pPr>
                  <w:r>
                    <w:rPr>
                      <w:rFonts w:hint="eastAsia"/>
                      <w:b/>
                      <w:bCs/>
                      <w:lang w:val="en-US" w:eastAsia="zh-CN"/>
                    </w:rPr>
                    <w:t>本项目</w:t>
                  </w:r>
                </w:p>
                <w:p>
                  <w:pPr>
                    <w:jc w:val="center"/>
                    <w:rPr>
                      <w:rFonts w:hint="eastAsia"/>
                      <w:b/>
                      <w:bCs/>
                    </w:rPr>
                  </w:pPr>
                  <w:r>
                    <w:rPr>
                      <w:rFonts w:hint="eastAsia"/>
                      <w:b/>
                      <w:bCs/>
                      <w:lang w:val="en-US" w:eastAsia="zh-CN"/>
                    </w:rPr>
                    <w:t>排放量</w:t>
                  </w:r>
                </w:p>
              </w:tc>
              <w:tc>
                <w:tcPr>
                  <w:tcW w:w="1090" w:type="dxa"/>
                  <w:vAlign w:val="center"/>
                </w:tcPr>
                <w:p>
                  <w:pPr>
                    <w:jc w:val="center"/>
                    <w:rPr>
                      <w:b/>
                      <w:bCs/>
                    </w:rPr>
                  </w:pPr>
                  <w:r>
                    <w:rPr>
                      <w:rFonts w:hint="eastAsia"/>
                      <w:b/>
                      <w:bCs/>
                      <w:lang w:val="en-US" w:eastAsia="zh-CN"/>
                    </w:rPr>
                    <w:t>以新带老</w:t>
                  </w:r>
                </w:p>
                <w:p>
                  <w:pPr>
                    <w:jc w:val="center"/>
                    <w:rPr>
                      <w:rFonts w:hint="eastAsia"/>
                      <w:b/>
                      <w:bCs/>
                    </w:rPr>
                  </w:pPr>
                  <w:r>
                    <w:rPr>
                      <w:rFonts w:hint="eastAsia"/>
                      <w:b/>
                      <w:bCs/>
                      <w:lang w:val="en-US" w:eastAsia="zh-CN"/>
                    </w:rPr>
                    <w:t>削减量</w:t>
                  </w:r>
                </w:p>
              </w:tc>
              <w:tc>
                <w:tcPr>
                  <w:tcW w:w="1710" w:type="dxa"/>
                  <w:vAlign w:val="center"/>
                </w:tcPr>
                <w:p>
                  <w:pPr>
                    <w:jc w:val="center"/>
                    <w:rPr>
                      <w:rFonts w:hint="eastAsia"/>
                      <w:b/>
                      <w:bCs/>
                      <w:lang w:val="en-US" w:eastAsia="zh-CN"/>
                    </w:rPr>
                  </w:pPr>
                  <w:r>
                    <w:rPr>
                      <w:rFonts w:hint="eastAsia"/>
                      <w:b/>
                      <w:bCs/>
                      <w:lang w:val="en-US" w:eastAsia="zh-CN"/>
                    </w:rPr>
                    <w:t>改扩建后全站</w:t>
                  </w:r>
                </w:p>
                <w:p>
                  <w:pPr>
                    <w:jc w:val="center"/>
                    <w:rPr>
                      <w:rFonts w:hint="eastAsia"/>
                      <w:b/>
                      <w:bCs/>
                    </w:rPr>
                  </w:pPr>
                  <w:r>
                    <w:rPr>
                      <w:rFonts w:hint="eastAsia"/>
                      <w:b/>
                      <w:bCs/>
                      <w:lang w:val="en-US" w:eastAsia="zh-CN"/>
                    </w:rPr>
                    <w:t>排放量</w:t>
                  </w:r>
                </w:p>
              </w:tc>
              <w:tc>
                <w:tcPr>
                  <w:tcW w:w="989" w:type="dxa"/>
                  <w:vAlign w:val="center"/>
                </w:tcPr>
                <w:p>
                  <w:pPr>
                    <w:jc w:val="center"/>
                    <w:rPr>
                      <w:rFonts w:hint="eastAsia"/>
                      <w:b/>
                      <w:bCs/>
                    </w:rPr>
                  </w:pPr>
                  <w:r>
                    <w:rPr>
                      <w:rFonts w:hint="eastAsia"/>
                      <w:b/>
                      <w:bCs/>
                      <w:lang w:val="en-US" w:eastAsia="zh-CN"/>
                    </w:rPr>
                    <w:t>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766" w:type="dxa"/>
                  <w:vMerge w:val="restart"/>
                </w:tcPr>
                <w:p>
                  <w:pPr>
                    <w:jc w:val="left"/>
                    <w:rPr>
                      <w:rFonts w:hint="eastAsia" w:eastAsia="宋体"/>
                      <w:lang w:eastAsia="zh-CN"/>
                    </w:rPr>
                  </w:pPr>
                  <w:r>
                    <w:rPr>
                      <w:rFonts w:hint="eastAsia"/>
                      <w:lang w:eastAsia="zh-CN"/>
                    </w:rPr>
                    <w:t>废水</w:t>
                  </w:r>
                </w:p>
              </w:tc>
              <w:tc>
                <w:tcPr>
                  <w:tcW w:w="1305" w:type="dxa"/>
                  <w:vAlign w:val="center"/>
                </w:tcPr>
                <w:p>
                  <w:pPr>
                    <w:jc w:val="center"/>
                    <w:rPr>
                      <w:rFonts w:hint="default" w:eastAsia="宋体"/>
                      <w:lang w:val="en-US" w:eastAsia="zh-CN"/>
                    </w:rPr>
                  </w:pPr>
                  <w:r>
                    <w:rPr>
                      <w:rFonts w:hint="eastAsia"/>
                      <w:lang w:val="en-US" w:eastAsia="zh-CN"/>
                    </w:rPr>
                    <w:t>COD</w:t>
                  </w:r>
                </w:p>
              </w:tc>
              <w:tc>
                <w:tcPr>
                  <w:tcW w:w="1485" w:type="dxa"/>
                  <w:vAlign w:val="center"/>
                </w:tcPr>
                <w:p>
                  <w:pPr>
                    <w:jc w:val="center"/>
                    <w:rPr>
                      <w:rFonts w:hint="eastAsia"/>
                    </w:rPr>
                  </w:pPr>
                  <w:r>
                    <w:rPr>
                      <w:rFonts w:hint="default" w:ascii="Times New Roman" w:hAnsi="Times New Roman" w:cs="Times New Roman"/>
                      <w:szCs w:val="21"/>
                      <w:lang w:val="fr-FR"/>
                    </w:rPr>
                    <w:t>0.021t/a</w:t>
                  </w:r>
                </w:p>
              </w:tc>
              <w:tc>
                <w:tcPr>
                  <w:tcW w:w="1490" w:type="dxa"/>
                  <w:vAlign w:val="center"/>
                </w:tcPr>
                <w:p>
                  <w:pPr>
                    <w:jc w:val="center"/>
                    <w:rPr>
                      <w:rFonts w:hint="eastAsia" w:eastAsia="宋体"/>
                      <w:lang w:val="en-US" w:eastAsia="zh-CN"/>
                    </w:rPr>
                  </w:pPr>
                  <w:r>
                    <w:rPr>
                      <w:rFonts w:hint="eastAsia"/>
                      <w:lang w:val="en-US" w:eastAsia="zh-CN"/>
                    </w:rPr>
                    <w:t>0</w:t>
                  </w:r>
                </w:p>
              </w:tc>
              <w:tc>
                <w:tcPr>
                  <w:tcW w:w="1090" w:type="dxa"/>
                  <w:vAlign w:val="center"/>
                </w:tcPr>
                <w:p>
                  <w:pPr>
                    <w:jc w:val="center"/>
                    <w:rPr>
                      <w:rFonts w:hint="eastAsia" w:eastAsia="宋体"/>
                      <w:lang w:val="en-US" w:eastAsia="zh-CN"/>
                    </w:rPr>
                  </w:pPr>
                  <w:r>
                    <w:rPr>
                      <w:rFonts w:hint="eastAsia"/>
                      <w:lang w:val="en-US" w:eastAsia="zh-CN"/>
                    </w:rPr>
                    <w:t>0</w:t>
                  </w:r>
                </w:p>
              </w:tc>
              <w:tc>
                <w:tcPr>
                  <w:tcW w:w="1710" w:type="dxa"/>
                  <w:vAlign w:val="center"/>
                </w:tcPr>
                <w:p>
                  <w:pPr>
                    <w:jc w:val="center"/>
                    <w:rPr>
                      <w:rFonts w:hint="eastAsia"/>
                    </w:rPr>
                  </w:pPr>
                  <w:r>
                    <w:rPr>
                      <w:rFonts w:hint="default" w:ascii="Times New Roman" w:hAnsi="Times New Roman" w:cs="Times New Roman"/>
                      <w:szCs w:val="21"/>
                      <w:lang w:val="fr-FR"/>
                    </w:rPr>
                    <w:t>0.021t/a</w:t>
                  </w:r>
                </w:p>
              </w:tc>
              <w:tc>
                <w:tcPr>
                  <w:tcW w:w="989" w:type="dxa"/>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766" w:type="dxa"/>
                  <w:vMerge w:val="continue"/>
                </w:tcPr>
                <w:p>
                  <w:pPr>
                    <w:jc w:val="left"/>
                  </w:pPr>
                </w:p>
              </w:tc>
              <w:tc>
                <w:tcPr>
                  <w:tcW w:w="1305" w:type="dxa"/>
                  <w:vAlign w:val="center"/>
                </w:tcPr>
                <w:p>
                  <w:pPr>
                    <w:jc w:val="center"/>
                    <w:rPr>
                      <w:rFonts w:hint="eastAsia" w:eastAsia="宋体"/>
                      <w:lang w:eastAsia="zh-CN"/>
                    </w:rPr>
                  </w:pPr>
                  <w:r>
                    <w:rPr>
                      <w:rFonts w:hint="eastAsia"/>
                      <w:lang w:eastAsia="zh-CN"/>
                    </w:rPr>
                    <w:t>氨氮</w:t>
                  </w:r>
                </w:p>
              </w:tc>
              <w:tc>
                <w:tcPr>
                  <w:tcW w:w="1485" w:type="dxa"/>
                  <w:vAlign w:val="center"/>
                </w:tcPr>
                <w:p>
                  <w:pPr>
                    <w:jc w:val="center"/>
                    <w:rPr>
                      <w:rFonts w:hint="default" w:eastAsia="宋体"/>
                      <w:lang w:val="en-US" w:eastAsia="zh-CN"/>
                    </w:rPr>
                  </w:pPr>
                  <w:r>
                    <w:rPr>
                      <w:rFonts w:hint="eastAsia"/>
                      <w:lang w:val="en-US" w:eastAsia="zh-CN"/>
                    </w:rPr>
                    <w:t>0.004</w:t>
                  </w:r>
                  <w:r>
                    <w:rPr>
                      <w:rFonts w:hint="default" w:ascii="Times New Roman" w:hAnsi="Times New Roman" w:cs="Times New Roman"/>
                      <w:szCs w:val="21"/>
                      <w:lang w:val="fr-FR"/>
                    </w:rPr>
                    <w:t>t/a</w:t>
                  </w:r>
                </w:p>
              </w:tc>
              <w:tc>
                <w:tcPr>
                  <w:tcW w:w="1490" w:type="dxa"/>
                  <w:vAlign w:val="center"/>
                </w:tcPr>
                <w:p>
                  <w:pPr>
                    <w:jc w:val="center"/>
                    <w:rPr>
                      <w:rFonts w:hint="eastAsia" w:eastAsia="宋体"/>
                      <w:lang w:val="en-US" w:eastAsia="zh-CN"/>
                    </w:rPr>
                  </w:pPr>
                  <w:r>
                    <w:rPr>
                      <w:rFonts w:hint="eastAsia"/>
                      <w:lang w:val="en-US" w:eastAsia="zh-CN"/>
                    </w:rPr>
                    <w:t>0</w:t>
                  </w:r>
                </w:p>
              </w:tc>
              <w:tc>
                <w:tcPr>
                  <w:tcW w:w="1090" w:type="dxa"/>
                  <w:vAlign w:val="center"/>
                </w:tcPr>
                <w:p>
                  <w:pPr>
                    <w:jc w:val="center"/>
                    <w:rPr>
                      <w:rFonts w:hint="eastAsia" w:eastAsia="宋体"/>
                      <w:lang w:val="en-US" w:eastAsia="zh-CN"/>
                    </w:rPr>
                  </w:pPr>
                  <w:r>
                    <w:rPr>
                      <w:rFonts w:hint="eastAsia"/>
                      <w:lang w:val="en-US" w:eastAsia="zh-CN"/>
                    </w:rPr>
                    <w:t>0</w:t>
                  </w:r>
                </w:p>
              </w:tc>
              <w:tc>
                <w:tcPr>
                  <w:tcW w:w="1710" w:type="dxa"/>
                  <w:vAlign w:val="center"/>
                </w:tcPr>
                <w:p>
                  <w:pPr>
                    <w:jc w:val="center"/>
                    <w:rPr>
                      <w:rFonts w:hint="eastAsia"/>
                    </w:rPr>
                  </w:pPr>
                  <w:r>
                    <w:rPr>
                      <w:rFonts w:hint="eastAsia"/>
                      <w:lang w:val="en-US" w:eastAsia="zh-CN"/>
                    </w:rPr>
                    <w:t>0.004</w:t>
                  </w:r>
                  <w:r>
                    <w:rPr>
                      <w:rFonts w:hint="default" w:ascii="Times New Roman" w:hAnsi="Times New Roman" w:cs="Times New Roman"/>
                      <w:szCs w:val="21"/>
                      <w:lang w:val="fr-FR"/>
                    </w:rPr>
                    <w:t>t/a</w:t>
                  </w:r>
                </w:p>
              </w:tc>
              <w:tc>
                <w:tcPr>
                  <w:tcW w:w="989" w:type="dxa"/>
                  <w:vAlign w:val="center"/>
                </w:tcPr>
                <w:p>
                  <w:pPr>
                    <w:jc w:val="cente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tcPr>
                <w:p>
                  <w:pPr>
                    <w:jc w:val="left"/>
                    <w:rPr>
                      <w:rFonts w:hint="eastAsia" w:eastAsia="宋体"/>
                      <w:lang w:eastAsia="zh-CN"/>
                    </w:rPr>
                  </w:pPr>
                  <w:r>
                    <w:rPr>
                      <w:rFonts w:hint="eastAsia"/>
                      <w:lang w:eastAsia="zh-CN"/>
                    </w:rPr>
                    <w:t>废气</w:t>
                  </w:r>
                </w:p>
              </w:tc>
              <w:tc>
                <w:tcPr>
                  <w:tcW w:w="1305" w:type="dxa"/>
                  <w:vAlign w:val="center"/>
                </w:tcPr>
                <w:p>
                  <w:pPr>
                    <w:jc w:val="center"/>
                    <w:rPr>
                      <w:rFonts w:hint="default" w:eastAsia="宋体"/>
                      <w:lang w:val="en-US" w:eastAsia="zh-CN"/>
                    </w:rPr>
                  </w:pPr>
                  <w:r>
                    <w:rPr>
                      <w:rFonts w:hint="eastAsia"/>
                      <w:lang w:val="en-US" w:eastAsia="zh-CN"/>
                    </w:rPr>
                    <w:t>VOCs</w:t>
                  </w:r>
                </w:p>
              </w:tc>
              <w:tc>
                <w:tcPr>
                  <w:tcW w:w="1485" w:type="dxa"/>
                  <w:vAlign w:val="center"/>
                </w:tcPr>
                <w:p>
                  <w:pPr>
                    <w:jc w:val="center"/>
                    <w:rPr>
                      <w:rFonts w:hint="default" w:eastAsia="宋体"/>
                      <w:lang w:val="en-US" w:eastAsia="zh-CN"/>
                    </w:rPr>
                  </w:pPr>
                  <w:r>
                    <w:rPr>
                      <w:rFonts w:hint="eastAsia"/>
                      <w:lang w:val="en-US" w:eastAsia="zh-CN"/>
                    </w:rPr>
                    <w:t>0.75</w:t>
                  </w:r>
                  <w:r>
                    <w:rPr>
                      <w:rFonts w:hint="default" w:ascii="Times New Roman" w:hAnsi="Times New Roman" w:cs="Times New Roman"/>
                      <w:szCs w:val="21"/>
                      <w:lang w:val="fr-FR"/>
                    </w:rPr>
                    <w:t>t/a</w:t>
                  </w:r>
                </w:p>
              </w:tc>
              <w:tc>
                <w:tcPr>
                  <w:tcW w:w="1490" w:type="dxa"/>
                  <w:vAlign w:val="center"/>
                </w:tcPr>
                <w:p>
                  <w:pPr>
                    <w:jc w:val="center"/>
                    <w:rPr>
                      <w:rFonts w:hint="default" w:eastAsia="宋体"/>
                      <w:lang w:val="en-US" w:eastAsia="zh-CN"/>
                    </w:rPr>
                  </w:pPr>
                  <w:r>
                    <w:rPr>
                      <w:rFonts w:hint="eastAsia"/>
                      <w:lang w:val="en-US" w:eastAsia="zh-CN"/>
                    </w:rPr>
                    <w:t>0.028</w:t>
                  </w:r>
                  <w:r>
                    <w:rPr>
                      <w:rFonts w:hint="default" w:ascii="Times New Roman" w:hAnsi="Times New Roman" w:cs="Times New Roman"/>
                      <w:szCs w:val="21"/>
                      <w:lang w:val="fr-FR"/>
                    </w:rPr>
                    <w:t>t/a</w:t>
                  </w:r>
                </w:p>
              </w:tc>
              <w:tc>
                <w:tcPr>
                  <w:tcW w:w="1090" w:type="dxa"/>
                  <w:vAlign w:val="center"/>
                </w:tcPr>
                <w:p>
                  <w:pPr>
                    <w:jc w:val="center"/>
                    <w:rPr>
                      <w:rFonts w:hint="eastAsia" w:eastAsia="宋体"/>
                      <w:lang w:val="en-US" w:eastAsia="zh-CN"/>
                    </w:rPr>
                  </w:pPr>
                  <w:r>
                    <w:rPr>
                      <w:rFonts w:hint="eastAsia"/>
                      <w:lang w:val="en-US" w:eastAsia="zh-CN"/>
                    </w:rPr>
                    <w:t>0</w:t>
                  </w:r>
                </w:p>
              </w:tc>
              <w:tc>
                <w:tcPr>
                  <w:tcW w:w="1710" w:type="dxa"/>
                  <w:vAlign w:val="center"/>
                </w:tcPr>
                <w:p>
                  <w:pPr>
                    <w:jc w:val="center"/>
                    <w:rPr>
                      <w:rFonts w:hint="default" w:eastAsia="宋体"/>
                      <w:lang w:val="en-US" w:eastAsia="zh-CN"/>
                    </w:rPr>
                  </w:pPr>
                  <w:r>
                    <w:rPr>
                      <w:rFonts w:hint="eastAsia"/>
                      <w:lang w:val="en-US" w:eastAsia="zh-CN"/>
                    </w:rPr>
                    <w:t>0.778</w:t>
                  </w:r>
                  <w:r>
                    <w:rPr>
                      <w:rFonts w:hint="default" w:ascii="Times New Roman" w:hAnsi="Times New Roman" w:cs="Times New Roman"/>
                      <w:szCs w:val="21"/>
                      <w:lang w:val="fr-FR"/>
                    </w:rPr>
                    <w:t>t/a</w:t>
                  </w:r>
                </w:p>
              </w:tc>
              <w:tc>
                <w:tcPr>
                  <w:tcW w:w="989" w:type="dxa"/>
                  <w:vAlign w:val="center"/>
                </w:tcPr>
                <w:p>
                  <w:pPr>
                    <w:jc w:val="center"/>
                    <w:rPr>
                      <w:rFonts w:hint="eastAsia" w:eastAsia="宋体"/>
                      <w:lang w:val="en-US" w:eastAsia="zh-CN"/>
                    </w:rPr>
                  </w:pPr>
                  <w:r>
                    <w:rPr>
                      <w:rFonts w:hint="eastAsia"/>
                      <w:lang w:val="en-US" w:eastAsia="zh-CN"/>
                    </w:rPr>
                    <w:t>+0.028</w:t>
                  </w:r>
                  <w:r>
                    <w:rPr>
                      <w:rFonts w:hint="default" w:ascii="Times New Roman" w:hAnsi="Times New Roman" w:cs="Times New Roman"/>
                      <w:szCs w:val="21"/>
                      <w:lang w:val="fr-FR"/>
                    </w:rPr>
                    <w:t>t/a</w:t>
                  </w:r>
                </w:p>
              </w:tc>
            </w:tr>
          </w:tbl>
          <w:p>
            <w:pPr>
              <w:numPr>
                <w:ilvl w:val="0"/>
                <w:numId w:val="0"/>
              </w:numPr>
              <w:adjustRightInd w:val="0"/>
              <w:snapToGrid w:val="0"/>
              <w:spacing w:line="360" w:lineRule="auto"/>
              <w:ind w:left="420" w:leftChars="0"/>
              <w:jc w:val="left"/>
              <w:rPr>
                <w:rFonts w:hint="eastAsia"/>
                <w:b w:val="0"/>
                <w:bCs/>
                <w:color w:val="auto"/>
              </w:rPr>
            </w:pPr>
          </w:p>
          <w:p>
            <w:pPr>
              <w:adjustRightInd w:val="0"/>
              <w:snapToGrid w:val="0"/>
              <w:spacing w:line="360" w:lineRule="auto"/>
              <w:jc w:val="left"/>
              <w:rPr>
                <w:rFonts w:hint="eastAsia"/>
                <w:b/>
                <w:color w:val="auto"/>
                <w:lang w:eastAsia="zh-CN"/>
              </w:rPr>
            </w:pPr>
            <w:r>
              <w:rPr>
                <w:rFonts w:hint="eastAsia"/>
                <w:color w:val="auto"/>
              </w:rPr>
              <w:t xml:space="preserve"> </w:t>
            </w:r>
            <w:r>
              <w:rPr>
                <w:color w:val="auto"/>
              </w:rPr>
              <w:t xml:space="preserve"> </w:t>
            </w:r>
            <w:r>
              <w:rPr>
                <w:b/>
                <w:color w:val="auto"/>
              </w:rPr>
              <w:t xml:space="preserve"> </w:t>
            </w:r>
            <w:r>
              <w:rPr>
                <w:rFonts w:hint="eastAsia"/>
                <w:b/>
                <w:color w:val="auto"/>
                <w:lang w:val="en-US" w:eastAsia="zh-CN"/>
              </w:rPr>
              <w:t>3</w:t>
            </w:r>
            <w:r>
              <w:rPr>
                <w:b/>
                <w:color w:val="auto"/>
              </w:rPr>
              <w:t>、</w:t>
            </w:r>
            <w:r>
              <w:rPr>
                <w:rFonts w:hint="eastAsia"/>
                <w:b/>
                <w:color w:val="auto"/>
                <w:lang w:eastAsia="zh-CN"/>
              </w:rPr>
              <w:t>总量控制实施方案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sz w:val="21"/>
                <w:szCs w:val="21"/>
              </w:rPr>
            </w:pPr>
            <w:r>
              <w:rPr>
                <w:rFonts w:hint="eastAsia"/>
                <w:color w:val="auto"/>
              </w:rPr>
              <w:t xml:space="preserve"> </w:t>
            </w:r>
            <w:r>
              <w:rPr>
                <w:rFonts w:hint="default" w:ascii="Times New Roman" w:hAnsi="Times New Roman" w:eastAsia="宋体" w:cs="Times New Roman"/>
                <w:color w:val="auto"/>
                <w:kern w:val="0"/>
                <w:sz w:val="21"/>
                <w:szCs w:val="21"/>
                <w:lang w:val="en-US" w:eastAsia="zh-CN" w:bidi="ar"/>
              </w:rPr>
              <w:t>本项目属于加油站建设项目，属于社会服务类建设项目，不属于工业项目，故本项目</w:t>
            </w:r>
            <w:r>
              <w:rPr>
                <w:rFonts w:hint="default" w:ascii="Times New Roman" w:hAnsi="Times New Roman" w:cs="Times New Roman"/>
                <w:color w:val="auto"/>
                <w:kern w:val="0"/>
                <w:sz w:val="21"/>
                <w:szCs w:val="21"/>
                <w:lang w:val="en-US" w:eastAsia="zh-CN" w:bidi="ar"/>
              </w:rPr>
              <w:t>无需购买总量，据《大气污染防治行动计划》、《湖南省污染防治攻坚战三年行动计划(2018-2020 年)》以及《湖南省 VOCs 污染防治三年实施方案》，本项目排放的挥发性有机物需实行污染物排放等量替代。</w:t>
            </w:r>
          </w:p>
          <w:p>
            <w:pPr>
              <w:adjustRightInd w:val="0"/>
              <w:snapToGrid w:val="0"/>
              <w:spacing w:line="360" w:lineRule="auto"/>
              <w:jc w:val="left"/>
              <w:rPr>
                <w:rFonts w:hint="default" w:eastAsia="宋体"/>
                <w:lang w:val="en-US" w:eastAsia="zh-CN"/>
              </w:rPr>
            </w:pPr>
          </w:p>
        </w:tc>
      </w:tr>
    </w:tbl>
    <w:p>
      <w:pPr>
        <w:pStyle w:val="6"/>
        <w:jc w:val="center"/>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92" w:hRule="atLeast"/>
          <w:jc w:val="center"/>
        </w:trPr>
        <w:tc>
          <w:tcPr>
            <w:tcW w:w="746" w:type="dxa"/>
            <w:noWrap w:val="0"/>
            <w:tcMar>
              <w:left w:w="28" w:type="dxa"/>
              <w:right w:w="28" w:type="dxa"/>
            </w:tcMar>
            <w:vAlign w:val="center"/>
          </w:tcPr>
          <w:p>
            <w:pPr>
              <w:pStyle w:val="6"/>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施工</w:t>
            </w:r>
          </w:p>
          <w:p>
            <w:pPr>
              <w:pStyle w:val="6"/>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期环</w:t>
            </w:r>
          </w:p>
          <w:p>
            <w:pPr>
              <w:pStyle w:val="6"/>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境保</w:t>
            </w:r>
          </w:p>
          <w:p>
            <w:pPr>
              <w:pStyle w:val="6"/>
              <w:adjustRightInd w:val="0"/>
              <w:snapToGrid w:val="0"/>
              <w:spacing w:before="0" w:beforeAutospacing="0" w:after="0" w:afterAutospacing="0"/>
              <w:jc w:val="center"/>
              <w:rPr>
                <w:rFonts w:hint="eastAsia" w:cs="宋体"/>
                <w:kern w:val="2"/>
                <w:sz w:val="21"/>
                <w:szCs w:val="21"/>
              </w:rPr>
            </w:pPr>
            <w:r>
              <w:rPr>
                <w:rFonts w:hint="eastAsia" w:cs="宋体"/>
                <w:kern w:val="2"/>
                <w:sz w:val="21"/>
                <w:szCs w:val="21"/>
              </w:rPr>
              <w:t>护措</w:t>
            </w:r>
          </w:p>
          <w:p>
            <w:pPr>
              <w:pStyle w:val="6"/>
              <w:adjustRightInd w:val="0"/>
              <w:snapToGrid w:val="0"/>
              <w:spacing w:before="0" w:beforeAutospacing="0" w:after="0" w:afterAutospacing="0"/>
              <w:jc w:val="center"/>
              <w:rPr>
                <w:rFonts w:hint="eastAsia" w:cs="宋体"/>
                <w:bCs/>
                <w:kern w:val="2"/>
                <w:sz w:val="21"/>
                <w:szCs w:val="21"/>
              </w:rPr>
            </w:pPr>
            <w:r>
              <w:rPr>
                <w:rFonts w:hint="eastAsia" w:cs="宋体"/>
                <w:kern w:val="2"/>
                <w:sz w:val="21"/>
                <w:szCs w:val="21"/>
              </w:rPr>
              <w:t>施</w:t>
            </w:r>
          </w:p>
        </w:tc>
        <w:tc>
          <w:tcPr>
            <w:tcW w:w="8162" w:type="dxa"/>
            <w:noWrap w:val="0"/>
            <w:vAlign w:val="center"/>
          </w:tcPr>
          <w:p>
            <w:pPr>
              <w:adjustRightInd w:val="0"/>
              <w:snapToGrid w:val="0"/>
              <w:spacing w:line="360" w:lineRule="auto"/>
              <w:ind w:firstLine="340"/>
              <w:jc w:val="center"/>
              <w:rPr>
                <w:rFonts w:hint="eastAsia" w:eastAsia="宋体"/>
                <w:color w:val="000000"/>
                <w:sz w:val="21"/>
                <w:szCs w:val="21"/>
                <w:lang w:eastAsia="zh-CN"/>
              </w:rPr>
            </w:pPr>
            <w:r>
              <w:rPr>
                <w:rFonts w:hint="eastAsia"/>
                <w:color w:val="000000"/>
                <w:sz w:val="21"/>
                <w:szCs w:val="21"/>
                <w:lang w:eastAsia="zh-CN"/>
              </w:rPr>
              <w:t>本项目</w:t>
            </w:r>
            <w:r>
              <w:rPr>
                <w:rFonts w:hint="eastAsia"/>
                <w:lang w:eastAsia="zh-CN"/>
              </w:rPr>
              <w:t>扩建</w:t>
            </w:r>
            <w:r>
              <w:rPr>
                <w:rFonts w:hint="eastAsia"/>
                <w:color w:val="000000"/>
                <w:sz w:val="21"/>
                <w:szCs w:val="21"/>
                <w:lang w:eastAsia="zh-CN"/>
              </w:rPr>
              <w:t>施工期已经结束，故不提出施工期环境保护措施。</w:t>
            </w:r>
          </w:p>
        </w:tc>
      </w:tr>
    </w:tbl>
    <w:p>
      <w:pPr>
        <w:rPr>
          <w:sz w:val="21"/>
          <w:szCs w:val="21"/>
        </w:rPr>
      </w:pPr>
      <w:r>
        <w:rPr>
          <w:sz w:val="21"/>
          <w:szCs w:val="21"/>
        </w:rPr>
        <w:br w:type="page"/>
      </w:r>
    </w:p>
    <w:tbl>
      <w:tblPr>
        <w:tblStyle w:val="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3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3" w:hRule="atLeast"/>
          <w:jc w:val="center"/>
        </w:trPr>
        <w:tc>
          <w:tcPr>
            <w:tcW w:w="671" w:type="dxa"/>
            <w:noWrap w:val="0"/>
            <w:tcMar>
              <w:left w:w="28" w:type="dxa"/>
              <w:right w:w="28" w:type="dxa"/>
            </w:tcMar>
            <w:vAlign w:val="center"/>
          </w:tcPr>
          <w:p>
            <w:pPr>
              <w:adjustRightInd w:val="0"/>
              <w:snapToGrid w:val="0"/>
              <w:jc w:val="center"/>
              <w:rPr>
                <w:rFonts w:hint="eastAsia" w:ascii="宋体" w:hAnsi="宋体" w:cs="宋体"/>
                <w:bCs/>
                <w:sz w:val="21"/>
                <w:szCs w:val="21"/>
              </w:rPr>
            </w:pPr>
            <w:r>
              <w:rPr>
                <w:rFonts w:hint="eastAsia" w:ascii="宋体" w:hAnsi="宋体" w:cs="宋体"/>
                <w:bCs/>
                <w:sz w:val="21"/>
                <w:szCs w:val="21"/>
              </w:rPr>
              <w:t>运营</w:t>
            </w:r>
          </w:p>
          <w:p>
            <w:pPr>
              <w:adjustRightInd w:val="0"/>
              <w:snapToGrid w:val="0"/>
              <w:jc w:val="center"/>
              <w:rPr>
                <w:rFonts w:hint="eastAsia" w:ascii="宋体" w:hAnsi="宋体" w:cs="宋体"/>
                <w:bCs/>
                <w:sz w:val="21"/>
                <w:szCs w:val="21"/>
              </w:rPr>
            </w:pPr>
            <w:r>
              <w:rPr>
                <w:rFonts w:hint="eastAsia" w:ascii="宋体" w:hAnsi="宋体" w:cs="宋体"/>
                <w:bCs/>
                <w:sz w:val="21"/>
                <w:szCs w:val="21"/>
              </w:rPr>
              <w:t>期环</w:t>
            </w:r>
          </w:p>
          <w:p>
            <w:pPr>
              <w:adjustRightInd w:val="0"/>
              <w:snapToGrid w:val="0"/>
              <w:jc w:val="center"/>
              <w:rPr>
                <w:rFonts w:hint="eastAsia" w:ascii="宋体" w:hAnsi="宋体" w:cs="宋体"/>
                <w:bCs/>
                <w:sz w:val="21"/>
                <w:szCs w:val="21"/>
              </w:rPr>
            </w:pPr>
            <w:r>
              <w:rPr>
                <w:rFonts w:hint="eastAsia" w:ascii="宋体" w:hAnsi="宋体" w:cs="宋体"/>
                <w:bCs/>
                <w:sz w:val="21"/>
                <w:szCs w:val="21"/>
              </w:rPr>
              <w:t>境影</w:t>
            </w:r>
          </w:p>
          <w:p>
            <w:pPr>
              <w:adjustRightInd w:val="0"/>
              <w:snapToGrid w:val="0"/>
              <w:jc w:val="center"/>
              <w:rPr>
                <w:rFonts w:hint="eastAsia" w:ascii="宋体" w:hAnsi="宋体" w:cs="宋体"/>
                <w:bCs/>
                <w:sz w:val="21"/>
                <w:szCs w:val="21"/>
              </w:rPr>
            </w:pPr>
            <w:r>
              <w:rPr>
                <w:rFonts w:hint="eastAsia" w:ascii="宋体" w:hAnsi="宋体" w:cs="宋体"/>
                <w:bCs/>
                <w:sz w:val="21"/>
                <w:szCs w:val="21"/>
              </w:rPr>
              <w:t>响和</w:t>
            </w:r>
          </w:p>
          <w:p>
            <w:pPr>
              <w:adjustRightInd w:val="0"/>
              <w:snapToGrid w:val="0"/>
              <w:jc w:val="center"/>
              <w:rPr>
                <w:rFonts w:hint="eastAsia" w:ascii="宋体" w:hAnsi="宋体" w:cs="宋体"/>
                <w:bCs/>
                <w:sz w:val="21"/>
                <w:szCs w:val="21"/>
              </w:rPr>
            </w:pPr>
            <w:r>
              <w:rPr>
                <w:rFonts w:hint="eastAsia" w:ascii="宋体" w:hAnsi="宋体" w:cs="宋体"/>
                <w:bCs/>
                <w:sz w:val="21"/>
                <w:szCs w:val="21"/>
              </w:rPr>
              <w:t>保护</w:t>
            </w:r>
          </w:p>
          <w:p>
            <w:pPr>
              <w:adjustRightInd w:val="0"/>
              <w:snapToGrid w:val="0"/>
              <w:jc w:val="center"/>
              <w:rPr>
                <w:rFonts w:ascii="宋体" w:hAnsi="宋体" w:cs="宋体"/>
                <w:bCs/>
                <w:sz w:val="21"/>
                <w:szCs w:val="21"/>
              </w:rPr>
            </w:pPr>
            <w:r>
              <w:rPr>
                <w:rFonts w:hint="eastAsia" w:ascii="宋体" w:hAnsi="宋体" w:cs="宋体"/>
                <w:bCs/>
                <w:sz w:val="21"/>
                <w:szCs w:val="21"/>
              </w:rPr>
              <w:t>措施</w:t>
            </w:r>
          </w:p>
        </w:tc>
        <w:tc>
          <w:tcPr>
            <w:tcW w:w="8310" w:type="dxa"/>
            <w:noWrap w:val="0"/>
            <w:vAlign w:val="center"/>
          </w:tcPr>
          <w:p>
            <w:pPr>
              <w:adjustRightInd w:val="0"/>
              <w:snapToGrid w:val="0"/>
              <w:spacing w:line="360" w:lineRule="auto"/>
              <w:rPr>
                <w:b/>
                <w:bCs/>
                <w:sz w:val="21"/>
                <w:szCs w:val="21"/>
              </w:rPr>
            </w:pPr>
            <w:r>
              <w:rPr>
                <w:rFonts w:hint="eastAsia" w:ascii="宋体" w:hAnsi="宋体" w:cs="宋体"/>
                <w:bCs/>
                <w:spacing w:val="-10"/>
                <w:sz w:val="21"/>
                <w:szCs w:val="21"/>
              </w:rPr>
              <w:t xml:space="preserve"> </w:t>
            </w:r>
            <w:r>
              <w:rPr>
                <w:rFonts w:ascii="宋体" w:hAnsi="宋体" w:cs="宋体"/>
                <w:bCs/>
                <w:spacing w:val="-10"/>
                <w:sz w:val="21"/>
                <w:szCs w:val="21"/>
              </w:rPr>
              <w:t xml:space="preserve">   </w:t>
            </w:r>
            <w:r>
              <w:rPr>
                <w:b/>
                <w:bCs/>
                <w:sz w:val="21"/>
                <w:szCs w:val="21"/>
              </w:rPr>
              <w:t>1.废气</w:t>
            </w:r>
          </w:p>
          <w:p>
            <w:pPr>
              <w:adjustRightInd w:val="0"/>
              <w:snapToGrid w:val="0"/>
              <w:spacing w:line="360" w:lineRule="auto"/>
              <w:ind w:firstLine="435"/>
              <w:rPr>
                <w:b/>
                <w:bCs/>
                <w:sz w:val="21"/>
                <w:szCs w:val="21"/>
              </w:rPr>
            </w:pPr>
            <w:r>
              <w:rPr>
                <w:b/>
                <w:bCs/>
                <w:sz w:val="21"/>
                <w:szCs w:val="21"/>
              </w:rPr>
              <w:t>（</w:t>
            </w:r>
            <w:r>
              <w:rPr>
                <w:rFonts w:hint="eastAsia"/>
                <w:b/>
                <w:bCs/>
                <w:sz w:val="21"/>
                <w:szCs w:val="21"/>
              </w:rPr>
              <w:t>1</w:t>
            </w:r>
            <w:r>
              <w:rPr>
                <w:b/>
                <w:bCs/>
                <w:sz w:val="21"/>
                <w:szCs w:val="21"/>
              </w:rPr>
              <w:t>）源强</w:t>
            </w:r>
          </w:p>
          <w:p>
            <w:pPr>
              <w:adjustRightInd w:val="0"/>
              <w:snapToGrid w:val="0"/>
              <w:spacing w:line="360" w:lineRule="auto"/>
              <w:ind w:firstLine="435"/>
              <w:rPr>
                <w:rFonts w:ascii="宋体" w:hAnsi="宋体"/>
                <w:bCs/>
                <w:sz w:val="21"/>
                <w:szCs w:val="21"/>
              </w:rPr>
            </w:pPr>
            <w:r>
              <w:rPr>
                <w:rFonts w:ascii="宋体" w:hAnsi="宋体"/>
                <w:bCs/>
                <w:sz w:val="21"/>
                <w:szCs w:val="21"/>
              </w:rPr>
              <w:t>本项目主要大气污染物是储油罐装料、油罐车卸料、储油罐呼吸及加油作业等排放的非甲烷总烃、汽车尾气及备用柴油发电机烟气。</w:t>
            </w:r>
          </w:p>
          <w:p>
            <w:pPr>
              <w:adjustRightInd w:val="0"/>
              <w:snapToGrid w:val="0"/>
              <w:spacing w:line="360" w:lineRule="auto"/>
              <w:ind w:firstLine="435"/>
              <w:rPr>
                <w:rFonts w:ascii="宋体" w:hAnsi="宋体"/>
                <w:bCs/>
                <w:sz w:val="21"/>
                <w:szCs w:val="21"/>
              </w:rPr>
            </w:pPr>
            <w:r>
              <w:rPr>
                <w:rFonts w:ascii="宋体" w:hAnsi="宋体"/>
                <w:bCs/>
                <w:sz w:val="21"/>
                <w:szCs w:val="21"/>
              </w:rPr>
              <w:t>1）储罐大、小呼吸及加油、卸油过程产生的油气（非甲烷总烃）</w:t>
            </w:r>
          </w:p>
          <w:p>
            <w:pPr>
              <w:adjustRightInd w:val="0"/>
              <w:snapToGrid w:val="0"/>
              <w:spacing w:line="360" w:lineRule="auto"/>
              <w:ind w:firstLine="435"/>
              <w:rPr>
                <w:rFonts w:ascii="宋体" w:hAnsi="宋体"/>
                <w:bCs/>
                <w:sz w:val="21"/>
                <w:szCs w:val="21"/>
              </w:rPr>
            </w:pPr>
            <w:r>
              <w:rPr>
                <w:rFonts w:hint="eastAsia" w:ascii="宋体" w:hAnsi="宋体"/>
                <w:bCs/>
                <w:sz w:val="21"/>
                <w:szCs w:val="21"/>
              </w:rPr>
              <w:t>①储罐大呼吸损失是指油罐进发油时所呼出的油蒸汽而造成的油品蒸发损失。油罐进油时，由于油面逐渐升高，气体空间逐渐减小，罐内压力增大，当压力超过呼吸阀控制压力时，一定浓度的油蒸汽开始从呼吸阀呼出，直到油罐停止收油。参考《环评工程师职业资格登记培训教材</w:t>
            </w:r>
            <w:r>
              <w:rPr>
                <w:rFonts w:ascii="宋体" w:hAnsi="宋体"/>
                <w:bCs/>
                <w:sz w:val="21"/>
                <w:szCs w:val="21"/>
              </w:rPr>
              <w:t>-</w:t>
            </w:r>
            <w:r>
              <w:rPr>
                <w:rFonts w:hint="eastAsia" w:ascii="宋体" w:hAnsi="宋体"/>
                <w:bCs/>
                <w:sz w:val="21"/>
                <w:szCs w:val="21"/>
              </w:rPr>
              <w:t xml:space="preserve">社会区域类》资料，储油罐大呼吸烃类有机物平均排放率为 </w:t>
            </w:r>
            <w:r>
              <w:rPr>
                <w:bCs/>
                <w:sz w:val="21"/>
                <w:szCs w:val="21"/>
              </w:rPr>
              <w:t>0.88kg/m</w:t>
            </w:r>
            <w:r>
              <w:rPr>
                <w:bCs/>
                <w:sz w:val="21"/>
                <w:szCs w:val="21"/>
                <w:vertAlign w:val="superscript"/>
              </w:rPr>
              <w:t>3</w:t>
            </w:r>
            <w:r>
              <w:rPr>
                <w:rFonts w:hint="eastAsia" w:ascii="宋体" w:hAnsi="宋体"/>
                <w:bCs/>
                <w:sz w:val="21"/>
                <w:szCs w:val="21"/>
              </w:rPr>
              <w:t>通过量。采用油气回收装置后，大呼吸的损失率减少</w:t>
            </w:r>
            <w:r>
              <w:rPr>
                <w:bCs/>
                <w:sz w:val="21"/>
                <w:szCs w:val="21"/>
              </w:rPr>
              <w:t>96%</w:t>
            </w:r>
            <w:r>
              <w:rPr>
                <w:rFonts w:hint="eastAsia" w:ascii="宋体" w:hAnsi="宋体"/>
                <w:bCs/>
                <w:sz w:val="21"/>
                <w:szCs w:val="21"/>
              </w:rPr>
              <w:t>，则大呼吸排放的油气为</w:t>
            </w:r>
            <w:r>
              <w:rPr>
                <w:bCs/>
                <w:sz w:val="21"/>
                <w:szCs w:val="21"/>
              </w:rPr>
              <w:t>0.0352kg/m</w:t>
            </w:r>
            <w:r>
              <w:rPr>
                <w:bCs/>
                <w:sz w:val="21"/>
                <w:szCs w:val="21"/>
                <w:vertAlign w:val="superscript"/>
              </w:rPr>
              <w:t>3</w:t>
            </w:r>
            <w:r>
              <w:rPr>
                <w:rFonts w:hint="eastAsia" w:ascii="宋体" w:hAnsi="宋体"/>
                <w:bCs/>
                <w:sz w:val="21"/>
                <w:szCs w:val="21"/>
              </w:rPr>
              <w:t>通过量。</w:t>
            </w:r>
          </w:p>
          <w:p>
            <w:pPr>
              <w:adjustRightInd w:val="0"/>
              <w:snapToGrid w:val="0"/>
              <w:spacing w:line="360" w:lineRule="auto"/>
              <w:ind w:firstLine="435"/>
              <w:rPr>
                <w:rFonts w:ascii="宋体" w:hAnsi="宋体"/>
                <w:bCs/>
                <w:sz w:val="21"/>
                <w:szCs w:val="21"/>
              </w:rPr>
            </w:pPr>
            <w:r>
              <w:rPr>
                <w:rFonts w:hint="eastAsia" w:ascii="宋体" w:hAnsi="宋体"/>
                <w:bCs/>
                <w:sz w:val="21"/>
                <w:szCs w:val="21"/>
              </w:rPr>
              <w:t>②油罐在没有收发油作业的情况下，随着外界气温、压力在一天内的升降周期变化， 罐内气体空间温度、油品蒸发速度、油气浓度和蒸汽压力也随之变化。这种排出油蒸汽和吸入空气的过程造成的油气损失，叫小呼吸损失。参考《环评工程师职业资格登记培训材料</w:t>
            </w:r>
            <w:r>
              <w:rPr>
                <w:rFonts w:ascii="宋体" w:hAnsi="宋体"/>
                <w:bCs/>
                <w:sz w:val="21"/>
                <w:szCs w:val="21"/>
              </w:rPr>
              <w:t>-</w:t>
            </w:r>
            <w:r>
              <w:rPr>
                <w:rFonts w:hint="eastAsia" w:ascii="宋体" w:hAnsi="宋体"/>
                <w:bCs/>
                <w:sz w:val="21"/>
                <w:szCs w:val="21"/>
              </w:rPr>
              <w:t>社会学区域类》</w:t>
            </w:r>
            <w:r>
              <w:rPr>
                <w:bCs/>
                <w:sz w:val="21"/>
                <w:szCs w:val="21"/>
              </w:rPr>
              <w:t>P178-180</w:t>
            </w:r>
            <w:r>
              <w:rPr>
                <w:rFonts w:hint="eastAsia" w:ascii="宋体" w:hAnsi="宋体"/>
                <w:bCs/>
                <w:sz w:val="21"/>
                <w:szCs w:val="21"/>
              </w:rPr>
              <w:t xml:space="preserve">可知，储油罐小呼吸造成的烃类有机物平均排放率为 </w:t>
            </w:r>
            <w:r>
              <w:rPr>
                <w:bCs/>
                <w:sz w:val="21"/>
                <w:szCs w:val="21"/>
              </w:rPr>
              <w:t>0.12kg/m</w:t>
            </w:r>
            <w:r>
              <w:rPr>
                <w:bCs/>
                <w:sz w:val="21"/>
                <w:szCs w:val="21"/>
                <w:vertAlign w:val="superscript"/>
              </w:rPr>
              <w:t>3</w:t>
            </w:r>
            <w:r>
              <w:rPr>
                <w:rFonts w:hint="eastAsia" w:ascii="宋体" w:hAnsi="宋体"/>
                <w:bCs/>
                <w:sz w:val="21"/>
                <w:szCs w:val="21"/>
              </w:rPr>
              <w:t>通过量。</w:t>
            </w:r>
          </w:p>
          <w:p>
            <w:pPr>
              <w:adjustRightInd w:val="0"/>
              <w:snapToGrid w:val="0"/>
              <w:spacing w:line="360" w:lineRule="auto"/>
              <w:ind w:firstLine="435"/>
              <w:rPr>
                <w:rFonts w:ascii="宋体" w:hAnsi="宋体"/>
                <w:bCs/>
                <w:sz w:val="21"/>
                <w:szCs w:val="21"/>
              </w:rPr>
            </w:pPr>
            <w:r>
              <w:rPr>
                <w:rFonts w:hint="eastAsia" w:ascii="宋体" w:hAnsi="宋体"/>
                <w:bCs/>
                <w:sz w:val="21"/>
                <w:szCs w:val="21"/>
              </w:rPr>
              <w:t>③油罐车卸油时，由于油罐车与地下油罐的液位不断变化，气体的吸入与呼出会对油品造成的一定扰动蒸发，另外随着油罐车油罐的液面下降，罐壁蒸发面积扩大，外部的高气温也会对其罐壁和空间造成一定的蒸发。参考《环评工程师职业资格登记培训教材</w:t>
            </w:r>
            <w:r>
              <w:rPr>
                <w:rFonts w:ascii="宋体" w:hAnsi="宋体"/>
                <w:bCs/>
                <w:sz w:val="21"/>
                <w:szCs w:val="21"/>
              </w:rPr>
              <w:t>-</w:t>
            </w:r>
            <w:r>
              <w:rPr>
                <w:rFonts w:hint="eastAsia" w:ascii="宋体" w:hAnsi="宋体"/>
                <w:bCs/>
                <w:sz w:val="21"/>
                <w:szCs w:val="21"/>
              </w:rPr>
              <w:t>社会区域类》资料，油罐车卸油时烃类有机物平均排放率为</w:t>
            </w:r>
            <w:r>
              <w:rPr>
                <w:bCs/>
                <w:sz w:val="21"/>
                <w:szCs w:val="21"/>
              </w:rPr>
              <w:t>0.6kg/m</w:t>
            </w:r>
            <w:r>
              <w:rPr>
                <w:bCs/>
                <w:sz w:val="21"/>
                <w:szCs w:val="21"/>
                <w:vertAlign w:val="superscript"/>
              </w:rPr>
              <w:t>3</w:t>
            </w:r>
            <w:r>
              <w:rPr>
                <w:rFonts w:hint="eastAsia" w:ascii="宋体" w:hAnsi="宋体"/>
                <w:bCs/>
                <w:sz w:val="21"/>
                <w:szCs w:val="21"/>
              </w:rPr>
              <w:t>通过量。采用油气回收装置后，可以使油罐车在卸油时的损失率减少</w:t>
            </w:r>
            <w:r>
              <w:rPr>
                <w:bCs/>
                <w:sz w:val="21"/>
                <w:szCs w:val="21"/>
              </w:rPr>
              <w:t xml:space="preserve"> 96%</w:t>
            </w:r>
            <w:r>
              <w:rPr>
                <w:rFonts w:hint="eastAsia" w:ascii="宋体" w:hAnsi="宋体"/>
                <w:bCs/>
                <w:sz w:val="21"/>
                <w:szCs w:val="21"/>
              </w:rPr>
              <w:t>，则油罐车在卸油时排放的油气别为</w:t>
            </w:r>
            <w:r>
              <w:rPr>
                <w:bCs/>
                <w:sz w:val="21"/>
                <w:szCs w:val="21"/>
              </w:rPr>
              <w:t>0.024kg/m</w:t>
            </w:r>
            <w:r>
              <w:rPr>
                <w:bCs/>
                <w:sz w:val="21"/>
                <w:szCs w:val="21"/>
                <w:vertAlign w:val="superscript"/>
              </w:rPr>
              <w:t>3</w:t>
            </w:r>
            <w:r>
              <w:rPr>
                <w:rFonts w:hint="eastAsia" w:ascii="宋体" w:hAnsi="宋体"/>
                <w:bCs/>
                <w:sz w:val="21"/>
                <w:szCs w:val="21"/>
              </w:rPr>
              <w:t>通过量。</w:t>
            </w:r>
          </w:p>
          <w:p>
            <w:pPr>
              <w:adjustRightInd w:val="0"/>
              <w:snapToGrid w:val="0"/>
              <w:spacing w:line="360" w:lineRule="auto"/>
              <w:ind w:firstLine="435"/>
              <w:rPr>
                <w:rFonts w:ascii="宋体" w:hAnsi="宋体"/>
                <w:bCs/>
                <w:sz w:val="21"/>
                <w:szCs w:val="21"/>
              </w:rPr>
            </w:pPr>
            <w:r>
              <w:rPr>
                <w:rFonts w:hint="eastAsia" w:ascii="宋体" w:hAnsi="宋体"/>
                <w:bCs/>
                <w:sz w:val="21"/>
                <w:szCs w:val="21"/>
              </w:rPr>
              <w:t>④加油作业损失主要指为车辆加油时，油品进入汽车油箱，油箱内的烃类气体被油品置换排入大气。参考《环评工程师职业资格登记培训教材</w:t>
            </w:r>
            <w:r>
              <w:rPr>
                <w:rFonts w:ascii="宋体" w:hAnsi="宋体"/>
                <w:bCs/>
                <w:sz w:val="21"/>
                <w:szCs w:val="21"/>
              </w:rPr>
              <w:t>-</w:t>
            </w:r>
            <w:r>
              <w:rPr>
                <w:rFonts w:hint="eastAsia" w:ascii="宋体" w:hAnsi="宋体"/>
                <w:bCs/>
                <w:sz w:val="21"/>
                <w:szCs w:val="21"/>
              </w:rPr>
              <w:t>社会区域类》资料参考《环评工程师职业资格登记培训教材</w:t>
            </w:r>
            <w:r>
              <w:rPr>
                <w:rFonts w:ascii="宋体" w:hAnsi="宋体"/>
                <w:bCs/>
                <w:sz w:val="21"/>
                <w:szCs w:val="21"/>
              </w:rPr>
              <w:t>-</w:t>
            </w:r>
            <w:r>
              <w:rPr>
                <w:rFonts w:hint="eastAsia" w:ascii="宋体" w:hAnsi="宋体"/>
                <w:bCs/>
                <w:sz w:val="21"/>
                <w:szCs w:val="21"/>
              </w:rPr>
              <w:t>社会区域类》资料，车辆加油时造成的烃类气体排放率分别为：置换损失未加控制时是</w:t>
            </w:r>
            <w:r>
              <w:rPr>
                <w:bCs/>
                <w:sz w:val="21"/>
                <w:szCs w:val="21"/>
              </w:rPr>
              <w:t>l.08kg/m</w:t>
            </w:r>
            <w:r>
              <w:rPr>
                <w:bCs/>
                <w:sz w:val="21"/>
                <w:szCs w:val="21"/>
                <w:vertAlign w:val="superscript"/>
              </w:rPr>
              <w:t>3</w:t>
            </w:r>
            <w:r>
              <w:rPr>
                <w:rFonts w:hint="eastAsia" w:ascii="宋体" w:hAnsi="宋体"/>
                <w:bCs/>
                <w:sz w:val="21"/>
                <w:szCs w:val="21"/>
              </w:rPr>
              <w:t>通过量、置换损失控制时</w:t>
            </w:r>
            <w:r>
              <w:rPr>
                <w:bCs/>
                <w:sz w:val="21"/>
                <w:szCs w:val="21"/>
              </w:rPr>
              <w:t>0.11kg/m</w:t>
            </w:r>
            <w:r>
              <w:rPr>
                <w:bCs/>
                <w:sz w:val="21"/>
                <w:szCs w:val="21"/>
                <w:vertAlign w:val="superscript"/>
              </w:rPr>
              <w:t>3</w:t>
            </w:r>
            <w:r>
              <w:rPr>
                <w:rFonts w:hint="eastAsia" w:ascii="宋体" w:hAnsi="宋体"/>
                <w:bCs/>
                <w:sz w:val="21"/>
                <w:szCs w:val="21"/>
              </w:rPr>
              <w:t>通过量，项目加油时对置换损失进行控制，加油作业损失通过量按</w:t>
            </w:r>
            <w:r>
              <w:rPr>
                <w:bCs/>
                <w:sz w:val="21"/>
                <w:szCs w:val="21"/>
              </w:rPr>
              <w:t>0.11kg/m</w:t>
            </w:r>
            <w:r>
              <w:rPr>
                <w:bCs/>
                <w:sz w:val="21"/>
                <w:szCs w:val="21"/>
                <w:vertAlign w:val="superscript"/>
              </w:rPr>
              <w:t>3</w:t>
            </w:r>
            <w:r>
              <w:rPr>
                <w:rFonts w:hint="eastAsia" w:ascii="宋体" w:hAnsi="宋体"/>
                <w:bCs/>
                <w:sz w:val="21"/>
                <w:szCs w:val="21"/>
              </w:rPr>
              <w:t>计。采用油气回收装置后，可以使得加油机在加油过程中造成的损失率减少</w:t>
            </w:r>
            <w:r>
              <w:rPr>
                <w:bCs/>
                <w:sz w:val="21"/>
                <w:szCs w:val="21"/>
              </w:rPr>
              <w:t>98%</w:t>
            </w:r>
            <w:r>
              <w:rPr>
                <w:rFonts w:hint="eastAsia" w:ascii="宋体" w:hAnsi="宋体"/>
                <w:bCs/>
                <w:sz w:val="21"/>
                <w:szCs w:val="21"/>
              </w:rPr>
              <w:t>，则油罐车在卸油时排放的油气别为</w:t>
            </w:r>
            <w:r>
              <w:rPr>
                <w:bCs/>
                <w:sz w:val="21"/>
                <w:szCs w:val="21"/>
              </w:rPr>
              <w:t>0.0022kg/m</w:t>
            </w:r>
            <w:r>
              <w:rPr>
                <w:bCs/>
                <w:sz w:val="21"/>
                <w:szCs w:val="21"/>
                <w:vertAlign w:val="superscript"/>
              </w:rPr>
              <w:t>3</w:t>
            </w:r>
            <w:r>
              <w:rPr>
                <w:rFonts w:hint="eastAsia" w:ascii="宋体" w:hAnsi="宋体"/>
                <w:bCs/>
                <w:sz w:val="21"/>
                <w:szCs w:val="21"/>
              </w:rPr>
              <w:t>通过量。</w:t>
            </w:r>
          </w:p>
          <w:p>
            <w:pPr>
              <w:adjustRightInd w:val="0"/>
              <w:snapToGrid w:val="0"/>
              <w:spacing w:line="360" w:lineRule="auto"/>
              <w:ind w:firstLine="435"/>
              <w:rPr>
                <w:rFonts w:ascii="宋体" w:hAnsi="宋体"/>
                <w:bCs/>
                <w:sz w:val="21"/>
                <w:szCs w:val="21"/>
              </w:rPr>
            </w:pPr>
            <w:r>
              <w:rPr>
                <w:rFonts w:hint="eastAsia" w:ascii="宋体" w:hAnsi="宋体"/>
                <w:bCs/>
                <w:sz w:val="21"/>
                <w:szCs w:val="21"/>
              </w:rPr>
              <w:t>⑤在加油机作业过程中，不可避免地有一些成品油跑、冒、滴、漏现象的发生。跑冒滴漏量与加油站的管理、加油工人的操作水平等诸多因素有关，成品油的跑、冒、滴、漏一般平均损失量为</w:t>
            </w:r>
            <w:r>
              <w:rPr>
                <w:bCs/>
                <w:sz w:val="21"/>
                <w:szCs w:val="21"/>
              </w:rPr>
              <w:t>0.084kg/m</w:t>
            </w:r>
            <w:r>
              <w:rPr>
                <w:bCs/>
                <w:sz w:val="21"/>
                <w:szCs w:val="21"/>
                <w:vertAlign w:val="superscript"/>
              </w:rPr>
              <w:t>3</w:t>
            </w:r>
            <w:r>
              <w:rPr>
                <w:rFonts w:ascii="宋体" w:hAnsi="宋体"/>
                <w:bCs/>
                <w:sz w:val="21"/>
                <w:szCs w:val="21"/>
              </w:rPr>
              <w:t xml:space="preserve"> </w:t>
            </w:r>
            <w:r>
              <w:rPr>
                <w:rFonts w:hint="eastAsia" w:ascii="宋体" w:hAnsi="宋体"/>
                <w:bCs/>
                <w:sz w:val="21"/>
                <w:szCs w:val="21"/>
              </w:rPr>
              <w:t>通过量。通过加强操作人员的业务培训和学习，严格按照行业操作规程作业，从管理和作业上操作可使成品油的跑、冒、滴、漏平均损失降低</w:t>
            </w:r>
            <w:r>
              <w:rPr>
                <w:bCs/>
                <w:sz w:val="21"/>
                <w:szCs w:val="21"/>
              </w:rPr>
              <w:t>90%</w:t>
            </w:r>
            <w:r>
              <w:rPr>
                <w:rFonts w:hint="eastAsia" w:ascii="宋体" w:hAnsi="宋体"/>
                <w:bCs/>
                <w:sz w:val="21"/>
                <w:szCs w:val="21"/>
              </w:rPr>
              <w:t>，损失量为</w:t>
            </w:r>
            <w:r>
              <w:rPr>
                <w:bCs/>
                <w:sz w:val="21"/>
                <w:szCs w:val="21"/>
              </w:rPr>
              <w:t>0.0084kg/m</w:t>
            </w:r>
            <w:r>
              <w:rPr>
                <w:bCs/>
                <w:sz w:val="21"/>
                <w:szCs w:val="21"/>
                <w:vertAlign w:val="superscript"/>
              </w:rPr>
              <w:t>3</w:t>
            </w:r>
            <w:r>
              <w:rPr>
                <w:rFonts w:hint="eastAsia" w:ascii="宋体" w:hAnsi="宋体"/>
                <w:bCs/>
                <w:sz w:val="21"/>
                <w:szCs w:val="21"/>
              </w:rPr>
              <w:t>通过量。</w:t>
            </w:r>
          </w:p>
          <w:p>
            <w:pPr>
              <w:adjustRightInd w:val="0"/>
              <w:snapToGrid w:val="0"/>
              <w:spacing w:line="360" w:lineRule="auto"/>
              <w:ind w:firstLine="435"/>
              <w:rPr>
                <w:rFonts w:ascii="宋体" w:hAnsi="宋体"/>
                <w:bCs/>
                <w:sz w:val="21"/>
                <w:szCs w:val="21"/>
              </w:rPr>
            </w:pPr>
            <w:r>
              <w:rPr>
                <w:rFonts w:hint="default" w:ascii="Times New Roman" w:hAnsi="Times New Roman" w:cs="Times New Roman"/>
                <w:bCs/>
                <w:sz w:val="21"/>
                <w:szCs w:val="21"/>
              </w:rPr>
              <w:t>综上所述，本项目</w:t>
            </w:r>
            <w:r>
              <w:rPr>
                <w:rFonts w:hint="default" w:ascii="Times New Roman" w:hAnsi="Times New Roman" w:cs="Times New Roman"/>
                <w:bCs/>
                <w:sz w:val="21"/>
                <w:szCs w:val="21"/>
                <w:lang w:eastAsia="zh-CN"/>
              </w:rPr>
              <w:t>新增</w:t>
            </w:r>
            <w:r>
              <w:rPr>
                <w:rFonts w:hint="default" w:ascii="Times New Roman" w:hAnsi="Times New Roman" w:cs="Times New Roman"/>
                <w:bCs/>
                <w:sz w:val="21"/>
                <w:szCs w:val="21"/>
                <w:lang w:val="en-US" w:eastAsia="zh-CN"/>
              </w:rPr>
              <w:t>一个#98汽油油罐，增加98#汽油销售量200t/a</w:t>
            </w:r>
            <w:r>
              <w:rPr>
                <w:rFonts w:hint="eastAsia" w:ascii="Times New Roman" w:hAnsi="Times New Roman" w:cs="Times New Roman"/>
                <w:bCs/>
                <w:sz w:val="21"/>
                <w:szCs w:val="21"/>
                <w:lang w:val="en-US" w:eastAsia="zh-CN"/>
              </w:rPr>
              <w:t>。</w:t>
            </w:r>
            <w:r>
              <w:rPr>
                <w:rFonts w:hint="eastAsia" w:ascii="宋体" w:hAnsi="宋体"/>
                <w:bCs/>
                <w:sz w:val="21"/>
                <w:szCs w:val="21"/>
              </w:rPr>
              <w:t>汽油</w:t>
            </w:r>
            <w:r>
              <w:rPr>
                <w:rFonts w:ascii="宋体" w:hAnsi="宋体"/>
                <w:bCs/>
                <w:sz w:val="21"/>
                <w:szCs w:val="21"/>
              </w:rPr>
              <w:t>销量为</w:t>
            </w:r>
            <w:r>
              <w:rPr>
                <w:rFonts w:hint="eastAsia" w:ascii="宋体" w:hAnsi="宋体"/>
                <w:bCs/>
                <w:sz w:val="21"/>
                <w:szCs w:val="21"/>
              </w:rPr>
              <w:t>汽油密度按</w:t>
            </w:r>
            <w:r>
              <w:rPr>
                <w:bCs/>
                <w:sz w:val="21"/>
                <w:szCs w:val="21"/>
              </w:rPr>
              <w:t>0.75g/mL</w:t>
            </w:r>
            <w:r>
              <w:rPr>
                <w:rFonts w:hint="eastAsia" w:ascii="宋体" w:hAnsi="宋体"/>
                <w:bCs/>
                <w:sz w:val="21"/>
                <w:szCs w:val="21"/>
              </w:rPr>
              <w:t>计、柴油密度按</w:t>
            </w:r>
            <w:r>
              <w:rPr>
                <w:bCs/>
                <w:sz w:val="21"/>
                <w:szCs w:val="21"/>
              </w:rPr>
              <w:t>0.9g/mL</w:t>
            </w:r>
            <w:r>
              <w:rPr>
                <w:rFonts w:hint="eastAsia" w:ascii="宋体" w:hAnsi="宋体"/>
                <w:bCs/>
                <w:sz w:val="21"/>
                <w:szCs w:val="21"/>
              </w:rPr>
              <w:t>计，则本项目</w:t>
            </w:r>
            <w:r>
              <w:rPr>
                <w:rFonts w:hint="eastAsia" w:ascii="宋体" w:hAnsi="宋体"/>
                <w:bCs/>
                <w:sz w:val="21"/>
                <w:szCs w:val="21"/>
                <w:lang w:eastAsia="zh-CN"/>
              </w:rPr>
              <w:t>新增</w:t>
            </w:r>
            <w:r>
              <w:rPr>
                <w:rFonts w:hint="eastAsia" w:ascii="宋体" w:hAnsi="宋体"/>
                <w:bCs/>
                <w:sz w:val="21"/>
                <w:szCs w:val="21"/>
                <w:lang w:val="en-US" w:eastAsia="zh-CN"/>
              </w:rPr>
              <w:t>汽油</w:t>
            </w:r>
            <w:r>
              <w:rPr>
                <w:rFonts w:hint="eastAsia" w:ascii="宋体" w:hAnsi="宋体"/>
                <w:bCs/>
                <w:sz w:val="21"/>
                <w:szCs w:val="21"/>
              </w:rPr>
              <w:t>年通过量约为</w:t>
            </w:r>
            <w:r>
              <w:rPr>
                <w:rFonts w:hint="eastAsia"/>
                <w:bCs/>
                <w:sz w:val="21"/>
                <w:szCs w:val="21"/>
                <w:lang w:val="en-US" w:eastAsia="zh-CN"/>
              </w:rPr>
              <w:t>266.7</w:t>
            </w:r>
            <w:r>
              <w:rPr>
                <w:bCs/>
                <w:sz w:val="21"/>
                <w:szCs w:val="21"/>
              </w:rPr>
              <w:t>m³/a</w:t>
            </w:r>
            <w:r>
              <w:rPr>
                <w:rFonts w:hint="eastAsia"/>
                <w:bCs/>
                <w:sz w:val="21"/>
                <w:szCs w:val="21"/>
                <w:lang w:eastAsia="zh-CN"/>
              </w:rPr>
              <w:t>。</w:t>
            </w:r>
            <w:r>
              <w:rPr>
                <w:rFonts w:hint="eastAsia" w:ascii="宋体" w:hAnsi="宋体"/>
                <w:bCs/>
                <w:sz w:val="21"/>
                <w:szCs w:val="21"/>
              </w:rPr>
              <w:t>计算油气（非甲烷总烃）的排放量见下表：</w:t>
            </w:r>
          </w:p>
          <w:p>
            <w:pPr>
              <w:adjustRightInd w:val="0"/>
              <w:snapToGrid w:val="0"/>
              <w:spacing w:line="360" w:lineRule="auto"/>
              <w:jc w:val="center"/>
              <w:rPr>
                <w:b/>
                <w:bCs/>
                <w:sz w:val="21"/>
                <w:szCs w:val="21"/>
              </w:rPr>
            </w:pPr>
            <w:r>
              <w:rPr>
                <w:rFonts w:ascii="宋体" w:hAnsi="宋体"/>
                <w:b/>
                <w:bCs/>
                <w:sz w:val="21"/>
                <w:szCs w:val="21"/>
              </w:rPr>
              <w:t>表</w:t>
            </w:r>
            <w:r>
              <w:rPr>
                <w:b/>
                <w:bCs/>
                <w:sz w:val="21"/>
                <w:szCs w:val="21"/>
              </w:rPr>
              <w:t xml:space="preserve">4-1  </w:t>
            </w:r>
            <w:r>
              <w:rPr>
                <w:rFonts w:hint="eastAsia"/>
                <w:b/>
                <w:bCs/>
                <w:sz w:val="21"/>
                <w:szCs w:val="21"/>
              </w:rPr>
              <w:t>拟建项目烃类有害气体产生量和排放量一览表</w:t>
            </w:r>
          </w:p>
          <w:tbl>
            <w:tblPr>
              <w:tblStyle w:val="9"/>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75"/>
              <w:gridCol w:w="1236"/>
              <w:gridCol w:w="1324"/>
              <w:gridCol w:w="132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2" w:type="dxa"/>
                  <w:gridSpan w:val="3"/>
                  <w:vAlign w:val="center"/>
                </w:tcPr>
                <w:p>
                  <w:pPr>
                    <w:pStyle w:val="20"/>
                    <w:rPr>
                      <w:rFonts w:ascii="宋体" w:cs="宋体"/>
                      <w:kern w:val="0"/>
                      <w:sz w:val="21"/>
                      <w:szCs w:val="21"/>
                      <w:vertAlign w:val="baseline"/>
                    </w:rPr>
                  </w:pPr>
                  <w:r>
                    <w:rPr>
                      <w:rFonts w:hint="eastAsia"/>
                      <w:b/>
                      <w:kern w:val="0"/>
                      <w:sz w:val="21"/>
                      <w:szCs w:val="21"/>
                    </w:rPr>
                    <w:t>项目</w:t>
                  </w:r>
                </w:p>
              </w:tc>
              <w:tc>
                <w:tcPr>
                  <w:tcW w:w="1324" w:type="dxa"/>
                  <w:vAlign w:val="center"/>
                </w:tcPr>
                <w:p>
                  <w:pPr>
                    <w:pStyle w:val="20"/>
                    <w:rPr>
                      <w:rFonts w:ascii="宋体" w:cs="宋体"/>
                      <w:kern w:val="0"/>
                      <w:sz w:val="21"/>
                      <w:szCs w:val="21"/>
                      <w:vertAlign w:val="baseline"/>
                    </w:rPr>
                  </w:pPr>
                  <w:r>
                    <w:rPr>
                      <w:rFonts w:hint="eastAsia"/>
                      <w:b/>
                      <w:kern w:val="0"/>
                      <w:sz w:val="21"/>
                      <w:szCs w:val="21"/>
                    </w:rPr>
                    <w:t>产生系数（</w:t>
                  </w:r>
                  <w:r>
                    <w:rPr>
                      <w:b/>
                      <w:kern w:val="0"/>
                      <w:sz w:val="21"/>
                      <w:szCs w:val="21"/>
                    </w:rPr>
                    <w:t>kg/m</w:t>
                  </w:r>
                  <w:r>
                    <w:rPr>
                      <w:b/>
                      <w:kern w:val="0"/>
                      <w:sz w:val="21"/>
                      <w:szCs w:val="21"/>
                      <w:vertAlign w:val="superscript"/>
                    </w:rPr>
                    <w:t>3</w:t>
                  </w:r>
                  <w:r>
                    <w:rPr>
                      <w:rFonts w:hint="eastAsia"/>
                      <w:b/>
                      <w:kern w:val="0"/>
                      <w:sz w:val="21"/>
                      <w:szCs w:val="21"/>
                    </w:rPr>
                    <w:t>通过量）</w:t>
                  </w:r>
                </w:p>
              </w:tc>
              <w:tc>
                <w:tcPr>
                  <w:tcW w:w="1325" w:type="dxa"/>
                  <w:vAlign w:val="center"/>
                </w:tcPr>
                <w:p>
                  <w:pPr>
                    <w:pStyle w:val="20"/>
                    <w:rPr>
                      <w:rFonts w:ascii="宋体" w:cs="宋体"/>
                      <w:kern w:val="0"/>
                      <w:sz w:val="21"/>
                      <w:szCs w:val="21"/>
                      <w:vertAlign w:val="baseline"/>
                    </w:rPr>
                  </w:pPr>
                  <w:r>
                    <w:rPr>
                      <w:rFonts w:hint="eastAsia"/>
                      <w:b/>
                      <w:kern w:val="0"/>
                      <w:sz w:val="21"/>
                      <w:szCs w:val="21"/>
                    </w:rPr>
                    <w:t>通过量（</w:t>
                  </w:r>
                  <w:r>
                    <w:rPr>
                      <w:b/>
                      <w:kern w:val="0"/>
                      <w:sz w:val="21"/>
                      <w:szCs w:val="21"/>
                    </w:rPr>
                    <w:t>m</w:t>
                  </w:r>
                  <w:r>
                    <w:rPr>
                      <w:b/>
                      <w:kern w:val="0"/>
                      <w:sz w:val="21"/>
                      <w:szCs w:val="21"/>
                      <w:vertAlign w:val="superscript"/>
                    </w:rPr>
                    <w:t>3</w:t>
                  </w:r>
                  <w:r>
                    <w:rPr>
                      <w:b/>
                      <w:kern w:val="0"/>
                      <w:sz w:val="21"/>
                      <w:szCs w:val="21"/>
                    </w:rPr>
                    <w:t>/a</w:t>
                  </w:r>
                  <w:r>
                    <w:rPr>
                      <w:rFonts w:hint="eastAsia"/>
                      <w:b/>
                      <w:kern w:val="0"/>
                      <w:sz w:val="21"/>
                      <w:szCs w:val="21"/>
                    </w:rPr>
                    <w:t>）</w:t>
                  </w:r>
                </w:p>
              </w:tc>
              <w:tc>
                <w:tcPr>
                  <w:tcW w:w="1325" w:type="dxa"/>
                  <w:vAlign w:val="center"/>
                </w:tcPr>
                <w:p>
                  <w:pPr>
                    <w:pStyle w:val="20"/>
                    <w:rPr>
                      <w:rFonts w:ascii="宋体" w:cs="宋体"/>
                      <w:kern w:val="0"/>
                      <w:sz w:val="21"/>
                      <w:szCs w:val="21"/>
                      <w:vertAlign w:val="baseline"/>
                    </w:rPr>
                  </w:pPr>
                  <w:r>
                    <w:rPr>
                      <w:rFonts w:hint="eastAsia"/>
                      <w:b/>
                      <w:kern w:val="0"/>
                      <w:sz w:val="21"/>
                      <w:szCs w:val="21"/>
                    </w:rPr>
                    <w:t>烃产生量（</w:t>
                  </w:r>
                  <w:r>
                    <w:rPr>
                      <w:b/>
                      <w:kern w:val="0"/>
                      <w:sz w:val="21"/>
                      <w:szCs w:val="21"/>
                    </w:rPr>
                    <w:t>kg/a</w:t>
                  </w:r>
                  <w:r>
                    <w:rPr>
                      <w:rFonts w:hint="eastAsia"/>
                      <w:b/>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restart"/>
                  <w:vAlign w:val="center"/>
                </w:tcPr>
                <w:p>
                  <w:pPr>
                    <w:pStyle w:val="20"/>
                    <w:rPr>
                      <w:rFonts w:ascii="宋体" w:cs="宋体"/>
                      <w:kern w:val="0"/>
                      <w:sz w:val="21"/>
                      <w:szCs w:val="21"/>
                      <w:vertAlign w:val="baseline"/>
                    </w:rPr>
                  </w:pPr>
                  <w:r>
                    <w:rPr>
                      <w:rFonts w:hint="eastAsia"/>
                      <w:kern w:val="0"/>
                      <w:sz w:val="21"/>
                      <w:szCs w:val="21"/>
                    </w:rPr>
                    <w:t>储油罐</w:t>
                  </w:r>
                </w:p>
              </w:tc>
              <w:tc>
                <w:tcPr>
                  <w:tcW w:w="1475" w:type="dxa"/>
                  <w:vAlign w:val="center"/>
                </w:tcPr>
                <w:p>
                  <w:pPr>
                    <w:pStyle w:val="20"/>
                    <w:rPr>
                      <w:rFonts w:ascii="宋体" w:cs="宋体"/>
                      <w:kern w:val="0"/>
                      <w:sz w:val="21"/>
                      <w:szCs w:val="21"/>
                      <w:vertAlign w:val="baseline"/>
                    </w:rPr>
                  </w:pPr>
                  <w:r>
                    <w:rPr>
                      <w:rFonts w:hint="eastAsia"/>
                      <w:kern w:val="0"/>
                      <w:sz w:val="21"/>
                      <w:szCs w:val="21"/>
                    </w:rPr>
                    <w:t>大呼吸损失</w:t>
                  </w:r>
                </w:p>
              </w:tc>
              <w:tc>
                <w:tcPr>
                  <w:tcW w:w="1236" w:type="dxa"/>
                  <w:vAlign w:val="top"/>
                </w:tcPr>
                <w:p>
                  <w:pPr>
                    <w:pStyle w:val="20"/>
                    <w:rPr>
                      <w:rFonts w:ascii="宋体" w:cs="宋体"/>
                      <w:kern w:val="0"/>
                      <w:sz w:val="21"/>
                      <w:szCs w:val="21"/>
                      <w:vertAlign w:val="baseline"/>
                    </w:rPr>
                  </w:pPr>
                  <w:r>
                    <w:rPr>
                      <w:rFonts w:hint="eastAsia"/>
                      <w:kern w:val="0"/>
                      <w:sz w:val="21"/>
                      <w:szCs w:val="21"/>
                    </w:rPr>
                    <w:t>汽油</w:t>
                  </w:r>
                </w:p>
              </w:tc>
              <w:tc>
                <w:tcPr>
                  <w:tcW w:w="1324" w:type="dxa"/>
                  <w:vAlign w:val="center"/>
                </w:tcPr>
                <w:p>
                  <w:pPr>
                    <w:pStyle w:val="20"/>
                    <w:rPr>
                      <w:rFonts w:ascii="宋体" w:cs="宋体"/>
                      <w:kern w:val="0"/>
                      <w:sz w:val="21"/>
                      <w:szCs w:val="21"/>
                      <w:vertAlign w:val="baseline"/>
                    </w:rPr>
                  </w:pPr>
                  <w:r>
                    <w:rPr>
                      <w:rFonts w:hint="eastAsia"/>
                      <w:kern w:val="0"/>
                      <w:sz w:val="21"/>
                      <w:szCs w:val="21"/>
                    </w:rPr>
                    <w:t>0.88</w:t>
                  </w:r>
                </w:p>
              </w:tc>
              <w:tc>
                <w:tcPr>
                  <w:tcW w:w="1325" w:type="dxa"/>
                  <w:vAlign w:val="center"/>
                </w:tcPr>
                <w:p>
                  <w:pPr>
                    <w:pStyle w:val="20"/>
                    <w:rPr>
                      <w:rFonts w:hint="default" w:ascii="宋体" w:cs="宋体"/>
                      <w:kern w:val="0"/>
                      <w:sz w:val="21"/>
                      <w:szCs w:val="21"/>
                      <w:vertAlign w:val="baseline"/>
                      <w:lang w:val="en-US"/>
                    </w:rPr>
                  </w:pPr>
                  <w:r>
                    <w:rPr>
                      <w:rFonts w:hint="eastAsia"/>
                      <w:kern w:val="0"/>
                      <w:sz w:val="21"/>
                      <w:szCs w:val="21"/>
                      <w:lang w:val="en-US" w:eastAsia="zh-CN"/>
                    </w:rPr>
                    <w:t>266.7</w:t>
                  </w:r>
                </w:p>
              </w:tc>
              <w:tc>
                <w:tcPr>
                  <w:tcW w:w="1325" w:type="dxa"/>
                  <w:vAlign w:val="center"/>
                </w:tcPr>
                <w:p>
                  <w:pPr>
                    <w:pStyle w:val="20"/>
                    <w:rPr>
                      <w:rFonts w:hint="default" w:ascii="Times New Roman" w:hAnsi="Times New Roman" w:eastAsia="宋体" w:cs="Times New Roman"/>
                      <w:kern w:val="0"/>
                      <w:sz w:val="21"/>
                      <w:szCs w:val="21"/>
                      <w:vertAlign w:val="baseline"/>
                      <w:lang w:val="en-US" w:eastAsia="zh-CN"/>
                    </w:rPr>
                  </w:pPr>
                  <w:r>
                    <w:rPr>
                      <w:rFonts w:hint="eastAsia" w:cs="Times New Roman"/>
                      <w:kern w:val="0"/>
                      <w:szCs w:val="21"/>
                      <w:vertAlign w:val="baseline"/>
                      <w:lang w:val="en-US" w:eastAsia="zh-CN"/>
                    </w:rPr>
                    <w:t>234.69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pPr>
                    <w:pStyle w:val="20"/>
                    <w:rPr>
                      <w:rFonts w:ascii="宋体" w:cs="宋体"/>
                      <w:kern w:val="0"/>
                      <w:sz w:val="21"/>
                      <w:szCs w:val="21"/>
                      <w:vertAlign w:val="baseline"/>
                    </w:rPr>
                  </w:pPr>
                </w:p>
              </w:tc>
              <w:tc>
                <w:tcPr>
                  <w:tcW w:w="1475" w:type="dxa"/>
                  <w:vAlign w:val="center"/>
                </w:tcPr>
                <w:p>
                  <w:pPr>
                    <w:pStyle w:val="20"/>
                    <w:rPr>
                      <w:rFonts w:ascii="宋体" w:cs="宋体"/>
                      <w:kern w:val="0"/>
                      <w:sz w:val="21"/>
                      <w:szCs w:val="21"/>
                      <w:vertAlign w:val="baseline"/>
                    </w:rPr>
                  </w:pPr>
                  <w:r>
                    <w:rPr>
                      <w:rFonts w:hint="eastAsia"/>
                      <w:kern w:val="0"/>
                      <w:sz w:val="21"/>
                      <w:szCs w:val="21"/>
                    </w:rPr>
                    <w:t>小呼吸损失</w:t>
                  </w:r>
                </w:p>
              </w:tc>
              <w:tc>
                <w:tcPr>
                  <w:tcW w:w="1236" w:type="dxa"/>
                  <w:vAlign w:val="top"/>
                </w:tcPr>
                <w:p>
                  <w:pPr>
                    <w:pStyle w:val="20"/>
                    <w:rPr>
                      <w:rFonts w:ascii="宋体" w:cs="宋体"/>
                      <w:kern w:val="0"/>
                      <w:sz w:val="21"/>
                      <w:szCs w:val="21"/>
                      <w:vertAlign w:val="baseline"/>
                    </w:rPr>
                  </w:pPr>
                  <w:r>
                    <w:rPr>
                      <w:rFonts w:hint="eastAsia"/>
                      <w:kern w:val="0"/>
                      <w:sz w:val="21"/>
                      <w:szCs w:val="21"/>
                    </w:rPr>
                    <w:t>汽油</w:t>
                  </w:r>
                </w:p>
              </w:tc>
              <w:tc>
                <w:tcPr>
                  <w:tcW w:w="1324" w:type="dxa"/>
                  <w:vAlign w:val="center"/>
                </w:tcPr>
                <w:p>
                  <w:pPr>
                    <w:pStyle w:val="20"/>
                    <w:rPr>
                      <w:rFonts w:ascii="宋体" w:cs="宋体"/>
                      <w:kern w:val="0"/>
                      <w:sz w:val="21"/>
                      <w:szCs w:val="21"/>
                      <w:vertAlign w:val="baseline"/>
                    </w:rPr>
                  </w:pPr>
                  <w:r>
                    <w:rPr>
                      <w:rFonts w:hint="eastAsia"/>
                      <w:kern w:val="0"/>
                      <w:sz w:val="21"/>
                      <w:szCs w:val="21"/>
                    </w:rPr>
                    <w:t>0.12</w:t>
                  </w:r>
                </w:p>
              </w:tc>
              <w:tc>
                <w:tcPr>
                  <w:tcW w:w="1325" w:type="dxa"/>
                  <w:vAlign w:val="center"/>
                </w:tcPr>
                <w:p>
                  <w:pPr>
                    <w:pStyle w:val="20"/>
                    <w:rPr>
                      <w:rFonts w:ascii="宋体" w:cs="宋体"/>
                      <w:kern w:val="0"/>
                      <w:sz w:val="21"/>
                      <w:szCs w:val="21"/>
                      <w:vertAlign w:val="baseline"/>
                    </w:rPr>
                  </w:pPr>
                  <w:r>
                    <w:rPr>
                      <w:rFonts w:hint="eastAsia"/>
                      <w:kern w:val="0"/>
                      <w:sz w:val="21"/>
                      <w:szCs w:val="21"/>
                      <w:lang w:val="en-US" w:eastAsia="zh-CN"/>
                    </w:rPr>
                    <w:t>266.7</w:t>
                  </w:r>
                </w:p>
              </w:tc>
              <w:tc>
                <w:tcPr>
                  <w:tcW w:w="1325" w:type="dxa"/>
                  <w:vAlign w:val="center"/>
                </w:tcPr>
                <w:p>
                  <w:pPr>
                    <w:pStyle w:val="20"/>
                    <w:rPr>
                      <w:rFonts w:hint="default" w:ascii="Times New Roman" w:hAnsi="Times New Roman" w:eastAsia="宋体" w:cs="Times New Roman"/>
                      <w:kern w:val="0"/>
                      <w:sz w:val="21"/>
                      <w:szCs w:val="21"/>
                      <w:vertAlign w:val="baseline"/>
                      <w:lang w:val="en-US" w:eastAsia="zh-CN"/>
                    </w:rPr>
                  </w:pPr>
                  <w:r>
                    <w:rPr>
                      <w:rFonts w:hint="eastAsia" w:cs="Times New Roman"/>
                      <w:kern w:val="0"/>
                      <w:szCs w:val="21"/>
                      <w:vertAlign w:val="baseline"/>
                      <w:lang w:val="en-US" w:eastAsia="zh-CN"/>
                    </w:rPr>
                    <w:t>32.004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pStyle w:val="20"/>
                    <w:rPr>
                      <w:rFonts w:ascii="宋体" w:cs="宋体"/>
                      <w:kern w:val="0"/>
                      <w:sz w:val="21"/>
                      <w:szCs w:val="21"/>
                      <w:vertAlign w:val="baseline"/>
                    </w:rPr>
                  </w:pPr>
                  <w:r>
                    <w:rPr>
                      <w:rFonts w:hint="eastAsia"/>
                      <w:kern w:val="0"/>
                      <w:sz w:val="21"/>
                      <w:szCs w:val="21"/>
                    </w:rPr>
                    <w:t>油罐车</w:t>
                  </w:r>
                </w:p>
              </w:tc>
              <w:tc>
                <w:tcPr>
                  <w:tcW w:w="1475" w:type="dxa"/>
                  <w:vAlign w:val="center"/>
                </w:tcPr>
                <w:p>
                  <w:pPr>
                    <w:pStyle w:val="20"/>
                    <w:rPr>
                      <w:rFonts w:ascii="宋体" w:cs="宋体"/>
                      <w:kern w:val="0"/>
                      <w:sz w:val="21"/>
                      <w:szCs w:val="21"/>
                      <w:vertAlign w:val="baseline"/>
                    </w:rPr>
                  </w:pPr>
                  <w:r>
                    <w:rPr>
                      <w:rFonts w:hint="eastAsia"/>
                      <w:kern w:val="0"/>
                      <w:sz w:val="21"/>
                      <w:szCs w:val="21"/>
                    </w:rPr>
                    <w:t>卸料损失</w:t>
                  </w:r>
                </w:p>
              </w:tc>
              <w:tc>
                <w:tcPr>
                  <w:tcW w:w="1236" w:type="dxa"/>
                  <w:vAlign w:val="top"/>
                </w:tcPr>
                <w:p>
                  <w:pPr>
                    <w:pStyle w:val="20"/>
                    <w:rPr>
                      <w:rFonts w:ascii="宋体" w:cs="宋体"/>
                      <w:kern w:val="0"/>
                      <w:sz w:val="21"/>
                      <w:szCs w:val="21"/>
                      <w:vertAlign w:val="baseline"/>
                    </w:rPr>
                  </w:pPr>
                  <w:r>
                    <w:rPr>
                      <w:rFonts w:hint="eastAsia"/>
                      <w:kern w:val="0"/>
                      <w:sz w:val="21"/>
                      <w:szCs w:val="21"/>
                    </w:rPr>
                    <w:t>汽油</w:t>
                  </w:r>
                </w:p>
              </w:tc>
              <w:tc>
                <w:tcPr>
                  <w:tcW w:w="1324" w:type="dxa"/>
                  <w:vAlign w:val="center"/>
                </w:tcPr>
                <w:p>
                  <w:pPr>
                    <w:pStyle w:val="20"/>
                    <w:rPr>
                      <w:rFonts w:ascii="宋体" w:cs="宋体"/>
                      <w:kern w:val="0"/>
                      <w:sz w:val="21"/>
                      <w:szCs w:val="21"/>
                      <w:vertAlign w:val="baseline"/>
                    </w:rPr>
                  </w:pPr>
                  <w:r>
                    <w:rPr>
                      <w:rFonts w:hint="eastAsia"/>
                      <w:kern w:val="0"/>
                      <w:sz w:val="21"/>
                      <w:szCs w:val="21"/>
                    </w:rPr>
                    <w:t>0.60</w:t>
                  </w:r>
                </w:p>
              </w:tc>
              <w:tc>
                <w:tcPr>
                  <w:tcW w:w="1325" w:type="dxa"/>
                  <w:vAlign w:val="center"/>
                </w:tcPr>
                <w:p>
                  <w:pPr>
                    <w:pStyle w:val="20"/>
                    <w:rPr>
                      <w:rFonts w:ascii="宋体" w:cs="宋体"/>
                      <w:kern w:val="0"/>
                      <w:sz w:val="21"/>
                      <w:szCs w:val="21"/>
                      <w:vertAlign w:val="baseline"/>
                    </w:rPr>
                  </w:pPr>
                  <w:r>
                    <w:rPr>
                      <w:rFonts w:hint="eastAsia"/>
                      <w:kern w:val="0"/>
                      <w:sz w:val="21"/>
                      <w:szCs w:val="21"/>
                      <w:lang w:val="en-US" w:eastAsia="zh-CN"/>
                    </w:rPr>
                    <w:t>266.7</w:t>
                  </w:r>
                </w:p>
              </w:tc>
              <w:tc>
                <w:tcPr>
                  <w:tcW w:w="1325" w:type="dxa"/>
                  <w:vAlign w:val="center"/>
                </w:tcPr>
                <w:p>
                  <w:pPr>
                    <w:pStyle w:val="20"/>
                    <w:rPr>
                      <w:rFonts w:hint="default" w:ascii="Times New Roman" w:hAnsi="Times New Roman" w:eastAsia="宋体" w:cs="Times New Roman"/>
                      <w:kern w:val="0"/>
                      <w:sz w:val="21"/>
                      <w:szCs w:val="21"/>
                      <w:vertAlign w:val="baseline"/>
                      <w:lang w:val="en-US" w:eastAsia="zh-CN"/>
                    </w:rPr>
                  </w:pPr>
                  <w:r>
                    <w:rPr>
                      <w:rFonts w:hint="eastAsia" w:cs="Times New Roman"/>
                      <w:kern w:val="0"/>
                      <w:szCs w:val="21"/>
                      <w:vertAlign w:val="baseline"/>
                      <w:lang w:val="en-US" w:eastAsia="zh-CN"/>
                    </w:rPr>
                    <w:t>160.02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restart"/>
                  <w:vAlign w:val="center"/>
                </w:tcPr>
                <w:p>
                  <w:pPr>
                    <w:pStyle w:val="20"/>
                    <w:rPr>
                      <w:rFonts w:ascii="宋体" w:cs="宋体"/>
                      <w:kern w:val="0"/>
                      <w:sz w:val="21"/>
                      <w:szCs w:val="21"/>
                      <w:vertAlign w:val="baseline"/>
                    </w:rPr>
                  </w:pPr>
                  <w:r>
                    <w:rPr>
                      <w:rFonts w:hint="eastAsia"/>
                      <w:kern w:val="0"/>
                      <w:sz w:val="21"/>
                      <w:szCs w:val="21"/>
                    </w:rPr>
                    <w:t>加油机</w:t>
                  </w:r>
                </w:p>
              </w:tc>
              <w:tc>
                <w:tcPr>
                  <w:tcW w:w="1475" w:type="dxa"/>
                  <w:vAlign w:val="center"/>
                </w:tcPr>
                <w:p>
                  <w:pPr>
                    <w:pStyle w:val="20"/>
                    <w:rPr>
                      <w:rFonts w:ascii="宋体" w:cs="宋体"/>
                      <w:kern w:val="0"/>
                      <w:sz w:val="21"/>
                      <w:szCs w:val="21"/>
                      <w:vertAlign w:val="baseline"/>
                    </w:rPr>
                  </w:pPr>
                  <w:r>
                    <w:rPr>
                      <w:rFonts w:hint="eastAsia"/>
                      <w:kern w:val="0"/>
                      <w:sz w:val="21"/>
                      <w:szCs w:val="21"/>
                    </w:rPr>
                    <w:t>加油作业损失</w:t>
                  </w:r>
                </w:p>
              </w:tc>
              <w:tc>
                <w:tcPr>
                  <w:tcW w:w="1236" w:type="dxa"/>
                  <w:vAlign w:val="top"/>
                </w:tcPr>
                <w:p>
                  <w:pPr>
                    <w:pStyle w:val="20"/>
                    <w:rPr>
                      <w:rFonts w:ascii="宋体" w:cs="宋体"/>
                      <w:kern w:val="0"/>
                      <w:sz w:val="21"/>
                      <w:szCs w:val="21"/>
                      <w:vertAlign w:val="baseline"/>
                    </w:rPr>
                  </w:pPr>
                  <w:r>
                    <w:rPr>
                      <w:rFonts w:hint="eastAsia"/>
                      <w:kern w:val="0"/>
                      <w:sz w:val="21"/>
                      <w:szCs w:val="21"/>
                    </w:rPr>
                    <w:t>汽油</w:t>
                  </w:r>
                </w:p>
              </w:tc>
              <w:tc>
                <w:tcPr>
                  <w:tcW w:w="1324" w:type="dxa"/>
                  <w:vAlign w:val="center"/>
                </w:tcPr>
                <w:p>
                  <w:pPr>
                    <w:pStyle w:val="20"/>
                    <w:rPr>
                      <w:rFonts w:ascii="宋体" w:cs="宋体"/>
                      <w:kern w:val="0"/>
                      <w:sz w:val="21"/>
                      <w:szCs w:val="21"/>
                      <w:vertAlign w:val="baseline"/>
                    </w:rPr>
                  </w:pPr>
                  <w:r>
                    <w:rPr>
                      <w:rFonts w:hint="eastAsia"/>
                      <w:kern w:val="0"/>
                      <w:sz w:val="21"/>
                      <w:szCs w:val="21"/>
                    </w:rPr>
                    <w:t>0.11</w:t>
                  </w:r>
                </w:p>
              </w:tc>
              <w:tc>
                <w:tcPr>
                  <w:tcW w:w="1325" w:type="dxa"/>
                  <w:vAlign w:val="center"/>
                </w:tcPr>
                <w:p>
                  <w:pPr>
                    <w:pStyle w:val="20"/>
                    <w:rPr>
                      <w:rFonts w:ascii="宋体" w:cs="宋体"/>
                      <w:kern w:val="0"/>
                      <w:sz w:val="21"/>
                      <w:szCs w:val="21"/>
                      <w:vertAlign w:val="baseline"/>
                    </w:rPr>
                  </w:pPr>
                  <w:r>
                    <w:rPr>
                      <w:rFonts w:hint="eastAsia"/>
                      <w:kern w:val="0"/>
                      <w:sz w:val="21"/>
                      <w:szCs w:val="21"/>
                      <w:lang w:val="en-US" w:eastAsia="zh-CN"/>
                    </w:rPr>
                    <w:t>266.7</w:t>
                  </w:r>
                </w:p>
              </w:tc>
              <w:tc>
                <w:tcPr>
                  <w:tcW w:w="1325" w:type="dxa"/>
                  <w:vAlign w:val="center"/>
                </w:tcPr>
                <w:p>
                  <w:pPr>
                    <w:pStyle w:val="20"/>
                    <w:rPr>
                      <w:rFonts w:hint="default" w:ascii="Times New Roman" w:hAnsi="Times New Roman" w:eastAsia="宋体" w:cs="Times New Roman"/>
                      <w:kern w:val="0"/>
                      <w:sz w:val="21"/>
                      <w:szCs w:val="21"/>
                      <w:vertAlign w:val="baseline"/>
                      <w:lang w:val="en-US" w:eastAsia="zh-CN"/>
                    </w:rPr>
                  </w:pPr>
                  <w:r>
                    <w:rPr>
                      <w:rFonts w:hint="eastAsia" w:cs="Times New Roman"/>
                      <w:kern w:val="0"/>
                      <w:szCs w:val="21"/>
                      <w:vertAlign w:val="baseline"/>
                      <w:lang w:val="en-US" w:eastAsia="zh-CN"/>
                    </w:rPr>
                    <w:t>29.337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Merge w:val="continue"/>
                  <w:vAlign w:val="center"/>
                </w:tcPr>
                <w:p>
                  <w:pPr>
                    <w:pStyle w:val="20"/>
                    <w:rPr>
                      <w:rFonts w:ascii="宋体" w:cs="宋体"/>
                      <w:kern w:val="0"/>
                      <w:sz w:val="21"/>
                      <w:szCs w:val="21"/>
                      <w:vertAlign w:val="baseline"/>
                    </w:rPr>
                  </w:pPr>
                </w:p>
              </w:tc>
              <w:tc>
                <w:tcPr>
                  <w:tcW w:w="1475" w:type="dxa"/>
                  <w:vAlign w:val="center"/>
                </w:tcPr>
                <w:p>
                  <w:pPr>
                    <w:pStyle w:val="20"/>
                    <w:rPr>
                      <w:rFonts w:ascii="宋体" w:cs="宋体"/>
                      <w:kern w:val="0"/>
                      <w:sz w:val="21"/>
                      <w:szCs w:val="21"/>
                      <w:vertAlign w:val="baseline"/>
                    </w:rPr>
                  </w:pPr>
                  <w:r>
                    <w:rPr>
                      <w:rFonts w:hint="eastAsia"/>
                      <w:kern w:val="0"/>
                      <w:sz w:val="21"/>
                      <w:szCs w:val="21"/>
                    </w:rPr>
                    <w:t>跑冒滴漏损失</w:t>
                  </w:r>
                </w:p>
              </w:tc>
              <w:tc>
                <w:tcPr>
                  <w:tcW w:w="1236" w:type="dxa"/>
                  <w:vAlign w:val="top"/>
                </w:tcPr>
                <w:p>
                  <w:pPr>
                    <w:pStyle w:val="20"/>
                    <w:rPr>
                      <w:rFonts w:ascii="宋体" w:cs="宋体"/>
                      <w:kern w:val="0"/>
                      <w:sz w:val="21"/>
                      <w:szCs w:val="21"/>
                      <w:vertAlign w:val="baseline"/>
                    </w:rPr>
                  </w:pPr>
                  <w:r>
                    <w:rPr>
                      <w:rFonts w:hint="eastAsia"/>
                      <w:kern w:val="0"/>
                      <w:sz w:val="21"/>
                      <w:szCs w:val="21"/>
                    </w:rPr>
                    <w:t>汽油</w:t>
                  </w:r>
                </w:p>
              </w:tc>
              <w:tc>
                <w:tcPr>
                  <w:tcW w:w="1324" w:type="dxa"/>
                  <w:vAlign w:val="center"/>
                </w:tcPr>
                <w:p>
                  <w:pPr>
                    <w:pStyle w:val="20"/>
                    <w:rPr>
                      <w:rFonts w:ascii="宋体" w:cs="宋体"/>
                      <w:kern w:val="0"/>
                      <w:sz w:val="21"/>
                      <w:szCs w:val="21"/>
                      <w:vertAlign w:val="baseline"/>
                    </w:rPr>
                  </w:pPr>
                  <w:r>
                    <w:rPr>
                      <w:rFonts w:hint="eastAsia"/>
                      <w:kern w:val="0"/>
                      <w:sz w:val="21"/>
                      <w:szCs w:val="21"/>
                    </w:rPr>
                    <w:t>0.084</w:t>
                  </w:r>
                </w:p>
              </w:tc>
              <w:tc>
                <w:tcPr>
                  <w:tcW w:w="1325" w:type="dxa"/>
                  <w:vAlign w:val="center"/>
                </w:tcPr>
                <w:p>
                  <w:pPr>
                    <w:pStyle w:val="20"/>
                    <w:rPr>
                      <w:rFonts w:ascii="宋体" w:cs="宋体"/>
                      <w:kern w:val="0"/>
                      <w:sz w:val="21"/>
                      <w:szCs w:val="21"/>
                      <w:vertAlign w:val="baseline"/>
                    </w:rPr>
                  </w:pPr>
                  <w:r>
                    <w:rPr>
                      <w:rFonts w:hint="eastAsia"/>
                      <w:kern w:val="0"/>
                      <w:sz w:val="21"/>
                      <w:szCs w:val="21"/>
                      <w:lang w:val="en-US" w:eastAsia="zh-CN"/>
                    </w:rPr>
                    <w:t>266.7</w:t>
                  </w:r>
                </w:p>
              </w:tc>
              <w:tc>
                <w:tcPr>
                  <w:tcW w:w="1325" w:type="dxa"/>
                  <w:vAlign w:val="center"/>
                </w:tcPr>
                <w:p>
                  <w:pPr>
                    <w:pStyle w:val="20"/>
                    <w:rPr>
                      <w:rFonts w:hint="default" w:ascii="Times New Roman" w:hAnsi="Times New Roman" w:eastAsia="宋体" w:cs="Times New Roman"/>
                      <w:kern w:val="0"/>
                      <w:sz w:val="21"/>
                      <w:szCs w:val="21"/>
                      <w:vertAlign w:val="baseline"/>
                      <w:lang w:val="en-US" w:eastAsia="zh-CN"/>
                    </w:rPr>
                  </w:pPr>
                  <w:r>
                    <w:rPr>
                      <w:rFonts w:hint="eastAsia" w:cs="Times New Roman"/>
                      <w:kern w:val="0"/>
                      <w:szCs w:val="21"/>
                      <w:vertAlign w:val="baseline"/>
                      <w:lang w:val="en-US" w:eastAsia="zh-CN"/>
                    </w:rPr>
                    <w:t>22.4028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1" w:type="dxa"/>
                  <w:gridSpan w:val="5"/>
                  <w:vAlign w:val="top"/>
                </w:tcPr>
                <w:p>
                  <w:pPr>
                    <w:pStyle w:val="20"/>
                    <w:rPr>
                      <w:rFonts w:hint="default" w:ascii="Times New Roman" w:hAnsi="Times New Roman" w:cs="Times New Roman"/>
                      <w:kern w:val="0"/>
                      <w:sz w:val="21"/>
                      <w:szCs w:val="21"/>
                      <w:vertAlign w:val="baseline"/>
                    </w:rPr>
                  </w:pPr>
                  <w:r>
                    <w:rPr>
                      <w:rFonts w:hint="default" w:ascii="Times New Roman" w:hAnsi="Times New Roman" w:cs="Times New Roman"/>
                      <w:kern w:val="0"/>
                      <w:sz w:val="21"/>
                      <w:szCs w:val="21"/>
                    </w:rPr>
                    <w:t>合计</w:t>
                  </w:r>
                </w:p>
              </w:tc>
              <w:tc>
                <w:tcPr>
                  <w:tcW w:w="1325" w:type="dxa"/>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2"/>
                      <w:szCs w:val="22"/>
                      <w:u w:val="none"/>
                      <w:lang w:val="en-US" w:eastAsia="zh-CN" w:bidi="ar-SA"/>
                    </w:rPr>
                    <w:t>478.4598</w:t>
                  </w:r>
                </w:p>
              </w:tc>
            </w:tr>
          </w:tbl>
          <w:p>
            <w:pPr>
              <w:pStyle w:val="22"/>
              <w:rPr>
                <w:sz w:val="21"/>
                <w:szCs w:val="21"/>
              </w:rPr>
            </w:pPr>
            <w:r>
              <w:rPr>
                <w:rFonts w:hint="eastAsia"/>
                <w:sz w:val="21"/>
                <w:szCs w:val="21"/>
              </w:rPr>
              <w:t>本项目在加油和卸油口各安装一套油气回收系统，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p>
          <w:p>
            <w:pPr>
              <w:pStyle w:val="22"/>
              <w:rPr>
                <w:sz w:val="21"/>
                <w:szCs w:val="21"/>
              </w:rPr>
            </w:pPr>
            <w:r>
              <w:rPr>
                <w:rFonts w:hint="eastAsia"/>
                <w:sz w:val="21"/>
                <w:szCs w:val="21"/>
              </w:rPr>
              <w:t>在汽车加油时，利用油枪上的特殊装置，将原本会由汽车油箱逸散于空气中的油气，经加油枪、抽气马达汇入油罐内，此过程为二次油气回收，其回收效率为85%~95%， 本项目取95%，经过油气回收处理装置处理后可降低非甲烷总烃的排放量。</w:t>
            </w:r>
          </w:p>
          <w:p>
            <w:pPr>
              <w:spacing w:line="360" w:lineRule="auto"/>
              <w:ind w:firstLine="420" w:firstLineChars="200"/>
              <w:jc w:val="left"/>
              <w:rPr>
                <w:color w:val="000000"/>
                <w:sz w:val="21"/>
                <w:szCs w:val="21"/>
              </w:rPr>
            </w:pPr>
            <w:r>
              <w:rPr>
                <w:color w:val="000000"/>
                <w:sz w:val="21"/>
                <w:szCs w:val="21"/>
              </w:rPr>
              <w:t>本项目非甲烷总烃排放量见表5-</w:t>
            </w:r>
            <w:r>
              <w:rPr>
                <w:rFonts w:hint="eastAsia"/>
                <w:color w:val="000000"/>
                <w:sz w:val="21"/>
                <w:szCs w:val="21"/>
              </w:rPr>
              <w:t>6</w:t>
            </w:r>
            <w:r>
              <w:rPr>
                <w:color w:val="000000"/>
                <w:sz w:val="21"/>
                <w:szCs w:val="21"/>
              </w:rPr>
              <w:t>。</w:t>
            </w:r>
          </w:p>
          <w:p>
            <w:pPr>
              <w:spacing w:line="360" w:lineRule="auto"/>
              <w:ind w:left="-53" w:firstLine="420"/>
              <w:jc w:val="center"/>
              <w:rPr>
                <w:b/>
                <w:color w:val="000000"/>
                <w:sz w:val="21"/>
                <w:szCs w:val="21"/>
              </w:rPr>
            </w:pPr>
            <w:r>
              <w:rPr>
                <w:b/>
                <w:color w:val="000000"/>
                <w:sz w:val="21"/>
                <w:szCs w:val="21"/>
              </w:rPr>
              <w:t>表</w:t>
            </w:r>
            <w:r>
              <w:rPr>
                <w:rFonts w:hint="eastAsia"/>
                <w:b/>
                <w:color w:val="000000"/>
                <w:sz w:val="21"/>
                <w:szCs w:val="21"/>
                <w:lang w:val="en-US" w:eastAsia="zh-CN"/>
              </w:rPr>
              <w:t>4</w:t>
            </w:r>
            <w:r>
              <w:rPr>
                <w:b/>
                <w:color w:val="000000"/>
                <w:sz w:val="21"/>
                <w:szCs w:val="21"/>
              </w:rPr>
              <w:t>-</w:t>
            </w:r>
            <w:r>
              <w:rPr>
                <w:rFonts w:hint="eastAsia"/>
                <w:b/>
                <w:color w:val="000000"/>
                <w:sz w:val="21"/>
                <w:szCs w:val="21"/>
                <w:lang w:val="en-US" w:eastAsia="zh-CN"/>
              </w:rPr>
              <w:t>2</w:t>
            </w:r>
            <w:r>
              <w:rPr>
                <w:b/>
                <w:color w:val="000000"/>
                <w:sz w:val="21"/>
                <w:szCs w:val="21"/>
              </w:rPr>
              <w:t xml:space="preserve">  经油气回收系统后烃类气体排放情况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6"/>
              <w:gridCol w:w="1461"/>
              <w:gridCol w:w="675"/>
              <w:gridCol w:w="1984"/>
              <w:gridCol w:w="1329"/>
              <w:gridCol w:w="17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22" w:type="dxa"/>
                  <w:gridSpan w:val="3"/>
                  <w:vAlign w:val="center"/>
                </w:tcPr>
                <w:p>
                  <w:pPr>
                    <w:pStyle w:val="6"/>
                    <w:spacing w:before="0" w:beforeAutospacing="0" w:after="0" w:afterAutospacing="0"/>
                    <w:jc w:val="center"/>
                    <w:rPr>
                      <w:b/>
                      <w:color w:val="000000"/>
                      <w:sz w:val="21"/>
                      <w:szCs w:val="21"/>
                    </w:rPr>
                  </w:pPr>
                  <w:r>
                    <w:rPr>
                      <w:b/>
                      <w:color w:val="000000"/>
                      <w:kern w:val="2"/>
                      <w:sz w:val="21"/>
                      <w:szCs w:val="21"/>
                    </w:rPr>
                    <w:t>项目</w:t>
                  </w:r>
                </w:p>
              </w:tc>
              <w:tc>
                <w:tcPr>
                  <w:tcW w:w="1984" w:type="dxa"/>
                  <w:vAlign w:val="center"/>
                </w:tcPr>
                <w:p>
                  <w:pPr>
                    <w:pStyle w:val="6"/>
                    <w:spacing w:before="0" w:beforeAutospacing="0" w:after="0" w:afterAutospacing="0"/>
                    <w:jc w:val="center"/>
                    <w:rPr>
                      <w:b/>
                      <w:color w:val="000000"/>
                      <w:sz w:val="21"/>
                      <w:szCs w:val="21"/>
                    </w:rPr>
                  </w:pPr>
                  <w:r>
                    <w:rPr>
                      <w:b/>
                      <w:color w:val="000000"/>
                      <w:kern w:val="2"/>
                      <w:sz w:val="21"/>
                      <w:szCs w:val="21"/>
                    </w:rPr>
                    <w:t>烃产生量（kg/a）</w:t>
                  </w:r>
                </w:p>
              </w:tc>
              <w:tc>
                <w:tcPr>
                  <w:tcW w:w="1329" w:type="dxa"/>
                  <w:vAlign w:val="center"/>
                </w:tcPr>
                <w:p>
                  <w:pPr>
                    <w:pStyle w:val="6"/>
                    <w:spacing w:before="0" w:beforeAutospacing="0" w:after="0" w:afterAutospacing="0"/>
                    <w:jc w:val="center"/>
                    <w:rPr>
                      <w:b/>
                      <w:color w:val="000000"/>
                      <w:sz w:val="21"/>
                      <w:szCs w:val="21"/>
                    </w:rPr>
                  </w:pPr>
                  <w:r>
                    <w:rPr>
                      <w:b/>
                      <w:color w:val="000000"/>
                      <w:kern w:val="2"/>
                      <w:sz w:val="21"/>
                      <w:szCs w:val="21"/>
                    </w:rPr>
                    <w:t>回收率</w:t>
                  </w:r>
                </w:p>
              </w:tc>
              <w:tc>
                <w:tcPr>
                  <w:tcW w:w="1749" w:type="dxa"/>
                  <w:vAlign w:val="center"/>
                </w:tcPr>
                <w:p>
                  <w:pPr>
                    <w:pStyle w:val="6"/>
                    <w:spacing w:before="0" w:beforeAutospacing="0" w:after="0" w:afterAutospacing="0"/>
                    <w:jc w:val="center"/>
                    <w:rPr>
                      <w:b/>
                      <w:color w:val="000000"/>
                      <w:sz w:val="21"/>
                      <w:szCs w:val="21"/>
                    </w:rPr>
                  </w:pPr>
                  <w:r>
                    <w:rPr>
                      <w:b/>
                      <w:color w:val="000000"/>
                      <w:kern w:val="2"/>
                      <w:sz w:val="21"/>
                      <w:szCs w:val="21"/>
                    </w:rPr>
                    <w:t>排放量（kg/a）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86" w:type="dxa"/>
                  <w:vMerge w:val="restart"/>
                  <w:vAlign w:val="center"/>
                </w:tcPr>
                <w:p>
                  <w:pPr>
                    <w:pStyle w:val="6"/>
                    <w:spacing w:before="0" w:beforeAutospacing="0" w:after="0" w:afterAutospacing="0"/>
                    <w:jc w:val="center"/>
                    <w:rPr>
                      <w:color w:val="000000"/>
                      <w:sz w:val="21"/>
                      <w:szCs w:val="21"/>
                    </w:rPr>
                  </w:pPr>
                  <w:r>
                    <w:rPr>
                      <w:color w:val="000000"/>
                      <w:kern w:val="2"/>
                      <w:sz w:val="21"/>
                      <w:szCs w:val="21"/>
                    </w:rPr>
                    <w:t>储油罐</w:t>
                  </w:r>
                </w:p>
              </w:tc>
              <w:tc>
                <w:tcPr>
                  <w:tcW w:w="1461" w:type="dxa"/>
                  <w:vAlign w:val="center"/>
                </w:tcPr>
                <w:p>
                  <w:pPr>
                    <w:pStyle w:val="6"/>
                    <w:spacing w:before="0" w:beforeAutospacing="0" w:after="0" w:afterAutospacing="0"/>
                    <w:jc w:val="center"/>
                    <w:rPr>
                      <w:color w:val="000000"/>
                      <w:sz w:val="21"/>
                      <w:szCs w:val="21"/>
                    </w:rPr>
                  </w:pPr>
                  <w:r>
                    <w:rPr>
                      <w:color w:val="000000"/>
                      <w:kern w:val="2"/>
                      <w:sz w:val="21"/>
                      <w:szCs w:val="21"/>
                    </w:rPr>
                    <w:t>大呼吸损失</w:t>
                  </w:r>
                </w:p>
              </w:tc>
              <w:tc>
                <w:tcPr>
                  <w:tcW w:w="675" w:type="dxa"/>
                  <w:vAlign w:val="center"/>
                </w:tcPr>
                <w:p>
                  <w:pPr>
                    <w:pStyle w:val="6"/>
                    <w:spacing w:before="0" w:beforeAutospacing="0" w:after="0" w:afterAutospacing="0"/>
                    <w:jc w:val="center"/>
                    <w:rPr>
                      <w:color w:val="000000"/>
                      <w:sz w:val="21"/>
                      <w:szCs w:val="21"/>
                    </w:rPr>
                  </w:pPr>
                  <w:r>
                    <w:rPr>
                      <w:color w:val="000000"/>
                      <w:sz w:val="21"/>
                      <w:szCs w:val="21"/>
                    </w:rPr>
                    <w:t>汽油</w:t>
                  </w:r>
                </w:p>
              </w:tc>
              <w:tc>
                <w:tcPr>
                  <w:tcW w:w="1984" w:type="dxa"/>
                  <w:vAlign w:val="center"/>
                </w:tcPr>
                <w:p>
                  <w:pPr>
                    <w:pStyle w:val="20"/>
                    <w:rPr>
                      <w:sz w:val="21"/>
                      <w:szCs w:val="21"/>
                    </w:rPr>
                  </w:pPr>
                  <w:r>
                    <w:rPr>
                      <w:rFonts w:hint="eastAsia" w:cs="Times New Roman"/>
                      <w:kern w:val="0"/>
                      <w:szCs w:val="21"/>
                      <w:vertAlign w:val="baseline"/>
                      <w:lang w:val="en-US" w:eastAsia="zh-CN"/>
                    </w:rPr>
                    <w:t>234.69</w:t>
                  </w:r>
                </w:p>
              </w:tc>
              <w:tc>
                <w:tcPr>
                  <w:tcW w:w="1329" w:type="dxa"/>
                  <w:vAlign w:val="center"/>
                </w:tcPr>
                <w:p>
                  <w:pPr>
                    <w:jc w:val="center"/>
                    <w:rPr>
                      <w:sz w:val="21"/>
                      <w:szCs w:val="21"/>
                    </w:rPr>
                  </w:pPr>
                  <w:r>
                    <w:rPr>
                      <w:sz w:val="21"/>
                      <w:szCs w:val="21"/>
                    </w:rPr>
                    <w:t>99%</w:t>
                  </w:r>
                </w:p>
              </w:tc>
              <w:tc>
                <w:tcPr>
                  <w:tcW w:w="1749" w:type="dxa"/>
                  <w:vAlign w:val="center"/>
                </w:tcPr>
                <w:p>
                  <w:pPr>
                    <w:jc w:val="center"/>
                    <w:rPr>
                      <w:rFonts w:hint="default" w:eastAsia="宋体"/>
                      <w:sz w:val="21"/>
                      <w:szCs w:val="21"/>
                      <w:lang w:val="en-US" w:eastAsia="zh-CN"/>
                    </w:rPr>
                  </w:pPr>
                  <w:r>
                    <w:rPr>
                      <w:rFonts w:hint="eastAsia"/>
                      <w:sz w:val="21"/>
                      <w:szCs w:val="21"/>
                      <w:lang w:val="en-US" w:eastAsia="zh-CN"/>
                    </w:rPr>
                    <w:t>2.3469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86" w:type="dxa"/>
                  <w:vMerge w:val="continue"/>
                  <w:vAlign w:val="center"/>
                </w:tcPr>
                <w:p>
                  <w:pPr>
                    <w:jc w:val="center"/>
                    <w:rPr>
                      <w:sz w:val="21"/>
                      <w:szCs w:val="21"/>
                    </w:rPr>
                  </w:pPr>
                </w:p>
              </w:tc>
              <w:tc>
                <w:tcPr>
                  <w:tcW w:w="1461" w:type="dxa"/>
                  <w:vAlign w:val="center"/>
                </w:tcPr>
                <w:p>
                  <w:pPr>
                    <w:pStyle w:val="6"/>
                    <w:spacing w:before="0" w:beforeAutospacing="0" w:after="0" w:afterAutospacing="0"/>
                    <w:jc w:val="center"/>
                    <w:rPr>
                      <w:color w:val="000000"/>
                      <w:sz w:val="21"/>
                      <w:szCs w:val="21"/>
                    </w:rPr>
                  </w:pPr>
                  <w:r>
                    <w:rPr>
                      <w:color w:val="000000"/>
                      <w:kern w:val="2"/>
                      <w:sz w:val="21"/>
                      <w:szCs w:val="21"/>
                    </w:rPr>
                    <w:t>小呼吸损失</w:t>
                  </w:r>
                </w:p>
              </w:tc>
              <w:tc>
                <w:tcPr>
                  <w:tcW w:w="675" w:type="dxa"/>
                  <w:vAlign w:val="center"/>
                </w:tcPr>
                <w:p>
                  <w:pPr>
                    <w:pStyle w:val="6"/>
                    <w:spacing w:before="0" w:beforeAutospacing="0" w:after="0" w:afterAutospacing="0"/>
                    <w:jc w:val="center"/>
                    <w:rPr>
                      <w:color w:val="000000"/>
                      <w:sz w:val="21"/>
                      <w:szCs w:val="21"/>
                    </w:rPr>
                  </w:pPr>
                  <w:r>
                    <w:rPr>
                      <w:color w:val="000000"/>
                      <w:sz w:val="21"/>
                      <w:szCs w:val="21"/>
                    </w:rPr>
                    <w:t>汽油</w:t>
                  </w:r>
                </w:p>
              </w:tc>
              <w:tc>
                <w:tcPr>
                  <w:tcW w:w="1984" w:type="dxa"/>
                  <w:vAlign w:val="center"/>
                </w:tcPr>
                <w:p>
                  <w:pPr>
                    <w:pStyle w:val="20"/>
                    <w:rPr>
                      <w:sz w:val="21"/>
                      <w:szCs w:val="21"/>
                    </w:rPr>
                  </w:pPr>
                  <w:r>
                    <w:rPr>
                      <w:rFonts w:hint="eastAsia" w:cs="Times New Roman"/>
                      <w:kern w:val="0"/>
                      <w:szCs w:val="21"/>
                      <w:vertAlign w:val="baseline"/>
                      <w:lang w:val="en-US" w:eastAsia="zh-CN"/>
                    </w:rPr>
                    <w:t>32.004</w:t>
                  </w:r>
                </w:p>
              </w:tc>
              <w:tc>
                <w:tcPr>
                  <w:tcW w:w="1329" w:type="dxa"/>
                  <w:vAlign w:val="center"/>
                </w:tcPr>
                <w:p>
                  <w:pPr>
                    <w:jc w:val="center"/>
                    <w:rPr>
                      <w:sz w:val="21"/>
                      <w:szCs w:val="21"/>
                    </w:rPr>
                  </w:pPr>
                  <w:r>
                    <w:rPr>
                      <w:sz w:val="21"/>
                      <w:szCs w:val="21"/>
                    </w:rPr>
                    <w:t>9</w:t>
                  </w:r>
                  <w:r>
                    <w:rPr>
                      <w:rFonts w:hint="eastAsia"/>
                      <w:sz w:val="21"/>
                      <w:szCs w:val="21"/>
                    </w:rPr>
                    <w:t>9</w:t>
                  </w:r>
                  <w:r>
                    <w:rPr>
                      <w:sz w:val="21"/>
                      <w:szCs w:val="21"/>
                    </w:rPr>
                    <w:t>%</w:t>
                  </w:r>
                </w:p>
              </w:tc>
              <w:tc>
                <w:tcPr>
                  <w:tcW w:w="1749" w:type="dxa"/>
                  <w:vAlign w:val="center"/>
                </w:tcPr>
                <w:p>
                  <w:pPr>
                    <w:jc w:val="center"/>
                    <w:rPr>
                      <w:rFonts w:hint="default" w:eastAsia="宋体"/>
                      <w:sz w:val="21"/>
                      <w:szCs w:val="21"/>
                      <w:lang w:val="en-US" w:eastAsia="zh-CN"/>
                    </w:rPr>
                  </w:pPr>
                  <w:r>
                    <w:rPr>
                      <w:rFonts w:hint="eastAsia"/>
                      <w:sz w:val="21"/>
                      <w:szCs w:val="21"/>
                      <w:lang w:val="en-US" w:eastAsia="zh-CN"/>
                    </w:rPr>
                    <w:t>0.32004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86" w:type="dxa"/>
                  <w:vAlign w:val="center"/>
                </w:tcPr>
                <w:p>
                  <w:pPr>
                    <w:pStyle w:val="6"/>
                    <w:spacing w:before="0" w:beforeAutospacing="0" w:after="0" w:afterAutospacing="0"/>
                    <w:jc w:val="center"/>
                    <w:rPr>
                      <w:color w:val="000000"/>
                      <w:sz w:val="21"/>
                      <w:szCs w:val="21"/>
                    </w:rPr>
                  </w:pPr>
                  <w:r>
                    <w:rPr>
                      <w:color w:val="000000"/>
                      <w:kern w:val="2"/>
                      <w:sz w:val="21"/>
                      <w:szCs w:val="21"/>
                    </w:rPr>
                    <w:t>油罐车</w:t>
                  </w:r>
                </w:p>
              </w:tc>
              <w:tc>
                <w:tcPr>
                  <w:tcW w:w="1461" w:type="dxa"/>
                  <w:vAlign w:val="center"/>
                </w:tcPr>
                <w:p>
                  <w:pPr>
                    <w:pStyle w:val="6"/>
                    <w:spacing w:before="0" w:beforeAutospacing="0" w:after="0" w:afterAutospacing="0"/>
                    <w:jc w:val="center"/>
                    <w:rPr>
                      <w:color w:val="000000"/>
                      <w:sz w:val="21"/>
                      <w:szCs w:val="21"/>
                    </w:rPr>
                  </w:pPr>
                  <w:r>
                    <w:rPr>
                      <w:color w:val="000000"/>
                      <w:kern w:val="2"/>
                      <w:sz w:val="21"/>
                      <w:szCs w:val="21"/>
                    </w:rPr>
                    <w:t>卸料损失</w:t>
                  </w:r>
                </w:p>
              </w:tc>
              <w:tc>
                <w:tcPr>
                  <w:tcW w:w="675" w:type="dxa"/>
                  <w:vAlign w:val="center"/>
                </w:tcPr>
                <w:p>
                  <w:pPr>
                    <w:pStyle w:val="6"/>
                    <w:spacing w:before="0" w:beforeAutospacing="0" w:after="0" w:afterAutospacing="0"/>
                    <w:jc w:val="center"/>
                    <w:rPr>
                      <w:color w:val="000000"/>
                      <w:sz w:val="21"/>
                      <w:szCs w:val="21"/>
                    </w:rPr>
                  </w:pPr>
                  <w:r>
                    <w:rPr>
                      <w:color w:val="000000"/>
                      <w:sz w:val="21"/>
                      <w:szCs w:val="21"/>
                    </w:rPr>
                    <w:t>汽油</w:t>
                  </w:r>
                </w:p>
              </w:tc>
              <w:tc>
                <w:tcPr>
                  <w:tcW w:w="1984" w:type="dxa"/>
                  <w:vAlign w:val="center"/>
                </w:tcPr>
                <w:p>
                  <w:pPr>
                    <w:pStyle w:val="20"/>
                    <w:rPr>
                      <w:sz w:val="21"/>
                      <w:szCs w:val="21"/>
                    </w:rPr>
                  </w:pPr>
                  <w:r>
                    <w:rPr>
                      <w:rFonts w:hint="eastAsia" w:cs="Times New Roman"/>
                      <w:kern w:val="0"/>
                      <w:szCs w:val="21"/>
                      <w:vertAlign w:val="baseline"/>
                      <w:lang w:val="en-US" w:eastAsia="zh-CN"/>
                    </w:rPr>
                    <w:t>160.02</w:t>
                  </w:r>
                </w:p>
              </w:tc>
              <w:tc>
                <w:tcPr>
                  <w:tcW w:w="1329" w:type="dxa"/>
                  <w:vAlign w:val="center"/>
                </w:tcPr>
                <w:p>
                  <w:pPr>
                    <w:jc w:val="center"/>
                    <w:rPr>
                      <w:sz w:val="21"/>
                      <w:szCs w:val="21"/>
                    </w:rPr>
                  </w:pPr>
                  <w:r>
                    <w:rPr>
                      <w:sz w:val="21"/>
                      <w:szCs w:val="21"/>
                    </w:rPr>
                    <w:t>99%</w:t>
                  </w:r>
                </w:p>
              </w:tc>
              <w:tc>
                <w:tcPr>
                  <w:tcW w:w="1749" w:type="dxa"/>
                  <w:vAlign w:val="center"/>
                </w:tcPr>
                <w:p>
                  <w:pPr>
                    <w:jc w:val="center"/>
                    <w:rPr>
                      <w:rFonts w:hint="default" w:eastAsia="宋体"/>
                      <w:sz w:val="21"/>
                      <w:szCs w:val="21"/>
                      <w:lang w:val="en-US" w:eastAsia="zh-CN"/>
                    </w:rPr>
                  </w:pPr>
                  <w:r>
                    <w:rPr>
                      <w:rFonts w:hint="eastAsia"/>
                      <w:sz w:val="21"/>
                      <w:szCs w:val="21"/>
                      <w:lang w:val="en-US" w:eastAsia="zh-CN"/>
                    </w:rPr>
                    <w:t>1.6002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86" w:type="dxa"/>
                  <w:vMerge w:val="restart"/>
                  <w:vAlign w:val="center"/>
                </w:tcPr>
                <w:p>
                  <w:pPr>
                    <w:pStyle w:val="6"/>
                    <w:spacing w:before="0" w:beforeAutospacing="0" w:after="0" w:afterAutospacing="0"/>
                    <w:jc w:val="center"/>
                    <w:rPr>
                      <w:color w:val="000000"/>
                      <w:sz w:val="21"/>
                      <w:szCs w:val="21"/>
                    </w:rPr>
                  </w:pPr>
                  <w:r>
                    <w:rPr>
                      <w:color w:val="000000"/>
                      <w:kern w:val="2"/>
                      <w:sz w:val="21"/>
                      <w:szCs w:val="21"/>
                    </w:rPr>
                    <w:t>加油站</w:t>
                  </w:r>
                </w:p>
              </w:tc>
              <w:tc>
                <w:tcPr>
                  <w:tcW w:w="1461" w:type="dxa"/>
                  <w:vAlign w:val="center"/>
                </w:tcPr>
                <w:p>
                  <w:pPr>
                    <w:pStyle w:val="6"/>
                    <w:spacing w:before="0" w:beforeAutospacing="0" w:after="0" w:afterAutospacing="0"/>
                    <w:jc w:val="center"/>
                    <w:rPr>
                      <w:color w:val="000000"/>
                      <w:sz w:val="21"/>
                      <w:szCs w:val="21"/>
                    </w:rPr>
                  </w:pPr>
                  <w:r>
                    <w:rPr>
                      <w:color w:val="000000"/>
                      <w:kern w:val="2"/>
                      <w:sz w:val="21"/>
                      <w:szCs w:val="21"/>
                    </w:rPr>
                    <w:t>加油作业损失</w:t>
                  </w:r>
                </w:p>
              </w:tc>
              <w:tc>
                <w:tcPr>
                  <w:tcW w:w="675" w:type="dxa"/>
                  <w:vAlign w:val="center"/>
                </w:tcPr>
                <w:p>
                  <w:pPr>
                    <w:pStyle w:val="6"/>
                    <w:spacing w:before="0" w:beforeAutospacing="0" w:after="0" w:afterAutospacing="0"/>
                    <w:jc w:val="center"/>
                    <w:rPr>
                      <w:color w:val="000000"/>
                      <w:sz w:val="21"/>
                      <w:szCs w:val="21"/>
                    </w:rPr>
                  </w:pPr>
                  <w:r>
                    <w:rPr>
                      <w:color w:val="000000"/>
                      <w:sz w:val="21"/>
                      <w:szCs w:val="21"/>
                    </w:rPr>
                    <w:t>汽油</w:t>
                  </w:r>
                </w:p>
              </w:tc>
              <w:tc>
                <w:tcPr>
                  <w:tcW w:w="1984" w:type="dxa"/>
                  <w:vAlign w:val="center"/>
                </w:tcPr>
                <w:p>
                  <w:pPr>
                    <w:pStyle w:val="20"/>
                    <w:rPr>
                      <w:sz w:val="21"/>
                      <w:szCs w:val="21"/>
                    </w:rPr>
                  </w:pPr>
                  <w:r>
                    <w:rPr>
                      <w:rFonts w:hint="eastAsia" w:cs="Times New Roman"/>
                      <w:kern w:val="0"/>
                      <w:szCs w:val="21"/>
                      <w:vertAlign w:val="baseline"/>
                      <w:lang w:val="en-US" w:eastAsia="zh-CN"/>
                    </w:rPr>
                    <w:t>29.337</w:t>
                  </w:r>
                </w:p>
              </w:tc>
              <w:tc>
                <w:tcPr>
                  <w:tcW w:w="1329" w:type="dxa"/>
                  <w:vAlign w:val="center"/>
                </w:tcPr>
                <w:p>
                  <w:pPr>
                    <w:jc w:val="center"/>
                    <w:rPr>
                      <w:sz w:val="21"/>
                      <w:szCs w:val="21"/>
                    </w:rPr>
                  </w:pPr>
                  <w:r>
                    <w:rPr>
                      <w:sz w:val="21"/>
                      <w:szCs w:val="21"/>
                    </w:rPr>
                    <w:t>9</w:t>
                  </w:r>
                  <w:r>
                    <w:rPr>
                      <w:rFonts w:hint="eastAsia"/>
                      <w:sz w:val="21"/>
                      <w:szCs w:val="21"/>
                    </w:rPr>
                    <w:t>5</w:t>
                  </w:r>
                  <w:r>
                    <w:rPr>
                      <w:sz w:val="21"/>
                      <w:szCs w:val="21"/>
                    </w:rPr>
                    <w:t>%</w:t>
                  </w:r>
                </w:p>
              </w:tc>
              <w:tc>
                <w:tcPr>
                  <w:tcW w:w="1749" w:type="dxa"/>
                  <w:vAlign w:val="center"/>
                </w:tcPr>
                <w:p>
                  <w:pPr>
                    <w:jc w:val="center"/>
                    <w:rPr>
                      <w:rFonts w:hint="default" w:eastAsia="宋体"/>
                      <w:sz w:val="21"/>
                      <w:szCs w:val="21"/>
                      <w:lang w:val="en-US" w:eastAsia="zh-CN"/>
                    </w:rPr>
                  </w:pPr>
                  <w:r>
                    <w:rPr>
                      <w:rFonts w:hint="eastAsia"/>
                      <w:sz w:val="21"/>
                      <w:szCs w:val="21"/>
                      <w:lang w:val="en-US" w:eastAsia="zh-CN"/>
                    </w:rPr>
                    <w:t>1.467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86" w:type="dxa"/>
                  <w:vMerge w:val="continue"/>
                  <w:vAlign w:val="center"/>
                </w:tcPr>
                <w:p>
                  <w:pPr>
                    <w:jc w:val="center"/>
                    <w:rPr>
                      <w:sz w:val="21"/>
                      <w:szCs w:val="21"/>
                    </w:rPr>
                  </w:pPr>
                </w:p>
              </w:tc>
              <w:tc>
                <w:tcPr>
                  <w:tcW w:w="1461" w:type="dxa"/>
                  <w:vAlign w:val="center"/>
                </w:tcPr>
                <w:p>
                  <w:pPr>
                    <w:pStyle w:val="6"/>
                    <w:spacing w:before="0" w:beforeAutospacing="0" w:after="0" w:afterAutospacing="0"/>
                    <w:jc w:val="center"/>
                    <w:rPr>
                      <w:color w:val="000000"/>
                      <w:sz w:val="21"/>
                      <w:szCs w:val="21"/>
                    </w:rPr>
                  </w:pPr>
                  <w:r>
                    <w:rPr>
                      <w:color w:val="000000"/>
                      <w:kern w:val="2"/>
                      <w:sz w:val="21"/>
                      <w:szCs w:val="21"/>
                    </w:rPr>
                    <w:t>跑冒滴漏损失</w:t>
                  </w:r>
                </w:p>
              </w:tc>
              <w:tc>
                <w:tcPr>
                  <w:tcW w:w="675" w:type="dxa"/>
                  <w:vAlign w:val="center"/>
                </w:tcPr>
                <w:p>
                  <w:pPr>
                    <w:pStyle w:val="6"/>
                    <w:spacing w:before="0" w:beforeAutospacing="0" w:after="0" w:afterAutospacing="0"/>
                    <w:jc w:val="center"/>
                    <w:rPr>
                      <w:color w:val="000000"/>
                      <w:sz w:val="21"/>
                      <w:szCs w:val="21"/>
                    </w:rPr>
                  </w:pPr>
                  <w:r>
                    <w:rPr>
                      <w:color w:val="000000"/>
                      <w:sz w:val="21"/>
                      <w:szCs w:val="21"/>
                    </w:rPr>
                    <w:t>汽油</w:t>
                  </w:r>
                </w:p>
              </w:tc>
              <w:tc>
                <w:tcPr>
                  <w:tcW w:w="1984" w:type="dxa"/>
                  <w:vAlign w:val="center"/>
                </w:tcPr>
                <w:p>
                  <w:pPr>
                    <w:pStyle w:val="20"/>
                    <w:rPr>
                      <w:sz w:val="21"/>
                      <w:szCs w:val="21"/>
                    </w:rPr>
                  </w:pPr>
                  <w:r>
                    <w:rPr>
                      <w:rFonts w:hint="eastAsia" w:cs="Times New Roman"/>
                      <w:kern w:val="0"/>
                      <w:szCs w:val="21"/>
                      <w:vertAlign w:val="baseline"/>
                      <w:lang w:val="en-US" w:eastAsia="zh-CN"/>
                    </w:rPr>
                    <w:t>22.4028</w:t>
                  </w:r>
                </w:p>
              </w:tc>
              <w:tc>
                <w:tcPr>
                  <w:tcW w:w="1329" w:type="dxa"/>
                  <w:vAlign w:val="top"/>
                </w:tcPr>
                <w:p>
                  <w:pPr>
                    <w:jc w:val="center"/>
                    <w:rPr>
                      <w:sz w:val="21"/>
                      <w:szCs w:val="21"/>
                    </w:rPr>
                  </w:pPr>
                  <w:r>
                    <w:rPr>
                      <w:rFonts w:hint="eastAsia"/>
                      <w:sz w:val="21"/>
                      <w:szCs w:val="21"/>
                    </w:rPr>
                    <w:t>/</w:t>
                  </w:r>
                </w:p>
              </w:tc>
              <w:tc>
                <w:tcPr>
                  <w:tcW w:w="1749" w:type="dxa"/>
                  <w:vAlign w:val="top"/>
                </w:tcPr>
                <w:p>
                  <w:pPr>
                    <w:jc w:val="center"/>
                    <w:rPr>
                      <w:rFonts w:hint="default" w:eastAsia="宋体"/>
                      <w:sz w:val="21"/>
                      <w:szCs w:val="21"/>
                      <w:lang w:val="en-US" w:eastAsia="zh-CN"/>
                    </w:rPr>
                  </w:pPr>
                  <w:r>
                    <w:rPr>
                      <w:rFonts w:hint="eastAsia"/>
                      <w:sz w:val="21"/>
                      <w:szCs w:val="21"/>
                      <w:lang w:val="en-US" w:eastAsia="zh-CN"/>
                    </w:rPr>
                    <w:t>22.4028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335" w:type="dxa"/>
                  <w:gridSpan w:val="5"/>
                  <w:vAlign w:val="center"/>
                </w:tcPr>
                <w:p>
                  <w:pPr>
                    <w:pStyle w:val="6"/>
                    <w:spacing w:before="0" w:beforeAutospacing="0" w:after="0" w:afterAutospacing="0"/>
                    <w:jc w:val="center"/>
                    <w:rPr>
                      <w:color w:val="000000"/>
                      <w:sz w:val="21"/>
                      <w:szCs w:val="21"/>
                    </w:rPr>
                  </w:pPr>
                  <w:r>
                    <w:rPr>
                      <w:color w:val="000000"/>
                      <w:kern w:val="2"/>
                      <w:sz w:val="21"/>
                      <w:szCs w:val="21"/>
                    </w:rPr>
                    <w:t>合计</w:t>
                  </w:r>
                </w:p>
              </w:tc>
              <w:tc>
                <w:tcPr>
                  <w:tcW w:w="174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2"/>
                      <w:szCs w:val="22"/>
                      <w:u w:val="none"/>
                      <w:lang w:val="en-US" w:eastAsia="zh-CN" w:bidi="ar-SA"/>
                    </w:rPr>
                    <w:t>28.137</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20" w:firstLineChars="200"/>
              <w:jc w:val="left"/>
              <w:textAlignment w:val="auto"/>
              <w:rPr>
                <w:color w:val="000000"/>
                <w:sz w:val="21"/>
                <w:szCs w:val="21"/>
              </w:rPr>
            </w:pPr>
            <w:r>
              <w:rPr>
                <w:color w:val="000000"/>
                <w:sz w:val="21"/>
                <w:szCs w:val="21"/>
              </w:rPr>
              <w:t>本项目采取油气回收系统措施后，</w:t>
            </w:r>
            <w:r>
              <w:rPr>
                <w:rFonts w:hint="eastAsia"/>
                <w:color w:val="000000"/>
                <w:sz w:val="21"/>
                <w:szCs w:val="21"/>
                <w:lang w:eastAsia="zh-CN"/>
              </w:rPr>
              <w:t>新增</w:t>
            </w:r>
            <w:r>
              <w:rPr>
                <w:color w:val="000000"/>
                <w:sz w:val="21"/>
                <w:szCs w:val="21"/>
              </w:rPr>
              <w:t>排放的非甲烷总烃污染物为</w:t>
            </w:r>
            <w:r>
              <w:rPr>
                <w:rFonts w:hint="eastAsia"/>
                <w:color w:val="000000"/>
                <w:sz w:val="21"/>
                <w:szCs w:val="21"/>
                <w:lang w:val="en-US" w:eastAsia="zh-CN"/>
              </w:rPr>
              <w:t>0.028</w:t>
            </w:r>
            <w:r>
              <w:rPr>
                <w:color w:val="000000"/>
                <w:sz w:val="21"/>
                <w:szCs w:val="21"/>
              </w:rPr>
              <w:t>t/a，项目非甲烷总烃排放量小，排放形式为无组织排放。</w:t>
            </w:r>
          </w:p>
          <w:p>
            <w:pPr>
              <w:adjustRightInd w:val="0"/>
              <w:snapToGrid w:val="0"/>
              <w:spacing w:line="360" w:lineRule="auto"/>
              <w:rPr>
                <w:rFonts w:hint="eastAsia" w:ascii="Times New Roman" w:hAnsi="Times New Roman" w:cs="Times New Roman"/>
                <w:kern w:val="0"/>
                <w:szCs w:val="21"/>
                <w:lang w:val="en-US" w:eastAsia="zh-CN"/>
              </w:rPr>
            </w:pPr>
            <w:r>
              <w:rPr>
                <w:rFonts w:hint="default" w:ascii="Times New Roman" w:hAnsi="Times New Roman" w:cs="Times New Roman"/>
                <w:kern w:val="0"/>
                <w:szCs w:val="21"/>
              </w:rPr>
              <w:t>非正常工况下，按油气回收效率为0考虑，根据工程分析</w:t>
            </w:r>
            <w:r>
              <w:rPr>
                <w:rFonts w:hint="eastAsia" w:cs="Times New Roman"/>
                <w:kern w:val="0"/>
                <w:szCs w:val="21"/>
                <w:lang w:eastAsia="zh-CN"/>
              </w:rPr>
              <w:t>，汽油总体通过量</w:t>
            </w:r>
            <w:r>
              <w:rPr>
                <w:rFonts w:hint="eastAsia" w:cs="Times New Roman"/>
                <w:kern w:val="0"/>
                <w:szCs w:val="21"/>
                <w:lang w:val="en-US" w:eastAsia="zh-CN"/>
              </w:rPr>
              <w:t>1600m3/a，柴油通过量为111.11m3/a，</w:t>
            </w:r>
            <w:r>
              <w:rPr>
                <w:rFonts w:hint="eastAsia" w:cs="Times New Roman"/>
                <w:kern w:val="0"/>
                <w:szCs w:val="21"/>
                <w:lang w:eastAsia="zh-CN"/>
              </w:rPr>
              <w:t>经计算</w:t>
            </w:r>
            <w:r>
              <w:rPr>
                <w:rFonts w:hint="eastAsia" w:ascii="Times New Roman" w:hAnsi="Times New Roman" w:cs="Times New Roman"/>
                <w:kern w:val="0"/>
                <w:szCs w:val="21"/>
                <w:lang w:eastAsia="zh-CN"/>
              </w:rPr>
              <w:t>项目整体烃产生量为</w:t>
            </w:r>
            <w:r>
              <w:rPr>
                <w:color w:val="000000"/>
                <w:kern w:val="0"/>
                <w:szCs w:val="21"/>
                <w:lang w:bidi="ar"/>
              </w:rPr>
              <w:t>2981.2</w:t>
            </w:r>
            <w:r>
              <w:rPr>
                <w:rFonts w:hint="eastAsia"/>
                <w:color w:val="000000"/>
                <w:kern w:val="0"/>
                <w:szCs w:val="21"/>
                <w:lang w:val="en-US" w:eastAsia="zh-CN" w:bidi="ar"/>
              </w:rPr>
              <w:t>9kg/a</w:t>
            </w:r>
            <w:r>
              <w:rPr>
                <w:rFonts w:hint="default" w:ascii="Times New Roman" w:hAnsi="Times New Roman" w:cs="Times New Roman"/>
                <w:kern w:val="0"/>
                <w:szCs w:val="21"/>
              </w:rPr>
              <w:t>，该情况下废气排放情况下表</w:t>
            </w:r>
            <w:r>
              <w:rPr>
                <w:rFonts w:hint="eastAsia" w:ascii="Times New Roman" w:hAnsi="Times New Roman" w:cs="Times New Roman"/>
                <w:kern w:val="0"/>
                <w:szCs w:val="21"/>
                <w:lang w:val="en-US" w:eastAsia="zh-CN"/>
              </w:rPr>
              <w:t>4-3。</w:t>
            </w:r>
          </w:p>
          <w:p>
            <w:pPr>
              <w:spacing w:line="360" w:lineRule="auto"/>
              <w:ind w:left="-53" w:firstLine="420"/>
              <w:jc w:val="center"/>
              <w:rPr>
                <w:rFonts w:hint="default" w:ascii="Times New Roman" w:hAnsi="Times New Roman" w:eastAsia="宋体" w:cs="Times New Roman"/>
                <w:kern w:val="0"/>
                <w:szCs w:val="21"/>
                <w:lang w:val="en-US" w:eastAsia="zh-CN"/>
              </w:rPr>
            </w:pPr>
            <w:r>
              <w:rPr>
                <w:b/>
                <w:color w:val="000000"/>
                <w:sz w:val="21"/>
                <w:szCs w:val="21"/>
              </w:rPr>
              <w:t>表</w:t>
            </w:r>
            <w:r>
              <w:rPr>
                <w:rFonts w:hint="eastAsia"/>
                <w:b/>
                <w:color w:val="000000"/>
                <w:sz w:val="21"/>
                <w:szCs w:val="21"/>
                <w:lang w:val="en-US" w:eastAsia="zh-CN"/>
              </w:rPr>
              <w:t>4</w:t>
            </w:r>
            <w:r>
              <w:rPr>
                <w:b/>
                <w:color w:val="000000"/>
                <w:sz w:val="21"/>
                <w:szCs w:val="21"/>
              </w:rPr>
              <w:t>-</w:t>
            </w:r>
            <w:r>
              <w:rPr>
                <w:rFonts w:hint="eastAsia"/>
                <w:b/>
                <w:color w:val="000000"/>
                <w:sz w:val="21"/>
                <w:szCs w:val="21"/>
                <w:lang w:val="en-US" w:eastAsia="zh-CN"/>
              </w:rPr>
              <w:t>3</w:t>
            </w:r>
            <w:r>
              <w:rPr>
                <w:b/>
                <w:color w:val="000000"/>
                <w:sz w:val="21"/>
                <w:szCs w:val="21"/>
              </w:rPr>
              <w:t xml:space="preserve">  </w:t>
            </w:r>
            <w:r>
              <w:rPr>
                <w:rFonts w:hint="eastAsia"/>
                <w:b/>
                <w:color w:val="000000"/>
                <w:sz w:val="21"/>
                <w:szCs w:val="21"/>
                <w:lang w:val="en-US" w:eastAsia="zh-CN"/>
              </w:rPr>
              <w:t>非正常工况下废气排放量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56"/>
              <w:gridCol w:w="751"/>
              <w:gridCol w:w="1152"/>
              <w:gridCol w:w="155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72" w:type="pct"/>
                  <w:vAlign w:val="center"/>
                </w:tcPr>
                <w:p>
                  <w:pPr>
                    <w:jc w:val="center"/>
                    <w:rPr>
                      <w:rFonts w:hint="default"/>
                      <w:b/>
                      <w:bCs/>
                    </w:rPr>
                  </w:pPr>
                  <w:r>
                    <w:rPr>
                      <w:rFonts w:hint="eastAsia"/>
                      <w:b/>
                      <w:bCs/>
                      <w:lang w:val="en-US" w:eastAsia="zh-CN"/>
                    </w:rPr>
                    <w:t>污染源</w:t>
                  </w:r>
                </w:p>
              </w:tc>
              <w:tc>
                <w:tcPr>
                  <w:tcW w:w="1147" w:type="pct"/>
                  <w:vAlign w:val="center"/>
                </w:tcPr>
                <w:p>
                  <w:pPr>
                    <w:jc w:val="center"/>
                    <w:rPr>
                      <w:rFonts w:hint="default"/>
                      <w:b/>
                      <w:bCs/>
                    </w:rPr>
                  </w:pPr>
                  <w:r>
                    <w:rPr>
                      <w:rFonts w:hint="eastAsia"/>
                      <w:b/>
                      <w:bCs/>
                      <w:lang w:val="en-US" w:eastAsia="zh-CN"/>
                    </w:rPr>
                    <w:t>非正常原因</w:t>
                  </w:r>
                </w:p>
              </w:tc>
              <w:tc>
                <w:tcPr>
                  <w:tcW w:w="464" w:type="pct"/>
                  <w:vAlign w:val="center"/>
                </w:tcPr>
                <w:p>
                  <w:pPr>
                    <w:jc w:val="center"/>
                    <w:rPr>
                      <w:rFonts w:hint="default"/>
                      <w:b/>
                      <w:bCs/>
                    </w:rPr>
                  </w:pPr>
                  <w:r>
                    <w:rPr>
                      <w:rFonts w:hint="eastAsia"/>
                      <w:b/>
                      <w:bCs/>
                      <w:lang w:val="en-US" w:eastAsia="zh-CN"/>
                    </w:rPr>
                    <w:t>频次</w:t>
                  </w:r>
                </w:p>
              </w:tc>
              <w:tc>
                <w:tcPr>
                  <w:tcW w:w="712" w:type="pct"/>
                  <w:vAlign w:val="center"/>
                </w:tcPr>
                <w:p>
                  <w:pPr>
                    <w:jc w:val="center"/>
                    <w:rPr>
                      <w:rFonts w:hint="default"/>
                      <w:b/>
                      <w:bCs/>
                    </w:rPr>
                  </w:pPr>
                  <w:r>
                    <w:rPr>
                      <w:rFonts w:hint="eastAsia"/>
                      <w:b/>
                      <w:bCs/>
                      <w:lang w:val="en-US" w:eastAsia="zh-CN"/>
                    </w:rPr>
                    <w:t>持续时间</w:t>
                  </w:r>
                </w:p>
              </w:tc>
              <w:tc>
                <w:tcPr>
                  <w:tcW w:w="961" w:type="pct"/>
                  <w:vAlign w:val="center"/>
                </w:tcPr>
                <w:p>
                  <w:pPr>
                    <w:jc w:val="center"/>
                    <w:rPr>
                      <w:rFonts w:hint="default"/>
                      <w:b/>
                      <w:bCs/>
                    </w:rPr>
                  </w:pPr>
                  <w:r>
                    <w:rPr>
                      <w:rFonts w:hint="eastAsia"/>
                      <w:b/>
                      <w:bCs/>
                      <w:lang w:val="en-US" w:eastAsia="zh-CN"/>
                    </w:rPr>
                    <w:t>最大排放速率</w:t>
                  </w:r>
                </w:p>
              </w:tc>
              <w:tc>
                <w:tcPr>
                  <w:tcW w:w="1141" w:type="pct"/>
                  <w:vAlign w:val="center"/>
                </w:tcPr>
                <w:p>
                  <w:pPr>
                    <w:jc w:val="center"/>
                    <w:rPr>
                      <w:rFonts w:hint="default"/>
                      <w:b/>
                      <w:bCs/>
                    </w:rPr>
                  </w:pPr>
                  <w:r>
                    <w:rPr>
                      <w:rFonts w:hint="eastAsia"/>
                      <w:b/>
                      <w:bCs/>
                      <w:lang w:val="en-US"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Align w:val="center"/>
                </w:tcPr>
                <w:p>
                  <w:pPr>
                    <w:jc w:val="center"/>
                  </w:pPr>
                  <w:r>
                    <w:rPr>
                      <w:rFonts w:hint="eastAsia"/>
                      <w:lang w:val="en-US" w:eastAsia="zh-CN"/>
                    </w:rPr>
                    <w:t>储罐和</w:t>
                  </w:r>
                </w:p>
                <w:p>
                  <w:pPr>
                    <w:jc w:val="center"/>
                    <w:rPr>
                      <w:rFonts w:hint="default"/>
                    </w:rPr>
                  </w:pPr>
                  <w:r>
                    <w:rPr>
                      <w:rFonts w:hint="eastAsia"/>
                      <w:lang w:val="en-US" w:eastAsia="zh-CN"/>
                    </w:rPr>
                    <w:t>加油机</w:t>
                  </w:r>
                </w:p>
              </w:tc>
              <w:tc>
                <w:tcPr>
                  <w:tcW w:w="1147" w:type="pct"/>
                  <w:vAlign w:val="center"/>
                </w:tcPr>
                <w:p>
                  <w:pPr>
                    <w:jc w:val="center"/>
                    <w:rPr>
                      <w:rFonts w:hint="default"/>
                    </w:rPr>
                  </w:pPr>
                  <w:r>
                    <w:rPr>
                      <w:rFonts w:hint="eastAsia"/>
                      <w:lang w:val="en-US" w:eastAsia="zh-CN"/>
                    </w:rPr>
                    <w:t>油气回收系统完全失效</w:t>
                  </w:r>
                </w:p>
              </w:tc>
              <w:tc>
                <w:tcPr>
                  <w:tcW w:w="464" w:type="pct"/>
                  <w:vAlign w:val="center"/>
                </w:tcPr>
                <w:p>
                  <w:pPr>
                    <w:jc w:val="center"/>
                    <w:rPr>
                      <w:rFonts w:hint="default"/>
                    </w:rPr>
                  </w:pPr>
                  <w:r>
                    <w:rPr>
                      <w:rFonts w:hint="default"/>
                      <w:lang w:val="en-US" w:eastAsia="zh-CN"/>
                    </w:rPr>
                    <w:t xml:space="preserve">1 </w:t>
                  </w:r>
                  <w:r>
                    <w:rPr>
                      <w:rFonts w:hint="eastAsia"/>
                      <w:lang w:val="en-US" w:eastAsia="zh-CN"/>
                    </w:rPr>
                    <w:t>次</w:t>
                  </w:r>
                  <w:r>
                    <w:rPr>
                      <w:rFonts w:hint="default"/>
                      <w:lang w:val="en-US" w:eastAsia="zh-CN"/>
                    </w:rPr>
                    <w:t>/</w:t>
                  </w:r>
                  <w:r>
                    <w:rPr>
                      <w:rFonts w:hint="eastAsia"/>
                      <w:lang w:val="en-US" w:eastAsia="zh-CN"/>
                    </w:rPr>
                    <w:t>年</w:t>
                  </w:r>
                </w:p>
              </w:tc>
              <w:tc>
                <w:tcPr>
                  <w:tcW w:w="712" w:type="pct"/>
                  <w:vAlign w:val="center"/>
                </w:tcPr>
                <w:p>
                  <w:pPr>
                    <w:jc w:val="center"/>
                    <w:rPr>
                      <w:rFonts w:hint="default"/>
                    </w:rPr>
                  </w:pPr>
                  <w:r>
                    <w:rPr>
                      <w:rFonts w:hint="default"/>
                      <w:lang w:val="en-US" w:eastAsia="zh-CN"/>
                    </w:rPr>
                    <w:t>1h/</w:t>
                  </w:r>
                  <w:r>
                    <w:rPr>
                      <w:rFonts w:hint="eastAsia"/>
                      <w:lang w:val="en-US" w:eastAsia="zh-CN"/>
                    </w:rPr>
                    <w:t>次</w:t>
                  </w:r>
                </w:p>
              </w:tc>
              <w:tc>
                <w:tcPr>
                  <w:tcW w:w="961" w:type="pct"/>
                  <w:vAlign w:val="center"/>
                </w:tcPr>
                <w:p>
                  <w:pPr>
                    <w:jc w:val="center"/>
                    <w:rPr>
                      <w:rFonts w:hint="default"/>
                    </w:rPr>
                  </w:pPr>
                  <w:r>
                    <w:rPr>
                      <w:rFonts w:hint="eastAsia"/>
                      <w:lang w:val="en-US" w:eastAsia="zh-CN"/>
                    </w:rPr>
                    <w:t>0.34</w:t>
                  </w:r>
                  <w:r>
                    <w:rPr>
                      <w:rFonts w:hint="default"/>
                      <w:lang w:val="en-US" w:eastAsia="zh-CN"/>
                    </w:rPr>
                    <w:t>kg/h</w:t>
                  </w:r>
                </w:p>
              </w:tc>
              <w:tc>
                <w:tcPr>
                  <w:tcW w:w="1141" w:type="pct"/>
                  <w:vAlign w:val="center"/>
                </w:tcPr>
                <w:p>
                  <w:pPr>
                    <w:jc w:val="center"/>
                    <w:rPr>
                      <w:rFonts w:hint="default"/>
                    </w:rPr>
                  </w:pPr>
                  <w:r>
                    <w:rPr>
                      <w:rFonts w:hint="eastAsia"/>
                      <w:lang w:val="en-US" w:eastAsia="zh-CN"/>
                    </w:rPr>
                    <w:t>停止加卸油，维修回收装置</w:t>
                  </w:r>
                </w:p>
              </w:tc>
            </w:tr>
          </w:tbl>
          <w:p>
            <w:pPr>
              <w:adjustRightInd w:val="0"/>
              <w:snapToGrid w:val="0"/>
              <w:spacing w:line="360" w:lineRule="auto"/>
              <w:rPr>
                <w:rFonts w:hint="default" w:ascii="Times New Roman" w:hAnsi="Times New Roman" w:cs="Times New Roman"/>
                <w:color w:val="000000"/>
                <w:szCs w:val="21"/>
              </w:rPr>
            </w:pPr>
          </w:p>
          <w:p>
            <w:pPr>
              <w:adjustRightInd w:val="0"/>
              <w:snapToGrid w:val="0"/>
              <w:spacing w:line="360" w:lineRule="auto"/>
              <w:rPr>
                <w:rFonts w:ascii="宋体" w:cs="宋体"/>
                <w:sz w:val="21"/>
                <w:szCs w:val="21"/>
              </w:rPr>
            </w:pPr>
            <w:r>
              <w:rPr>
                <w:rFonts w:hint="eastAsia" w:ascii="宋体" w:cs="宋体"/>
                <w:kern w:val="0"/>
                <w:sz w:val="21"/>
                <w:szCs w:val="21"/>
              </w:rPr>
              <w:t xml:space="preserve"> </w:t>
            </w:r>
            <w:r>
              <w:rPr>
                <w:rFonts w:ascii="宋体" w:cs="宋体"/>
                <w:kern w:val="0"/>
                <w:sz w:val="21"/>
                <w:szCs w:val="21"/>
              </w:rPr>
              <w:t xml:space="preserve"> </w:t>
            </w:r>
            <w:r>
              <w:rPr>
                <w:rFonts w:hint="eastAsia" w:ascii="宋体" w:cs="宋体"/>
                <w:kern w:val="0"/>
                <w:sz w:val="21"/>
                <w:szCs w:val="21"/>
              </w:rPr>
              <w:t xml:space="preserve"> </w:t>
            </w:r>
            <w:r>
              <w:rPr>
                <w:rFonts w:ascii="宋体" w:cs="宋体"/>
                <w:kern w:val="0"/>
                <w:sz w:val="21"/>
                <w:szCs w:val="21"/>
              </w:rPr>
              <w:t xml:space="preserve">  </w:t>
            </w:r>
            <w:r>
              <w:rPr>
                <w:rFonts w:hint="eastAsia" w:ascii="宋体" w:cs="宋体"/>
                <w:sz w:val="21"/>
                <w:szCs w:val="21"/>
              </w:rPr>
              <w:t xml:space="preserve"> </w:t>
            </w:r>
            <w:r>
              <w:rPr>
                <w:rFonts w:ascii="宋体" w:cs="宋体"/>
                <w:sz w:val="21"/>
                <w:szCs w:val="21"/>
              </w:rPr>
              <w:t>废气事故排放的风险防范措施：</w:t>
            </w:r>
          </w:p>
          <w:p>
            <w:pPr>
              <w:spacing w:line="360" w:lineRule="auto"/>
              <w:rPr>
                <w:color w:val="000000"/>
                <w:sz w:val="21"/>
                <w:szCs w:val="21"/>
              </w:rPr>
            </w:pPr>
            <w:r>
              <w:rPr>
                <w:rFonts w:hint="eastAsia" w:ascii="宋体" w:cs="宋体"/>
                <w:sz w:val="21"/>
                <w:szCs w:val="21"/>
              </w:rPr>
              <w:t xml:space="preserve"> </w:t>
            </w:r>
            <w:r>
              <w:rPr>
                <w:rFonts w:ascii="宋体" w:cs="宋体"/>
                <w:sz w:val="21"/>
                <w:szCs w:val="21"/>
              </w:rPr>
              <w:t xml:space="preserve">  </w:t>
            </w:r>
            <w:r>
              <w:rPr>
                <w:sz w:val="21"/>
                <w:szCs w:val="21"/>
              </w:rPr>
              <w:t xml:space="preserve"> A、</w:t>
            </w:r>
            <w:r>
              <w:rPr>
                <w:rFonts w:hint="eastAsia"/>
                <w:color w:val="000000"/>
                <w:sz w:val="21"/>
                <w:szCs w:val="21"/>
              </w:rPr>
              <w:t>定期地实施采样检查，监控废气处理工艺的运转效果；</w:t>
            </w:r>
          </w:p>
          <w:p>
            <w:pPr>
              <w:spacing w:line="360" w:lineRule="auto"/>
              <w:ind w:firstLine="435"/>
              <w:rPr>
                <w:color w:val="000000"/>
                <w:sz w:val="21"/>
                <w:szCs w:val="21"/>
              </w:rPr>
            </w:pPr>
            <w:r>
              <w:rPr>
                <w:color w:val="000000"/>
                <w:sz w:val="21"/>
                <w:szCs w:val="21"/>
              </w:rPr>
              <w:t>B、</w:t>
            </w:r>
            <w:r>
              <w:rPr>
                <w:rFonts w:hint="eastAsia"/>
                <w:color w:val="000000"/>
                <w:sz w:val="21"/>
                <w:szCs w:val="21"/>
              </w:rPr>
              <w:t>当主体设备定期检修时，废气处理设施也应同步进行检查和维修；</w:t>
            </w:r>
          </w:p>
          <w:p>
            <w:pPr>
              <w:spacing w:line="360" w:lineRule="auto"/>
              <w:ind w:firstLine="435"/>
              <w:rPr>
                <w:color w:val="000000"/>
                <w:sz w:val="21"/>
                <w:szCs w:val="21"/>
              </w:rPr>
            </w:pPr>
            <w:r>
              <w:rPr>
                <w:color w:val="000000"/>
                <w:sz w:val="21"/>
                <w:szCs w:val="21"/>
              </w:rPr>
              <w:t>C、</w:t>
            </w:r>
            <w:r>
              <w:rPr>
                <w:rFonts w:hint="eastAsia"/>
                <w:color w:val="000000"/>
                <w:sz w:val="21"/>
                <w:szCs w:val="21"/>
              </w:rPr>
              <w:t>生产运行期应加强对易损耗件的备品备用，确保设备发生故障时能及时予以更换。</w:t>
            </w:r>
          </w:p>
          <w:p>
            <w:pPr>
              <w:adjustRightInd w:val="0"/>
              <w:snapToGrid w:val="0"/>
              <w:spacing w:line="360" w:lineRule="auto"/>
              <w:ind w:firstLine="435"/>
              <w:jc w:val="both"/>
              <w:rPr>
                <w:rFonts w:hint="default" w:ascii="宋体" w:hAnsi="宋体" w:eastAsia="宋体"/>
                <w:b/>
                <w:bCs/>
                <w:sz w:val="21"/>
                <w:szCs w:val="21"/>
                <w:u w:val="none"/>
                <w:lang w:val="en-US" w:eastAsia="zh-CN"/>
              </w:rPr>
            </w:pPr>
            <w:r>
              <w:rPr>
                <w:rFonts w:hint="eastAsia" w:ascii="宋体" w:hAnsi="宋体"/>
                <w:b/>
                <w:bCs/>
                <w:sz w:val="21"/>
                <w:szCs w:val="21"/>
                <w:u w:val="none"/>
                <w:lang w:eastAsia="zh-CN"/>
              </w:rPr>
              <w:t>（</w:t>
            </w:r>
            <w:r>
              <w:rPr>
                <w:rFonts w:hint="eastAsia" w:ascii="宋体" w:hAnsi="宋体"/>
                <w:b/>
                <w:bCs/>
                <w:sz w:val="21"/>
                <w:szCs w:val="21"/>
                <w:u w:val="none"/>
                <w:lang w:val="en-US" w:eastAsia="zh-CN"/>
              </w:rPr>
              <w:t>2</w:t>
            </w:r>
            <w:r>
              <w:rPr>
                <w:rFonts w:hint="eastAsia" w:ascii="宋体" w:hAnsi="宋体"/>
                <w:b/>
                <w:bCs/>
                <w:sz w:val="21"/>
                <w:szCs w:val="21"/>
                <w:u w:val="none"/>
                <w:lang w:eastAsia="zh-CN"/>
              </w:rPr>
              <w:t>）</w:t>
            </w:r>
            <w:r>
              <w:rPr>
                <w:rFonts w:hint="eastAsia" w:ascii="宋体" w:hAnsi="宋体"/>
                <w:b/>
                <w:bCs/>
                <w:sz w:val="21"/>
                <w:szCs w:val="21"/>
                <w:u w:val="none"/>
                <w:lang w:val="en-US" w:eastAsia="zh-CN"/>
              </w:rPr>
              <w:t>大气污染防治措施及</w:t>
            </w:r>
            <w:r>
              <w:rPr>
                <w:b/>
                <w:sz w:val="21"/>
                <w:szCs w:val="21"/>
              </w:rPr>
              <w:t>可行性分析</w:t>
            </w:r>
          </w:p>
          <w:p>
            <w:pPr>
              <w:adjustRightInd w:val="0"/>
              <w:snapToGrid w:val="0"/>
              <w:spacing w:line="360" w:lineRule="auto"/>
              <w:ind w:firstLine="435"/>
              <w:jc w:val="both"/>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本</w:t>
            </w:r>
            <w:r>
              <w:rPr>
                <w:rFonts w:hint="eastAsia" w:cs="Times New Roman"/>
                <w:b w:val="0"/>
                <w:bCs w:val="0"/>
                <w:sz w:val="21"/>
                <w:szCs w:val="21"/>
                <w:u w:val="none"/>
                <w:lang w:val="en-US" w:eastAsia="zh-CN"/>
              </w:rPr>
              <w:t>项目为加油站项目，</w:t>
            </w:r>
            <w:r>
              <w:rPr>
                <w:rFonts w:hint="default" w:ascii="Times New Roman" w:hAnsi="Times New Roman" w:eastAsia="宋体" w:cs="Times New Roman"/>
                <w:b w:val="0"/>
                <w:bCs w:val="0"/>
                <w:sz w:val="21"/>
                <w:szCs w:val="21"/>
                <w:u w:val="none"/>
                <w:lang w:val="en-US" w:eastAsia="zh-CN"/>
              </w:rPr>
              <w:t>根据《排污许可证申请与核发技术规范储油库、加油站》（HJ1118-2020）中汽油储罐、汽油加油枪挥发性有机物无组织排放推荐可行技术为：卸油油气回收系统、加油油气回收系统；污染治理工艺为油气平衡、油气回收。</w:t>
            </w:r>
          </w:p>
          <w:p>
            <w:pPr>
              <w:adjustRightInd w:val="0"/>
              <w:snapToGrid w:val="0"/>
              <w:spacing w:line="360" w:lineRule="auto"/>
              <w:ind w:firstLine="435"/>
              <w:jc w:val="both"/>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一次油气回收系统，即卸油油气回收系统。国家环保总局《加油站大气污染物排放标准》定义为“将油罐汽车卸汽油时产生的油气，通过密闭方式收集进入油罐汽车罐内的系统”。一次回收，是针对油罐汽车的改造。采取密闭措施，用一根软管将加油站油罐上的呼吸阀和油罐汽车相连接，形成一个回气管路。油罐车通过卸油管路卸油的同时，加油站油罐中的油气通过回气管路回到油罐车，达到油气回收的目的。油罐车将油气带回油库进行处理。</w:t>
            </w:r>
          </w:p>
          <w:p>
            <w:pPr>
              <w:adjustRightInd w:val="0"/>
              <w:snapToGrid w:val="0"/>
              <w:spacing w:line="360" w:lineRule="auto"/>
              <w:ind w:firstLine="435"/>
              <w:jc w:val="both"/>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二次油气回收系统，即加油油气回收系统。因家环保总局《加油站大气污染物排放标准》定义为“将给汽车油箱加汽油时产生的油气，通过密闭方式收集进入埋地油罐的系统”。二次回收，是针对加油机加油枪的改造。采用带回气管的加油枪，在给汽车加油的同时，用真空泵将汽车油箱中的油气抽吸回加油站油罐。《加油站大气污染物排放标准》规定二次回收系统的气液比为1~1.2:1，本项目二次回收系统的气液比取1.1:1，二次回收系统收集的油气在管道内通过液阻的作用部分凝析为液体进入储罐。</w:t>
            </w:r>
          </w:p>
          <w:p>
            <w:pPr>
              <w:adjustRightInd w:val="0"/>
              <w:snapToGrid w:val="0"/>
              <w:spacing w:line="360" w:lineRule="auto"/>
              <w:ind w:firstLine="435"/>
              <w:jc w:val="both"/>
              <w:rPr>
                <w:rFonts w:hint="default" w:ascii="Times New Roman" w:hAnsi="Times New Roman" w:eastAsia="宋体" w:cs="Times New Roman"/>
                <w:sz w:val="21"/>
                <w:szCs w:val="21"/>
                <w:u w:val="none"/>
              </w:rPr>
            </w:pPr>
            <w:r>
              <w:rPr>
                <w:rFonts w:hint="default" w:ascii="Times New Roman" w:hAnsi="Times New Roman" w:eastAsia="宋体" w:cs="Times New Roman"/>
                <w:b w:val="0"/>
                <w:bCs w:val="0"/>
                <w:sz w:val="21"/>
                <w:szCs w:val="21"/>
                <w:u w:val="none"/>
                <w:lang w:val="en-US" w:eastAsia="zh-CN"/>
              </w:rPr>
              <w:t>综上，本项目无组织排放治理措施，符合《排污许可证申请与核发技术规范储油库、加油加气站》(HJ11</w:t>
            </w:r>
            <w:r>
              <w:rPr>
                <w:rFonts w:hint="eastAsia" w:cs="Times New Roman"/>
                <w:b w:val="0"/>
                <w:bCs w:val="0"/>
                <w:sz w:val="21"/>
                <w:szCs w:val="21"/>
                <w:u w:val="none"/>
                <w:lang w:val="en-US" w:eastAsia="zh-CN"/>
              </w:rPr>
              <w:t>18</w:t>
            </w:r>
            <w:r>
              <w:rPr>
                <w:rFonts w:hint="default" w:ascii="Times New Roman" w:hAnsi="Times New Roman" w:eastAsia="宋体" w:cs="Times New Roman"/>
                <w:b w:val="0"/>
                <w:bCs w:val="0"/>
                <w:sz w:val="21"/>
                <w:szCs w:val="21"/>
                <w:u w:val="none"/>
                <w:lang w:val="en-US" w:eastAsia="zh-CN"/>
              </w:rPr>
              <w:t>-2020)的污染控制措施技术规范要求，因此</w:t>
            </w:r>
            <w:r>
              <w:rPr>
                <w:rFonts w:hint="default" w:ascii="Times New Roman" w:hAnsi="Times New Roman" w:eastAsia="宋体" w:cs="Times New Roman"/>
                <w:sz w:val="21"/>
                <w:szCs w:val="21"/>
                <w:u w:val="none"/>
              </w:rPr>
              <w:t>本项目设置一次、二次油气回收系统，符合要求</w:t>
            </w:r>
            <w:r>
              <w:rPr>
                <w:rFonts w:hint="eastAsia" w:cs="Times New Roman"/>
                <w:sz w:val="21"/>
                <w:szCs w:val="21"/>
                <w:u w:val="none"/>
                <w:lang w:eastAsia="zh-CN"/>
              </w:rPr>
              <w:t>。</w:t>
            </w:r>
            <w:r>
              <w:rPr>
                <w:rFonts w:hint="default" w:ascii="Times New Roman" w:hAnsi="Times New Roman" w:eastAsia="宋体" w:cs="Times New Roman"/>
                <w:sz w:val="21"/>
                <w:szCs w:val="21"/>
                <w:u w:val="none"/>
              </w:rPr>
              <w:t>根据湖南省人民政府办公厅关于印发《湖南省大气污染防治“守护蓝天”攻坚行动计划（2023—2025年）》的通知（湘政办发〔2023〕34号），企业</w:t>
            </w:r>
            <w:r>
              <w:rPr>
                <w:rFonts w:hint="eastAsia" w:cs="Times New Roman"/>
                <w:sz w:val="21"/>
                <w:szCs w:val="21"/>
                <w:u w:val="none"/>
                <w:lang w:eastAsia="zh-CN"/>
              </w:rPr>
              <w:t>应加快完成</w:t>
            </w:r>
            <w:r>
              <w:rPr>
                <w:rFonts w:hint="default" w:ascii="Times New Roman" w:hAnsi="Times New Roman" w:eastAsia="宋体" w:cs="Times New Roman"/>
                <w:sz w:val="21"/>
                <w:szCs w:val="21"/>
                <w:u w:val="none"/>
              </w:rPr>
              <w:t>三次油气回收治理工作。因此本项目废气防治技术可行。</w:t>
            </w:r>
          </w:p>
          <w:p>
            <w:pPr>
              <w:adjustRightInd w:val="0"/>
              <w:snapToGrid w:val="0"/>
              <w:spacing w:line="360" w:lineRule="auto"/>
              <w:ind w:firstLine="435"/>
              <w:rPr>
                <w:rFonts w:ascii="宋体" w:hAnsi="宋体"/>
                <w:b/>
                <w:bCs/>
                <w:sz w:val="21"/>
                <w:szCs w:val="21"/>
              </w:rPr>
            </w:pPr>
            <w:r>
              <w:rPr>
                <w:rFonts w:ascii="宋体" w:hAnsi="宋体"/>
                <w:b/>
                <w:bCs/>
                <w:sz w:val="21"/>
                <w:szCs w:val="21"/>
              </w:rPr>
              <w:t>（</w:t>
            </w:r>
            <w:r>
              <w:rPr>
                <w:rFonts w:hint="eastAsia" w:ascii="宋体" w:hAnsi="宋体"/>
                <w:b/>
                <w:bCs/>
                <w:sz w:val="21"/>
                <w:szCs w:val="21"/>
                <w:lang w:val="en-US" w:eastAsia="zh-CN"/>
              </w:rPr>
              <w:t>3</w:t>
            </w:r>
            <w:r>
              <w:rPr>
                <w:rFonts w:ascii="宋体" w:hAnsi="宋体"/>
                <w:b/>
                <w:bCs/>
                <w:sz w:val="21"/>
                <w:szCs w:val="21"/>
              </w:rPr>
              <w:t>）废气环境影响分析结论</w:t>
            </w:r>
          </w:p>
          <w:p>
            <w:pPr>
              <w:adjustRightInd w:val="0"/>
              <w:snapToGrid w:val="0"/>
              <w:spacing w:line="360" w:lineRule="auto"/>
              <w:ind w:firstLine="435"/>
              <w:rPr>
                <w:rFonts w:hint="default" w:ascii="Times New Roman" w:hAnsi="Times New Roman" w:cs="Times New Roman"/>
                <w:bCs/>
                <w:sz w:val="21"/>
                <w:szCs w:val="21"/>
              </w:rPr>
            </w:pPr>
            <w:r>
              <w:rPr>
                <w:rFonts w:hint="default" w:ascii="Times New Roman" w:hAnsi="Times New Roman" w:cs="Times New Roman"/>
                <w:bCs/>
                <w:sz w:val="21"/>
                <w:szCs w:val="21"/>
              </w:rPr>
              <w:t>项目按照《加油站大气污染物排</w:t>
            </w:r>
            <w:r>
              <w:rPr>
                <w:rFonts w:hint="default"/>
                <w:sz w:val="21"/>
                <w:szCs w:val="21"/>
              </w:rPr>
              <w:t>放标准》(GB20952-2020)和《汽车加油加气加氢站技术标准》(GB50156-2021)的要求，在汽油卸油和加油时，采用</w:t>
            </w:r>
            <w:r>
              <w:rPr>
                <w:rFonts w:hint="eastAsia"/>
                <w:sz w:val="21"/>
                <w:szCs w:val="21"/>
                <w:lang w:eastAsia="zh-CN"/>
              </w:rPr>
              <w:t>密闭收集</w:t>
            </w:r>
            <w:r>
              <w:rPr>
                <w:rFonts w:hint="default"/>
                <w:sz w:val="21"/>
                <w:szCs w:val="21"/>
              </w:rPr>
              <w:t>为基础的油气</w:t>
            </w:r>
            <w:r>
              <w:rPr>
                <w:rFonts w:hint="default" w:ascii="Times New Roman" w:hAnsi="Times New Roman" w:eastAsia="宋体" w:cs="Times New Roman"/>
                <w:sz w:val="21"/>
                <w:szCs w:val="21"/>
                <w:u w:val="none"/>
              </w:rPr>
              <w:t>回收方法进行了控制。该系统的作用是将加油站在汽油卸油和加油过程中产生的油气，通过密闭收集、储存和送入油罐汽车的罐内和储油罐内回收变成汽油。</w:t>
            </w:r>
          </w:p>
          <w:p>
            <w:pPr>
              <w:adjustRightInd w:val="0"/>
              <w:snapToGrid w:val="0"/>
              <w:spacing w:line="360" w:lineRule="auto"/>
              <w:ind w:firstLine="435"/>
              <w:rPr>
                <w:rFonts w:hint="default" w:ascii="Times New Roman" w:hAnsi="Times New Roman" w:cs="Times New Roman"/>
                <w:color w:val="000000"/>
                <w:sz w:val="21"/>
                <w:szCs w:val="21"/>
              </w:rPr>
            </w:pPr>
            <w:r>
              <w:rPr>
                <w:rFonts w:hint="default" w:ascii="Times New Roman" w:hAnsi="Times New Roman" w:cs="Times New Roman"/>
                <w:bCs/>
                <w:sz w:val="21"/>
                <w:szCs w:val="21"/>
              </w:rPr>
              <w:t>参考</w:t>
            </w:r>
            <w:r>
              <w:rPr>
                <w:rFonts w:hint="eastAsia" w:cs="Times New Roman"/>
                <w:bCs/>
                <w:sz w:val="21"/>
                <w:szCs w:val="21"/>
                <w:lang w:eastAsia="zh-CN"/>
              </w:rPr>
              <w:t>建设单位提供</w:t>
            </w:r>
            <w:r>
              <w:rPr>
                <w:rFonts w:hint="default" w:ascii="Times New Roman" w:hAnsi="Times New Roman" w:cs="Times New Roman"/>
                <w:bCs/>
                <w:sz w:val="21"/>
                <w:szCs w:val="21"/>
              </w:rPr>
              <w:t>《桃源新河桥加油站</w:t>
            </w:r>
            <w:r>
              <w:rPr>
                <w:rFonts w:hint="eastAsia" w:cs="Times New Roman"/>
                <w:bCs/>
                <w:sz w:val="21"/>
                <w:szCs w:val="21"/>
                <w:lang w:eastAsia="zh-CN"/>
              </w:rPr>
              <w:t>检测报告</w:t>
            </w:r>
            <w:r>
              <w:rPr>
                <w:rFonts w:hint="default" w:ascii="Times New Roman" w:hAnsi="Times New Roman" w:cs="Times New Roman"/>
                <w:bCs/>
                <w:sz w:val="21"/>
                <w:szCs w:val="21"/>
              </w:rPr>
              <w:t>》</w:t>
            </w:r>
            <w:r>
              <w:rPr>
                <w:rFonts w:hint="eastAsia" w:cs="Times New Roman"/>
                <w:bCs/>
                <w:sz w:val="21"/>
                <w:szCs w:val="21"/>
                <w:lang w:eastAsia="zh-CN"/>
              </w:rPr>
              <w:t>（</w:t>
            </w:r>
            <w:r>
              <w:rPr>
                <w:rFonts w:hint="eastAsia" w:cs="Times New Roman"/>
                <w:bCs/>
                <w:sz w:val="21"/>
                <w:szCs w:val="21"/>
                <w:lang w:val="en-US" w:eastAsia="zh-CN"/>
              </w:rPr>
              <w:t>见附件</w:t>
            </w:r>
            <w:r>
              <w:rPr>
                <w:rFonts w:hint="eastAsia" w:cs="Times New Roman"/>
                <w:bCs/>
                <w:sz w:val="21"/>
                <w:szCs w:val="21"/>
                <w:lang w:eastAsia="zh-CN"/>
              </w:rPr>
              <w:t>）</w:t>
            </w:r>
            <w:r>
              <w:rPr>
                <w:rFonts w:hint="default" w:ascii="Times New Roman" w:hAnsi="Times New Roman" w:cs="Times New Roman"/>
                <w:bCs/>
                <w:sz w:val="21"/>
                <w:szCs w:val="21"/>
              </w:rPr>
              <w:t>，该</w:t>
            </w:r>
            <w:r>
              <w:rPr>
                <w:rFonts w:hint="eastAsia" w:cs="Times New Roman"/>
                <w:bCs/>
                <w:sz w:val="21"/>
                <w:szCs w:val="21"/>
                <w:lang w:eastAsia="zh-CN"/>
              </w:rPr>
              <w:t>检测结果</w:t>
            </w:r>
            <w:r>
              <w:rPr>
                <w:rFonts w:hint="default" w:ascii="Times New Roman" w:hAnsi="Times New Roman" w:cs="Times New Roman"/>
                <w:bCs/>
                <w:sz w:val="21"/>
                <w:szCs w:val="21"/>
              </w:rPr>
              <w:t>表明，加油站无组织非甲烷总烃、油气回收系统密闭性、液阻、气液比均满足《加油站大气污染物排放标准》(GB20952-2020)标准限值要求。故本项目运营后经处理后的油气排放浓度能达到《加油站大气污染物排放标准》(GB20952-2020)中的排放限值的要求。</w:t>
            </w:r>
            <w:r>
              <w:rPr>
                <w:rFonts w:hint="eastAsia" w:cs="Times New Roman"/>
                <w:bCs/>
                <w:sz w:val="21"/>
                <w:szCs w:val="21"/>
                <w:lang w:eastAsia="zh-CN"/>
              </w:rPr>
              <w:t>且新增汽油通过量少，经油气回收后无组织排放，</w:t>
            </w:r>
            <w:r>
              <w:rPr>
                <w:rFonts w:hint="default" w:ascii="Times New Roman" w:hAnsi="Times New Roman" w:cs="Times New Roman"/>
                <w:bCs/>
                <w:sz w:val="21"/>
                <w:szCs w:val="21"/>
              </w:rPr>
              <w:t>通过大气稀释扩散和绿化吸收后对环境影响较小</w:t>
            </w:r>
            <w:r>
              <w:rPr>
                <w:rFonts w:hint="default" w:ascii="Times New Roman" w:hAnsi="Times New Roman" w:cs="Times New Roman"/>
                <w:color w:val="000000"/>
                <w:sz w:val="21"/>
                <w:szCs w:val="21"/>
              </w:rPr>
              <w:t>。综上，本项目大气环境影响可接受。</w:t>
            </w:r>
          </w:p>
          <w:p>
            <w:pPr>
              <w:adjustRightInd w:val="0"/>
              <w:snapToGrid w:val="0"/>
              <w:spacing w:line="360" w:lineRule="auto"/>
              <w:ind w:firstLine="435"/>
              <w:rPr>
                <w:rFonts w:ascii="宋体" w:hAnsi="宋体"/>
                <w:b/>
                <w:bCs/>
                <w:sz w:val="21"/>
                <w:szCs w:val="21"/>
              </w:rPr>
            </w:pPr>
            <w:r>
              <w:rPr>
                <w:rFonts w:ascii="宋体" w:hAnsi="宋体"/>
                <w:b/>
                <w:bCs/>
                <w:sz w:val="21"/>
                <w:szCs w:val="21"/>
              </w:rPr>
              <w:t>（</w:t>
            </w:r>
            <w:r>
              <w:rPr>
                <w:rFonts w:hint="eastAsia" w:ascii="宋体" w:hAnsi="宋体"/>
                <w:b/>
                <w:bCs/>
                <w:sz w:val="21"/>
                <w:szCs w:val="21"/>
                <w:lang w:val="en-US" w:eastAsia="zh-CN"/>
              </w:rPr>
              <w:t>4</w:t>
            </w:r>
            <w:r>
              <w:rPr>
                <w:rFonts w:ascii="宋体" w:hAnsi="宋体"/>
                <w:b/>
                <w:bCs/>
                <w:sz w:val="21"/>
                <w:szCs w:val="21"/>
              </w:rPr>
              <w:t>）项目营运期废气监测计划</w:t>
            </w:r>
          </w:p>
          <w:p>
            <w:pPr>
              <w:adjustRightInd w:val="0"/>
              <w:snapToGrid w:val="0"/>
              <w:spacing w:line="360" w:lineRule="auto"/>
              <w:ind w:firstLine="435"/>
              <w:rPr>
                <w:rFonts w:ascii="宋体" w:hAnsi="宋体"/>
                <w:bCs/>
                <w:sz w:val="21"/>
                <w:szCs w:val="21"/>
              </w:rPr>
            </w:pPr>
            <w:r>
              <w:rPr>
                <w:rFonts w:hint="eastAsia" w:ascii="宋体" w:hAnsi="宋体"/>
                <w:bCs/>
                <w:sz w:val="21"/>
                <w:szCs w:val="21"/>
                <w:lang w:eastAsia="zh-CN"/>
              </w:rPr>
              <w:t>根据</w:t>
            </w:r>
            <w:r>
              <w:rPr>
                <w:rFonts w:hint="eastAsia" w:ascii="宋体" w:hAnsi="宋体"/>
                <w:bCs/>
                <w:sz w:val="21"/>
                <w:szCs w:val="21"/>
              </w:rPr>
              <w:t>《排污</w:t>
            </w:r>
            <w:r>
              <w:rPr>
                <w:rFonts w:hint="eastAsia" w:ascii="宋体" w:hAnsi="宋体"/>
                <w:bCs/>
                <w:sz w:val="21"/>
                <w:szCs w:val="21"/>
                <w:lang w:eastAsia="zh-CN"/>
              </w:rPr>
              <w:t>单位自行监测技术指南</w:t>
            </w:r>
            <w:r>
              <w:rPr>
                <w:rFonts w:hint="eastAsia" w:ascii="宋体" w:hAnsi="宋体"/>
                <w:bCs/>
                <w:sz w:val="21"/>
                <w:szCs w:val="21"/>
              </w:rPr>
              <w:t xml:space="preserve"> 储油库、加油站</w:t>
            </w:r>
            <w:r>
              <w:rPr>
                <w:rFonts w:hint="eastAsia" w:ascii="宋体" w:hAnsi="宋体"/>
                <w:bCs/>
                <w:sz w:val="21"/>
                <w:szCs w:val="21"/>
                <w:lang w:eastAsia="zh-CN"/>
              </w:rPr>
              <w:t>（</w:t>
            </w:r>
            <w:r>
              <w:rPr>
                <w:rFonts w:hint="eastAsia" w:ascii="宋体" w:hAnsi="宋体"/>
                <w:bCs/>
                <w:sz w:val="21"/>
                <w:szCs w:val="21"/>
                <w:lang w:val="en-US" w:eastAsia="zh-CN"/>
              </w:rPr>
              <w:t>HJ1249-2022</w:t>
            </w:r>
            <w:r>
              <w:rPr>
                <w:rFonts w:hint="eastAsia" w:ascii="宋体" w:hAnsi="宋体"/>
                <w:bCs/>
                <w:sz w:val="21"/>
                <w:szCs w:val="21"/>
                <w:lang w:eastAsia="zh-CN"/>
              </w:rPr>
              <w:t>）</w:t>
            </w:r>
            <w:r>
              <w:rPr>
                <w:rFonts w:hint="eastAsia" w:ascii="宋体" w:hAnsi="宋体"/>
                <w:bCs/>
                <w:sz w:val="21"/>
                <w:szCs w:val="21"/>
              </w:rPr>
              <w:t>》</w:t>
            </w:r>
            <w:r>
              <w:rPr>
                <w:rFonts w:hint="eastAsia" w:ascii="宋体" w:hAnsi="宋体"/>
                <w:bCs/>
                <w:sz w:val="21"/>
                <w:szCs w:val="21"/>
                <w:lang w:eastAsia="zh-CN"/>
              </w:rPr>
              <w:t>，</w:t>
            </w:r>
            <w:r>
              <w:rPr>
                <w:rFonts w:hint="eastAsia" w:ascii="宋体" w:hAnsi="宋体"/>
                <w:bCs/>
                <w:sz w:val="21"/>
                <w:szCs w:val="21"/>
              </w:rPr>
              <w:t>项目营运期废气监测计划如下：</w:t>
            </w:r>
          </w:p>
          <w:p>
            <w:pPr>
              <w:adjustRightInd w:val="0"/>
              <w:snapToGrid w:val="0"/>
              <w:spacing w:line="360" w:lineRule="auto"/>
              <w:jc w:val="center"/>
              <w:rPr>
                <w:b/>
                <w:bCs/>
                <w:sz w:val="21"/>
                <w:szCs w:val="21"/>
              </w:rPr>
            </w:pPr>
            <w:r>
              <w:rPr>
                <w:rFonts w:ascii="宋体" w:hAnsi="宋体"/>
                <w:b/>
                <w:bCs/>
                <w:sz w:val="21"/>
                <w:szCs w:val="21"/>
              </w:rPr>
              <w:t>表</w:t>
            </w:r>
            <w:r>
              <w:rPr>
                <w:rFonts w:hint="cs"/>
                <w:b/>
                <w:bCs/>
                <w:sz w:val="21"/>
                <w:szCs w:val="21"/>
              </w:rPr>
              <w:t>4</w:t>
            </w:r>
            <w:r>
              <w:rPr>
                <w:b/>
                <w:bCs/>
                <w:sz w:val="21"/>
                <w:szCs w:val="21"/>
              </w:rPr>
              <w:t>-4  项目营运期废气监测计划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983"/>
              <w:gridCol w:w="198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shd w:val="clear" w:color="auto" w:fill="auto"/>
                  <w:noWrap w:val="0"/>
                  <w:vAlign w:val="center"/>
                </w:tcPr>
                <w:p>
                  <w:pPr>
                    <w:adjustRightInd w:val="0"/>
                    <w:snapToGrid w:val="0"/>
                    <w:spacing w:line="276" w:lineRule="auto"/>
                    <w:jc w:val="center"/>
                    <w:rPr>
                      <w:rFonts w:hint="eastAsia"/>
                      <w:b/>
                      <w:bCs/>
                      <w:sz w:val="21"/>
                      <w:szCs w:val="21"/>
                    </w:rPr>
                  </w:pPr>
                  <w:r>
                    <w:rPr>
                      <w:b/>
                      <w:bCs/>
                      <w:sz w:val="21"/>
                      <w:szCs w:val="21"/>
                    </w:rPr>
                    <w:t>产污设施</w:t>
                  </w:r>
                </w:p>
              </w:tc>
              <w:tc>
                <w:tcPr>
                  <w:tcW w:w="1983" w:type="dxa"/>
                  <w:shd w:val="clear" w:color="auto" w:fill="auto"/>
                  <w:noWrap w:val="0"/>
                  <w:vAlign w:val="center"/>
                </w:tcPr>
                <w:p>
                  <w:pPr>
                    <w:adjustRightInd w:val="0"/>
                    <w:snapToGrid w:val="0"/>
                    <w:spacing w:line="276" w:lineRule="auto"/>
                    <w:jc w:val="center"/>
                    <w:rPr>
                      <w:rFonts w:hint="eastAsia"/>
                      <w:b/>
                      <w:bCs/>
                      <w:sz w:val="21"/>
                      <w:szCs w:val="21"/>
                    </w:rPr>
                  </w:pPr>
                  <w:r>
                    <w:rPr>
                      <w:b/>
                      <w:bCs/>
                      <w:sz w:val="21"/>
                      <w:szCs w:val="21"/>
                    </w:rPr>
                    <w:t>监测点位</w:t>
                  </w:r>
                </w:p>
              </w:tc>
              <w:tc>
                <w:tcPr>
                  <w:tcW w:w="1983" w:type="dxa"/>
                  <w:shd w:val="clear" w:color="auto" w:fill="auto"/>
                  <w:noWrap w:val="0"/>
                  <w:vAlign w:val="center"/>
                </w:tcPr>
                <w:p>
                  <w:pPr>
                    <w:adjustRightInd w:val="0"/>
                    <w:snapToGrid w:val="0"/>
                    <w:spacing w:line="276" w:lineRule="auto"/>
                    <w:jc w:val="center"/>
                    <w:rPr>
                      <w:rFonts w:hint="eastAsia"/>
                      <w:b/>
                      <w:bCs/>
                      <w:sz w:val="21"/>
                      <w:szCs w:val="21"/>
                    </w:rPr>
                  </w:pPr>
                  <w:r>
                    <w:rPr>
                      <w:b/>
                      <w:bCs/>
                      <w:sz w:val="21"/>
                      <w:szCs w:val="21"/>
                    </w:rPr>
                    <w:t>监测指标</w:t>
                  </w:r>
                </w:p>
              </w:tc>
              <w:tc>
                <w:tcPr>
                  <w:tcW w:w="1983" w:type="dxa"/>
                  <w:shd w:val="clear" w:color="auto" w:fill="auto"/>
                  <w:noWrap w:val="0"/>
                  <w:vAlign w:val="center"/>
                </w:tcPr>
                <w:p>
                  <w:pPr>
                    <w:adjustRightInd w:val="0"/>
                    <w:snapToGrid w:val="0"/>
                    <w:spacing w:line="276" w:lineRule="auto"/>
                    <w:jc w:val="center"/>
                    <w:rPr>
                      <w:rFonts w:hint="eastAsia"/>
                      <w:b/>
                      <w:bCs/>
                      <w:sz w:val="21"/>
                      <w:szCs w:val="21"/>
                    </w:rPr>
                  </w:pPr>
                  <w:r>
                    <w:rPr>
                      <w:b/>
                      <w:bCs/>
                      <w:sz w:val="21"/>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shd w:val="clear" w:color="auto" w:fill="auto"/>
                  <w:noWrap w:val="0"/>
                  <w:vAlign w:val="center"/>
                </w:tcPr>
                <w:p>
                  <w:pPr>
                    <w:widowControl/>
                    <w:spacing w:line="276" w:lineRule="auto"/>
                    <w:jc w:val="center"/>
                    <w:rPr>
                      <w:rFonts w:ascii="宋体" w:hAnsi="宋体" w:cs="宋体"/>
                      <w:kern w:val="0"/>
                      <w:sz w:val="21"/>
                      <w:szCs w:val="21"/>
                    </w:rPr>
                  </w:pPr>
                  <w:r>
                    <w:rPr>
                      <w:rFonts w:hint="eastAsia" w:ascii="宋体" w:hAnsi="宋体" w:cs="宋体"/>
                      <w:color w:val="000000"/>
                      <w:kern w:val="0"/>
                      <w:sz w:val="21"/>
                      <w:szCs w:val="21"/>
                    </w:rPr>
                    <w:t>汽油储罐、汽油加</w:t>
                  </w:r>
                </w:p>
                <w:p>
                  <w:pPr>
                    <w:adjustRightInd w:val="0"/>
                    <w:snapToGrid w:val="0"/>
                    <w:spacing w:line="276" w:lineRule="auto"/>
                    <w:jc w:val="center"/>
                    <w:rPr>
                      <w:rFonts w:hint="eastAsia"/>
                      <w:bCs/>
                      <w:sz w:val="21"/>
                      <w:szCs w:val="21"/>
                    </w:rPr>
                  </w:pPr>
                  <w:r>
                    <w:rPr>
                      <w:rFonts w:hint="eastAsia" w:ascii="宋体" w:hAnsi="宋体" w:cs="宋体"/>
                      <w:color w:val="000000"/>
                      <w:kern w:val="0"/>
                      <w:sz w:val="21"/>
                      <w:szCs w:val="21"/>
                    </w:rPr>
                    <w:t>油枪</w:t>
                  </w:r>
                </w:p>
              </w:tc>
              <w:tc>
                <w:tcPr>
                  <w:tcW w:w="1983" w:type="dxa"/>
                  <w:shd w:val="clear" w:color="auto" w:fill="auto"/>
                  <w:noWrap w:val="0"/>
                  <w:vAlign w:val="center"/>
                </w:tcPr>
                <w:p>
                  <w:pPr>
                    <w:adjustRightInd w:val="0"/>
                    <w:snapToGrid w:val="0"/>
                    <w:spacing w:line="276" w:lineRule="auto"/>
                    <w:jc w:val="center"/>
                    <w:rPr>
                      <w:rFonts w:hint="eastAsia" w:eastAsia="宋体"/>
                      <w:bCs/>
                      <w:sz w:val="21"/>
                      <w:szCs w:val="21"/>
                      <w:lang w:eastAsia="zh-CN"/>
                    </w:rPr>
                  </w:pPr>
                  <w:r>
                    <w:rPr>
                      <w:rFonts w:hint="eastAsia"/>
                      <w:bCs/>
                      <w:sz w:val="21"/>
                      <w:szCs w:val="21"/>
                      <w:lang w:eastAsia="zh-CN"/>
                    </w:rPr>
                    <w:t>加油油气回收立管</w:t>
                  </w:r>
                </w:p>
              </w:tc>
              <w:tc>
                <w:tcPr>
                  <w:tcW w:w="1983" w:type="dxa"/>
                  <w:shd w:val="clear" w:color="auto" w:fill="auto"/>
                  <w:noWrap w:val="0"/>
                  <w:vAlign w:val="center"/>
                </w:tcPr>
                <w:p>
                  <w:pPr>
                    <w:adjustRightInd w:val="0"/>
                    <w:snapToGrid w:val="0"/>
                    <w:spacing w:line="276" w:lineRule="auto"/>
                    <w:jc w:val="center"/>
                    <w:rPr>
                      <w:rFonts w:hint="eastAsia"/>
                      <w:bCs/>
                      <w:sz w:val="21"/>
                      <w:szCs w:val="21"/>
                    </w:rPr>
                  </w:pPr>
                  <w:r>
                    <w:rPr>
                      <w:rFonts w:hint="eastAsia" w:ascii="宋体" w:hAnsi="宋体"/>
                      <w:bCs/>
                      <w:sz w:val="21"/>
                      <w:szCs w:val="21"/>
                    </w:rPr>
                    <w:t>液阻、密闭性</w:t>
                  </w:r>
                </w:p>
              </w:tc>
              <w:tc>
                <w:tcPr>
                  <w:tcW w:w="1983" w:type="dxa"/>
                  <w:shd w:val="clear" w:color="auto" w:fill="auto"/>
                  <w:noWrap w:val="0"/>
                  <w:vAlign w:val="center"/>
                </w:tcPr>
                <w:p>
                  <w:pPr>
                    <w:adjustRightInd w:val="0"/>
                    <w:snapToGrid w:val="0"/>
                    <w:spacing w:line="276" w:lineRule="auto"/>
                    <w:jc w:val="center"/>
                    <w:rPr>
                      <w:rFonts w:hint="eastAsia"/>
                      <w:bCs/>
                      <w:sz w:val="21"/>
                      <w:szCs w:val="21"/>
                    </w:rPr>
                  </w:pPr>
                  <w:r>
                    <w:rPr>
                      <w:rFonts w:hint="eastAsia"/>
                      <w:color w:val="000000"/>
                      <w:sz w:val="21"/>
                      <w:szCs w:val="21"/>
                    </w:rPr>
                    <w:t>1</w:t>
                  </w:r>
                  <w:r>
                    <w:rPr>
                      <w:color w:val="000000"/>
                      <w:sz w:val="21"/>
                      <w:szCs w:val="21"/>
                    </w:rPr>
                    <w:t>次</w:t>
                  </w:r>
                  <w:r>
                    <w:rPr>
                      <w:rFonts w:hint="eastAsia"/>
                      <w:color w:val="000000"/>
                      <w:sz w:val="21"/>
                      <w:szCs w:val="21"/>
                    </w:rPr>
                    <w:t>/</w:t>
                  </w:r>
                  <w:r>
                    <w:rPr>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 w:val="21"/>
                      <w:szCs w:val="21"/>
                    </w:rPr>
                  </w:pPr>
                </w:p>
              </w:tc>
              <w:tc>
                <w:tcPr>
                  <w:tcW w:w="1983" w:type="dxa"/>
                  <w:shd w:val="clear" w:color="auto" w:fill="auto"/>
                  <w:noWrap w:val="0"/>
                  <w:vAlign w:val="center"/>
                </w:tcPr>
                <w:p>
                  <w:pPr>
                    <w:adjustRightInd w:val="0"/>
                    <w:snapToGrid w:val="0"/>
                    <w:spacing w:line="276" w:lineRule="auto"/>
                    <w:jc w:val="center"/>
                    <w:rPr>
                      <w:rFonts w:hint="eastAsia" w:eastAsia="宋体"/>
                      <w:bCs/>
                      <w:sz w:val="21"/>
                      <w:szCs w:val="21"/>
                      <w:lang w:eastAsia="zh-CN"/>
                    </w:rPr>
                  </w:pPr>
                  <w:r>
                    <w:rPr>
                      <w:rFonts w:hint="eastAsia"/>
                      <w:bCs/>
                      <w:sz w:val="21"/>
                      <w:szCs w:val="21"/>
                      <w:lang w:eastAsia="zh-CN"/>
                    </w:rPr>
                    <w:t>加油枪喷管</w:t>
                  </w:r>
                </w:p>
              </w:tc>
              <w:tc>
                <w:tcPr>
                  <w:tcW w:w="1983" w:type="dxa"/>
                  <w:shd w:val="clear" w:color="auto" w:fill="auto"/>
                  <w:noWrap w:val="0"/>
                  <w:vAlign w:val="center"/>
                </w:tcPr>
                <w:p>
                  <w:pPr>
                    <w:adjustRightInd w:val="0"/>
                    <w:snapToGrid w:val="0"/>
                    <w:spacing w:line="276" w:lineRule="auto"/>
                    <w:jc w:val="center"/>
                    <w:rPr>
                      <w:rFonts w:hint="eastAsia"/>
                      <w:color w:val="000000"/>
                      <w:sz w:val="21"/>
                      <w:szCs w:val="21"/>
                      <w:lang w:eastAsia="zh-CN"/>
                    </w:rPr>
                  </w:pPr>
                  <w:r>
                    <w:rPr>
                      <w:rFonts w:hint="eastAsia"/>
                      <w:color w:val="000000"/>
                      <w:sz w:val="21"/>
                      <w:szCs w:val="21"/>
                      <w:lang w:eastAsia="zh-CN"/>
                    </w:rPr>
                    <w:t>气液比</w:t>
                  </w:r>
                </w:p>
              </w:tc>
              <w:tc>
                <w:tcPr>
                  <w:tcW w:w="1983" w:type="dxa"/>
                  <w:shd w:val="clear" w:color="auto" w:fill="auto"/>
                  <w:noWrap w:val="0"/>
                  <w:vAlign w:val="center"/>
                </w:tcPr>
                <w:p>
                  <w:pPr>
                    <w:adjustRightInd w:val="0"/>
                    <w:snapToGrid w:val="0"/>
                    <w:spacing w:line="276" w:lineRule="auto"/>
                    <w:jc w:val="center"/>
                    <w:rPr>
                      <w:rFonts w:hint="default" w:eastAsia="宋体"/>
                      <w:color w:val="000000"/>
                      <w:sz w:val="21"/>
                      <w:szCs w:val="21"/>
                      <w:lang w:val="en-US" w:eastAsia="zh-CN"/>
                    </w:rPr>
                  </w:pPr>
                  <w:r>
                    <w:rPr>
                      <w:rFonts w:hint="eastAsia"/>
                      <w:color w:val="000000"/>
                      <w:sz w:val="21"/>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 w:val="21"/>
                      <w:szCs w:val="21"/>
                    </w:rPr>
                  </w:pPr>
                </w:p>
              </w:tc>
              <w:tc>
                <w:tcPr>
                  <w:tcW w:w="1983" w:type="dxa"/>
                  <w:shd w:val="clear" w:color="auto" w:fill="auto"/>
                  <w:noWrap w:val="0"/>
                  <w:vAlign w:val="center"/>
                </w:tcPr>
                <w:p>
                  <w:pPr>
                    <w:adjustRightInd w:val="0"/>
                    <w:snapToGrid w:val="0"/>
                    <w:spacing w:line="276" w:lineRule="auto"/>
                    <w:jc w:val="center"/>
                    <w:rPr>
                      <w:rFonts w:hint="eastAsia" w:eastAsia="宋体"/>
                      <w:bCs/>
                      <w:sz w:val="21"/>
                      <w:szCs w:val="21"/>
                      <w:lang w:eastAsia="zh-CN"/>
                    </w:rPr>
                  </w:pPr>
                  <w:r>
                    <w:rPr>
                      <w:rFonts w:hint="eastAsia"/>
                      <w:bCs/>
                      <w:sz w:val="21"/>
                      <w:szCs w:val="21"/>
                      <w:lang w:eastAsia="zh-CN"/>
                    </w:rPr>
                    <w:t>加油站油气回收系统密闭点</w:t>
                  </w:r>
                </w:p>
              </w:tc>
              <w:tc>
                <w:tcPr>
                  <w:tcW w:w="1983" w:type="dxa"/>
                  <w:shd w:val="clear" w:color="auto" w:fill="auto"/>
                  <w:noWrap w:val="0"/>
                  <w:vAlign w:val="center"/>
                </w:tcPr>
                <w:p>
                  <w:pPr>
                    <w:adjustRightInd w:val="0"/>
                    <w:snapToGrid w:val="0"/>
                    <w:spacing w:line="276" w:lineRule="auto"/>
                    <w:jc w:val="center"/>
                    <w:rPr>
                      <w:rFonts w:hint="eastAsia"/>
                      <w:color w:val="000000"/>
                      <w:sz w:val="21"/>
                      <w:szCs w:val="21"/>
                      <w:lang w:eastAsia="zh-CN"/>
                    </w:rPr>
                  </w:pPr>
                  <w:r>
                    <w:rPr>
                      <w:rFonts w:hint="eastAsia"/>
                      <w:color w:val="000000"/>
                      <w:sz w:val="21"/>
                      <w:szCs w:val="21"/>
                      <w:lang w:eastAsia="zh-CN"/>
                    </w:rPr>
                    <w:t>泄漏检测值</w:t>
                  </w:r>
                </w:p>
              </w:tc>
              <w:tc>
                <w:tcPr>
                  <w:tcW w:w="1983" w:type="dxa"/>
                  <w:shd w:val="clear" w:color="auto" w:fill="auto"/>
                  <w:noWrap w:val="0"/>
                  <w:vAlign w:val="center"/>
                </w:tcPr>
                <w:p>
                  <w:pPr>
                    <w:adjustRightInd w:val="0"/>
                    <w:snapToGrid w:val="0"/>
                    <w:spacing w:line="276" w:lineRule="auto"/>
                    <w:jc w:val="center"/>
                    <w:rPr>
                      <w:rFonts w:hint="default" w:eastAsia="宋体"/>
                      <w:color w:val="000000"/>
                      <w:sz w:val="21"/>
                      <w:szCs w:val="21"/>
                      <w:lang w:val="en-US" w:eastAsia="zh-CN"/>
                    </w:rPr>
                  </w:pPr>
                  <w:r>
                    <w:rPr>
                      <w:rFonts w:hint="eastAsia"/>
                      <w:color w:val="000000"/>
                      <w:sz w:val="21"/>
                      <w:szCs w:val="21"/>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shd w:val="clear" w:color="auto" w:fill="auto"/>
                  <w:noWrap w:val="0"/>
                  <w:vAlign w:val="center"/>
                </w:tcPr>
                <w:p>
                  <w:pPr>
                    <w:adjustRightInd w:val="0"/>
                    <w:snapToGrid w:val="0"/>
                    <w:spacing w:line="276" w:lineRule="auto"/>
                    <w:jc w:val="center"/>
                    <w:rPr>
                      <w:rFonts w:hint="eastAsia"/>
                      <w:bCs/>
                      <w:sz w:val="21"/>
                      <w:szCs w:val="21"/>
                    </w:rPr>
                  </w:pPr>
                </w:p>
              </w:tc>
              <w:tc>
                <w:tcPr>
                  <w:tcW w:w="1983" w:type="dxa"/>
                  <w:shd w:val="clear" w:color="auto" w:fill="auto"/>
                  <w:noWrap w:val="0"/>
                  <w:vAlign w:val="center"/>
                </w:tcPr>
                <w:p>
                  <w:pPr>
                    <w:adjustRightInd w:val="0"/>
                    <w:snapToGrid w:val="0"/>
                    <w:spacing w:line="276" w:lineRule="auto"/>
                    <w:jc w:val="center"/>
                    <w:rPr>
                      <w:rFonts w:hint="eastAsia"/>
                      <w:bCs/>
                      <w:sz w:val="21"/>
                      <w:szCs w:val="21"/>
                    </w:rPr>
                  </w:pPr>
                  <w:r>
                    <w:rPr>
                      <w:bCs/>
                      <w:sz w:val="21"/>
                      <w:szCs w:val="21"/>
                    </w:rPr>
                    <w:t>厂界</w:t>
                  </w:r>
                </w:p>
              </w:tc>
              <w:tc>
                <w:tcPr>
                  <w:tcW w:w="1983" w:type="dxa"/>
                  <w:shd w:val="clear" w:color="auto" w:fill="auto"/>
                  <w:noWrap w:val="0"/>
                  <w:vAlign w:val="center"/>
                </w:tcPr>
                <w:p>
                  <w:pPr>
                    <w:adjustRightInd w:val="0"/>
                    <w:snapToGrid w:val="0"/>
                    <w:spacing w:line="276" w:lineRule="auto"/>
                    <w:jc w:val="center"/>
                    <w:rPr>
                      <w:rFonts w:hint="eastAsia" w:eastAsia="宋体"/>
                      <w:bCs/>
                      <w:sz w:val="21"/>
                      <w:szCs w:val="21"/>
                      <w:lang w:eastAsia="zh-CN"/>
                    </w:rPr>
                  </w:pPr>
                  <w:r>
                    <w:rPr>
                      <w:rFonts w:hint="eastAsia"/>
                      <w:color w:val="000000"/>
                      <w:sz w:val="21"/>
                      <w:szCs w:val="21"/>
                      <w:lang w:eastAsia="zh-CN"/>
                    </w:rPr>
                    <w:t>非甲烷总烃</w:t>
                  </w:r>
                </w:p>
              </w:tc>
              <w:tc>
                <w:tcPr>
                  <w:tcW w:w="1983" w:type="dxa"/>
                  <w:shd w:val="clear" w:color="auto" w:fill="auto"/>
                  <w:noWrap w:val="0"/>
                  <w:vAlign w:val="center"/>
                </w:tcPr>
                <w:p>
                  <w:pPr>
                    <w:adjustRightInd w:val="0"/>
                    <w:snapToGrid w:val="0"/>
                    <w:spacing w:line="276" w:lineRule="auto"/>
                    <w:jc w:val="center"/>
                    <w:rPr>
                      <w:rFonts w:hint="eastAsia"/>
                      <w:bCs/>
                      <w:sz w:val="21"/>
                      <w:szCs w:val="21"/>
                    </w:rPr>
                  </w:pPr>
                  <w:r>
                    <w:rPr>
                      <w:rFonts w:hint="eastAsia"/>
                      <w:color w:val="000000"/>
                      <w:sz w:val="21"/>
                      <w:szCs w:val="21"/>
                    </w:rPr>
                    <w:t>1</w:t>
                  </w:r>
                  <w:r>
                    <w:rPr>
                      <w:color w:val="000000"/>
                      <w:sz w:val="21"/>
                      <w:szCs w:val="21"/>
                    </w:rPr>
                    <w:t>次</w:t>
                  </w:r>
                  <w:r>
                    <w:rPr>
                      <w:rFonts w:hint="eastAsia"/>
                      <w:color w:val="000000"/>
                      <w:sz w:val="21"/>
                      <w:szCs w:val="21"/>
                    </w:rPr>
                    <w:t>/</w:t>
                  </w:r>
                  <w:r>
                    <w:rPr>
                      <w:color w:val="000000"/>
                      <w:sz w:val="21"/>
                      <w:szCs w:val="21"/>
                    </w:rPr>
                    <w:t>年</w:t>
                  </w:r>
                </w:p>
              </w:tc>
            </w:tr>
          </w:tbl>
          <w:p>
            <w:pPr>
              <w:adjustRightInd w:val="0"/>
              <w:snapToGrid w:val="0"/>
              <w:spacing w:line="360" w:lineRule="auto"/>
              <w:ind w:firstLine="435"/>
              <w:jc w:val="left"/>
              <w:rPr>
                <w:b/>
                <w:bCs/>
                <w:sz w:val="21"/>
                <w:szCs w:val="21"/>
              </w:rPr>
            </w:pPr>
            <w:r>
              <w:rPr>
                <w:b/>
                <w:bCs/>
                <w:sz w:val="21"/>
                <w:szCs w:val="21"/>
              </w:rPr>
              <w:t>2.废水</w:t>
            </w:r>
          </w:p>
          <w:p>
            <w:pPr>
              <w:adjustRightInd w:val="0"/>
              <w:snapToGrid w:val="0"/>
              <w:spacing w:line="360" w:lineRule="auto"/>
              <w:ind w:firstLine="435"/>
              <w:jc w:val="left"/>
              <w:rPr>
                <w:b/>
                <w:bCs/>
                <w:sz w:val="21"/>
                <w:szCs w:val="21"/>
              </w:rPr>
            </w:pPr>
            <w:r>
              <w:rPr>
                <w:b/>
                <w:bCs/>
                <w:sz w:val="21"/>
                <w:szCs w:val="21"/>
              </w:rPr>
              <w:t>（</w:t>
            </w:r>
            <w:r>
              <w:rPr>
                <w:rFonts w:hint="eastAsia"/>
                <w:b/>
                <w:bCs/>
                <w:sz w:val="21"/>
                <w:szCs w:val="21"/>
              </w:rPr>
              <w:t>1</w:t>
            </w:r>
            <w:r>
              <w:rPr>
                <w:b/>
                <w:bCs/>
                <w:sz w:val="21"/>
                <w:szCs w:val="21"/>
              </w:rPr>
              <w:t>）源强</w:t>
            </w:r>
          </w:p>
          <w:p>
            <w:pPr>
              <w:adjustRightInd w:val="0"/>
              <w:snapToGrid w:val="0"/>
              <w:spacing w:line="360" w:lineRule="auto"/>
              <w:ind w:firstLine="435"/>
              <w:jc w:val="left"/>
              <w:rPr>
                <w:rFonts w:hint="eastAsia" w:eastAsia="宋体"/>
                <w:b w:val="0"/>
                <w:bCs w:val="0"/>
                <w:sz w:val="21"/>
                <w:szCs w:val="21"/>
                <w:lang w:val="en-US" w:eastAsia="zh-CN"/>
              </w:rPr>
            </w:pPr>
            <w:r>
              <w:rPr>
                <w:rFonts w:hint="eastAsia"/>
                <w:b w:val="0"/>
                <w:bCs w:val="0"/>
                <w:sz w:val="21"/>
                <w:szCs w:val="21"/>
                <w:lang w:eastAsia="zh-CN"/>
              </w:rPr>
              <w:t>本项目仅新增油罐，废水产排情况与现有项目一致，不新增排放量。</w:t>
            </w:r>
          </w:p>
          <w:p>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rPr>
              <w:t>2</w:t>
            </w:r>
            <w:r>
              <w:rPr>
                <w:b/>
                <w:color w:val="000000"/>
                <w:sz w:val="21"/>
                <w:szCs w:val="21"/>
              </w:rPr>
              <w:t>）废水处理设施可行性分析</w:t>
            </w:r>
          </w:p>
          <w:p>
            <w:pPr>
              <w:widowControl/>
              <w:spacing w:line="360" w:lineRule="auto"/>
              <w:ind w:firstLine="435"/>
              <w:jc w:val="left"/>
              <w:rPr>
                <w:color w:val="000000"/>
                <w:sz w:val="21"/>
                <w:szCs w:val="21"/>
              </w:rPr>
            </w:pPr>
            <w:r>
              <w:rPr>
                <w:rFonts w:hint="eastAsia"/>
                <w:color w:val="000000"/>
                <w:sz w:val="21"/>
                <w:szCs w:val="21"/>
              </w:rPr>
              <w:t>本项目实行雨污分流、污污分流制。雨水排入雨水管网，设雨水切换阀。员工及流动人员生活污水经过化粪池处理；场地清洁废水经站内隔油沉淀池处理后达到《污水综合排放标准》（</w:t>
            </w:r>
            <w:r>
              <w:rPr>
                <w:color w:val="000000"/>
                <w:sz w:val="21"/>
                <w:szCs w:val="21"/>
              </w:rPr>
              <w:t>GB8978-1996</w:t>
            </w:r>
            <w:r>
              <w:rPr>
                <w:rFonts w:hint="eastAsia"/>
                <w:color w:val="000000"/>
                <w:sz w:val="21"/>
                <w:szCs w:val="21"/>
              </w:rPr>
              <w:t>）三级标准及</w:t>
            </w:r>
            <w:r>
              <w:rPr>
                <w:rFonts w:hint="eastAsia" w:ascii="宋体" w:hAnsi="宋体" w:cs="宋体"/>
                <w:spacing w:val="-1"/>
                <w:sz w:val="21"/>
                <w:szCs w:val="21"/>
                <w:lang w:eastAsia="zh-CN"/>
              </w:rPr>
              <w:t>桃源县</w:t>
            </w:r>
            <w:r>
              <w:rPr>
                <w:rFonts w:ascii="宋体" w:hAnsi="宋体" w:eastAsia="宋体" w:cs="宋体"/>
                <w:spacing w:val="-1"/>
                <w:sz w:val="21"/>
                <w:szCs w:val="21"/>
              </w:rPr>
              <w:t>污水处理厂</w:t>
            </w:r>
            <w:r>
              <w:rPr>
                <w:rFonts w:ascii="Times New Roman" w:hAnsi="Times New Roman"/>
                <w:sz w:val="21"/>
                <w:szCs w:val="21"/>
              </w:rPr>
              <w:t>进水水质要求</w:t>
            </w:r>
            <w:r>
              <w:rPr>
                <w:rFonts w:hint="eastAsia"/>
                <w:color w:val="000000"/>
                <w:sz w:val="21"/>
                <w:szCs w:val="21"/>
              </w:rPr>
              <w:t>，排入市政污水管网，进入</w:t>
            </w:r>
            <w:r>
              <w:rPr>
                <w:rFonts w:hint="eastAsia" w:ascii="宋体" w:hAnsi="宋体" w:cs="宋体"/>
                <w:spacing w:val="-1"/>
                <w:sz w:val="21"/>
                <w:szCs w:val="21"/>
                <w:lang w:eastAsia="zh-CN"/>
              </w:rPr>
              <w:t>桃源县</w:t>
            </w:r>
            <w:r>
              <w:rPr>
                <w:rFonts w:ascii="宋体" w:hAnsi="宋体" w:eastAsia="宋体" w:cs="宋体"/>
                <w:spacing w:val="-1"/>
                <w:sz w:val="21"/>
                <w:szCs w:val="21"/>
              </w:rPr>
              <w:t>污水处理厂</w:t>
            </w:r>
            <w:r>
              <w:rPr>
                <w:rFonts w:hint="eastAsia"/>
                <w:color w:val="000000"/>
                <w:sz w:val="21"/>
                <w:szCs w:val="21"/>
              </w:rPr>
              <w:t>处理后达到《城镇污水处理厂污染物排放标准》</w:t>
            </w:r>
            <w:r>
              <w:rPr>
                <w:color w:val="000000"/>
                <w:sz w:val="21"/>
                <w:szCs w:val="21"/>
              </w:rPr>
              <w:t>(GB18918-2002)</w:t>
            </w:r>
            <w:r>
              <w:rPr>
                <w:rFonts w:hint="eastAsia"/>
                <w:color w:val="000000"/>
                <w:sz w:val="21"/>
                <w:szCs w:val="21"/>
              </w:rPr>
              <w:t>一级</w:t>
            </w:r>
            <w:r>
              <w:rPr>
                <w:rFonts w:hint="eastAsia"/>
                <w:color w:val="000000"/>
                <w:sz w:val="21"/>
                <w:szCs w:val="21"/>
                <w:lang w:val="en-US" w:eastAsia="zh-CN"/>
              </w:rPr>
              <w:t>A</w:t>
            </w:r>
            <w:r>
              <w:rPr>
                <w:rFonts w:hint="eastAsia"/>
                <w:color w:val="000000"/>
                <w:sz w:val="21"/>
                <w:szCs w:val="21"/>
              </w:rPr>
              <w:t>标准要求排入</w:t>
            </w:r>
            <w:r>
              <w:rPr>
                <w:rFonts w:hint="eastAsia"/>
                <w:sz w:val="21"/>
                <w:szCs w:val="21"/>
                <w:lang w:val="en-US" w:eastAsia="zh-CN"/>
              </w:rPr>
              <w:t>新河</w:t>
            </w:r>
            <w:r>
              <w:rPr>
                <w:rFonts w:hint="eastAsia"/>
                <w:color w:val="000000"/>
                <w:sz w:val="21"/>
                <w:szCs w:val="21"/>
              </w:rPr>
              <w:t>。</w:t>
            </w:r>
          </w:p>
          <w:p>
            <w:pPr>
              <w:widowControl/>
              <w:spacing w:line="360" w:lineRule="auto"/>
              <w:ind w:firstLine="435"/>
              <w:jc w:val="left"/>
              <w:rPr>
                <w:rFonts w:hint="eastAsia" w:eastAsia="宋体"/>
                <w:b w:val="0"/>
                <w:bCs/>
                <w:color w:val="000000"/>
                <w:sz w:val="21"/>
                <w:szCs w:val="21"/>
                <w:lang w:eastAsia="zh-CN"/>
              </w:rPr>
            </w:pPr>
            <w:r>
              <w:rPr>
                <w:rFonts w:hint="eastAsia"/>
                <w:color w:val="000000"/>
                <w:sz w:val="21"/>
                <w:szCs w:val="21"/>
              </w:rPr>
              <w:t>本项目生活废水由化粪池处理后排入市政污水管网；地面冲洗废水经隔油沉淀池处理后排入市政污水管网，市政污水管网接入</w:t>
            </w:r>
            <w:r>
              <w:rPr>
                <w:rFonts w:hint="eastAsia" w:ascii="宋体" w:hAnsi="宋体" w:cs="宋体"/>
                <w:spacing w:val="-1"/>
                <w:sz w:val="21"/>
                <w:szCs w:val="21"/>
                <w:lang w:eastAsia="zh-CN"/>
              </w:rPr>
              <w:t>桃源县</w:t>
            </w:r>
            <w:r>
              <w:rPr>
                <w:rFonts w:ascii="宋体" w:hAnsi="宋体" w:eastAsia="宋体" w:cs="宋体"/>
                <w:spacing w:val="-1"/>
                <w:sz w:val="21"/>
                <w:szCs w:val="21"/>
              </w:rPr>
              <w:t>污水处理厂</w:t>
            </w:r>
            <w:r>
              <w:rPr>
                <w:rFonts w:hint="eastAsia"/>
                <w:color w:val="000000"/>
                <w:sz w:val="21"/>
                <w:szCs w:val="21"/>
              </w:rPr>
              <w:t>。</w:t>
            </w:r>
            <w:r>
              <w:rPr>
                <w:rFonts w:hint="eastAsia" w:ascii="宋体" w:hAnsi="宋体" w:eastAsia="宋体" w:cs="宋体"/>
                <w:spacing w:val="-1"/>
                <w:sz w:val="21"/>
                <w:szCs w:val="21"/>
              </w:rPr>
              <w:t>湖</w:t>
            </w:r>
            <w:r>
              <w:rPr>
                <w:rFonts w:hint="eastAsia"/>
                <w:color w:val="000000"/>
                <w:sz w:val="21"/>
                <w:szCs w:val="21"/>
              </w:rPr>
              <w:t>南</w:t>
            </w:r>
            <w:r>
              <w:rPr>
                <w:rFonts w:hint="eastAsia"/>
                <w:color w:val="000000"/>
                <w:sz w:val="21"/>
                <w:szCs w:val="21"/>
                <w:lang w:eastAsia="zh-CN"/>
              </w:rPr>
              <w:t>桃源污水处理厂</w:t>
            </w:r>
            <w:r>
              <w:rPr>
                <w:rFonts w:hint="eastAsia"/>
                <w:color w:val="000000"/>
                <w:sz w:val="21"/>
                <w:szCs w:val="21"/>
              </w:rPr>
              <w:t>采用较为先进的人工快渗工艺， 其设计规模为2</w:t>
            </w:r>
            <w:r>
              <w:rPr>
                <w:rFonts w:hint="eastAsia"/>
                <w:color w:val="000000"/>
                <w:sz w:val="21"/>
                <w:szCs w:val="21"/>
                <w:lang w:val="en-US" w:eastAsia="zh-CN"/>
              </w:rPr>
              <w:t>.5</w:t>
            </w:r>
            <w:r>
              <w:rPr>
                <w:rFonts w:hint="eastAsia"/>
                <w:color w:val="000000"/>
                <w:sz w:val="21"/>
                <w:szCs w:val="21"/>
              </w:rPr>
              <w:t>万立方米/日，本项目外排污水占</w:t>
            </w:r>
            <w:r>
              <w:rPr>
                <w:rFonts w:hint="eastAsia"/>
                <w:color w:val="000000"/>
                <w:sz w:val="21"/>
                <w:szCs w:val="21"/>
                <w:lang w:val="en-US" w:eastAsia="zh-CN"/>
              </w:rPr>
              <w:t>桃源县</w:t>
            </w:r>
            <w:r>
              <w:rPr>
                <w:rFonts w:hint="eastAsia"/>
                <w:color w:val="000000"/>
                <w:sz w:val="21"/>
                <w:szCs w:val="21"/>
              </w:rPr>
              <w:t>污水处理厂份额比例很小，所以本项目产生的污水不会对</w:t>
            </w:r>
            <w:r>
              <w:rPr>
                <w:rFonts w:hint="eastAsia"/>
                <w:color w:val="000000"/>
                <w:sz w:val="21"/>
                <w:szCs w:val="21"/>
                <w:lang w:val="en-US" w:eastAsia="zh-CN"/>
              </w:rPr>
              <w:t>桃源县</w:t>
            </w:r>
            <w:r>
              <w:rPr>
                <w:rFonts w:hint="eastAsia"/>
                <w:color w:val="000000"/>
                <w:sz w:val="21"/>
                <w:szCs w:val="21"/>
              </w:rPr>
              <w:t>污水处理厂产生水量冲击负荷。</w:t>
            </w:r>
            <w:r>
              <w:rPr>
                <w:rFonts w:hint="eastAsia"/>
                <w:color w:val="000000"/>
                <w:sz w:val="21"/>
                <w:szCs w:val="21"/>
                <w:lang w:eastAsia="zh-CN"/>
              </w:rPr>
              <w:t>且</w:t>
            </w:r>
            <w:r>
              <w:rPr>
                <w:rFonts w:hint="eastAsia"/>
                <w:color w:val="000000"/>
                <w:sz w:val="21"/>
                <w:szCs w:val="21"/>
              </w:rPr>
              <w:t>项目外排废水污染物的浓度</w:t>
            </w:r>
            <w:r>
              <w:rPr>
                <w:rFonts w:hint="eastAsia"/>
                <w:color w:val="000000"/>
                <w:sz w:val="21"/>
                <w:szCs w:val="21"/>
                <w:lang w:eastAsia="zh-CN"/>
              </w:rPr>
              <w:t>均</w:t>
            </w:r>
            <w:r>
              <w:rPr>
                <w:rFonts w:hint="eastAsia"/>
                <w:color w:val="000000"/>
                <w:sz w:val="21"/>
                <w:szCs w:val="21"/>
              </w:rPr>
              <w:t>能够达到</w:t>
            </w:r>
            <w:r>
              <w:rPr>
                <w:rFonts w:hint="eastAsia"/>
                <w:color w:val="000000"/>
                <w:sz w:val="21"/>
                <w:szCs w:val="21"/>
                <w:lang w:eastAsia="zh-CN"/>
              </w:rPr>
              <w:t>桃源县</w:t>
            </w:r>
            <w:r>
              <w:rPr>
                <w:rFonts w:hint="eastAsia"/>
                <w:color w:val="000000"/>
                <w:sz w:val="21"/>
                <w:szCs w:val="21"/>
              </w:rPr>
              <w:t>污水处理厂进水水质的要求，从水质方面入</w:t>
            </w:r>
            <w:r>
              <w:rPr>
                <w:rFonts w:hint="eastAsia" w:ascii="宋体" w:hAnsi="宋体" w:cs="宋体"/>
                <w:spacing w:val="-1"/>
                <w:sz w:val="21"/>
                <w:szCs w:val="21"/>
                <w:lang w:eastAsia="zh-CN"/>
              </w:rPr>
              <w:t>桃源县</w:t>
            </w:r>
            <w:r>
              <w:rPr>
                <w:rFonts w:ascii="宋体" w:hAnsi="宋体" w:eastAsia="宋体" w:cs="宋体"/>
                <w:spacing w:val="-1"/>
                <w:sz w:val="21"/>
                <w:szCs w:val="21"/>
              </w:rPr>
              <w:t>污水处理厂</w:t>
            </w:r>
            <w:r>
              <w:rPr>
                <w:rFonts w:hint="eastAsia"/>
                <w:color w:val="000000"/>
                <w:sz w:val="21"/>
                <w:szCs w:val="21"/>
              </w:rPr>
              <w:t>是可行的。站方拟在加油区四周修建水封沟对废水进行收集，同时在储油罐周围修建环形防油堤，防止成品油渗漏或者意外事故后泄漏进入地下水。在采取上述措施后，对周边水环境影响不大。</w:t>
            </w:r>
            <w:r>
              <w:rPr>
                <w:color w:val="000000"/>
                <w:sz w:val="21"/>
                <w:szCs w:val="21"/>
              </w:rPr>
              <w:t>根据</w:t>
            </w:r>
            <w:r>
              <w:rPr>
                <w:rFonts w:hint="eastAsia"/>
                <w:color w:val="000000"/>
                <w:sz w:val="21"/>
                <w:szCs w:val="21"/>
              </w:rPr>
              <w:t>《排污许可证申请与核发技术规范储油库、加油站》</w:t>
            </w:r>
            <w:r>
              <w:rPr>
                <w:color w:val="000000"/>
                <w:sz w:val="21"/>
                <w:szCs w:val="21"/>
              </w:rPr>
              <w:t>（HJ1118-2020</w:t>
            </w:r>
            <w:r>
              <w:rPr>
                <w:rFonts w:hint="eastAsia"/>
                <w:color w:val="000000"/>
                <w:sz w:val="21"/>
                <w:szCs w:val="21"/>
              </w:rPr>
              <w:t>）中</w:t>
            </w:r>
            <w:r>
              <w:rPr>
                <w:rFonts w:hint="eastAsia"/>
                <w:color w:val="000000"/>
                <w:sz w:val="21"/>
                <w:szCs w:val="21"/>
                <w:lang w:eastAsia="zh-CN"/>
              </w:rPr>
              <w:t>废水处理</w:t>
            </w:r>
            <w:r>
              <w:rPr>
                <w:rFonts w:hint="eastAsia"/>
                <w:color w:val="000000"/>
                <w:sz w:val="21"/>
                <w:szCs w:val="21"/>
              </w:rPr>
              <w:t>推荐可行技术</w:t>
            </w:r>
            <w:r>
              <w:rPr>
                <w:rFonts w:hint="eastAsia"/>
                <w:color w:val="000000"/>
                <w:sz w:val="21"/>
                <w:szCs w:val="21"/>
                <w:lang w:eastAsia="zh-CN"/>
              </w:rPr>
              <w:t>分析，</w:t>
            </w:r>
            <w:r>
              <w:rPr>
                <w:rFonts w:hint="eastAsia"/>
                <w:color w:val="000000"/>
                <w:sz w:val="21"/>
                <w:szCs w:val="21"/>
              </w:rPr>
              <w:t>在采取上述措施后，</w:t>
            </w:r>
            <w:r>
              <w:rPr>
                <w:rFonts w:hint="eastAsia"/>
                <w:color w:val="000000"/>
                <w:sz w:val="21"/>
                <w:szCs w:val="21"/>
                <w:lang w:eastAsia="zh-CN"/>
              </w:rPr>
              <w:t>符合废水防治技术要求</w:t>
            </w:r>
            <w:r>
              <w:rPr>
                <w:rFonts w:hint="eastAsia"/>
                <w:color w:val="000000"/>
                <w:sz w:val="21"/>
                <w:szCs w:val="21"/>
              </w:rPr>
              <w:t>。</w:t>
            </w:r>
          </w:p>
          <w:p>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rPr>
              <w:t>3</w:t>
            </w:r>
            <w:r>
              <w:rPr>
                <w:b/>
                <w:color w:val="000000"/>
                <w:sz w:val="21"/>
                <w:szCs w:val="21"/>
              </w:rPr>
              <w:t>）排污口基本情况</w:t>
            </w:r>
          </w:p>
          <w:p>
            <w:pPr>
              <w:widowControl/>
              <w:spacing w:line="360" w:lineRule="auto"/>
              <w:ind w:firstLine="435"/>
              <w:jc w:val="left"/>
              <w:rPr>
                <w:color w:val="000000"/>
                <w:sz w:val="21"/>
                <w:szCs w:val="21"/>
              </w:rPr>
            </w:pPr>
            <w:r>
              <w:rPr>
                <w:color w:val="000000"/>
                <w:sz w:val="21"/>
                <w:szCs w:val="21"/>
              </w:rPr>
              <w:t>项目废水排放口基本情况见下表。</w:t>
            </w:r>
          </w:p>
          <w:p>
            <w:pPr>
              <w:widowControl/>
              <w:spacing w:line="360" w:lineRule="auto"/>
              <w:jc w:val="center"/>
              <w:rPr>
                <w:b/>
                <w:color w:val="000000"/>
                <w:sz w:val="21"/>
                <w:szCs w:val="21"/>
              </w:rPr>
            </w:pPr>
            <w:r>
              <w:rPr>
                <w:b/>
                <w:color w:val="000000"/>
                <w:sz w:val="21"/>
                <w:szCs w:val="21"/>
              </w:rPr>
              <w:t>表</w:t>
            </w:r>
            <w:r>
              <w:rPr>
                <w:rFonts w:hint="eastAsia"/>
                <w:b/>
                <w:color w:val="000000"/>
                <w:sz w:val="21"/>
                <w:szCs w:val="21"/>
              </w:rPr>
              <w:t>4</w:t>
            </w:r>
            <w:r>
              <w:rPr>
                <w:b/>
                <w:color w:val="000000"/>
                <w:sz w:val="21"/>
                <w:szCs w:val="21"/>
              </w:rPr>
              <w:t>-</w:t>
            </w:r>
            <w:r>
              <w:rPr>
                <w:rFonts w:hint="eastAsia"/>
                <w:b/>
                <w:color w:val="000000"/>
                <w:sz w:val="21"/>
                <w:szCs w:val="21"/>
                <w:lang w:val="en-US" w:eastAsia="zh-CN"/>
              </w:rPr>
              <w:t>5</w:t>
            </w:r>
            <w:r>
              <w:rPr>
                <w:b/>
                <w:color w:val="000000"/>
                <w:sz w:val="21"/>
                <w:szCs w:val="21"/>
              </w:rPr>
              <w:t xml:space="preserve">  项目废水排放口情况一览表</w:t>
            </w:r>
          </w:p>
          <w:tbl>
            <w:tblPr>
              <w:tblStyle w:val="8"/>
              <w:tblW w:w="8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591"/>
              <w:gridCol w:w="1276"/>
              <w:gridCol w:w="1134"/>
              <w:gridCol w:w="624"/>
              <w:gridCol w:w="510"/>
              <w:gridCol w:w="709"/>
              <w:gridCol w:w="425"/>
              <w:gridCol w:w="567"/>
              <w:gridCol w:w="70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restart"/>
                  <w:tcBorders>
                    <w:top w:val="single" w:color="auto" w:sz="4" w:space="0"/>
                    <w:left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序号</w:t>
                  </w:r>
                </w:p>
              </w:tc>
              <w:tc>
                <w:tcPr>
                  <w:tcW w:w="591" w:type="dxa"/>
                  <w:vMerge w:val="restart"/>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排放口编号</w:t>
                  </w:r>
                </w:p>
              </w:tc>
              <w:tc>
                <w:tcPr>
                  <w:tcW w:w="2410" w:type="dxa"/>
                  <w:gridSpan w:val="2"/>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排放口地理坐标</w:t>
                  </w:r>
                </w:p>
              </w:tc>
              <w:tc>
                <w:tcPr>
                  <w:tcW w:w="624" w:type="dxa"/>
                  <w:vMerge w:val="restart"/>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废水排放量</w:t>
                  </w:r>
                  <w:r>
                    <w:rPr>
                      <w:rFonts w:hint="eastAsia"/>
                      <w:b/>
                      <w:color w:val="000000"/>
                      <w:sz w:val="21"/>
                      <w:szCs w:val="21"/>
                    </w:rPr>
                    <w:t>(t</w:t>
                  </w:r>
                  <w:r>
                    <w:rPr>
                      <w:b/>
                      <w:color w:val="000000"/>
                      <w:sz w:val="21"/>
                      <w:szCs w:val="21"/>
                    </w:rPr>
                    <w:t>/a</w:t>
                  </w:r>
                  <w:r>
                    <w:rPr>
                      <w:rFonts w:hint="eastAsia"/>
                      <w:b/>
                      <w:color w:val="000000"/>
                      <w:sz w:val="21"/>
                      <w:szCs w:val="21"/>
                    </w:rPr>
                    <w:t>)</w:t>
                  </w:r>
                </w:p>
              </w:tc>
              <w:tc>
                <w:tcPr>
                  <w:tcW w:w="510" w:type="dxa"/>
                  <w:vMerge w:val="restart"/>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排水去向</w:t>
                  </w:r>
                </w:p>
              </w:tc>
              <w:tc>
                <w:tcPr>
                  <w:tcW w:w="709" w:type="dxa"/>
                  <w:vMerge w:val="restart"/>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排放规律</w:t>
                  </w:r>
                </w:p>
              </w:tc>
              <w:tc>
                <w:tcPr>
                  <w:tcW w:w="425" w:type="dxa"/>
                  <w:vMerge w:val="restart"/>
                  <w:tcBorders>
                    <w:top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间歇排放时段</w:t>
                  </w:r>
                </w:p>
              </w:tc>
              <w:tc>
                <w:tcPr>
                  <w:tcW w:w="2355" w:type="dxa"/>
                  <w:gridSpan w:val="3"/>
                  <w:tcBorders>
                    <w:top w:val="single" w:color="auto" w:sz="4" w:space="0"/>
                    <w:right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收纳污水处理厂信息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pPr>
                    <w:widowControl/>
                    <w:jc w:val="center"/>
                    <w:rPr>
                      <w:rFonts w:hint="eastAsia"/>
                      <w:b/>
                      <w:color w:val="000000"/>
                      <w:sz w:val="21"/>
                      <w:szCs w:val="21"/>
                    </w:rPr>
                  </w:pPr>
                </w:p>
              </w:tc>
              <w:tc>
                <w:tcPr>
                  <w:tcW w:w="591" w:type="dxa"/>
                  <w:vMerge w:val="continue"/>
                  <w:tcBorders>
                    <w:bottom w:val="single" w:color="auto" w:sz="4" w:space="0"/>
                  </w:tcBorders>
                  <w:shd w:val="clear" w:color="auto" w:fill="auto"/>
                  <w:noWrap w:val="0"/>
                  <w:vAlign w:val="center"/>
                </w:tcPr>
                <w:p>
                  <w:pPr>
                    <w:widowControl/>
                    <w:jc w:val="center"/>
                    <w:rPr>
                      <w:rFonts w:hint="eastAsia"/>
                      <w:b/>
                      <w:color w:val="000000"/>
                      <w:sz w:val="21"/>
                      <w:szCs w:val="21"/>
                    </w:rPr>
                  </w:pPr>
                </w:p>
              </w:tc>
              <w:tc>
                <w:tcPr>
                  <w:tcW w:w="1276" w:type="dxa"/>
                  <w:tcBorders>
                    <w:bottom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经度</w:t>
                  </w:r>
                </w:p>
              </w:tc>
              <w:tc>
                <w:tcPr>
                  <w:tcW w:w="1134" w:type="dxa"/>
                  <w:tcBorders>
                    <w:bottom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纬度</w:t>
                  </w:r>
                </w:p>
              </w:tc>
              <w:tc>
                <w:tcPr>
                  <w:tcW w:w="624" w:type="dxa"/>
                  <w:vMerge w:val="continue"/>
                  <w:tcBorders>
                    <w:bottom w:val="single" w:color="auto" w:sz="4" w:space="0"/>
                  </w:tcBorders>
                  <w:shd w:val="clear" w:color="auto" w:fill="auto"/>
                  <w:noWrap w:val="0"/>
                  <w:vAlign w:val="center"/>
                </w:tcPr>
                <w:p>
                  <w:pPr>
                    <w:widowControl/>
                    <w:jc w:val="center"/>
                    <w:rPr>
                      <w:rFonts w:hint="eastAsia"/>
                      <w:b/>
                      <w:color w:val="000000"/>
                      <w:sz w:val="21"/>
                      <w:szCs w:val="21"/>
                    </w:rPr>
                  </w:pPr>
                </w:p>
              </w:tc>
              <w:tc>
                <w:tcPr>
                  <w:tcW w:w="510" w:type="dxa"/>
                  <w:vMerge w:val="continue"/>
                  <w:tcBorders>
                    <w:bottom w:val="single" w:color="auto" w:sz="4" w:space="0"/>
                  </w:tcBorders>
                  <w:shd w:val="clear" w:color="auto" w:fill="auto"/>
                  <w:noWrap w:val="0"/>
                  <w:vAlign w:val="center"/>
                </w:tcPr>
                <w:p>
                  <w:pPr>
                    <w:widowControl/>
                    <w:jc w:val="center"/>
                    <w:rPr>
                      <w:rFonts w:hint="eastAsia"/>
                      <w:b/>
                      <w:color w:val="000000"/>
                      <w:sz w:val="21"/>
                      <w:szCs w:val="21"/>
                    </w:rPr>
                  </w:pPr>
                </w:p>
              </w:tc>
              <w:tc>
                <w:tcPr>
                  <w:tcW w:w="709" w:type="dxa"/>
                  <w:vMerge w:val="continue"/>
                  <w:tcBorders>
                    <w:bottom w:val="single" w:color="auto" w:sz="4" w:space="0"/>
                  </w:tcBorders>
                  <w:shd w:val="clear" w:color="auto" w:fill="auto"/>
                  <w:noWrap w:val="0"/>
                  <w:vAlign w:val="center"/>
                </w:tcPr>
                <w:p>
                  <w:pPr>
                    <w:widowControl/>
                    <w:jc w:val="center"/>
                    <w:rPr>
                      <w:rFonts w:hint="eastAsia"/>
                      <w:b/>
                      <w:color w:val="000000"/>
                      <w:sz w:val="21"/>
                      <w:szCs w:val="21"/>
                    </w:rPr>
                  </w:pPr>
                </w:p>
              </w:tc>
              <w:tc>
                <w:tcPr>
                  <w:tcW w:w="425" w:type="dxa"/>
                  <w:vMerge w:val="continue"/>
                  <w:tcBorders>
                    <w:bottom w:val="single" w:color="auto" w:sz="4" w:space="0"/>
                  </w:tcBorders>
                  <w:shd w:val="clear" w:color="auto" w:fill="auto"/>
                  <w:noWrap w:val="0"/>
                  <w:vAlign w:val="center"/>
                </w:tcPr>
                <w:p>
                  <w:pPr>
                    <w:widowControl/>
                    <w:jc w:val="center"/>
                    <w:rPr>
                      <w:rFonts w:hint="eastAsia"/>
                      <w:b/>
                      <w:color w:val="000000"/>
                      <w:sz w:val="21"/>
                      <w:szCs w:val="21"/>
                    </w:rPr>
                  </w:pPr>
                </w:p>
              </w:tc>
              <w:tc>
                <w:tcPr>
                  <w:tcW w:w="567" w:type="dxa"/>
                  <w:tcBorders>
                    <w:bottom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名称</w:t>
                  </w:r>
                </w:p>
              </w:tc>
              <w:tc>
                <w:tcPr>
                  <w:tcW w:w="709" w:type="dxa"/>
                  <w:tcBorders>
                    <w:bottom w:val="single" w:color="auto" w:sz="4" w:space="0"/>
                  </w:tcBorders>
                  <w:shd w:val="clear" w:color="auto" w:fill="auto"/>
                  <w:noWrap w:val="0"/>
                  <w:vAlign w:val="center"/>
                </w:tcPr>
                <w:p>
                  <w:pPr>
                    <w:widowControl/>
                    <w:jc w:val="center"/>
                    <w:rPr>
                      <w:rFonts w:hint="eastAsia"/>
                      <w:b/>
                      <w:color w:val="000000"/>
                      <w:sz w:val="21"/>
                      <w:szCs w:val="21"/>
                    </w:rPr>
                  </w:pPr>
                  <w:r>
                    <w:rPr>
                      <w:b/>
                      <w:color w:val="000000"/>
                      <w:sz w:val="21"/>
                      <w:szCs w:val="21"/>
                    </w:rPr>
                    <w:t>污染物种类</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eastAsia"/>
                      <w:b/>
                      <w:color w:val="000000"/>
                      <w:sz w:val="21"/>
                      <w:szCs w:val="21"/>
                    </w:rPr>
                  </w:pPr>
                  <w:r>
                    <w:rPr>
                      <w:rFonts w:hint="eastAsia"/>
                      <w:b/>
                      <w:color w:val="000000"/>
                      <w:sz w:val="21"/>
                      <w:szCs w:val="21"/>
                      <w:lang w:val="en-US" w:eastAsia="zh-CN"/>
                    </w:rPr>
                    <w:t>进水水质要求</w:t>
                  </w:r>
                  <w:r>
                    <w:rPr>
                      <w:rFonts w:hint="eastAsia"/>
                      <w:b/>
                      <w:color w:val="000000"/>
                      <w:sz w:val="21"/>
                      <w:szCs w:val="21"/>
                    </w:rPr>
                    <w:t>（</w:t>
                  </w:r>
                  <w:r>
                    <w:rPr>
                      <w:b/>
                      <w:color w:val="000000"/>
                      <w:sz w:val="21"/>
                      <w:szCs w:val="21"/>
                    </w:rPr>
                    <w:t>mg/L</w:t>
                  </w:r>
                  <w:r>
                    <w:rPr>
                      <w:rFonts w:hint="eastAsia"/>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25" w:type="dxa"/>
                  <w:vMerge w:val="restart"/>
                  <w:tcBorders>
                    <w:left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1</w:t>
                  </w:r>
                </w:p>
              </w:tc>
              <w:tc>
                <w:tcPr>
                  <w:tcW w:w="591" w:type="dxa"/>
                  <w:vMerge w:val="restart"/>
                  <w:shd w:val="clear" w:color="auto" w:fill="auto"/>
                  <w:noWrap w:val="0"/>
                  <w:vAlign w:val="center"/>
                </w:tcPr>
                <w:p>
                  <w:pPr>
                    <w:widowControl/>
                    <w:jc w:val="center"/>
                    <w:rPr>
                      <w:rFonts w:hint="eastAsia"/>
                      <w:color w:val="000000"/>
                      <w:sz w:val="21"/>
                      <w:szCs w:val="21"/>
                    </w:rPr>
                  </w:pPr>
                  <w:r>
                    <w:rPr>
                      <w:rFonts w:hint="eastAsia"/>
                      <w:color w:val="000000"/>
                      <w:sz w:val="21"/>
                      <w:szCs w:val="21"/>
                    </w:rPr>
                    <w:t>D</w:t>
                  </w:r>
                  <w:r>
                    <w:rPr>
                      <w:color w:val="000000"/>
                      <w:sz w:val="21"/>
                      <w:szCs w:val="21"/>
                    </w:rPr>
                    <w:t>W001</w:t>
                  </w:r>
                </w:p>
              </w:tc>
              <w:tc>
                <w:tcPr>
                  <w:tcW w:w="1276" w:type="dxa"/>
                  <w:vMerge w:val="restart"/>
                  <w:shd w:val="clear" w:color="auto" w:fill="auto"/>
                  <w:noWrap w:val="0"/>
                  <w:vAlign w:val="center"/>
                </w:tcPr>
                <w:p>
                  <w:pPr>
                    <w:widowControl/>
                    <w:jc w:val="center"/>
                    <w:rPr>
                      <w:rFonts w:hint="eastAsia"/>
                      <w:color w:val="000000"/>
                      <w:sz w:val="21"/>
                      <w:szCs w:val="21"/>
                    </w:rPr>
                  </w:pPr>
                  <w:r>
                    <w:rPr>
                      <w:rFonts w:hint="eastAsia"/>
                      <w:color w:val="000000"/>
                      <w:sz w:val="21"/>
                      <w:szCs w:val="21"/>
                    </w:rPr>
                    <w:t>111.47072149</w:t>
                  </w:r>
                </w:p>
              </w:tc>
              <w:tc>
                <w:tcPr>
                  <w:tcW w:w="1134" w:type="dxa"/>
                  <w:vMerge w:val="restart"/>
                  <w:shd w:val="clear" w:color="auto" w:fill="auto"/>
                  <w:noWrap w:val="0"/>
                  <w:vAlign w:val="center"/>
                </w:tcPr>
                <w:p>
                  <w:pPr>
                    <w:widowControl/>
                    <w:jc w:val="center"/>
                    <w:rPr>
                      <w:rFonts w:hint="eastAsia"/>
                      <w:color w:val="000000"/>
                      <w:sz w:val="21"/>
                      <w:szCs w:val="21"/>
                    </w:rPr>
                  </w:pPr>
                  <w:r>
                    <w:rPr>
                      <w:rFonts w:hint="eastAsia"/>
                      <w:color w:val="000000"/>
                      <w:sz w:val="21"/>
                      <w:szCs w:val="21"/>
                    </w:rPr>
                    <w:t>28.912477216</w:t>
                  </w:r>
                </w:p>
              </w:tc>
              <w:tc>
                <w:tcPr>
                  <w:tcW w:w="624" w:type="dxa"/>
                  <w:vMerge w:val="restart"/>
                  <w:shd w:val="clear" w:color="auto" w:fill="auto"/>
                  <w:noWrap w:val="0"/>
                  <w:vAlign w:val="center"/>
                </w:tcPr>
                <w:p>
                  <w:pPr>
                    <w:widowControl/>
                    <w:jc w:val="center"/>
                    <w:rPr>
                      <w:rFonts w:hint="default" w:eastAsia="宋体"/>
                      <w:color w:val="000000"/>
                      <w:sz w:val="21"/>
                      <w:szCs w:val="21"/>
                      <w:lang w:val="en-US" w:eastAsia="zh-CN"/>
                    </w:rPr>
                  </w:pPr>
                  <w:r>
                    <w:rPr>
                      <w:rFonts w:hint="eastAsia"/>
                      <w:color w:val="000000"/>
                      <w:sz w:val="21"/>
                      <w:szCs w:val="21"/>
                      <w:lang w:val="en-US" w:eastAsia="zh-CN"/>
                    </w:rPr>
                    <w:t>524.32</w:t>
                  </w:r>
                </w:p>
              </w:tc>
              <w:tc>
                <w:tcPr>
                  <w:tcW w:w="510" w:type="dxa"/>
                  <w:vMerge w:val="restart"/>
                  <w:shd w:val="clear" w:color="auto" w:fill="auto"/>
                  <w:noWrap w:val="0"/>
                  <w:vAlign w:val="center"/>
                </w:tcPr>
                <w:p>
                  <w:pPr>
                    <w:widowControl/>
                    <w:jc w:val="center"/>
                    <w:rPr>
                      <w:rFonts w:hint="eastAsia" w:eastAsia="宋体"/>
                      <w:color w:val="000000"/>
                      <w:sz w:val="21"/>
                      <w:szCs w:val="21"/>
                      <w:lang w:eastAsia="zh-CN"/>
                    </w:rPr>
                  </w:pPr>
                  <w:r>
                    <w:rPr>
                      <w:rFonts w:hint="eastAsia"/>
                      <w:color w:val="000000"/>
                      <w:sz w:val="21"/>
                      <w:szCs w:val="21"/>
                      <w:lang w:eastAsia="zh-CN"/>
                    </w:rPr>
                    <w:t>桃源县</w:t>
                  </w:r>
                  <w:r>
                    <w:rPr>
                      <w:rFonts w:hint="eastAsia"/>
                      <w:color w:val="000000"/>
                      <w:sz w:val="21"/>
                      <w:szCs w:val="21"/>
                    </w:rPr>
                    <w:t>污水处理厂</w:t>
                  </w:r>
                </w:p>
              </w:tc>
              <w:tc>
                <w:tcPr>
                  <w:tcW w:w="709" w:type="dxa"/>
                  <w:vMerge w:val="restart"/>
                  <w:shd w:val="clear" w:color="auto" w:fill="auto"/>
                  <w:noWrap w:val="0"/>
                  <w:vAlign w:val="center"/>
                </w:tcPr>
                <w:p>
                  <w:pPr>
                    <w:widowControl/>
                    <w:rPr>
                      <w:rFonts w:ascii="宋体" w:hAnsi="宋体" w:cs="宋体"/>
                      <w:kern w:val="0"/>
                      <w:sz w:val="21"/>
                      <w:szCs w:val="21"/>
                    </w:rPr>
                  </w:pPr>
                  <w:r>
                    <w:rPr>
                      <w:rFonts w:hint="eastAsia" w:ascii="宋体" w:hAnsi="宋体" w:cs="宋体"/>
                      <w:color w:val="000000"/>
                      <w:kern w:val="0"/>
                      <w:sz w:val="21"/>
                      <w:szCs w:val="21"/>
                    </w:rPr>
                    <w:t>间断</w:t>
                  </w:r>
                  <w:r>
                    <w:rPr>
                      <w:rFonts w:ascii="宋体" w:hAnsi="宋体" w:cs="宋体"/>
                      <w:color w:val="000000"/>
                      <w:kern w:val="0"/>
                      <w:sz w:val="21"/>
                      <w:szCs w:val="21"/>
                    </w:rPr>
                    <w:t>排放，</w:t>
                  </w:r>
                  <w:r>
                    <w:rPr>
                      <w:rFonts w:hint="eastAsia" w:ascii="宋体" w:hAnsi="宋体" w:cs="宋体"/>
                      <w:color w:val="000000"/>
                      <w:kern w:val="0"/>
                      <w:sz w:val="21"/>
                      <w:szCs w:val="21"/>
                    </w:rPr>
                    <w:t>排放</w:t>
                  </w:r>
                </w:p>
                <w:p>
                  <w:pPr>
                    <w:widowControl/>
                    <w:jc w:val="center"/>
                    <w:rPr>
                      <w:rFonts w:ascii="宋体" w:hAnsi="宋体" w:cs="宋体"/>
                      <w:kern w:val="0"/>
                      <w:sz w:val="21"/>
                      <w:szCs w:val="21"/>
                    </w:rPr>
                  </w:pPr>
                  <w:r>
                    <w:rPr>
                      <w:rFonts w:hint="eastAsia" w:ascii="宋体" w:hAnsi="宋体" w:cs="宋体"/>
                      <w:color w:val="000000"/>
                      <w:kern w:val="0"/>
                      <w:sz w:val="21"/>
                      <w:szCs w:val="21"/>
                    </w:rPr>
                    <w:t>期间</w:t>
                  </w:r>
                </w:p>
                <w:p>
                  <w:pPr>
                    <w:widowControl/>
                    <w:jc w:val="center"/>
                    <w:rPr>
                      <w:rFonts w:ascii="宋体" w:hAnsi="宋体" w:cs="宋体"/>
                      <w:kern w:val="0"/>
                      <w:sz w:val="21"/>
                      <w:szCs w:val="21"/>
                    </w:rPr>
                  </w:pPr>
                  <w:r>
                    <w:rPr>
                      <w:rFonts w:hint="eastAsia" w:ascii="宋体" w:hAnsi="宋体" w:cs="宋体"/>
                      <w:color w:val="000000"/>
                      <w:kern w:val="0"/>
                      <w:sz w:val="21"/>
                      <w:szCs w:val="21"/>
                    </w:rPr>
                    <w:t>流量</w:t>
                  </w:r>
                </w:p>
                <w:p>
                  <w:pPr>
                    <w:widowControl/>
                    <w:jc w:val="center"/>
                    <w:rPr>
                      <w:rFonts w:hint="eastAsia"/>
                      <w:color w:val="000000"/>
                      <w:sz w:val="21"/>
                      <w:szCs w:val="21"/>
                    </w:rPr>
                  </w:pPr>
                  <w:r>
                    <w:rPr>
                      <w:rFonts w:ascii="宋体" w:hAnsi="宋体" w:cs="宋体"/>
                      <w:color w:val="000000"/>
                      <w:kern w:val="0"/>
                      <w:sz w:val="21"/>
                      <w:szCs w:val="21"/>
                    </w:rPr>
                    <w:t>不稳定，但不属于冲击型</w:t>
                  </w:r>
                </w:p>
              </w:tc>
              <w:tc>
                <w:tcPr>
                  <w:tcW w:w="425" w:type="dxa"/>
                  <w:vMerge w:val="restart"/>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c>
                <w:tcPr>
                  <w:tcW w:w="567" w:type="dxa"/>
                  <w:vMerge w:val="restart"/>
                  <w:shd w:val="clear" w:color="auto" w:fill="auto"/>
                  <w:noWrap w:val="0"/>
                  <w:vAlign w:val="center"/>
                </w:tcPr>
                <w:p>
                  <w:pPr>
                    <w:widowControl/>
                    <w:jc w:val="center"/>
                    <w:rPr>
                      <w:rFonts w:hint="eastAsia" w:eastAsia="宋体"/>
                      <w:color w:val="000000"/>
                      <w:sz w:val="21"/>
                      <w:szCs w:val="21"/>
                      <w:lang w:eastAsia="zh-CN"/>
                    </w:rPr>
                  </w:pPr>
                  <w:r>
                    <w:rPr>
                      <w:rFonts w:hint="eastAsia"/>
                      <w:color w:val="000000"/>
                      <w:sz w:val="21"/>
                      <w:szCs w:val="21"/>
                      <w:lang w:eastAsia="zh-CN"/>
                    </w:rPr>
                    <w:t>桃源县污水处理厂</w:t>
                  </w:r>
                </w:p>
              </w:tc>
              <w:tc>
                <w:tcPr>
                  <w:tcW w:w="709" w:type="dxa"/>
                  <w:shd w:val="clear" w:color="auto" w:fill="auto"/>
                  <w:noWrap w:val="0"/>
                  <w:vAlign w:val="center"/>
                </w:tcPr>
                <w:p>
                  <w:pPr>
                    <w:widowControl/>
                    <w:jc w:val="center"/>
                    <w:rPr>
                      <w:rFonts w:hint="eastAsia"/>
                      <w:color w:val="000000"/>
                      <w:sz w:val="21"/>
                      <w:szCs w:val="21"/>
                    </w:rPr>
                  </w:pPr>
                  <w:r>
                    <w:rPr>
                      <w:rFonts w:hint="eastAsia"/>
                      <w:color w:val="000000"/>
                      <w:sz w:val="21"/>
                      <w:szCs w:val="21"/>
                    </w:rPr>
                    <w:t>C</w:t>
                  </w:r>
                  <w:r>
                    <w:rPr>
                      <w:color w:val="000000"/>
                      <w:sz w:val="21"/>
                      <w:szCs w:val="21"/>
                    </w:rPr>
                    <w:t>OD</w:t>
                  </w:r>
                </w:p>
              </w:tc>
              <w:tc>
                <w:tcPr>
                  <w:tcW w:w="1079" w:type="dxa"/>
                  <w:tcBorders>
                    <w:right w:val="single" w:color="auto" w:sz="4" w:space="0"/>
                  </w:tcBorders>
                  <w:shd w:val="clear" w:color="auto" w:fill="auto"/>
                  <w:noWrap w:val="0"/>
                  <w:vAlign w:val="center"/>
                </w:tcPr>
                <w:p>
                  <w:pPr>
                    <w:widowControl/>
                    <w:jc w:val="center"/>
                    <w:rPr>
                      <w:rFonts w:hint="default"/>
                      <w:color w:val="000000"/>
                      <w:sz w:val="21"/>
                      <w:szCs w:val="21"/>
                      <w:lang w:val="en-US"/>
                    </w:rPr>
                  </w:pPr>
                  <w:r>
                    <w:rPr>
                      <w:rFonts w:hint="eastAsia"/>
                      <w:color w:val="000000"/>
                      <w:sz w:val="21"/>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shd w:val="clear" w:color="auto" w:fill="auto"/>
                  <w:noWrap w:val="0"/>
                  <w:vAlign w:val="center"/>
                </w:tcPr>
                <w:p>
                  <w:pPr>
                    <w:widowControl/>
                    <w:jc w:val="center"/>
                    <w:rPr>
                      <w:rFonts w:hint="eastAsia"/>
                      <w:color w:val="000000"/>
                      <w:sz w:val="21"/>
                      <w:szCs w:val="21"/>
                    </w:rPr>
                  </w:pPr>
                  <w:r>
                    <w:rPr>
                      <w:rFonts w:hint="eastAsia"/>
                      <w:color w:val="000000"/>
                      <w:sz w:val="21"/>
                      <w:szCs w:val="21"/>
                    </w:rPr>
                    <w:t>B</w:t>
                  </w:r>
                  <w:r>
                    <w:rPr>
                      <w:color w:val="000000"/>
                      <w:sz w:val="21"/>
                      <w:szCs w:val="21"/>
                    </w:rPr>
                    <w:t>OD</w:t>
                  </w:r>
                </w:p>
              </w:tc>
              <w:tc>
                <w:tcPr>
                  <w:tcW w:w="1079" w:type="dxa"/>
                  <w:tcBorders>
                    <w:right w:val="single" w:color="auto" w:sz="4" w:space="0"/>
                  </w:tcBorders>
                  <w:shd w:val="clear" w:color="auto" w:fill="auto"/>
                  <w:noWrap w:val="0"/>
                  <w:vAlign w:val="center"/>
                </w:tcPr>
                <w:p>
                  <w:pPr>
                    <w:widowControl/>
                    <w:jc w:val="center"/>
                    <w:rPr>
                      <w:rFonts w:hint="default" w:eastAsia="宋体"/>
                      <w:color w:val="000000"/>
                      <w:sz w:val="21"/>
                      <w:szCs w:val="21"/>
                      <w:lang w:val="en-US" w:eastAsia="zh-CN"/>
                    </w:rPr>
                  </w:pPr>
                  <w:r>
                    <w:rPr>
                      <w:rFonts w:hint="eastAsia"/>
                      <w:color w:val="000000"/>
                      <w:sz w:val="21"/>
                      <w:szCs w:val="21"/>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shd w:val="clear" w:color="auto" w:fill="auto"/>
                  <w:noWrap w:val="0"/>
                  <w:vAlign w:val="center"/>
                </w:tcPr>
                <w:p>
                  <w:pPr>
                    <w:widowControl/>
                    <w:jc w:val="center"/>
                    <w:rPr>
                      <w:rFonts w:hint="eastAsia"/>
                      <w:color w:val="000000"/>
                      <w:sz w:val="21"/>
                      <w:szCs w:val="21"/>
                    </w:rPr>
                  </w:pPr>
                  <w:r>
                    <w:rPr>
                      <w:color w:val="000000"/>
                      <w:sz w:val="21"/>
                      <w:szCs w:val="21"/>
                    </w:rPr>
                    <w:t>氨氮</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shd w:val="clear" w:color="auto" w:fill="auto"/>
                  <w:noWrap w:val="0"/>
                  <w:vAlign w:val="center"/>
                </w:tcPr>
                <w:p>
                  <w:pPr>
                    <w:widowControl/>
                    <w:jc w:val="center"/>
                    <w:rPr>
                      <w:rFonts w:hint="eastAsia"/>
                      <w:color w:val="000000"/>
                      <w:sz w:val="21"/>
                      <w:szCs w:val="21"/>
                    </w:rPr>
                  </w:pPr>
                  <w:r>
                    <w:rPr>
                      <w:color w:val="000000"/>
                      <w:sz w:val="21"/>
                      <w:szCs w:val="21"/>
                    </w:rPr>
                    <w:t>石油类</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shd w:val="clear" w:color="auto" w:fill="auto"/>
                  <w:noWrap w:val="0"/>
                  <w:vAlign w:val="center"/>
                </w:tcPr>
                <w:p>
                  <w:pPr>
                    <w:widowControl/>
                    <w:jc w:val="center"/>
                    <w:rPr>
                      <w:rFonts w:hint="eastAsia"/>
                      <w:color w:val="000000"/>
                      <w:sz w:val="21"/>
                      <w:szCs w:val="21"/>
                    </w:rPr>
                  </w:pPr>
                  <w:r>
                    <w:rPr>
                      <w:color w:val="000000"/>
                      <w:sz w:val="21"/>
                      <w:szCs w:val="21"/>
                    </w:rPr>
                    <w:t>总氮</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shd w:val="clear" w:color="auto" w:fill="auto"/>
                  <w:noWrap w:val="0"/>
                  <w:vAlign w:val="center"/>
                </w:tcPr>
                <w:p>
                  <w:pPr>
                    <w:widowControl/>
                    <w:jc w:val="center"/>
                    <w:rPr>
                      <w:rFonts w:hint="eastAsia"/>
                      <w:color w:val="000000"/>
                      <w:sz w:val="21"/>
                      <w:szCs w:val="21"/>
                    </w:rPr>
                  </w:pPr>
                  <w:r>
                    <w:rPr>
                      <w:color w:val="000000"/>
                      <w:sz w:val="21"/>
                      <w:szCs w:val="21"/>
                    </w:rPr>
                    <w:t>总磷</w:t>
                  </w:r>
                </w:p>
              </w:tc>
              <w:tc>
                <w:tcPr>
                  <w:tcW w:w="1079" w:type="dxa"/>
                  <w:tcBorders>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shd w:val="clear" w:color="auto" w:fill="auto"/>
                  <w:noWrap w:val="0"/>
                  <w:vAlign w:val="center"/>
                </w:tcPr>
                <w:p>
                  <w:pPr>
                    <w:widowControl/>
                    <w:jc w:val="center"/>
                    <w:rPr>
                      <w:rFonts w:hint="eastAsia"/>
                      <w:color w:val="000000"/>
                      <w:sz w:val="21"/>
                      <w:szCs w:val="21"/>
                    </w:rPr>
                  </w:pPr>
                </w:p>
              </w:tc>
              <w:tc>
                <w:tcPr>
                  <w:tcW w:w="1276" w:type="dxa"/>
                  <w:vMerge w:val="continue"/>
                  <w:shd w:val="clear" w:color="auto" w:fill="auto"/>
                  <w:noWrap w:val="0"/>
                  <w:vAlign w:val="center"/>
                </w:tcPr>
                <w:p>
                  <w:pPr>
                    <w:widowControl/>
                    <w:jc w:val="center"/>
                    <w:rPr>
                      <w:rFonts w:hint="eastAsia"/>
                      <w:color w:val="000000"/>
                      <w:sz w:val="21"/>
                      <w:szCs w:val="21"/>
                    </w:rPr>
                  </w:pPr>
                </w:p>
              </w:tc>
              <w:tc>
                <w:tcPr>
                  <w:tcW w:w="1134" w:type="dxa"/>
                  <w:vMerge w:val="continue"/>
                  <w:shd w:val="clear" w:color="auto" w:fill="auto"/>
                  <w:noWrap w:val="0"/>
                  <w:vAlign w:val="center"/>
                </w:tcPr>
                <w:p>
                  <w:pPr>
                    <w:widowControl/>
                    <w:jc w:val="center"/>
                    <w:rPr>
                      <w:rFonts w:hint="eastAsia"/>
                      <w:color w:val="000000"/>
                      <w:sz w:val="21"/>
                      <w:szCs w:val="21"/>
                    </w:rPr>
                  </w:pPr>
                </w:p>
              </w:tc>
              <w:tc>
                <w:tcPr>
                  <w:tcW w:w="624" w:type="dxa"/>
                  <w:vMerge w:val="continue"/>
                  <w:shd w:val="clear" w:color="auto" w:fill="auto"/>
                  <w:noWrap w:val="0"/>
                  <w:vAlign w:val="center"/>
                </w:tcPr>
                <w:p>
                  <w:pPr>
                    <w:widowControl/>
                    <w:jc w:val="center"/>
                    <w:rPr>
                      <w:rFonts w:hint="eastAsia"/>
                      <w:color w:val="000000"/>
                      <w:sz w:val="21"/>
                      <w:szCs w:val="21"/>
                    </w:rPr>
                  </w:pPr>
                </w:p>
              </w:tc>
              <w:tc>
                <w:tcPr>
                  <w:tcW w:w="510" w:type="dxa"/>
                  <w:vMerge w:val="continue"/>
                  <w:shd w:val="clear" w:color="auto" w:fill="auto"/>
                  <w:noWrap w:val="0"/>
                  <w:vAlign w:val="center"/>
                </w:tcPr>
                <w:p>
                  <w:pPr>
                    <w:widowControl/>
                    <w:jc w:val="center"/>
                    <w:rPr>
                      <w:rFonts w:hint="eastAsia"/>
                      <w:color w:val="000000"/>
                      <w:sz w:val="21"/>
                      <w:szCs w:val="21"/>
                    </w:rPr>
                  </w:pPr>
                </w:p>
              </w:tc>
              <w:tc>
                <w:tcPr>
                  <w:tcW w:w="709" w:type="dxa"/>
                  <w:vMerge w:val="continue"/>
                  <w:shd w:val="clear" w:color="auto" w:fill="auto"/>
                  <w:noWrap w:val="0"/>
                  <w:vAlign w:val="center"/>
                </w:tcPr>
                <w:p>
                  <w:pPr>
                    <w:widowControl/>
                    <w:jc w:val="center"/>
                    <w:rPr>
                      <w:rFonts w:hint="eastAsia"/>
                      <w:color w:val="000000"/>
                      <w:sz w:val="21"/>
                      <w:szCs w:val="21"/>
                    </w:rPr>
                  </w:pPr>
                </w:p>
              </w:tc>
              <w:tc>
                <w:tcPr>
                  <w:tcW w:w="425" w:type="dxa"/>
                  <w:vMerge w:val="continue"/>
                  <w:shd w:val="clear" w:color="auto" w:fill="auto"/>
                  <w:noWrap w:val="0"/>
                  <w:vAlign w:val="center"/>
                </w:tcPr>
                <w:p>
                  <w:pPr>
                    <w:widowControl/>
                    <w:jc w:val="center"/>
                    <w:rPr>
                      <w:rFonts w:hint="eastAsia"/>
                      <w:color w:val="000000"/>
                      <w:sz w:val="21"/>
                      <w:szCs w:val="21"/>
                    </w:rPr>
                  </w:pPr>
                </w:p>
              </w:tc>
              <w:tc>
                <w:tcPr>
                  <w:tcW w:w="567" w:type="dxa"/>
                  <w:vMerge w:val="continue"/>
                  <w:shd w:val="clear" w:color="auto" w:fill="auto"/>
                  <w:noWrap w:val="0"/>
                  <w:vAlign w:val="center"/>
                </w:tcPr>
                <w:p>
                  <w:pPr>
                    <w:widowControl/>
                    <w:jc w:val="center"/>
                    <w:rPr>
                      <w:rFonts w:hint="eastAsia"/>
                      <w:color w:val="000000"/>
                      <w:sz w:val="21"/>
                      <w:szCs w:val="21"/>
                    </w:rPr>
                  </w:pPr>
                </w:p>
              </w:tc>
              <w:tc>
                <w:tcPr>
                  <w:tcW w:w="709" w:type="dxa"/>
                  <w:tcBorders>
                    <w:bottom w:val="single" w:color="auto" w:sz="4" w:space="0"/>
                  </w:tcBorders>
                  <w:shd w:val="clear" w:color="auto" w:fill="auto"/>
                  <w:noWrap w:val="0"/>
                  <w:vAlign w:val="center"/>
                </w:tcPr>
                <w:p>
                  <w:pPr>
                    <w:widowControl/>
                    <w:jc w:val="center"/>
                    <w:rPr>
                      <w:color w:val="000000"/>
                      <w:sz w:val="21"/>
                      <w:szCs w:val="21"/>
                    </w:rPr>
                  </w:pPr>
                  <w:r>
                    <w:rPr>
                      <w:rFonts w:hint="eastAsia"/>
                      <w:color w:val="000000"/>
                      <w:sz w:val="21"/>
                      <w:szCs w:val="21"/>
                    </w:rPr>
                    <w:t>S</w:t>
                  </w:r>
                  <w:r>
                    <w:rPr>
                      <w:color w:val="000000"/>
                      <w:sz w:val="21"/>
                      <w:szCs w:val="21"/>
                    </w:rPr>
                    <w:t>S</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vMerge w:val="continue"/>
                  <w:tcBorders>
                    <w:left w:val="single" w:color="auto" w:sz="4" w:space="0"/>
                    <w:bottom w:val="single" w:color="auto" w:sz="4" w:space="0"/>
                  </w:tcBorders>
                  <w:shd w:val="clear" w:color="auto" w:fill="auto"/>
                  <w:noWrap w:val="0"/>
                  <w:vAlign w:val="center"/>
                </w:tcPr>
                <w:p>
                  <w:pPr>
                    <w:widowControl/>
                    <w:jc w:val="center"/>
                    <w:rPr>
                      <w:rFonts w:hint="eastAsia"/>
                      <w:color w:val="000000"/>
                      <w:sz w:val="21"/>
                      <w:szCs w:val="21"/>
                    </w:rPr>
                  </w:pPr>
                </w:p>
              </w:tc>
              <w:tc>
                <w:tcPr>
                  <w:tcW w:w="591"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1276"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1134"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624"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510"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709"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425"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567" w:type="dxa"/>
                  <w:vMerge w:val="continue"/>
                  <w:tcBorders>
                    <w:bottom w:val="single" w:color="auto" w:sz="4" w:space="0"/>
                  </w:tcBorders>
                  <w:shd w:val="clear" w:color="auto" w:fill="auto"/>
                  <w:noWrap w:val="0"/>
                  <w:vAlign w:val="center"/>
                </w:tcPr>
                <w:p>
                  <w:pPr>
                    <w:widowControl/>
                    <w:jc w:val="center"/>
                    <w:rPr>
                      <w:rFonts w:hint="eastAsia"/>
                      <w:color w:val="000000"/>
                      <w:sz w:val="21"/>
                      <w:szCs w:val="21"/>
                    </w:rPr>
                  </w:pPr>
                </w:p>
              </w:tc>
              <w:tc>
                <w:tcPr>
                  <w:tcW w:w="709" w:type="dxa"/>
                  <w:tcBorders>
                    <w:bottom w:val="single" w:color="auto" w:sz="4" w:space="0"/>
                  </w:tcBorders>
                  <w:shd w:val="clear" w:color="auto" w:fill="auto"/>
                  <w:noWrap w:val="0"/>
                  <w:vAlign w:val="center"/>
                </w:tcPr>
                <w:p>
                  <w:pPr>
                    <w:widowControl/>
                    <w:jc w:val="center"/>
                    <w:rPr>
                      <w:rFonts w:hint="default" w:eastAsia="宋体"/>
                      <w:color w:val="000000"/>
                      <w:sz w:val="21"/>
                      <w:szCs w:val="21"/>
                      <w:lang w:val="en-US" w:eastAsia="zh-CN"/>
                    </w:rPr>
                  </w:pPr>
                  <w:r>
                    <w:rPr>
                      <w:rFonts w:hint="eastAsia"/>
                      <w:color w:val="000000"/>
                      <w:sz w:val="21"/>
                      <w:szCs w:val="21"/>
                      <w:lang w:val="en-US" w:eastAsia="zh-CN"/>
                    </w:rPr>
                    <w:t>LAS</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default" w:eastAsia="宋体"/>
                      <w:color w:val="auto"/>
                      <w:sz w:val="21"/>
                      <w:szCs w:val="21"/>
                      <w:lang w:val="en-US" w:eastAsia="zh-CN"/>
                    </w:rPr>
                  </w:pPr>
                  <w:r>
                    <w:rPr>
                      <w:rFonts w:hint="eastAsia"/>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left w:val="single" w:color="auto" w:sz="4" w:space="0"/>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2</w:t>
                  </w:r>
                </w:p>
              </w:tc>
              <w:tc>
                <w:tcPr>
                  <w:tcW w:w="591"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Y</w:t>
                  </w:r>
                  <w:r>
                    <w:rPr>
                      <w:color w:val="000000"/>
                      <w:sz w:val="21"/>
                      <w:szCs w:val="21"/>
                    </w:rPr>
                    <w:t>S001</w:t>
                  </w:r>
                </w:p>
              </w:tc>
              <w:tc>
                <w:tcPr>
                  <w:tcW w:w="1276"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111.477008597</w:t>
                  </w:r>
                </w:p>
              </w:tc>
              <w:tc>
                <w:tcPr>
                  <w:tcW w:w="1134"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28.917978427</w:t>
                  </w:r>
                </w:p>
              </w:tc>
              <w:tc>
                <w:tcPr>
                  <w:tcW w:w="624"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c>
                <w:tcPr>
                  <w:tcW w:w="510" w:type="dxa"/>
                  <w:tcBorders>
                    <w:bottom w:val="single" w:color="auto" w:sz="4" w:space="0"/>
                  </w:tcBorders>
                  <w:shd w:val="clear" w:color="auto" w:fill="auto"/>
                  <w:noWrap w:val="0"/>
                  <w:vAlign w:val="center"/>
                </w:tcPr>
                <w:p>
                  <w:pPr>
                    <w:widowControl/>
                    <w:jc w:val="center"/>
                    <w:rPr>
                      <w:rFonts w:hint="eastAsia"/>
                      <w:color w:val="000000"/>
                      <w:sz w:val="21"/>
                      <w:szCs w:val="21"/>
                    </w:rPr>
                  </w:pPr>
                  <w:r>
                    <w:rPr>
                      <w:color w:val="000000"/>
                      <w:sz w:val="21"/>
                      <w:szCs w:val="21"/>
                    </w:rPr>
                    <w:t>雨水管网</w:t>
                  </w:r>
                </w:p>
              </w:tc>
              <w:tc>
                <w:tcPr>
                  <w:tcW w:w="709" w:type="dxa"/>
                  <w:tcBorders>
                    <w:bottom w:val="single" w:color="auto" w:sz="4" w:space="0"/>
                  </w:tcBorders>
                  <w:shd w:val="clear" w:color="auto" w:fill="auto"/>
                  <w:noWrap w:val="0"/>
                  <w:vAlign w:val="center"/>
                </w:tcPr>
                <w:p>
                  <w:pPr>
                    <w:widowControl/>
                    <w:rPr>
                      <w:rFonts w:ascii="宋体" w:hAnsi="宋体" w:cs="宋体"/>
                      <w:kern w:val="0"/>
                      <w:sz w:val="21"/>
                      <w:szCs w:val="21"/>
                    </w:rPr>
                  </w:pPr>
                  <w:r>
                    <w:rPr>
                      <w:rFonts w:hint="eastAsia" w:ascii="宋体" w:hAnsi="宋体" w:cs="宋体"/>
                      <w:color w:val="000000"/>
                      <w:kern w:val="0"/>
                      <w:sz w:val="21"/>
                      <w:szCs w:val="21"/>
                    </w:rPr>
                    <w:t>间断</w:t>
                  </w:r>
                  <w:r>
                    <w:rPr>
                      <w:rFonts w:ascii="宋体" w:hAnsi="宋体" w:cs="宋体"/>
                      <w:color w:val="000000"/>
                      <w:kern w:val="0"/>
                      <w:sz w:val="21"/>
                      <w:szCs w:val="21"/>
                    </w:rPr>
                    <w:t>排放，</w:t>
                  </w:r>
                </w:p>
                <w:p>
                  <w:pPr>
                    <w:widowControl/>
                    <w:jc w:val="center"/>
                    <w:rPr>
                      <w:rFonts w:ascii="宋体" w:hAnsi="宋体" w:cs="宋体"/>
                      <w:kern w:val="0"/>
                      <w:sz w:val="21"/>
                      <w:szCs w:val="21"/>
                    </w:rPr>
                  </w:pPr>
                  <w:r>
                    <w:rPr>
                      <w:rFonts w:hint="eastAsia" w:ascii="宋体" w:hAnsi="宋体" w:cs="宋体"/>
                      <w:color w:val="000000"/>
                      <w:kern w:val="0"/>
                      <w:sz w:val="21"/>
                      <w:szCs w:val="21"/>
                    </w:rPr>
                    <w:t>排放</w:t>
                  </w:r>
                </w:p>
                <w:p>
                  <w:pPr>
                    <w:widowControl/>
                    <w:jc w:val="center"/>
                    <w:rPr>
                      <w:rFonts w:ascii="宋体" w:hAnsi="宋体" w:cs="宋体"/>
                      <w:kern w:val="0"/>
                      <w:sz w:val="21"/>
                      <w:szCs w:val="21"/>
                    </w:rPr>
                  </w:pPr>
                  <w:r>
                    <w:rPr>
                      <w:rFonts w:hint="eastAsia" w:ascii="宋体" w:hAnsi="宋体" w:cs="宋体"/>
                      <w:color w:val="000000"/>
                      <w:kern w:val="0"/>
                      <w:sz w:val="21"/>
                      <w:szCs w:val="21"/>
                    </w:rPr>
                    <w:t>期间</w:t>
                  </w:r>
                </w:p>
                <w:p>
                  <w:pPr>
                    <w:widowControl/>
                    <w:jc w:val="center"/>
                    <w:rPr>
                      <w:rFonts w:ascii="宋体" w:hAnsi="宋体" w:cs="宋体"/>
                      <w:kern w:val="0"/>
                      <w:sz w:val="21"/>
                      <w:szCs w:val="21"/>
                    </w:rPr>
                  </w:pPr>
                  <w:r>
                    <w:rPr>
                      <w:rFonts w:hint="eastAsia" w:ascii="宋体" w:hAnsi="宋体" w:cs="宋体"/>
                      <w:color w:val="000000"/>
                      <w:kern w:val="0"/>
                      <w:sz w:val="21"/>
                      <w:szCs w:val="21"/>
                    </w:rPr>
                    <w:t>流量</w:t>
                  </w:r>
                </w:p>
                <w:p>
                  <w:pPr>
                    <w:widowControl/>
                    <w:rPr>
                      <w:color w:val="000000"/>
                      <w:sz w:val="21"/>
                      <w:szCs w:val="21"/>
                    </w:rPr>
                  </w:pPr>
                  <w:r>
                    <w:rPr>
                      <w:rFonts w:ascii="宋体" w:hAnsi="宋体" w:cs="宋体"/>
                      <w:color w:val="000000"/>
                      <w:kern w:val="0"/>
                      <w:sz w:val="21"/>
                      <w:szCs w:val="21"/>
                    </w:rPr>
                    <w:t>不稳定，但不属于冲击型</w:t>
                  </w:r>
                </w:p>
                <w:p>
                  <w:pPr>
                    <w:widowControl/>
                    <w:jc w:val="center"/>
                    <w:rPr>
                      <w:rFonts w:hint="eastAsia"/>
                      <w:color w:val="000000"/>
                      <w:sz w:val="21"/>
                      <w:szCs w:val="21"/>
                    </w:rPr>
                  </w:pPr>
                </w:p>
              </w:tc>
              <w:tc>
                <w:tcPr>
                  <w:tcW w:w="425"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c>
                <w:tcPr>
                  <w:tcW w:w="567"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c>
                <w:tcPr>
                  <w:tcW w:w="709" w:type="dxa"/>
                  <w:tcBorders>
                    <w:bottom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c>
                <w:tcPr>
                  <w:tcW w:w="1079" w:type="dxa"/>
                  <w:tcBorders>
                    <w:bottom w:val="single" w:color="auto" w:sz="4" w:space="0"/>
                    <w:right w:val="single" w:color="auto" w:sz="4" w:space="0"/>
                  </w:tcBorders>
                  <w:shd w:val="clear" w:color="auto" w:fill="auto"/>
                  <w:noWrap w:val="0"/>
                  <w:vAlign w:val="center"/>
                </w:tcPr>
                <w:p>
                  <w:pPr>
                    <w:widowControl/>
                    <w:jc w:val="center"/>
                    <w:rPr>
                      <w:rFonts w:hint="eastAsia"/>
                      <w:color w:val="000000"/>
                      <w:sz w:val="21"/>
                      <w:szCs w:val="21"/>
                    </w:rPr>
                  </w:pPr>
                  <w:r>
                    <w:rPr>
                      <w:rFonts w:hint="eastAsia"/>
                      <w:color w:val="000000"/>
                      <w:sz w:val="21"/>
                      <w:szCs w:val="21"/>
                    </w:rPr>
                    <w:t>/</w:t>
                  </w:r>
                </w:p>
              </w:tc>
            </w:tr>
          </w:tbl>
          <w:p>
            <w:pPr>
              <w:widowControl/>
              <w:spacing w:line="360" w:lineRule="auto"/>
              <w:ind w:firstLine="435"/>
              <w:rPr>
                <w:b/>
                <w:color w:val="000000"/>
                <w:sz w:val="21"/>
                <w:szCs w:val="21"/>
              </w:rPr>
            </w:pPr>
            <w:r>
              <w:rPr>
                <w:b/>
                <w:color w:val="000000"/>
                <w:sz w:val="21"/>
                <w:szCs w:val="21"/>
              </w:rPr>
              <w:t>（</w:t>
            </w:r>
            <w:r>
              <w:rPr>
                <w:rFonts w:hint="eastAsia"/>
                <w:b/>
                <w:color w:val="000000"/>
                <w:sz w:val="21"/>
                <w:szCs w:val="21"/>
              </w:rPr>
              <w:t>4</w:t>
            </w:r>
            <w:r>
              <w:rPr>
                <w:b/>
                <w:color w:val="000000"/>
                <w:sz w:val="21"/>
                <w:szCs w:val="21"/>
              </w:rPr>
              <w:t>）废水监测计划</w:t>
            </w:r>
          </w:p>
          <w:p>
            <w:pPr>
              <w:widowControl/>
              <w:spacing w:line="360" w:lineRule="auto"/>
              <w:ind w:firstLine="435"/>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根据</w:t>
            </w:r>
            <w:r>
              <w:rPr>
                <w:rFonts w:hint="default" w:ascii="Times New Roman" w:hAnsi="Times New Roman" w:cs="Times New Roman"/>
                <w:bCs/>
                <w:sz w:val="21"/>
                <w:szCs w:val="21"/>
              </w:rPr>
              <w:t>《排污</w:t>
            </w:r>
            <w:r>
              <w:rPr>
                <w:rFonts w:hint="default" w:ascii="Times New Roman" w:hAnsi="Times New Roman" w:cs="Times New Roman"/>
                <w:bCs/>
                <w:sz w:val="21"/>
                <w:szCs w:val="21"/>
                <w:lang w:eastAsia="zh-CN"/>
              </w:rPr>
              <w:t>单位自行监测技术指南</w:t>
            </w:r>
            <w:r>
              <w:rPr>
                <w:rFonts w:hint="default" w:ascii="Times New Roman" w:hAnsi="Times New Roman" w:cs="Times New Roman"/>
                <w:bCs/>
                <w:sz w:val="21"/>
                <w:szCs w:val="21"/>
              </w:rPr>
              <w:t xml:space="preserve"> 储油库、加油站</w:t>
            </w:r>
            <w:r>
              <w:rPr>
                <w:rFonts w:hint="default" w:ascii="Times New Roman" w:hAnsi="Times New Roman" w:cs="Times New Roman"/>
                <w:bCs/>
                <w:sz w:val="21"/>
                <w:szCs w:val="21"/>
                <w:lang w:eastAsia="zh-CN"/>
              </w:rPr>
              <w:t>（</w:t>
            </w:r>
            <w:r>
              <w:rPr>
                <w:rFonts w:hint="default" w:ascii="Times New Roman" w:hAnsi="Times New Roman" w:cs="Times New Roman"/>
                <w:bCs/>
                <w:sz w:val="21"/>
                <w:szCs w:val="21"/>
                <w:lang w:val="en-US" w:eastAsia="zh-CN"/>
              </w:rPr>
              <w:t>HJ1249-2022</w:t>
            </w:r>
            <w:r>
              <w:rPr>
                <w:rFonts w:hint="default" w:ascii="Times New Roman" w:hAnsi="Times New Roman" w:cs="Times New Roman"/>
                <w:bCs/>
                <w:sz w:val="21"/>
                <w:szCs w:val="21"/>
                <w:lang w:eastAsia="zh-CN"/>
              </w:rPr>
              <w:t>）</w:t>
            </w:r>
            <w:r>
              <w:rPr>
                <w:rFonts w:hint="default" w:ascii="Times New Roman" w:hAnsi="Times New Roman" w:cs="Times New Roman"/>
                <w:bCs/>
                <w:sz w:val="21"/>
                <w:szCs w:val="21"/>
              </w:rPr>
              <w:t>》</w:t>
            </w:r>
            <w:r>
              <w:rPr>
                <w:rFonts w:hint="default" w:ascii="Times New Roman" w:hAnsi="Times New Roman" w:cs="Times New Roman"/>
                <w:color w:val="000000"/>
                <w:sz w:val="21"/>
                <w:szCs w:val="21"/>
              </w:rPr>
              <w:t>以及 《排污单位自行监测技术指南 总则 》(HJ819-2020)，本项目废水污染源监测计划具体见下表。</w:t>
            </w:r>
          </w:p>
          <w:p>
            <w:pPr>
              <w:widowControl/>
              <w:spacing w:line="360" w:lineRule="auto"/>
              <w:jc w:val="center"/>
              <w:rPr>
                <w:b/>
                <w:color w:val="000000"/>
                <w:sz w:val="21"/>
                <w:szCs w:val="21"/>
              </w:rPr>
            </w:pPr>
            <w:r>
              <w:rPr>
                <w:b/>
                <w:color w:val="000000"/>
                <w:sz w:val="21"/>
                <w:szCs w:val="21"/>
              </w:rPr>
              <w:t>表</w:t>
            </w:r>
            <w:r>
              <w:rPr>
                <w:rFonts w:hint="eastAsia"/>
                <w:b/>
                <w:color w:val="000000"/>
                <w:sz w:val="21"/>
                <w:szCs w:val="21"/>
              </w:rPr>
              <w:t>4</w:t>
            </w:r>
            <w:r>
              <w:rPr>
                <w:rFonts w:hint="eastAsia"/>
                <w:b/>
                <w:color w:val="000000"/>
                <w:sz w:val="21"/>
                <w:szCs w:val="21"/>
                <w:lang w:val="en-US" w:eastAsia="zh-CN"/>
              </w:rPr>
              <w:t>-6</w:t>
            </w:r>
            <w:r>
              <w:rPr>
                <w:b/>
                <w:color w:val="000000"/>
                <w:sz w:val="21"/>
                <w:szCs w:val="21"/>
              </w:rPr>
              <w:t xml:space="preserve">  项目废水监测计划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4111"/>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shd w:val="clear" w:color="auto" w:fill="auto"/>
                  <w:noWrap w:val="0"/>
                  <w:vAlign w:val="center"/>
                </w:tcPr>
                <w:p>
                  <w:pPr>
                    <w:widowControl/>
                    <w:spacing w:line="276" w:lineRule="auto"/>
                    <w:jc w:val="center"/>
                    <w:rPr>
                      <w:rFonts w:hint="eastAsia"/>
                      <w:b/>
                      <w:color w:val="000000"/>
                      <w:sz w:val="21"/>
                      <w:szCs w:val="21"/>
                    </w:rPr>
                  </w:pPr>
                  <w:r>
                    <w:rPr>
                      <w:b/>
                      <w:color w:val="000000"/>
                      <w:sz w:val="21"/>
                      <w:szCs w:val="21"/>
                    </w:rPr>
                    <w:t>监测点位</w:t>
                  </w:r>
                </w:p>
              </w:tc>
              <w:tc>
                <w:tcPr>
                  <w:tcW w:w="4111" w:type="dxa"/>
                  <w:shd w:val="clear" w:color="auto" w:fill="auto"/>
                  <w:noWrap w:val="0"/>
                  <w:vAlign w:val="center"/>
                </w:tcPr>
                <w:p>
                  <w:pPr>
                    <w:widowControl/>
                    <w:spacing w:line="276" w:lineRule="auto"/>
                    <w:jc w:val="center"/>
                    <w:rPr>
                      <w:rFonts w:hint="eastAsia"/>
                      <w:b/>
                      <w:color w:val="000000"/>
                      <w:sz w:val="21"/>
                      <w:szCs w:val="21"/>
                    </w:rPr>
                  </w:pPr>
                  <w:r>
                    <w:rPr>
                      <w:b/>
                      <w:color w:val="000000"/>
                      <w:sz w:val="21"/>
                      <w:szCs w:val="21"/>
                    </w:rPr>
                    <w:t>监测指标</w:t>
                  </w:r>
                </w:p>
              </w:tc>
              <w:tc>
                <w:tcPr>
                  <w:tcW w:w="1812" w:type="dxa"/>
                  <w:shd w:val="clear" w:color="auto" w:fill="auto"/>
                  <w:noWrap w:val="0"/>
                  <w:vAlign w:val="center"/>
                </w:tcPr>
                <w:p>
                  <w:pPr>
                    <w:widowControl/>
                    <w:spacing w:line="276" w:lineRule="auto"/>
                    <w:jc w:val="center"/>
                    <w:rPr>
                      <w:rFonts w:hint="eastAsia"/>
                      <w:b/>
                      <w:color w:val="000000"/>
                      <w:sz w:val="21"/>
                      <w:szCs w:val="21"/>
                    </w:rPr>
                  </w:pPr>
                  <w:r>
                    <w:rPr>
                      <w:b/>
                      <w:color w:val="000000"/>
                      <w:sz w:val="21"/>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008" w:type="dxa"/>
                  <w:shd w:val="clear" w:color="auto" w:fill="auto"/>
                  <w:noWrap w:val="0"/>
                  <w:vAlign w:val="center"/>
                </w:tcPr>
                <w:p>
                  <w:pPr>
                    <w:widowControl/>
                    <w:spacing w:line="276" w:lineRule="auto"/>
                    <w:jc w:val="center"/>
                    <w:rPr>
                      <w:rFonts w:hint="eastAsia"/>
                      <w:color w:val="auto"/>
                      <w:sz w:val="21"/>
                      <w:szCs w:val="21"/>
                    </w:rPr>
                  </w:pPr>
                  <w:r>
                    <w:rPr>
                      <w:color w:val="auto"/>
                      <w:sz w:val="21"/>
                      <w:szCs w:val="21"/>
                    </w:rPr>
                    <w:t>废水总排口</w:t>
                  </w:r>
                  <w:r>
                    <w:rPr>
                      <w:rFonts w:hint="eastAsia"/>
                      <w:color w:val="auto"/>
                      <w:sz w:val="21"/>
                      <w:szCs w:val="21"/>
                    </w:rPr>
                    <w:t>D</w:t>
                  </w:r>
                  <w:r>
                    <w:rPr>
                      <w:color w:val="auto"/>
                      <w:sz w:val="21"/>
                      <w:szCs w:val="21"/>
                    </w:rPr>
                    <w:t>W001</w:t>
                  </w:r>
                </w:p>
              </w:tc>
              <w:tc>
                <w:tcPr>
                  <w:tcW w:w="4111" w:type="dxa"/>
                  <w:shd w:val="clear" w:color="auto" w:fill="auto"/>
                  <w:noWrap w:val="0"/>
                  <w:vAlign w:val="center"/>
                </w:tcPr>
                <w:p>
                  <w:pPr>
                    <w:widowControl/>
                    <w:spacing w:line="276" w:lineRule="auto"/>
                    <w:jc w:val="center"/>
                    <w:rPr>
                      <w:rFonts w:hint="default" w:eastAsia="宋体"/>
                      <w:color w:val="auto"/>
                      <w:sz w:val="21"/>
                      <w:szCs w:val="21"/>
                      <w:lang w:val="en-US" w:eastAsia="zh-CN"/>
                    </w:rPr>
                  </w:pPr>
                  <w:r>
                    <w:rPr>
                      <w:rFonts w:hint="eastAsia"/>
                      <w:color w:val="auto"/>
                      <w:sz w:val="21"/>
                      <w:szCs w:val="21"/>
                      <w:lang w:eastAsia="zh-CN"/>
                    </w:rPr>
                    <w:t>化学需氧量、氨氮、</w:t>
                  </w:r>
                  <w:r>
                    <w:rPr>
                      <w:rFonts w:hint="eastAsia"/>
                      <w:color w:val="auto"/>
                      <w:sz w:val="21"/>
                      <w:szCs w:val="21"/>
                      <w:lang w:val="en-US" w:eastAsia="zh-CN"/>
                    </w:rPr>
                    <w:t>pH值、悬浮物、石类</w:t>
                  </w:r>
                </w:p>
                <w:p>
                  <w:pPr>
                    <w:widowControl/>
                    <w:spacing w:line="276" w:lineRule="auto"/>
                    <w:jc w:val="center"/>
                    <w:rPr>
                      <w:rFonts w:hint="eastAsia" w:eastAsia="宋体"/>
                      <w:color w:val="auto"/>
                      <w:sz w:val="21"/>
                      <w:szCs w:val="21"/>
                      <w:lang w:eastAsia="zh-CN"/>
                    </w:rPr>
                  </w:pPr>
                  <w:r>
                    <w:rPr>
                      <w:rFonts w:hint="eastAsia"/>
                      <w:color w:val="auto"/>
                      <w:sz w:val="21"/>
                      <w:szCs w:val="21"/>
                      <w:lang w:eastAsia="zh-CN"/>
                    </w:rPr>
                    <w:t>总有机碳</w:t>
                  </w:r>
                </w:p>
              </w:tc>
              <w:tc>
                <w:tcPr>
                  <w:tcW w:w="1812" w:type="dxa"/>
                  <w:shd w:val="clear" w:color="auto" w:fill="auto"/>
                  <w:noWrap w:val="0"/>
                  <w:vAlign w:val="center"/>
                </w:tcPr>
                <w:p>
                  <w:pPr>
                    <w:widowControl/>
                    <w:spacing w:line="276" w:lineRule="auto"/>
                    <w:jc w:val="center"/>
                    <w:rPr>
                      <w:rFonts w:hint="default" w:eastAsia="宋体"/>
                      <w:color w:val="auto"/>
                      <w:sz w:val="21"/>
                      <w:szCs w:val="21"/>
                      <w:lang w:val="en-US" w:eastAsia="zh-CN"/>
                    </w:rPr>
                  </w:pPr>
                  <w:r>
                    <w:rPr>
                      <w:rFonts w:hint="eastAsia"/>
                      <w:color w:val="auto"/>
                      <w:sz w:val="21"/>
                      <w:szCs w:val="21"/>
                      <w:lang w:val="en-US" w:eastAsia="zh-CN"/>
                    </w:rPr>
                    <w:t>1次/年</w:t>
                  </w:r>
                </w:p>
              </w:tc>
            </w:tr>
          </w:tbl>
          <w:p>
            <w:pPr>
              <w:widowControl/>
              <w:spacing w:line="360" w:lineRule="auto"/>
              <w:ind w:firstLine="435"/>
              <w:rPr>
                <w:b/>
                <w:color w:val="000000"/>
                <w:sz w:val="21"/>
                <w:szCs w:val="21"/>
              </w:rPr>
            </w:pPr>
            <w:r>
              <w:rPr>
                <w:b/>
                <w:color w:val="000000"/>
                <w:sz w:val="21"/>
                <w:szCs w:val="21"/>
              </w:rPr>
              <w:t>3.噪声</w:t>
            </w:r>
          </w:p>
          <w:p>
            <w:pPr>
              <w:widowControl/>
              <w:spacing w:line="360" w:lineRule="auto"/>
              <w:ind w:firstLine="435"/>
              <w:rPr>
                <w:b/>
                <w:color w:val="000000"/>
                <w:sz w:val="21"/>
                <w:szCs w:val="21"/>
              </w:rPr>
            </w:pPr>
            <w:r>
              <w:rPr>
                <w:b/>
                <w:color w:val="000000"/>
                <w:sz w:val="21"/>
                <w:szCs w:val="21"/>
              </w:rPr>
              <w:t>（</w:t>
            </w:r>
            <w:r>
              <w:rPr>
                <w:rFonts w:hint="eastAsia"/>
                <w:b/>
                <w:color w:val="000000"/>
                <w:sz w:val="21"/>
                <w:szCs w:val="21"/>
              </w:rPr>
              <w:t>1</w:t>
            </w:r>
            <w:r>
              <w:rPr>
                <w:b/>
                <w:color w:val="000000"/>
                <w:sz w:val="21"/>
                <w:szCs w:val="21"/>
              </w:rPr>
              <w:t>）源强</w:t>
            </w:r>
          </w:p>
          <w:p>
            <w:pPr>
              <w:widowControl/>
              <w:spacing w:line="360" w:lineRule="auto"/>
              <w:ind w:firstLine="420" w:firstLineChars="200"/>
              <w:rPr>
                <w:rFonts w:hint="eastAsia"/>
                <w:color w:val="000000"/>
                <w:sz w:val="21"/>
                <w:szCs w:val="21"/>
              </w:rPr>
            </w:pPr>
            <w:r>
              <w:rPr>
                <w:rFonts w:hint="eastAsia"/>
                <w:color w:val="000000"/>
                <w:sz w:val="21"/>
                <w:szCs w:val="21"/>
              </w:rPr>
              <w:t>本</w:t>
            </w:r>
            <w:r>
              <w:rPr>
                <w:rFonts w:hint="eastAsia"/>
                <w:color w:val="000000"/>
                <w:sz w:val="21"/>
                <w:szCs w:val="21"/>
                <w:lang w:eastAsia="zh-CN"/>
              </w:rPr>
              <w:t>次扩建仅增加油罐，不新增噪声源。</w:t>
            </w:r>
            <w:r>
              <w:rPr>
                <w:color w:val="000000"/>
                <w:sz w:val="21"/>
                <w:szCs w:val="21"/>
              </w:rPr>
              <w:t>根据</w:t>
            </w:r>
            <w:r>
              <w:rPr>
                <w:rFonts w:hint="eastAsia"/>
                <w:color w:val="000000"/>
                <w:sz w:val="21"/>
                <w:szCs w:val="21"/>
                <w:lang w:eastAsia="zh-CN"/>
              </w:rPr>
              <w:t>《桃源新河桥加油站建设项目竣工环境保护验收监测报告表》结论</w:t>
            </w:r>
            <w:r>
              <w:rPr>
                <w:color w:val="000000"/>
                <w:sz w:val="21"/>
                <w:szCs w:val="21"/>
              </w:rPr>
              <w:t>，项目厂界</w:t>
            </w:r>
            <w:r>
              <w:rPr>
                <w:rFonts w:hint="eastAsia"/>
                <w:color w:val="000000"/>
                <w:sz w:val="21"/>
                <w:szCs w:val="21"/>
              </w:rPr>
              <w:t>东</w:t>
            </w:r>
            <w:r>
              <w:rPr>
                <w:color w:val="000000"/>
                <w:sz w:val="21"/>
                <w:szCs w:val="21"/>
              </w:rPr>
              <w:t>、厂界</w:t>
            </w:r>
            <w:r>
              <w:rPr>
                <w:rFonts w:hint="eastAsia"/>
                <w:color w:val="000000"/>
                <w:sz w:val="21"/>
                <w:szCs w:val="21"/>
                <w:lang w:val="en-US" w:eastAsia="zh-CN"/>
              </w:rPr>
              <w:t>北</w:t>
            </w:r>
            <w:r>
              <w:rPr>
                <w:color w:val="000000"/>
                <w:sz w:val="21"/>
                <w:szCs w:val="21"/>
              </w:rPr>
              <w:t>可以达到</w:t>
            </w:r>
            <w:r>
              <w:rPr>
                <w:rFonts w:hint="eastAsia"/>
                <w:color w:val="000000"/>
                <w:sz w:val="21"/>
                <w:szCs w:val="21"/>
              </w:rPr>
              <w:t>《工业企业厂界环境噪声排放标准》（</w:t>
            </w:r>
            <w:r>
              <w:rPr>
                <w:color w:val="000000"/>
                <w:sz w:val="21"/>
                <w:szCs w:val="21"/>
              </w:rPr>
              <w:t>GB12348-2008</w:t>
            </w:r>
            <w:r>
              <w:rPr>
                <w:rFonts w:hint="eastAsia"/>
                <w:color w:val="000000"/>
                <w:sz w:val="21"/>
                <w:szCs w:val="21"/>
              </w:rPr>
              <w:t xml:space="preserve">）中 </w:t>
            </w:r>
            <w:r>
              <w:rPr>
                <w:color w:val="000000"/>
                <w:sz w:val="21"/>
                <w:szCs w:val="21"/>
              </w:rPr>
              <w:t>4</w:t>
            </w:r>
            <w:r>
              <w:rPr>
                <w:rFonts w:hint="eastAsia"/>
                <w:color w:val="000000"/>
                <w:sz w:val="21"/>
                <w:szCs w:val="21"/>
              </w:rPr>
              <w:t>类标准限值要求，厂界</w:t>
            </w:r>
            <w:r>
              <w:rPr>
                <w:color w:val="000000"/>
                <w:sz w:val="21"/>
                <w:szCs w:val="21"/>
              </w:rPr>
              <w:t>南</w:t>
            </w:r>
            <w:r>
              <w:rPr>
                <w:rFonts w:hint="eastAsia"/>
                <w:color w:val="000000"/>
                <w:sz w:val="21"/>
                <w:szCs w:val="21"/>
              </w:rPr>
              <w:t>和</w:t>
            </w:r>
            <w:r>
              <w:rPr>
                <w:color w:val="000000"/>
                <w:sz w:val="21"/>
                <w:szCs w:val="21"/>
              </w:rPr>
              <w:t>厂界</w:t>
            </w:r>
            <w:r>
              <w:rPr>
                <w:rFonts w:hint="eastAsia"/>
                <w:color w:val="000000"/>
                <w:sz w:val="21"/>
                <w:szCs w:val="21"/>
                <w:lang w:val="en-US" w:eastAsia="zh-CN"/>
              </w:rPr>
              <w:t>西</w:t>
            </w:r>
            <w:r>
              <w:rPr>
                <w:color w:val="000000"/>
                <w:sz w:val="21"/>
                <w:szCs w:val="21"/>
              </w:rPr>
              <w:t>可以达到《工业企业厂界环境噪声排放标准》（</w:t>
            </w:r>
            <w:r>
              <w:rPr>
                <w:rFonts w:hint="eastAsia"/>
                <w:color w:val="000000"/>
                <w:sz w:val="21"/>
                <w:szCs w:val="21"/>
              </w:rPr>
              <w:t>G</w:t>
            </w:r>
            <w:r>
              <w:rPr>
                <w:color w:val="000000"/>
                <w:sz w:val="21"/>
                <w:szCs w:val="21"/>
              </w:rPr>
              <w:t>B12348-2008）中</w:t>
            </w:r>
            <w:r>
              <w:rPr>
                <w:rFonts w:hint="eastAsia"/>
                <w:color w:val="000000"/>
                <w:sz w:val="21"/>
                <w:szCs w:val="21"/>
              </w:rPr>
              <w:t>2</w:t>
            </w:r>
            <w:r>
              <w:rPr>
                <w:color w:val="000000"/>
                <w:sz w:val="21"/>
                <w:szCs w:val="21"/>
              </w:rPr>
              <w:t>类标准限值要求。因此，本项目</w:t>
            </w:r>
            <w:r>
              <w:rPr>
                <w:rFonts w:hint="eastAsia"/>
                <w:color w:val="000000"/>
                <w:sz w:val="21"/>
                <w:szCs w:val="21"/>
                <w:lang w:eastAsia="zh-CN"/>
              </w:rPr>
              <w:t>噪声</w:t>
            </w:r>
            <w:r>
              <w:rPr>
                <w:color w:val="000000"/>
                <w:sz w:val="21"/>
                <w:szCs w:val="21"/>
              </w:rPr>
              <w:t>对周围环境影响不大。</w:t>
            </w:r>
          </w:p>
          <w:p>
            <w:pPr>
              <w:widowControl/>
              <w:spacing w:line="360" w:lineRule="auto"/>
              <w:ind w:firstLine="435"/>
              <w:rPr>
                <w:rFonts w:hint="default" w:eastAsia="宋体"/>
                <w:b/>
                <w:color w:val="000000"/>
                <w:sz w:val="21"/>
                <w:szCs w:val="21"/>
                <w:u w:val="none"/>
                <w:lang w:val="en-US" w:eastAsia="zh-CN"/>
              </w:rPr>
            </w:pPr>
            <w:r>
              <w:rPr>
                <w:rFonts w:hint="eastAsia"/>
                <w:b/>
                <w:color w:val="000000"/>
                <w:sz w:val="21"/>
                <w:szCs w:val="21"/>
                <w:u w:val="none"/>
                <w:lang w:eastAsia="zh-CN"/>
              </w:rPr>
              <w:t>（</w:t>
            </w:r>
            <w:r>
              <w:rPr>
                <w:rFonts w:hint="eastAsia"/>
                <w:b/>
                <w:color w:val="000000"/>
                <w:sz w:val="21"/>
                <w:szCs w:val="21"/>
                <w:u w:val="none"/>
                <w:lang w:val="en-US" w:eastAsia="zh-CN"/>
              </w:rPr>
              <w:t>2</w:t>
            </w:r>
            <w:r>
              <w:rPr>
                <w:rFonts w:hint="eastAsia"/>
                <w:b/>
                <w:color w:val="000000"/>
                <w:sz w:val="21"/>
                <w:szCs w:val="21"/>
                <w:u w:val="none"/>
                <w:lang w:eastAsia="zh-CN"/>
              </w:rPr>
              <w:t>）</w:t>
            </w:r>
            <w:r>
              <w:rPr>
                <w:rFonts w:hint="eastAsia"/>
                <w:b/>
                <w:color w:val="000000"/>
                <w:sz w:val="21"/>
                <w:szCs w:val="21"/>
                <w:u w:val="none"/>
                <w:lang w:val="en-US" w:eastAsia="zh-CN"/>
              </w:rPr>
              <w:t>噪声污染防治措施及影响分析</w:t>
            </w:r>
          </w:p>
          <w:p>
            <w:pPr>
              <w:widowControl/>
              <w:spacing w:line="360" w:lineRule="auto"/>
              <w:ind w:firstLine="435"/>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 xml:space="preserve">为进一步减小项目噪声对周围环境的影响，建议项目采取以下措施，将营运期产生的 噪声影响降到最低。 </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1）</w:t>
            </w:r>
            <w:r>
              <w:rPr>
                <w:rFonts w:hint="default" w:ascii="Times New Roman" w:hAnsi="Times New Roman" w:eastAsia="宋体" w:cs="Times New Roman"/>
                <w:sz w:val="21"/>
                <w:szCs w:val="21"/>
                <w:u w:val="none"/>
              </w:rPr>
              <w:t xml:space="preserve">通过设置减速带等措施控制路过及进出加油站车辆车速，禁止鸣喇叭，不得大声喧哗； </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优化平面布局，通过选用低噪设备，基础减振，建筑隔声等措施降低设备产生的噪声；</w:t>
            </w:r>
          </w:p>
          <w:p>
            <w:pPr>
              <w:widowControl/>
              <w:numPr>
                <w:ilvl w:val="0"/>
                <w:numId w:val="0"/>
              </w:numPr>
              <w:spacing w:line="360" w:lineRule="auto"/>
              <w:ind w:firstLine="420" w:firstLineChars="200"/>
              <w:rPr>
                <w:rFonts w:hint="default" w:ascii="Times New Roman" w:hAnsi="Times New Roman" w:eastAsia="宋体" w:cs="Times New Roman"/>
                <w:sz w:val="21"/>
                <w:szCs w:val="21"/>
                <w:u w:val="none"/>
              </w:rPr>
            </w:pPr>
            <w:r>
              <w:rPr>
                <w:rFonts w:hint="eastAsia" w:ascii="Times New Roman" w:hAnsi="Times New Roman" w:eastAsia="宋体" w:cs="Times New Roman"/>
                <w:sz w:val="21"/>
                <w:szCs w:val="21"/>
                <w:u w:val="none"/>
                <w:lang w:val="en-US" w:eastAsia="zh-CN"/>
              </w:rPr>
              <w:t>3）</w:t>
            </w:r>
            <w:r>
              <w:rPr>
                <w:rFonts w:hint="default" w:ascii="Times New Roman" w:hAnsi="Times New Roman" w:eastAsia="宋体" w:cs="Times New Roman"/>
                <w:sz w:val="21"/>
                <w:szCs w:val="21"/>
                <w:u w:val="none"/>
              </w:rPr>
              <w:t>建立设备定期维护、保养的管理制度，以防止设备故障形成的非正常生产噪声， 同时确保环保措施发挥最佳有效的功能。加强员工环保意识教育，提倡文明生产，防止人 为噪声。</w:t>
            </w:r>
          </w:p>
          <w:p>
            <w:pPr>
              <w:widowControl/>
              <w:spacing w:line="360" w:lineRule="auto"/>
              <w:ind w:firstLine="435"/>
              <w:rPr>
                <w:rFonts w:hint="eastAsia" w:eastAsia="宋体"/>
                <w:b/>
                <w:color w:val="000000"/>
                <w:sz w:val="21"/>
                <w:szCs w:val="21"/>
                <w:u w:val="none"/>
                <w:lang w:eastAsia="zh-CN"/>
              </w:rPr>
            </w:pPr>
            <w:r>
              <w:rPr>
                <w:rFonts w:hint="default" w:ascii="Times New Roman" w:hAnsi="Times New Roman" w:eastAsia="宋体" w:cs="Times New Roman"/>
                <w:sz w:val="21"/>
                <w:szCs w:val="21"/>
                <w:u w:val="none"/>
              </w:rPr>
              <w:t xml:space="preserve"> 本项目产生的噪声经上述治理和消减后，达到《工业企业厂界环境噪声排放标准》 （GB12348-2008）的 </w:t>
            </w:r>
            <w:r>
              <w:rPr>
                <w:rFonts w:hint="default" w:ascii="Times New Roman" w:hAnsi="Times New Roman" w:eastAsia="宋体" w:cs="Times New Roman"/>
                <w:sz w:val="21"/>
                <w:szCs w:val="21"/>
                <w:u w:val="none"/>
                <w:lang w:val="en-US" w:eastAsia="zh-CN"/>
              </w:rPr>
              <w:t>2</w:t>
            </w:r>
            <w:r>
              <w:rPr>
                <w:rFonts w:hint="default" w:ascii="Times New Roman" w:hAnsi="Times New Roman" w:eastAsia="宋体" w:cs="Times New Roman"/>
                <w:sz w:val="21"/>
                <w:szCs w:val="21"/>
                <w:u w:val="none"/>
              </w:rPr>
              <w:t xml:space="preserve"> 类</w:t>
            </w:r>
            <w:r>
              <w:rPr>
                <w:rFonts w:hint="default" w:ascii="Times New Roman" w:hAnsi="Times New Roman" w:eastAsia="宋体" w:cs="Times New Roman"/>
                <w:sz w:val="21"/>
                <w:szCs w:val="21"/>
                <w:u w:val="none"/>
                <w:lang w:val="en-US" w:eastAsia="zh-CN"/>
              </w:rPr>
              <w:t>和4类</w:t>
            </w:r>
            <w:r>
              <w:rPr>
                <w:rFonts w:hint="default" w:ascii="Times New Roman" w:hAnsi="Times New Roman" w:eastAsia="宋体" w:cs="Times New Roman"/>
                <w:sz w:val="21"/>
                <w:szCs w:val="21"/>
                <w:u w:val="none"/>
              </w:rPr>
              <w:t>标准，不会对周围声环境造成不良影响。</w:t>
            </w:r>
          </w:p>
          <w:p>
            <w:pPr>
              <w:widowControl/>
              <w:spacing w:line="360" w:lineRule="auto"/>
              <w:ind w:firstLine="435"/>
              <w:jc w:val="left"/>
              <w:rPr>
                <w:b/>
                <w:color w:val="000000"/>
                <w:sz w:val="21"/>
                <w:szCs w:val="21"/>
              </w:rPr>
            </w:pPr>
            <w:r>
              <w:rPr>
                <w:b/>
                <w:color w:val="000000"/>
                <w:sz w:val="21"/>
                <w:szCs w:val="21"/>
              </w:rPr>
              <w:t>4.固体废物</w:t>
            </w:r>
          </w:p>
          <w:p>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rPr>
              <w:t>1</w:t>
            </w:r>
            <w:r>
              <w:rPr>
                <w:b/>
                <w:color w:val="000000"/>
                <w:sz w:val="21"/>
                <w:szCs w:val="21"/>
              </w:rPr>
              <w:t>）源强</w:t>
            </w:r>
          </w:p>
          <w:p>
            <w:pPr>
              <w:adjustRightInd w:val="0"/>
              <w:snapToGrid w:val="0"/>
              <w:spacing w:line="360" w:lineRule="auto"/>
              <w:ind w:firstLine="420" w:firstLineChars="200"/>
              <w:jc w:val="left"/>
              <w:rPr>
                <w:rFonts w:hint="eastAsia"/>
                <w:b w:val="0"/>
                <w:bCs w:val="0"/>
                <w:szCs w:val="21"/>
                <w:lang w:eastAsia="zh-CN"/>
              </w:rPr>
            </w:pPr>
            <w:r>
              <w:rPr>
                <w:rFonts w:hint="eastAsia"/>
                <w:b w:val="0"/>
                <w:bCs w:val="0"/>
                <w:szCs w:val="21"/>
                <w:lang w:eastAsia="zh-CN"/>
              </w:rPr>
              <w:t>扩建后，本项目产生的</w:t>
            </w:r>
            <w:r>
              <w:rPr>
                <w:rFonts w:hint="eastAsia"/>
                <w:b w:val="0"/>
                <w:bCs w:val="0"/>
                <w:szCs w:val="21"/>
              </w:rPr>
              <w:t>生活垃圾、废过滤芯、隔油池油泥</w:t>
            </w:r>
            <w:r>
              <w:rPr>
                <w:rFonts w:hint="eastAsia"/>
                <w:b w:val="0"/>
                <w:bCs w:val="0"/>
                <w:szCs w:val="21"/>
                <w:lang w:eastAsia="zh-CN"/>
              </w:rPr>
              <w:t>总量不变。增加了含油废手套、抹布以及新增油罐废油渣以及清洗废液</w:t>
            </w:r>
          </w:p>
          <w:p>
            <w:pPr>
              <w:widowControl/>
              <w:spacing w:line="360" w:lineRule="auto"/>
              <w:ind w:firstLine="435"/>
              <w:jc w:val="left"/>
              <w:rPr>
                <w:color w:val="000000"/>
                <w:szCs w:val="21"/>
              </w:rPr>
            </w:pPr>
            <w:r>
              <w:rPr>
                <w:rFonts w:hint="default" w:ascii="Calibri" w:hAnsi="Calibri" w:cs="Calibri"/>
                <w:color w:val="000000"/>
                <w:szCs w:val="21"/>
              </w:rPr>
              <w:t>①</w:t>
            </w:r>
            <w:r>
              <w:rPr>
                <w:color w:val="000000"/>
                <w:szCs w:val="21"/>
              </w:rPr>
              <w:t>含油废手套、废抹布</w:t>
            </w:r>
          </w:p>
          <w:p>
            <w:pPr>
              <w:widowControl/>
              <w:spacing w:line="360" w:lineRule="auto"/>
              <w:ind w:firstLine="435"/>
              <w:jc w:val="left"/>
              <w:rPr>
                <w:color w:val="000000"/>
                <w:szCs w:val="21"/>
              </w:rPr>
            </w:pPr>
            <w:r>
              <w:rPr>
                <w:color w:val="000000"/>
                <w:szCs w:val="21"/>
              </w:rPr>
              <w:t>根据建设单位提供的经验数据，含油废手套、废抹布产生量约为</w:t>
            </w:r>
            <w:r>
              <w:rPr>
                <w:rFonts w:hint="eastAsia"/>
                <w:color w:val="000000"/>
                <w:szCs w:val="21"/>
              </w:rPr>
              <w:t>0</w:t>
            </w:r>
            <w:r>
              <w:rPr>
                <w:color w:val="000000"/>
                <w:szCs w:val="21"/>
              </w:rPr>
              <w:t>.05t/a。根据《国家危险废物名录》（</w:t>
            </w:r>
            <w:r>
              <w:rPr>
                <w:rFonts w:hint="eastAsia"/>
                <w:color w:val="000000"/>
                <w:szCs w:val="21"/>
              </w:rPr>
              <w:t>2</w:t>
            </w:r>
            <w:r>
              <w:rPr>
                <w:color w:val="000000"/>
                <w:szCs w:val="21"/>
              </w:rPr>
              <w:t>021年），含油废手套、废抹布属于</w:t>
            </w:r>
            <w:r>
              <w:rPr>
                <w:rFonts w:hint="eastAsia"/>
                <w:color w:val="000000"/>
                <w:szCs w:val="21"/>
              </w:rPr>
              <w:t>H</w:t>
            </w:r>
            <w:r>
              <w:rPr>
                <w:color w:val="000000"/>
                <w:szCs w:val="21"/>
              </w:rPr>
              <w:t>W49（含有或沾染毒性、感染性危险废物的废弃包装物、容器、过滤吸附介质），危废代码</w:t>
            </w:r>
            <w:r>
              <w:rPr>
                <w:rFonts w:hint="eastAsia"/>
                <w:color w:val="000000"/>
                <w:szCs w:val="21"/>
              </w:rPr>
              <w:t>9</w:t>
            </w:r>
            <w:r>
              <w:rPr>
                <w:color w:val="000000"/>
                <w:szCs w:val="21"/>
              </w:rPr>
              <w:t>00-041-49。危险废物收集暂存至危废暂存间，然后统一委托有资质的单位处理。</w:t>
            </w:r>
          </w:p>
          <w:p>
            <w:pPr>
              <w:widowControl/>
              <w:spacing w:line="360" w:lineRule="auto"/>
              <w:ind w:firstLine="435"/>
              <w:jc w:val="left"/>
              <w:rPr>
                <w:color w:val="000000"/>
                <w:szCs w:val="21"/>
              </w:rPr>
            </w:pPr>
            <w:r>
              <w:rPr>
                <w:rFonts w:hint="default" w:ascii="Calibri" w:hAnsi="Calibri" w:cs="Calibri"/>
                <w:color w:val="000000"/>
                <w:szCs w:val="21"/>
              </w:rPr>
              <w:t>②</w:t>
            </w:r>
            <w:r>
              <w:rPr>
                <w:color w:val="000000"/>
                <w:szCs w:val="21"/>
              </w:rPr>
              <w:t>清洗油罐的油泥</w:t>
            </w:r>
          </w:p>
          <w:p>
            <w:pPr>
              <w:adjustRightInd w:val="0"/>
              <w:snapToGrid w:val="0"/>
              <w:spacing w:line="360" w:lineRule="auto"/>
              <w:ind w:firstLine="420" w:firstLineChars="200"/>
              <w:jc w:val="left"/>
              <w:rPr>
                <w:rFonts w:hint="eastAsia"/>
                <w:b w:val="0"/>
                <w:bCs w:val="0"/>
                <w:szCs w:val="21"/>
              </w:rPr>
            </w:pPr>
            <w:r>
              <w:rPr>
                <w:rFonts w:hint="eastAsia"/>
                <w:b w:val="0"/>
                <w:bCs w:val="0"/>
                <w:szCs w:val="21"/>
                <w:lang w:eastAsia="zh-CN"/>
              </w:rPr>
              <w:t>本次扩建新增</w:t>
            </w:r>
            <w:r>
              <w:rPr>
                <w:rFonts w:hint="eastAsia"/>
                <w:b w:val="0"/>
                <w:bCs w:val="0"/>
                <w:szCs w:val="21"/>
                <w:lang w:val="en-US" w:eastAsia="zh-CN"/>
              </w:rPr>
              <w:t>1个30m</w:t>
            </w:r>
            <w:r>
              <w:rPr>
                <w:rFonts w:hint="eastAsia"/>
                <w:b w:val="0"/>
                <w:bCs w:val="0"/>
                <w:szCs w:val="21"/>
                <w:vertAlign w:val="superscript"/>
                <w:lang w:val="en-US" w:eastAsia="zh-CN"/>
              </w:rPr>
              <w:t>3</w:t>
            </w:r>
            <w:r>
              <w:rPr>
                <w:rFonts w:hint="eastAsia"/>
                <w:b w:val="0"/>
                <w:bCs w:val="0"/>
                <w:szCs w:val="21"/>
                <w:lang w:val="en-US" w:eastAsia="zh-CN"/>
              </w:rPr>
              <w:t>柴油储罐，新增</w:t>
            </w:r>
            <w:r>
              <w:rPr>
                <w:rFonts w:hint="eastAsia"/>
                <w:b w:val="0"/>
                <w:bCs w:val="0"/>
                <w:szCs w:val="21"/>
              </w:rPr>
              <w:t>油罐废油渣和清洗废液约为</w:t>
            </w:r>
            <w:r>
              <w:rPr>
                <w:rFonts w:hint="eastAsia"/>
                <w:b w:val="0"/>
                <w:bCs w:val="0"/>
                <w:szCs w:val="21"/>
                <w:lang w:val="en-US" w:eastAsia="zh-CN"/>
              </w:rPr>
              <w:t>4</w:t>
            </w:r>
            <w:r>
              <w:rPr>
                <w:rFonts w:hint="eastAsia"/>
                <w:b w:val="0"/>
                <w:bCs w:val="0"/>
                <w:szCs w:val="21"/>
              </w:rPr>
              <w:t>m</w:t>
            </w:r>
            <w:r>
              <w:rPr>
                <w:rFonts w:hint="eastAsia"/>
                <w:b w:val="0"/>
                <w:bCs w:val="0"/>
                <w:szCs w:val="21"/>
                <w:vertAlign w:val="superscript"/>
              </w:rPr>
              <w:t>3</w:t>
            </w:r>
            <w:r>
              <w:rPr>
                <w:rFonts w:hint="eastAsia"/>
                <w:b w:val="0"/>
                <w:bCs w:val="0"/>
                <w:szCs w:val="21"/>
              </w:rPr>
              <w:t>/次。据《国家危险废物名录》（2021年版），油罐废油渣和清洗废液属于危险废物，废物类别为HW08 废矿物油与含矿物油废物，废物代码为900-249-08，其它生产、销售、使用过程中产生的废矿物油及沾染矿物油的废弃包装物。建设单位委托专业单位进行油罐清洗工作，清洗完成后，油罐废油渣和清洗废液交由有资质单位立即运走处置，不在站区内储存。</w:t>
            </w:r>
          </w:p>
          <w:p>
            <w:pPr>
              <w:adjustRightInd w:val="0"/>
              <w:snapToGrid w:val="0"/>
              <w:spacing w:line="360" w:lineRule="auto"/>
              <w:ind w:firstLine="422" w:firstLineChars="200"/>
              <w:jc w:val="center"/>
              <w:rPr>
                <w:b/>
                <w:szCs w:val="21"/>
              </w:rPr>
            </w:pPr>
            <w:r>
              <w:rPr>
                <w:rFonts w:hint="eastAsia"/>
                <w:b/>
                <w:bCs/>
                <w:szCs w:val="21"/>
              </w:rPr>
              <w:t>表4-</w:t>
            </w:r>
            <w:r>
              <w:rPr>
                <w:rFonts w:hint="eastAsia"/>
                <w:b/>
                <w:bCs/>
                <w:szCs w:val="21"/>
                <w:lang w:val="en-US" w:eastAsia="zh-CN"/>
              </w:rPr>
              <w:t>7</w:t>
            </w:r>
            <w:r>
              <w:rPr>
                <w:b/>
                <w:bCs/>
                <w:szCs w:val="21"/>
              </w:rPr>
              <w:t xml:space="preserve">  </w:t>
            </w:r>
            <w:r>
              <w:rPr>
                <w:rFonts w:hint="eastAsia"/>
                <w:b/>
                <w:szCs w:val="21"/>
              </w:rPr>
              <w:t>固体废物污染源源强核算结果一览表</w:t>
            </w:r>
          </w:p>
          <w:tbl>
            <w:tblPr>
              <w:tblStyle w:val="8"/>
              <w:tblW w:w="792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11"/>
              <w:gridCol w:w="1129"/>
              <w:gridCol w:w="1554"/>
              <w:gridCol w:w="988"/>
              <w:gridCol w:w="28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 w:hRule="atLeast"/>
              </w:trPr>
              <w:tc>
                <w:tcPr>
                  <w:tcW w:w="1411" w:type="dxa"/>
                  <w:vAlign w:val="center"/>
                </w:tcPr>
                <w:p>
                  <w:pPr>
                    <w:adjustRightInd w:val="0"/>
                    <w:snapToGrid w:val="0"/>
                    <w:jc w:val="center"/>
                    <w:rPr>
                      <w:b/>
                      <w:bCs/>
                      <w:szCs w:val="21"/>
                    </w:rPr>
                  </w:pPr>
                  <w:bookmarkStart w:id="2" w:name="_Hlk70070309"/>
                  <w:r>
                    <w:rPr>
                      <w:b/>
                      <w:bCs/>
                      <w:szCs w:val="21"/>
                    </w:rPr>
                    <w:t>废物名称</w:t>
                  </w:r>
                </w:p>
              </w:tc>
              <w:tc>
                <w:tcPr>
                  <w:tcW w:w="1129" w:type="dxa"/>
                  <w:vAlign w:val="center"/>
                </w:tcPr>
                <w:p>
                  <w:pPr>
                    <w:adjustRightInd w:val="0"/>
                    <w:snapToGrid w:val="0"/>
                    <w:jc w:val="center"/>
                    <w:rPr>
                      <w:b/>
                      <w:bCs/>
                      <w:szCs w:val="21"/>
                    </w:rPr>
                  </w:pPr>
                  <w:r>
                    <w:rPr>
                      <w:rFonts w:hint="eastAsia"/>
                      <w:b/>
                      <w:bCs/>
                      <w:szCs w:val="21"/>
                    </w:rPr>
                    <w:t>废物类别</w:t>
                  </w:r>
                </w:p>
              </w:tc>
              <w:tc>
                <w:tcPr>
                  <w:tcW w:w="1554" w:type="dxa"/>
                  <w:vAlign w:val="center"/>
                </w:tcPr>
                <w:p>
                  <w:pPr>
                    <w:adjustRightInd w:val="0"/>
                    <w:snapToGrid w:val="0"/>
                    <w:jc w:val="center"/>
                    <w:rPr>
                      <w:b/>
                      <w:bCs/>
                      <w:szCs w:val="21"/>
                    </w:rPr>
                  </w:pPr>
                  <w:r>
                    <w:rPr>
                      <w:b/>
                      <w:bCs/>
                      <w:szCs w:val="21"/>
                    </w:rPr>
                    <w:t>危险废物代码</w:t>
                  </w:r>
                </w:p>
              </w:tc>
              <w:tc>
                <w:tcPr>
                  <w:tcW w:w="988" w:type="dxa"/>
                  <w:vAlign w:val="center"/>
                </w:tcPr>
                <w:p>
                  <w:pPr>
                    <w:adjustRightInd w:val="0"/>
                    <w:snapToGrid w:val="0"/>
                    <w:jc w:val="center"/>
                    <w:rPr>
                      <w:b/>
                      <w:bCs/>
                      <w:szCs w:val="21"/>
                    </w:rPr>
                  </w:pPr>
                  <w:r>
                    <w:rPr>
                      <w:b/>
                      <w:bCs/>
                      <w:szCs w:val="21"/>
                    </w:rPr>
                    <w:t>产生量</w:t>
                  </w:r>
                </w:p>
              </w:tc>
              <w:tc>
                <w:tcPr>
                  <w:tcW w:w="2838" w:type="dxa"/>
                  <w:vAlign w:val="center"/>
                </w:tcPr>
                <w:p>
                  <w:pPr>
                    <w:adjustRightInd w:val="0"/>
                    <w:snapToGrid w:val="0"/>
                    <w:jc w:val="center"/>
                    <w:rPr>
                      <w:b/>
                      <w:bCs/>
                      <w:szCs w:val="21"/>
                    </w:rPr>
                  </w:pPr>
                  <w:r>
                    <w:rPr>
                      <w:b/>
                      <w:bCs/>
                      <w:szCs w:val="21"/>
                    </w:rPr>
                    <w:t>处理方式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 w:hRule="atLeast"/>
              </w:trPr>
              <w:tc>
                <w:tcPr>
                  <w:tcW w:w="1411" w:type="dxa"/>
                  <w:vAlign w:val="center"/>
                </w:tcPr>
                <w:p>
                  <w:pPr>
                    <w:adjustRightInd w:val="0"/>
                    <w:snapToGrid w:val="0"/>
                    <w:jc w:val="center"/>
                    <w:rPr>
                      <w:szCs w:val="21"/>
                    </w:rPr>
                  </w:pPr>
                  <w:r>
                    <w:rPr>
                      <w:szCs w:val="21"/>
                    </w:rPr>
                    <w:t>油罐废油渣</w:t>
                  </w:r>
                  <w:r>
                    <w:rPr>
                      <w:rFonts w:hint="eastAsia"/>
                      <w:szCs w:val="21"/>
                    </w:rPr>
                    <w:t>和清洗废液</w:t>
                  </w:r>
                </w:p>
              </w:tc>
              <w:tc>
                <w:tcPr>
                  <w:tcW w:w="1129" w:type="dxa"/>
                  <w:vAlign w:val="center"/>
                </w:tcPr>
                <w:p>
                  <w:pPr>
                    <w:adjustRightInd w:val="0"/>
                    <w:snapToGrid w:val="0"/>
                    <w:jc w:val="center"/>
                    <w:rPr>
                      <w:szCs w:val="21"/>
                    </w:rPr>
                  </w:pPr>
                  <w:r>
                    <w:rPr>
                      <w:rFonts w:hint="eastAsia"/>
                      <w:szCs w:val="21"/>
                    </w:rPr>
                    <w:t>危险废物</w:t>
                  </w:r>
                </w:p>
                <w:p>
                  <w:pPr>
                    <w:adjustRightInd w:val="0"/>
                    <w:snapToGrid w:val="0"/>
                    <w:jc w:val="center"/>
                    <w:rPr>
                      <w:szCs w:val="21"/>
                    </w:rPr>
                  </w:pPr>
                  <w:r>
                    <w:rPr>
                      <w:szCs w:val="21"/>
                    </w:rPr>
                    <w:t>HW08</w:t>
                  </w:r>
                </w:p>
              </w:tc>
              <w:tc>
                <w:tcPr>
                  <w:tcW w:w="1554" w:type="dxa"/>
                  <w:vAlign w:val="center"/>
                </w:tcPr>
                <w:p>
                  <w:pPr>
                    <w:adjustRightInd w:val="0"/>
                    <w:snapToGrid w:val="0"/>
                    <w:jc w:val="center"/>
                    <w:rPr>
                      <w:szCs w:val="21"/>
                    </w:rPr>
                  </w:pPr>
                  <w:r>
                    <w:rPr>
                      <w:rFonts w:hint="eastAsia"/>
                      <w:color w:val="000000"/>
                      <w:szCs w:val="21"/>
                    </w:rPr>
                    <w:t>900-249-08</w:t>
                  </w:r>
                </w:p>
              </w:tc>
              <w:tc>
                <w:tcPr>
                  <w:tcW w:w="988" w:type="dxa"/>
                  <w:vAlign w:val="center"/>
                </w:tcPr>
                <w:p>
                  <w:pPr>
                    <w:adjustRightInd w:val="0"/>
                    <w:snapToGrid w:val="0"/>
                    <w:jc w:val="center"/>
                    <w:rPr>
                      <w:szCs w:val="21"/>
                      <w:highlight w:val="yellow"/>
                    </w:rPr>
                  </w:pPr>
                  <w:r>
                    <w:rPr>
                      <w:rFonts w:hint="eastAsia"/>
                      <w:szCs w:val="21"/>
                      <w:lang w:val="en-US" w:eastAsia="zh-CN"/>
                    </w:rPr>
                    <w:t>4</w:t>
                  </w:r>
                  <w:r>
                    <w:rPr>
                      <w:szCs w:val="21"/>
                    </w:rPr>
                    <w:t>m</w:t>
                  </w:r>
                  <w:r>
                    <w:rPr>
                      <w:szCs w:val="21"/>
                      <w:vertAlign w:val="superscript"/>
                    </w:rPr>
                    <w:t>3</w:t>
                  </w:r>
                  <w:r>
                    <w:rPr>
                      <w:rFonts w:hint="eastAsia"/>
                      <w:szCs w:val="21"/>
                    </w:rPr>
                    <w:t>/</w:t>
                  </w:r>
                  <w:r>
                    <w:rPr>
                      <w:szCs w:val="21"/>
                    </w:rPr>
                    <w:t>次</w:t>
                  </w:r>
                </w:p>
              </w:tc>
              <w:tc>
                <w:tcPr>
                  <w:tcW w:w="2838" w:type="dxa"/>
                  <w:vAlign w:val="center"/>
                </w:tcPr>
                <w:p>
                  <w:pPr>
                    <w:adjustRightInd w:val="0"/>
                    <w:snapToGrid w:val="0"/>
                    <w:jc w:val="center"/>
                    <w:rPr>
                      <w:szCs w:val="21"/>
                    </w:rPr>
                  </w:pPr>
                  <w:r>
                    <w:rPr>
                      <w:rFonts w:hint="eastAsia"/>
                      <w:szCs w:val="21"/>
                    </w:rPr>
                    <w:t>委托专业单位清洗、清掏，产生废油渣和清洗废液、油泥交由有资质单位立即运走处置，不在站区内储存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 w:hRule="atLeast"/>
              </w:trPr>
              <w:tc>
                <w:tcPr>
                  <w:tcW w:w="1411" w:type="dxa"/>
                  <w:vAlign w:val="center"/>
                </w:tcPr>
                <w:p>
                  <w:pPr>
                    <w:widowControl/>
                    <w:spacing w:line="276" w:lineRule="auto"/>
                    <w:jc w:val="center"/>
                    <w:rPr>
                      <w:szCs w:val="21"/>
                    </w:rPr>
                  </w:pPr>
                  <w:r>
                    <w:rPr>
                      <w:color w:val="000000"/>
                      <w:szCs w:val="21"/>
                    </w:rPr>
                    <w:t>含油废手套、废抹布</w:t>
                  </w:r>
                </w:p>
              </w:tc>
              <w:tc>
                <w:tcPr>
                  <w:tcW w:w="1129" w:type="dxa"/>
                  <w:vAlign w:val="center"/>
                </w:tcPr>
                <w:p>
                  <w:pPr>
                    <w:adjustRightInd w:val="0"/>
                    <w:snapToGrid w:val="0"/>
                    <w:jc w:val="center"/>
                    <w:rPr>
                      <w:szCs w:val="21"/>
                    </w:rPr>
                  </w:pPr>
                  <w:r>
                    <w:rPr>
                      <w:rFonts w:hint="eastAsia"/>
                      <w:szCs w:val="21"/>
                    </w:rPr>
                    <w:t>危险废物</w:t>
                  </w:r>
                </w:p>
                <w:p>
                  <w:pPr>
                    <w:widowControl/>
                    <w:spacing w:line="276" w:lineRule="auto"/>
                    <w:jc w:val="center"/>
                    <w:rPr>
                      <w:szCs w:val="21"/>
                    </w:rPr>
                  </w:pPr>
                  <w:r>
                    <w:rPr>
                      <w:rFonts w:hint="eastAsia"/>
                      <w:color w:val="000000"/>
                      <w:szCs w:val="21"/>
                    </w:rPr>
                    <w:t>H</w:t>
                  </w:r>
                  <w:r>
                    <w:rPr>
                      <w:color w:val="000000"/>
                      <w:szCs w:val="21"/>
                    </w:rPr>
                    <w:t>W49</w:t>
                  </w:r>
                </w:p>
              </w:tc>
              <w:tc>
                <w:tcPr>
                  <w:tcW w:w="1554" w:type="dxa"/>
                  <w:vAlign w:val="center"/>
                </w:tcPr>
                <w:p>
                  <w:pPr>
                    <w:adjustRightInd w:val="0"/>
                    <w:snapToGrid w:val="0"/>
                    <w:jc w:val="center"/>
                    <w:rPr>
                      <w:rFonts w:hint="eastAsia"/>
                      <w:color w:val="000000"/>
                      <w:szCs w:val="21"/>
                    </w:rPr>
                  </w:pPr>
                  <w:r>
                    <w:rPr>
                      <w:rFonts w:hint="eastAsia"/>
                      <w:color w:val="000000"/>
                      <w:szCs w:val="21"/>
                    </w:rPr>
                    <w:t>9</w:t>
                  </w:r>
                  <w:r>
                    <w:rPr>
                      <w:color w:val="000000"/>
                      <w:szCs w:val="21"/>
                    </w:rPr>
                    <w:t>00-041-49</w:t>
                  </w:r>
                </w:p>
              </w:tc>
              <w:tc>
                <w:tcPr>
                  <w:tcW w:w="988" w:type="dxa"/>
                  <w:vAlign w:val="center"/>
                </w:tcPr>
                <w:p>
                  <w:pPr>
                    <w:adjustRightInd w:val="0"/>
                    <w:snapToGrid w:val="0"/>
                    <w:jc w:val="center"/>
                    <w:rPr>
                      <w:rFonts w:hint="default" w:eastAsia="宋体"/>
                      <w:szCs w:val="21"/>
                      <w:lang w:val="en-US" w:eastAsia="zh-CN"/>
                    </w:rPr>
                  </w:pPr>
                  <w:r>
                    <w:rPr>
                      <w:rFonts w:hint="eastAsia"/>
                      <w:color w:val="000000"/>
                      <w:szCs w:val="21"/>
                    </w:rPr>
                    <w:t>0</w:t>
                  </w:r>
                  <w:r>
                    <w:rPr>
                      <w:color w:val="000000"/>
                      <w:szCs w:val="21"/>
                    </w:rPr>
                    <w:t>.05</w:t>
                  </w:r>
                  <w:r>
                    <w:rPr>
                      <w:rFonts w:hint="eastAsia"/>
                      <w:color w:val="000000"/>
                      <w:szCs w:val="21"/>
                      <w:lang w:val="en-US" w:eastAsia="zh-CN"/>
                    </w:rPr>
                    <w:t>t/a</w:t>
                  </w:r>
                </w:p>
              </w:tc>
              <w:tc>
                <w:tcPr>
                  <w:tcW w:w="2838" w:type="dxa"/>
                  <w:vAlign w:val="center"/>
                </w:tcPr>
                <w:p>
                  <w:pPr>
                    <w:adjustRightInd w:val="0"/>
                    <w:snapToGrid w:val="0"/>
                    <w:jc w:val="center"/>
                    <w:rPr>
                      <w:rFonts w:hint="eastAsia" w:eastAsia="宋体"/>
                      <w:szCs w:val="21"/>
                      <w:lang w:eastAsia="zh-CN"/>
                    </w:rPr>
                  </w:pPr>
                  <w:r>
                    <w:rPr>
                      <w:rFonts w:hint="eastAsia"/>
                      <w:szCs w:val="21"/>
                      <w:lang w:eastAsia="zh-CN"/>
                    </w:rPr>
                    <w:t>暂存于危废储存设施，统一收集后委托有资质单位处理</w:t>
                  </w:r>
                </w:p>
              </w:tc>
            </w:tr>
            <w:bookmarkEnd w:id="2"/>
          </w:tbl>
          <w:p>
            <w:pPr>
              <w:adjustRightInd w:val="0"/>
              <w:snapToGrid w:val="0"/>
              <w:spacing w:before="120" w:beforeLines="50" w:line="360" w:lineRule="auto"/>
              <w:ind w:firstLine="422" w:firstLineChars="200"/>
              <w:jc w:val="center"/>
              <w:rPr>
                <w:b/>
                <w:szCs w:val="21"/>
              </w:rPr>
            </w:pPr>
            <w:r>
              <w:rPr>
                <w:rFonts w:hint="eastAsia"/>
                <w:b/>
                <w:bCs/>
                <w:szCs w:val="21"/>
              </w:rPr>
              <w:t>表4-</w:t>
            </w:r>
            <w:r>
              <w:rPr>
                <w:rFonts w:hint="eastAsia"/>
                <w:b/>
                <w:bCs/>
                <w:szCs w:val="21"/>
                <w:lang w:val="en-US" w:eastAsia="zh-CN"/>
              </w:rPr>
              <w:t>8</w:t>
            </w:r>
            <w:r>
              <w:rPr>
                <w:b/>
                <w:bCs/>
                <w:szCs w:val="21"/>
              </w:rPr>
              <w:t xml:space="preserve">  </w:t>
            </w:r>
            <w:r>
              <w:rPr>
                <w:rFonts w:hint="eastAsia"/>
                <w:b/>
                <w:szCs w:val="21"/>
              </w:rPr>
              <w:t>危险废物基本情况表</w:t>
            </w:r>
          </w:p>
          <w:tbl>
            <w:tblPr>
              <w:tblStyle w:val="8"/>
              <w:tblW w:w="7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322"/>
              <w:gridCol w:w="992"/>
              <w:gridCol w:w="908"/>
              <w:gridCol w:w="935"/>
              <w:gridCol w:w="850"/>
              <w:gridCol w:w="758"/>
              <w:gridCol w:w="847"/>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9" w:type="dxa"/>
                  <w:shd w:val="clear" w:color="auto" w:fill="auto"/>
                  <w:vAlign w:val="center"/>
                </w:tcPr>
                <w:p>
                  <w:pPr>
                    <w:adjustRightInd w:val="0"/>
                    <w:snapToGrid w:val="0"/>
                    <w:jc w:val="center"/>
                    <w:rPr>
                      <w:b/>
                      <w:bCs/>
                      <w:szCs w:val="21"/>
                    </w:rPr>
                  </w:pPr>
                  <w:r>
                    <w:rPr>
                      <w:rFonts w:hint="eastAsia"/>
                      <w:b/>
                      <w:bCs/>
                      <w:szCs w:val="21"/>
                    </w:rPr>
                    <w:t>序号</w:t>
                  </w:r>
                </w:p>
              </w:tc>
              <w:tc>
                <w:tcPr>
                  <w:tcW w:w="1322" w:type="dxa"/>
                  <w:shd w:val="clear" w:color="auto" w:fill="auto"/>
                  <w:vAlign w:val="center"/>
                </w:tcPr>
                <w:p>
                  <w:pPr>
                    <w:adjustRightInd w:val="0"/>
                    <w:snapToGrid w:val="0"/>
                    <w:jc w:val="center"/>
                    <w:rPr>
                      <w:b/>
                      <w:bCs/>
                      <w:szCs w:val="21"/>
                    </w:rPr>
                  </w:pPr>
                  <w:r>
                    <w:rPr>
                      <w:rFonts w:hint="eastAsia"/>
                      <w:b/>
                      <w:bCs/>
                      <w:szCs w:val="21"/>
                    </w:rPr>
                    <w:t>危险废物</w:t>
                  </w:r>
                </w:p>
                <w:p>
                  <w:pPr>
                    <w:adjustRightInd w:val="0"/>
                    <w:snapToGrid w:val="0"/>
                    <w:jc w:val="center"/>
                    <w:rPr>
                      <w:b/>
                      <w:bCs/>
                      <w:szCs w:val="21"/>
                    </w:rPr>
                  </w:pPr>
                  <w:r>
                    <w:rPr>
                      <w:rFonts w:hint="eastAsia"/>
                      <w:b/>
                      <w:bCs/>
                      <w:szCs w:val="21"/>
                    </w:rPr>
                    <w:t>名称</w:t>
                  </w:r>
                </w:p>
              </w:tc>
              <w:tc>
                <w:tcPr>
                  <w:tcW w:w="992" w:type="dxa"/>
                  <w:shd w:val="clear" w:color="auto" w:fill="auto"/>
                  <w:vAlign w:val="center"/>
                </w:tcPr>
                <w:p>
                  <w:pPr>
                    <w:adjustRightInd w:val="0"/>
                    <w:snapToGrid w:val="0"/>
                    <w:jc w:val="center"/>
                    <w:rPr>
                      <w:b/>
                      <w:bCs/>
                      <w:szCs w:val="21"/>
                    </w:rPr>
                  </w:pPr>
                  <w:r>
                    <w:rPr>
                      <w:rFonts w:hint="eastAsia"/>
                      <w:b/>
                      <w:bCs/>
                      <w:szCs w:val="21"/>
                    </w:rPr>
                    <w:t>危险废物类别</w:t>
                  </w:r>
                </w:p>
              </w:tc>
              <w:tc>
                <w:tcPr>
                  <w:tcW w:w="908" w:type="dxa"/>
                  <w:shd w:val="clear" w:color="auto" w:fill="auto"/>
                  <w:vAlign w:val="center"/>
                </w:tcPr>
                <w:p>
                  <w:pPr>
                    <w:adjustRightInd w:val="0"/>
                    <w:snapToGrid w:val="0"/>
                    <w:jc w:val="center"/>
                    <w:rPr>
                      <w:b/>
                      <w:bCs/>
                      <w:szCs w:val="21"/>
                    </w:rPr>
                  </w:pPr>
                  <w:r>
                    <w:rPr>
                      <w:rFonts w:hint="eastAsia"/>
                      <w:b/>
                      <w:bCs/>
                      <w:szCs w:val="21"/>
                    </w:rPr>
                    <w:t>危险废物代码</w:t>
                  </w:r>
                </w:p>
              </w:tc>
              <w:tc>
                <w:tcPr>
                  <w:tcW w:w="935" w:type="dxa"/>
                  <w:shd w:val="clear" w:color="auto" w:fill="auto"/>
                  <w:vAlign w:val="center"/>
                </w:tcPr>
                <w:p>
                  <w:pPr>
                    <w:adjustRightInd w:val="0"/>
                    <w:snapToGrid w:val="0"/>
                    <w:jc w:val="center"/>
                    <w:rPr>
                      <w:b/>
                      <w:bCs/>
                      <w:szCs w:val="21"/>
                    </w:rPr>
                  </w:pPr>
                  <w:r>
                    <w:rPr>
                      <w:rFonts w:hint="eastAsia"/>
                      <w:b/>
                      <w:bCs/>
                      <w:szCs w:val="21"/>
                    </w:rPr>
                    <w:t>产生量</w:t>
                  </w:r>
                </w:p>
              </w:tc>
              <w:tc>
                <w:tcPr>
                  <w:tcW w:w="850" w:type="dxa"/>
                  <w:shd w:val="clear" w:color="auto" w:fill="auto"/>
                  <w:vAlign w:val="center"/>
                </w:tcPr>
                <w:p>
                  <w:pPr>
                    <w:adjustRightInd w:val="0"/>
                    <w:snapToGrid w:val="0"/>
                    <w:jc w:val="center"/>
                    <w:rPr>
                      <w:b/>
                      <w:bCs/>
                      <w:szCs w:val="21"/>
                    </w:rPr>
                  </w:pPr>
                  <w:r>
                    <w:rPr>
                      <w:rFonts w:hint="eastAsia"/>
                      <w:b/>
                      <w:bCs/>
                      <w:szCs w:val="21"/>
                    </w:rPr>
                    <w:t>产生工序</w:t>
                  </w:r>
                </w:p>
              </w:tc>
              <w:tc>
                <w:tcPr>
                  <w:tcW w:w="758" w:type="dxa"/>
                  <w:shd w:val="clear" w:color="auto" w:fill="auto"/>
                  <w:vAlign w:val="center"/>
                </w:tcPr>
                <w:p>
                  <w:pPr>
                    <w:adjustRightInd w:val="0"/>
                    <w:snapToGrid w:val="0"/>
                    <w:jc w:val="center"/>
                    <w:rPr>
                      <w:b/>
                      <w:bCs/>
                      <w:szCs w:val="21"/>
                    </w:rPr>
                  </w:pPr>
                  <w:r>
                    <w:rPr>
                      <w:rFonts w:hint="eastAsia"/>
                      <w:b/>
                      <w:bCs/>
                      <w:szCs w:val="21"/>
                    </w:rPr>
                    <w:t>形态</w:t>
                  </w:r>
                </w:p>
              </w:tc>
              <w:tc>
                <w:tcPr>
                  <w:tcW w:w="847" w:type="dxa"/>
                  <w:shd w:val="clear" w:color="auto" w:fill="auto"/>
                  <w:vAlign w:val="center"/>
                </w:tcPr>
                <w:p>
                  <w:pPr>
                    <w:adjustRightInd w:val="0"/>
                    <w:snapToGrid w:val="0"/>
                    <w:jc w:val="center"/>
                    <w:rPr>
                      <w:b/>
                      <w:bCs/>
                      <w:szCs w:val="21"/>
                    </w:rPr>
                  </w:pPr>
                  <w:r>
                    <w:rPr>
                      <w:rFonts w:hint="eastAsia"/>
                      <w:b/>
                      <w:bCs/>
                      <w:szCs w:val="21"/>
                    </w:rPr>
                    <w:t>有害成分</w:t>
                  </w:r>
                </w:p>
              </w:tc>
              <w:tc>
                <w:tcPr>
                  <w:tcW w:w="789" w:type="dxa"/>
                  <w:shd w:val="clear" w:color="auto" w:fill="auto"/>
                  <w:vAlign w:val="center"/>
                </w:tcPr>
                <w:p>
                  <w:pPr>
                    <w:adjustRightInd w:val="0"/>
                    <w:snapToGrid w:val="0"/>
                    <w:jc w:val="center"/>
                    <w:rPr>
                      <w:b/>
                      <w:bCs/>
                      <w:szCs w:val="21"/>
                    </w:rPr>
                  </w:pPr>
                  <w:r>
                    <w:rPr>
                      <w:rFonts w:hint="eastAsia"/>
                      <w:b/>
                      <w:bCs/>
                      <w:szCs w:val="21"/>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9" w:type="dxa"/>
                  <w:shd w:val="clear" w:color="auto" w:fill="auto"/>
                  <w:vAlign w:val="center"/>
                </w:tcPr>
                <w:p>
                  <w:pPr>
                    <w:adjustRightInd w:val="0"/>
                    <w:snapToGrid w:val="0"/>
                    <w:jc w:val="center"/>
                    <w:rPr>
                      <w:rFonts w:hint="eastAsia" w:eastAsia="宋体"/>
                      <w:szCs w:val="21"/>
                      <w:lang w:eastAsia="zh-CN"/>
                    </w:rPr>
                  </w:pPr>
                  <w:r>
                    <w:rPr>
                      <w:rFonts w:hint="eastAsia"/>
                      <w:szCs w:val="21"/>
                      <w:lang w:val="en-US" w:eastAsia="zh-CN"/>
                    </w:rPr>
                    <w:t>1</w:t>
                  </w:r>
                </w:p>
              </w:tc>
              <w:tc>
                <w:tcPr>
                  <w:tcW w:w="1322" w:type="dxa"/>
                  <w:shd w:val="clear" w:color="auto" w:fill="auto"/>
                  <w:vAlign w:val="center"/>
                </w:tcPr>
                <w:p>
                  <w:pPr>
                    <w:adjustRightInd w:val="0"/>
                    <w:snapToGrid w:val="0"/>
                    <w:jc w:val="center"/>
                    <w:rPr>
                      <w:szCs w:val="21"/>
                    </w:rPr>
                  </w:pPr>
                  <w:r>
                    <w:rPr>
                      <w:szCs w:val="21"/>
                    </w:rPr>
                    <w:t>油罐废油渣</w:t>
                  </w:r>
                  <w:r>
                    <w:rPr>
                      <w:rFonts w:hint="eastAsia"/>
                      <w:szCs w:val="21"/>
                    </w:rPr>
                    <w:t>和清洗废液</w:t>
                  </w:r>
                </w:p>
              </w:tc>
              <w:tc>
                <w:tcPr>
                  <w:tcW w:w="992" w:type="dxa"/>
                  <w:shd w:val="clear" w:color="auto" w:fill="auto"/>
                  <w:vAlign w:val="center"/>
                </w:tcPr>
                <w:p>
                  <w:pPr>
                    <w:adjustRightInd w:val="0"/>
                    <w:snapToGrid w:val="0"/>
                    <w:jc w:val="center"/>
                    <w:rPr>
                      <w:szCs w:val="21"/>
                    </w:rPr>
                  </w:pPr>
                  <w:r>
                    <w:rPr>
                      <w:szCs w:val="21"/>
                    </w:rPr>
                    <w:t>HW08</w:t>
                  </w:r>
                </w:p>
              </w:tc>
              <w:tc>
                <w:tcPr>
                  <w:tcW w:w="908" w:type="dxa"/>
                  <w:shd w:val="clear" w:color="auto" w:fill="auto"/>
                  <w:vAlign w:val="center"/>
                </w:tcPr>
                <w:p>
                  <w:pPr>
                    <w:adjustRightInd w:val="0"/>
                    <w:snapToGrid w:val="0"/>
                    <w:jc w:val="center"/>
                    <w:rPr>
                      <w:szCs w:val="21"/>
                    </w:rPr>
                  </w:pPr>
                  <w:r>
                    <w:rPr>
                      <w:rFonts w:hint="eastAsia"/>
                      <w:color w:val="000000"/>
                      <w:szCs w:val="21"/>
                    </w:rPr>
                    <w:t>900-249-08</w:t>
                  </w:r>
                </w:p>
              </w:tc>
              <w:tc>
                <w:tcPr>
                  <w:tcW w:w="935" w:type="dxa"/>
                  <w:shd w:val="clear" w:color="auto" w:fill="auto"/>
                  <w:vAlign w:val="center"/>
                </w:tcPr>
                <w:p>
                  <w:pPr>
                    <w:adjustRightInd w:val="0"/>
                    <w:snapToGrid w:val="0"/>
                    <w:jc w:val="center"/>
                    <w:rPr>
                      <w:szCs w:val="21"/>
                    </w:rPr>
                  </w:pPr>
                  <w:r>
                    <w:rPr>
                      <w:rFonts w:hint="eastAsia"/>
                      <w:szCs w:val="21"/>
                      <w:lang w:val="en-US" w:eastAsia="zh-CN"/>
                    </w:rPr>
                    <w:t>4</w:t>
                  </w:r>
                  <w:r>
                    <w:rPr>
                      <w:szCs w:val="21"/>
                    </w:rPr>
                    <w:t>m</w:t>
                  </w:r>
                  <w:r>
                    <w:rPr>
                      <w:szCs w:val="21"/>
                      <w:vertAlign w:val="superscript"/>
                    </w:rPr>
                    <w:t>3</w:t>
                  </w:r>
                  <w:r>
                    <w:rPr>
                      <w:rFonts w:hint="eastAsia"/>
                      <w:szCs w:val="21"/>
                    </w:rPr>
                    <w:t>/</w:t>
                  </w:r>
                  <w:r>
                    <w:rPr>
                      <w:szCs w:val="21"/>
                    </w:rPr>
                    <w:t>次</w:t>
                  </w:r>
                </w:p>
              </w:tc>
              <w:tc>
                <w:tcPr>
                  <w:tcW w:w="850" w:type="dxa"/>
                  <w:shd w:val="clear" w:color="auto" w:fill="auto"/>
                  <w:vAlign w:val="center"/>
                </w:tcPr>
                <w:p>
                  <w:pPr>
                    <w:adjustRightInd w:val="0"/>
                    <w:snapToGrid w:val="0"/>
                    <w:jc w:val="center"/>
                    <w:rPr>
                      <w:szCs w:val="21"/>
                    </w:rPr>
                  </w:pPr>
                  <w:r>
                    <w:rPr>
                      <w:rFonts w:hint="eastAsia"/>
                      <w:szCs w:val="21"/>
                    </w:rPr>
                    <w:t>油罐</w:t>
                  </w:r>
                </w:p>
                <w:p>
                  <w:pPr>
                    <w:adjustRightInd w:val="0"/>
                    <w:snapToGrid w:val="0"/>
                    <w:jc w:val="center"/>
                    <w:rPr>
                      <w:szCs w:val="21"/>
                    </w:rPr>
                  </w:pPr>
                  <w:r>
                    <w:rPr>
                      <w:rFonts w:hint="eastAsia"/>
                      <w:szCs w:val="21"/>
                    </w:rPr>
                    <w:t>清洗</w:t>
                  </w:r>
                </w:p>
              </w:tc>
              <w:tc>
                <w:tcPr>
                  <w:tcW w:w="758" w:type="dxa"/>
                  <w:shd w:val="clear" w:color="auto" w:fill="auto"/>
                  <w:vAlign w:val="center"/>
                </w:tcPr>
                <w:p>
                  <w:pPr>
                    <w:adjustRightInd w:val="0"/>
                    <w:snapToGrid w:val="0"/>
                    <w:jc w:val="center"/>
                    <w:rPr>
                      <w:szCs w:val="21"/>
                    </w:rPr>
                  </w:pPr>
                  <w:r>
                    <w:rPr>
                      <w:rFonts w:hint="eastAsia"/>
                      <w:szCs w:val="21"/>
                    </w:rPr>
                    <w:t>液态</w:t>
                  </w:r>
                </w:p>
              </w:tc>
              <w:tc>
                <w:tcPr>
                  <w:tcW w:w="847" w:type="dxa"/>
                  <w:shd w:val="clear" w:color="auto" w:fill="auto"/>
                  <w:vAlign w:val="center"/>
                </w:tcPr>
                <w:p>
                  <w:pPr>
                    <w:adjustRightInd w:val="0"/>
                    <w:snapToGrid w:val="0"/>
                    <w:jc w:val="center"/>
                    <w:rPr>
                      <w:rFonts w:hint="eastAsia" w:eastAsia="宋体"/>
                      <w:szCs w:val="21"/>
                      <w:lang w:eastAsia="zh-CN"/>
                    </w:rPr>
                  </w:pPr>
                  <w:r>
                    <w:rPr>
                      <w:rFonts w:hint="eastAsia"/>
                      <w:szCs w:val="21"/>
                      <w:lang w:eastAsia="zh-CN"/>
                    </w:rPr>
                    <w:t>油泥</w:t>
                  </w:r>
                </w:p>
              </w:tc>
              <w:tc>
                <w:tcPr>
                  <w:tcW w:w="789" w:type="dxa"/>
                  <w:shd w:val="clear" w:color="auto" w:fill="auto"/>
                  <w:vAlign w:val="center"/>
                </w:tcPr>
                <w:p>
                  <w:pPr>
                    <w:adjustRightInd w:val="0"/>
                    <w:snapToGrid w:val="0"/>
                    <w:jc w:val="center"/>
                    <w:rPr>
                      <w:szCs w:val="21"/>
                    </w:rPr>
                  </w:pPr>
                  <w:r>
                    <w:rPr>
                      <w:rFonts w:hint="eastAsia"/>
                      <w:szCs w:val="21"/>
                    </w:rPr>
                    <w:t>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549" w:type="dxa"/>
                  <w:shd w:val="clear" w:color="auto" w:fill="auto"/>
                  <w:vAlign w:val="center"/>
                </w:tcPr>
                <w:p>
                  <w:pPr>
                    <w:adjustRightInd w:val="0"/>
                    <w:snapToGrid w:val="0"/>
                    <w:jc w:val="center"/>
                    <w:rPr>
                      <w:rFonts w:hint="default"/>
                      <w:szCs w:val="21"/>
                      <w:lang w:val="en-US" w:eastAsia="zh-CN"/>
                    </w:rPr>
                  </w:pPr>
                  <w:r>
                    <w:rPr>
                      <w:rFonts w:hint="eastAsia"/>
                      <w:szCs w:val="21"/>
                      <w:lang w:val="en-US" w:eastAsia="zh-CN"/>
                    </w:rPr>
                    <w:t>2</w:t>
                  </w:r>
                </w:p>
              </w:tc>
              <w:tc>
                <w:tcPr>
                  <w:tcW w:w="1322" w:type="dxa"/>
                  <w:shd w:val="clear" w:color="auto" w:fill="auto"/>
                  <w:vAlign w:val="center"/>
                </w:tcPr>
                <w:p>
                  <w:pPr>
                    <w:adjustRightInd w:val="0"/>
                    <w:snapToGrid w:val="0"/>
                    <w:jc w:val="center"/>
                    <w:rPr>
                      <w:szCs w:val="21"/>
                    </w:rPr>
                  </w:pPr>
                  <w:r>
                    <w:rPr>
                      <w:color w:val="000000"/>
                      <w:szCs w:val="21"/>
                    </w:rPr>
                    <w:t>含油废手套、废抹布</w:t>
                  </w:r>
                </w:p>
              </w:tc>
              <w:tc>
                <w:tcPr>
                  <w:tcW w:w="992" w:type="dxa"/>
                  <w:shd w:val="clear" w:color="auto" w:fill="auto"/>
                  <w:vAlign w:val="center"/>
                </w:tcPr>
                <w:p>
                  <w:pPr>
                    <w:adjustRightInd w:val="0"/>
                    <w:snapToGrid w:val="0"/>
                    <w:jc w:val="center"/>
                    <w:rPr>
                      <w:szCs w:val="21"/>
                    </w:rPr>
                  </w:pPr>
                  <w:r>
                    <w:rPr>
                      <w:rFonts w:hint="eastAsia"/>
                      <w:color w:val="000000"/>
                      <w:szCs w:val="21"/>
                    </w:rPr>
                    <w:t>H</w:t>
                  </w:r>
                  <w:r>
                    <w:rPr>
                      <w:color w:val="000000"/>
                      <w:szCs w:val="21"/>
                    </w:rPr>
                    <w:t>W49</w:t>
                  </w:r>
                </w:p>
              </w:tc>
              <w:tc>
                <w:tcPr>
                  <w:tcW w:w="908" w:type="dxa"/>
                  <w:shd w:val="clear" w:color="auto" w:fill="auto"/>
                  <w:vAlign w:val="center"/>
                </w:tcPr>
                <w:p>
                  <w:pPr>
                    <w:adjustRightInd w:val="0"/>
                    <w:snapToGrid w:val="0"/>
                    <w:jc w:val="center"/>
                    <w:rPr>
                      <w:rFonts w:hint="eastAsia"/>
                      <w:color w:val="000000"/>
                      <w:szCs w:val="21"/>
                    </w:rPr>
                  </w:pPr>
                  <w:r>
                    <w:rPr>
                      <w:rFonts w:hint="eastAsia"/>
                      <w:color w:val="000000"/>
                      <w:szCs w:val="21"/>
                    </w:rPr>
                    <w:t>9</w:t>
                  </w:r>
                  <w:r>
                    <w:rPr>
                      <w:color w:val="000000"/>
                      <w:szCs w:val="21"/>
                    </w:rPr>
                    <w:t>00-041-49</w:t>
                  </w:r>
                </w:p>
              </w:tc>
              <w:tc>
                <w:tcPr>
                  <w:tcW w:w="935" w:type="dxa"/>
                  <w:shd w:val="clear" w:color="auto" w:fill="auto"/>
                  <w:vAlign w:val="center"/>
                </w:tcPr>
                <w:p>
                  <w:pPr>
                    <w:adjustRightInd w:val="0"/>
                    <w:snapToGrid w:val="0"/>
                    <w:jc w:val="center"/>
                    <w:rPr>
                      <w:rFonts w:hint="default" w:eastAsia="宋体"/>
                      <w:szCs w:val="21"/>
                      <w:lang w:val="en-US" w:eastAsia="zh-CN"/>
                    </w:rPr>
                  </w:pPr>
                  <w:r>
                    <w:rPr>
                      <w:rFonts w:hint="eastAsia"/>
                      <w:color w:val="000000"/>
                      <w:szCs w:val="21"/>
                    </w:rPr>
                    <w:t>0</w:t>
                  </w:r>
                  <w:r>
                    <w:rPr>
                      <w:color w:val="000000"/>
                      <w:szCs w:val="21"/>
                    </w:rPr>
                    <w:t>.05</w:t>
                  </w:r>
                  <w:r>
                    <w:rPr>
                      <w:rFonts w:hint="eastAsia"/>
                      <w:color w:val="000000"/>
                      <w:szCs w:val="21"/>
                      <w:lang w:val="en-US" w:eastAsia="zh-CN"/>
                    </w:rPr>
                    <w:t>t/a</w:t>
                  </w:r>
                </w:p>
              </w:tc>
              <w:tc>
                <w:tcPr>
                  <w:tcW w:w="850" w:type="dxa"/>
                  <w:shd w:val="clear" w:color="auto" w:fill="auto"/>
                  <w:vAlign w:val="center"/>
                </w:tcPr>
                <w:p>
                  <w:pPr>
                    <w:adjustRightInd w:val="0"/>
                    <w:snapToGrid w:val="0"/>
                    <w:jc w:val="center"/>
                    <w:rPr>
                      <w:rFonts w:hint="eastAsia" w:eastAsia="宋体"/>
                      <w:szCs w:val="21"/>
                      <w:lang w:eastAsia="zh-CN"/>
                    </w:rPr>
                  </w:pPr>
                  <w:r>
                    <w:rPr>
                      <w:rFonts w:hint="eastAsia"/>
                      <w:szCs w:val="21"/>
                      <w:lang w:eastAsia="zh-CN"/>
                    </w:rPr>
                    <w:t>运营</w:t>
                  </w:r>
                </w:p>
              </w:tc>
              <w:tc>
                <w:tcPr>
                  <w:tcW w:w="758" w:type="dxa"/>
                  <w:shd w:val="clear" w:color="auto" w:fill="auto"/>
                  <w:vAlign w:val="center"/>
                </w:tcPr>
                <w:p>
                  <w:pPr>
                    <w:adjustRightInd w:val="0"/>
                    <w:snapToGrid w:val="0"/>
                    <w:jc w:val="center"/>
                    <w:rPr>
                      <w:rFonts w:hint="eastAsia" w:eastAsia="宋体"/>
                      <w:szCs w:val="21"/>
                      <w:lang w:eastAsia="zh-CN"/>
                    </w:rPr>
                  </w:pPr>
                  <w:r>
                    <w:rPr>
                      <w:rFonts w:hint="eastAsia"/>
                      <w:szCs w:val="21"/>
                      <w:lang w:eastAsia="zh-CN"/>
                    </w:rPr>
                    <w:t>固体</w:t>
                  </w:r>
                </w:p>
              </w:tc>
              <w:tc>
                <w:tcPr>
                  <w:tcW w:w="847" w:type="dxa"/>
                  <w:shd w:val="clear" w:color="auto" w:fill="auto"/>
                  <w:vAlign w:val="center"/>
                </w:tcPr>
                <w:p>
                  <w:pPr>
                    <w:adjustRightInd w:val="0"/>
                    <w:snapToGrid w:val="0"/>
                    <w:jc w:val="center"/>
                    <w:rPr>
                      <w:rFonts w:hint="eastAsia" w:eastAsia="宋体"/>
                      <w:szCs w:val="21"/>
                      <w:lang w:eastAsia="zh-CN"/>
                    </w:rPr>
                  </w:pPr>
                  <w:r>
                    <w:rPr>
                      <w:rFonts w:hint="eastAsia"/>
                      <w:szCs w:val="21"/>
                      <w:lang w:eastAsia="zh-CN"/>
                    </w:rPr>
                    <w:t>棉布</w:t>
                  </w:r>
                </w:p>
              </w:tc>
              <w:tc>
                <w:tcPr>
                  <w:tcW w:w="789" w:type="dxa"/>
                  <w:shd w:val="clear" w:color="auto" w:fill="auto"/>
                  <w:vAlign w:val="center"/>
                </w:tcPr>
                <w:p>
                  <w:pPr>
                    <w:adjustRightInd w:val="0"/>
                    <w:snapToGrid w:val="0"/>
                    <w:jc w:val="center"/>
                    <w:rPr>
                      <w:rFonts w:hint="eastAsia" w:eastAsia="宋体"/>
                      <w:szCs w:val="21"/>
                      <w:lang w:val="en-US" w:eastAsia="zh-CN"/>
                    </w:rPr>
                  </w:pPr>
                  <w:r>
                    <w:rPr>
                      <w:rFonts w:hint="eastAsia"/>
                      <w:szCs w:val="21"/>
                      <w:lang w:val="en-US" w:eastAsia="zh-CN"/>
                    </w:rPr>
                    <w:t>T</w:t>
                  </w:r>
                </w:p>
              </w:tc>
            </w:tr>
          </w:tbl>
          <w:p>
            <w:pPr>
              <w:widowControl/>
              <w:spacing w:line="360" w:lineRule="auto"/>
              <w:ind w:firstLine="435"/>
              <w:jc w:val="left"/>
              <w:rPr>
                <w:rFonts w:hint="eastAsia" w:eastAsia="宋体"/>
                <w:b/>
                <w:color w:val="000000"/>
                <w:sz w:val="21"/>
                <w:szCs w:val="21"/>
                <w:lang w:eastAsia="zh-CN"/>
              </w:rPr>
            </w:pPr>
            <w:r>
              <w:rPr>
                <w:b/>
                <w:color w:val="000000"/>
                <w:sz w:val="21"/>
                <w:szCs w:val="21"/>
              </w:rPr>
              <w:t>（</w:t>
            </w:r>
            <w:r>
              <w:rPr>
                <w:rFonts w:hint="eastAsia"/>
                <w:b/>
                <w:color w:val="000000"/>
                <w:sz w:val="21"/>
                <w:szCs w:val="21"/>
              </w:rPr>
              <w:t>2</w:t>
            </w:r>
            <w:r>
              <w:rPr>
                <w:b/>
                <w:color w:val="000000"/>
                <w:sz w:val="21"/>
                <w:szCs w:val="21"/>
              </w:rPr>
              <w:t>）固体废物</w:t>
            </w:r>
            <w:r>
              <w:rPr>
                <w:rFonts w:hint="eastAsia"/>
                <w:b/>
                <w:color w:val="000000"/>
                <w:sz w:val="21"/>
                <w:szCs w:val="21"/>
                <w:lang w:eastAsia="zh-CN"/>
              </w:rPr>
              <w:t>影响分析</w:t>
            </w:r>
          </w:p>
          <w:p>
            <w:pPr>
              <w:widowControl/>
              <w:spacing w:line="360" w:lineRule="auto"/>
              <w:ind w:firstLine="435"/>
              <w:jc w:val="left"/>
              <w:rPr>
                <w:rFonts w:hint="eastAsia"/>
                <w:color w:val="000000"/>
                <w:sz w:val="21"/>
                <w:szCs w:val="21"/>
              </w:rPr>
            </w:pPr>
            <w:r>
              <w:rPr>
                <w:rFonts w:hint="eastAsia"/>
                <w:color w:val="000000"/>
                <w:sz w:val="21"/>
                <w:szCs w:val="21"/>
              </w:rPr>
              <w:t>针对危险废物，建设单位</w:t>
            </w:r>
            <w:r>
              <w:rPr>
                <w:rFonts w:hint="eastAsia"/>
                <w:color w:val="000000"/>
                <w:sz w:val="21"/>
                <w:szCs w:val="21"/>
                <w:lang w:eastAsia="zh-CN"/>
              </w:rPr>
              <w:t>已设置危废暂存间</w:t>
            </w:r>
            <w:r>
              <w:rPr>
                <w:rFonts w:hint="eastAsia"/>
                <w:color w:val="000000"/>
                <w:sz w:val="21"/>
                <w:szCs w:val="21"/>
              </w:rPr>
              <w:t>，并且与有资质单位签订危险废物处置协议</w:t>
            </w:r>
            <w:r>
              <w:rPr>
                <w:rFonts w:hint="eastAsia"/>
                <w:color w:val="000000"/>
                <w:sz w:val="21"/>
                <w:szCs w:val="21"/>
                <w:lang w:eastAsia="zh-CN"/>
              </w:rPr>
              <w:t>。</w:t>
            </w:r>
            <w:r>
              <w:rPr>
                <w:rFonts w:hint="eastAsia"/>
                <w:color w:val="000000"/>
                <w:sz w:val="21"/>
                <w:szCs w:val="21"/>
              </w:rPr>
              <w:t>建设单位对本项目产生清罐废物和隔油池浮油外送安全处置，非正常情况下若未及时清运，需在危废间贮存；</w:t>
            </w:r>
            <w:r>
              <w:rPr>
                <w:rFonts w:hint="eastAsia"/>
                <w:color w:val="000000"/>
                <w:sz w:val="21"/>
                <w:szCs w:val="21"/>
                <w:lang w:eastAsia="zh-CN"/>
              </w:rPr>
              <w:t>废过滤芯</w:t>
            </w:r>
            <w:r>
              <w:rPr>
                <w:rFonts w:hint="eastAsia"/>
                <w:color w:val="000000"/>
                <w:sz w:val="21"/>
                <w:szCs w:val="21"/>
              </w:rPr>
              <w:t>在危废房暂存。危险废物暂存场所</w:t>
            </w:r>
            <w:r>
              <w:rPr>
                <w:rFonts w:hint="eastAsia"/>
                <w:color w:val="000000"/>
                <w:sz w:val="21"/>
                <w:szCs w:val="21"/>
                <w:lang w:eastAsia="zh-CN"/>
              </w:rPr>
              <w:t>满足</w:t>
            </w:r>
            <w:r>
              <w:rPr>
                <w:rFonts w:hint="eastAsia"/>
                <w:color w:val="000000"/>
                <w:sz w:val="21"/>
                <w:szCs w:val="21"/>
              </w:rPr>
              <w:t>《危险废物贮存污染控制标准》以及危险废物暂存场所的其他相关技术规范要求。</w:t>
            </w:r>
          </w:p>
          <w:p>
            <w:pPr>
              <w:widowControl/>
              <w:spacing w:line="360" w:lineRule="auto"/>
              <w:ind w:firstLine="435"/>
              <w:jc w:val="left"/>
              <w:rPr>
                <w:color w:val="000000"/>
                <w:sz w:val="21"/>
                <w:szCs w:val="21"/>
              </w:rPr>
            </w:pPr>
            <w:r>
              <w:rPr>
                <w:rFonts w:hint="eastAsia"/>
                <w:color w:val="000000"/>
                <w:sz w:val="21"/>
                <w:szCs w:val="21"/>
              </w:rPr>
              <w:t>本项目危废间位于站房</w:t>
            </w:r>
            <w:r>
              <w:rPr>
                <w:rFonts w:hint="eastAsia"/>
                <w:color w:val="000000"/>
                <w:sz w:val="21"/>
                <w:szCs w:val="21"/>
                <w:lang w:eastAsia="zh-CN"/>
              </w:rPr>
              <w:t>北</w:t>
            </w:r>
            <w:r>
              <w:rPr>
                <w:rFonts w:hint="eastAsia"/>
                <w:color w:val="000000"/>
                <w:sz w:val="21"/>
                <w:szCs w:val="21"/>
              </w:rPr>
              <w:t>侧，面积为 2m</w:t>
            </w:r>
            <w:r>
              <w:rPr>
                <w:rFonts w:hint="eastAsia"/>
                <w:color w:val="000000"/>
                <w:sz w:val="21"/>
                <w:szCs w:val="21"/>
                <w:vertAlign w:val="superscript"/>
              </w:rPr>
              <w:t>2</w:t>
            </w:r>
            <w:r>
              <w:rPr>
                <w:rFonts w:hint="eastAsia"/>
                <w:color w:val="000000"/>
                <w:sz w:val="21"/>
                <w:szCs w:val="21"/>
              </w:rPr>
              <w:t>，危废间</w:t>
            </w:r>
            <w:r>
              <w:rPr>
                <w:rFonts w:hint="eastAsia"/>
                <w:color w:val="000000"/>
                <w:sz w:val="21"/>
                <w:szCs w:val="21"/>
                <w:lang w:eastAsia="zh-CN"/>
              </w:rPr>
              <w:t>已按照</w:t>
            </w:r>
            <w:r>
              <w:rPr>
                <w:rFonts w:hint="eastAsia"/>
                <w:color w:val="000000"/>
                <w:sz w:val="21"/>
                <w:szCs w:val="21"/>
              </w:rPr>
              <w:t>要求做好“防雨、防晒、防漏、防渗”措施，地面采用水泥硬化，危废间四周设置渗滤液导流沟</w:t>
            </w:r>
            <w:r>
              <w:rPr>
                <w:rFonts w:hint="eastAsia"/>
                <w:color w:val="000000"/>
                <w:sz w:val="21"/>
                <w:szCs w:val="21"/>
                <w:lang w:eastAsia="zh-CN"/>
              </w:rPr>
              <w:t>，</w:t>
            </w:r>
            <w:r>
              <w:rPr>
                <w:rFonts w:hint="eastAsia"/>
                <w:color w:val="000000"/>
                <w:sz w:val="21"/>
                <w:szCs w:val="21"/>
              </w:rPr>
              <w:t>设置防渗托盘，</w:t>
            </w:r>
            <w:r>
              <w:rPr>
                <w:rFonts w:hint="eastAsia"/>
                <w:color w:val="000000"/>
                <w:sz w:val="21"/>
                <w:szCs w:val="21"/>
                <w:lang w:val="en-US" w:eastAsia="zh-CN"/>
              </w:rPr>
              <w:t>完善</w:t>
            </w:r>
            <w:r>
              <w:rPr>
                <w:rFonts w:hint="eastAsia"/>
                <w:color w:val="000000"/>
                <w:sz w:val="21"/>
                <w:szCs w:val="21"/>
              </w:rPr>
              <w:t>危废标志，要求危废间内分类堆放危险废物。</w:t>
            </w:r>
            <w:r>
              <w:rPr>
                <w:rFonts w:hint="eastAsia"/>
                <w:color w:val="000000"/>
                <w:sz w:val="21"/>
                <w:szCs w:val="21"/>
                <w:lang w:eastAsia="zh-CN"/>
              </w:rPr>
              <w:t>本项目危废产生量小，暂存时间短，转运及时，危废暂存设施容积能够满足暂存要求。</w:t>
            </w:r>
            <w:r>
              <w:rPr>
                <w:rFonts w:hint="eastAsia"/>
                <w:color w:val="000000"/>
                <w:sz w:val="21"/>
                <w:szCs w:val="21"/>
              </w:rPr>
              <w:t>采取上述措施后，该项目固废均能够得到妥善的处理和处置，对项目周围环境影响甚微。</w:t>
            </w:r>
          </w:p>
          <w:p>
            <w:pPr>
              <w:widowControl/>
              <w:spacing w:line="360" w:lineRule="auto"/>
              <w:ind w:firstLine="435"/>
              <w:jc w:val="left"/>
              <w:rPr>
                <w:rFonts w:hint="eastAsia"/>
                <w:b/>
                <w:color w:val="000000"/>
                <w:sz w:val="21"/>
                <w:szCs w:val="21"/>
              </w:rPr>
            </w:pPr>
            <w:r>
              <w:rPr>
                <w:b/>
                <w:color w:val="000000"/>
                <w:sz w:val="21"/>
                <w:szCs w:val="21"/>
              </w:rPr>
              <w:t>5.土壤、地下水</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本项目</w:t>
            </w:r>
            <w:r>
              <w:rPr>
                <w:rFonts w:hint="eastAsia"/>
                <w:color w:val="000000"/>
                <w:sz w:val="21"/>
                <w:szCs w:val="21"/>
                <w:u w:val="none"/>
                <w:lang w:val="en-US" w:eastAsia="zh-CN"/>
              </w:rPr>
              <w:t>含油</w:t>
            </w:r>
            <w:r>
              <w:rPr>
                <w:rFonts w:hint="eastAsia"/>
                <w:color w:val="000000"/>
                <w:sz w:val="21"/>
                <w:szCs w:val="21"/>
                <w:u w:val="none"/>
              </w:rPr>
              <w:t>废水都能经厂内污水管道排入场区隔油池进行处理，且隔油池按要求采取 了防渗措施。项目厂区按照规范和要求对罐区、危险废物贮存间等采取有效的防雨、防 渗漏、防溢流措施，并加强对原料运输和危险废物储存的管理，在正常运行工况下，不 会对地下水、土壤环境质量造成显著的不利影响。但在非正常工况下或者事故状态下，如原料储罐破损发生泄漏，污染物和废水会渗入地下，对地下水造成污染。</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根据《加油站地下水污染防治技术指南（试行）》，本项目</w:t>
            </w:r>
            <w:r>
              <w:rPr>
                <w:rFonts w:hint="eastAsia"/>
                <w:color w:val="000000"/>
                <w:sz w:val="21"/>
                <w:szCs w:val="21"/>
                <w:u w:val="none"/>
                <w:lang w:eastAsia="zh-CN"/>
              </w:rPr>
              <w:t>按照以下</w:t>
            </w:r>
            <w:r>
              <w:rPr>
                <w:rFonts w:hint="eastAsia"/>
                <w:color w:val="000000"/>
                <w:sz w:val="21"/>
                <w:szCs w:val="21"/>
                <w:u w:val="none"/>
              </w:rPr>
              <w:t>措施，对加油站地下水进行防治：</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（1）油罐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所有地下油罐、埋地管道均采用环氧煤沥青加强级防腐处理，根据《水污染防治行 动计划》， 为严格环境风险控制要求，本项目为双层防渗；在储油罐设计了液位计，此液位计具有高液位报警系统功能，确保不会因为加油过多而造成油品外溢而对地下水和土壤造成污染；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（2）防渗池</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埋地油罐应采用的防渗方式为双层油罐设置防渗罐池，其中防渗池的设计符合下列</w:t>
            </w:r>
          </w:p>
          <w:p>
            <w:pPr>
              <w:widowControl/>
              <w:spacing w:line="360" w:lineRule="auto"/>
              <w:jc w:val="left"/>
              <w:rPr>
                <w:rFonts w:hint="eastAsia"/>
                <w:color w:val="000000"/>
                <w:sz w:val="21"/>
                <w:szCs w:val="21"/>
                <w:u w:val="none"/>
              </w:rPr>
            </w:pPr>
            <w:r>
              <w:rPr>
                <w:rFonts w:hint="eastAsia"/>
                <w:color w:val="000000"/>
                <w:sz w:val="21"/>
                <w:szCs w:val="21"/>
                <w:u w:val="none"/>
              </w:rPr>
              <w:t xml:space="preserve">规定：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①防渗罐采用防渗钢筋混凝土整体浇注，并符合现行国家标准《地下工程防水技术规范》（GB50108-2008）的有关规定；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②防渗罐池应根据油罐的数量设置隔池，一个隔池内的油罐不应多于两座；</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③防渗罐池的池壁顶应高于池内罐顶标高，池底宜低于罐底设计标高 200mm ，墙面与罐壁之间的间距不应小于 500mm 。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④防渗罐池的内表面应衬玻璃钢或其它材料防渗层。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⑤防渗罐池内的空间，应采用中性沙回填。</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⑥防渗罐池的上部，应采取防止雨水、地表水和外部泄露油品渗入池内的措施。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（3）油罐区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①地下做钢混结构的水泥池，外侧按建筑要求做防水层；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②内层做环氧树脂隔油层，高度为罐体高度的三分之二；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③池底部坡度为 3% ，池内、池外预留观测孔。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（4）管线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加油枪至油罐间管线要做隔油防渗层。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（5）加油站地面  </w:t>
            </w:r>
          </w:p>
          <w:p>
            <w:pPr>
              <w:widowControl/>
              <w:spacing w:line="360" w:lineRule="auto"/>
              <w:jc w:val="left"/>
              <w:rPr>
                <w:rFonts w:hint="eastAsia"/>
                <w:color w:val="000000"/>
                <w:sz w:val="21"/>
                <w:szCs w:val="21"/>
                <w:u w:val="none"/>
              </w:rPr>
            </w:pPr>
            <w:r>
              <w:rPr>
                <w:rFonts w:hint="eastAsia"/>
                <w:color w:val="000000"/>
                <w:sz w:val="21"/>
                <w:szCs w:val="21"/>
                <w:u w:val="none"/>
              </w:rPr>
              <w:t xml:space="preserve">加油站地面做防渗处理，地面做防渗沟。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（6）装有潜油泵的油罐人孔操作井、卸油口井、加油机底槽等可能发生油品渗漏</w:t>
            </w:r>
          </w:p>
          <w:p>
            <w:pPr>
              <w:widowControl/>
              <w:spacing w:line="360" w:lineRule="auto"/>
              <w:jc w:val="left"/>
              <w:rPr>
                <w:rFonts w:hint="eastAsia"/>
                <w:color w:val="000000"/>
                <w:sz w:val="21"/>
                <w:szCs w:val="21"/>
                <w:u w:val="none"/>
              </w:rPr>
            </w:pPr>
            <w:r>
              <w:rPr>
                <w:rFonts w:hint="eastAsia"/>
                <w:color w:val="000000"/>
                <w:sz w:val="21"/>
                <w:szCs w:val="21"/>
                <w:u w:val="none"/>
              </w:rPr>
              <w:t xml:space="preserve">的部位也才有相应防渗措施；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（7）埋地加油管应采用双层管道。双层管道的设计，符合下列规定：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①双层管道的内层应符合规范规定；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②采用双层非金属管道时，外层管满足耐油、耐腐蚀、耐老化和系统试验压力的要求；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③采用双层钢质管道时，外层管的壁厚不小于 5mm；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④双层管道系统的内层管与外层管之间的缝隙应贯通；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⑤双层管道系统的最低点设检漏点；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⑥双层管道坡向检漏点的坡度，不小于 5% ，并保证内层管个外层管任何部位出现渗漏均能在检漏点处被发现；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 xml:space="preserve">⑦管道系统的渗漏检测采用在线监测系统。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充分做好营运期事故风险防范措施及防渗，同时，强化路面径流排水系统。每年针</w:t>
            </w:r>
          </w:p>
          <w:p>
            <w:pPr>
              <w:widowControl/>
              <w:spacing w:line="360" w:lineRule="auto"/>
              <w:jc w:val="left"/>
              <w:rPr>
                <w:rFonts w:hint="eastAsia"/>
                <w:color w:val="000000"/>
                <w:sz w:val="21"/>
                <w:szCs w:val="21"/>
                <w:u w:val="none"/>
              </w:rPr>
            </w:pPr>
            <w:r>
              <w:rPr>
                <w:rFonts w:hint="eastAsia"/>
                <w:color w:val="000000"/>
                <w:sz w:val="21"/>
                <w:szCs w:val="21"/>
                <w:u w:val="none"/>
              </w:rPr>
              <w:t xml:space="preserve">对 pH 、氨氮、BOD5 、CODcr 、石油类做一次水质监测。  </w:t>
            </w:r>
          </w:p>
          <w:p>
            <w:pPr>
              <w:widowControl/>
              <w:spacing w:line="360" w:lineRule="auto"/>
              <w:ind w:firstLine="420" w:firstLineChars="200"/>
              <w:jc w:val="left"/>
              <w:rPr>
                <w:rFonts w:hint="eastAsia"/>
                <w:color w:val="000000"/>
                <w:sz w:val="21"/>
                <w:szCs w:val="21"/>
                <w:u w:val="none"/>
              </w:rPr>
            </w:pPr>
            <w:r>
              <w:rPr>
                <w:rFonts w:hint="eastAsia"/>
                <w:color w:val="000000"/>
                <w:sz w:val="21"/>
                <w:szCs w:val="21"/>
                <w:u w:val="none"/>
              </w:rPr>
              <w:t>（8）根据《排污单位自行监测技术指南 储油库、加油站（HJ1249-2022）》中当 周边环境质量监测指标（地下水：石油类、石油烃(C6~C9) 、石油烃(C10-C40) 、 甲基叔丁 基醚；土壤：石油类、石油烃(C6~C9) 、石油烃(C10-C40) 、 甲基叔丁基醚）出现异常时，可按照 GB36600 的表 1 中的污染物项目对加油站开展监测。</w:t>
            </w:r>
          </w:p>
          <w:p>
            <w:pPr>
              <w:widowControl/>
              <w:spacing w:line="360" w:lineRule="auto"/>
              <w:ind w:firstLine="420" w:firstLineChars="200"/>
              <w:jc w:val="left"/>
              <w:rPr>
                <w:color w:val="000000"/>
                <w:sz w:val="21"/>
                <w:szCs w:val="21"/>
                <w:u w:val="none"/>
              </w:rPr>
            </w:pPr>
            <w:r>
              <w:rPr>
                <w:rFonts w:hint="eastAsia"/>
                <w:color w:val="000000"/>
                <w:sz w:val="21"/>
                <w:szCs w:val="21"/>
                <w:u w:val="none"/>
              </w:rPr>
              <w:t>建设方</w:t>
            </w:r>
            <w:r>
              <w:rPr>
                <w:rFonts w:hint="eastAsia"/>
                <w:color w:val="000000"/>
                <w:sz w:val="21"/>
                <w:szCs w:val="21"/>
                <w:u w:val="none"/>
                <w:lang w:eastAsia="zh-CN"/>
              </w:rPr>
              <w:t>已按照规范要求做好分区防渗，因此</w:t>
            </w:r>
            <w:r>
              <w:rPr>
                <w:rFonts w:hint="eastAsia"/>
                <w:color w:val="000000"/>
                <w:sz w:val="21"/>
                <w:szCs w:val="21"/>
                <w:u w:val="none"/>
              </w:rPr>
              <w:t xml:space="preserve">本项目对地下水及土壤影响较小。 </w:t>
            </w:r>
          </w:p>
          <w:p>
            <w:pPr>
              <w:widowControl/>
              <w:spacing w:line="360" w:lineRule="auto"/>
              <w:ind w:firstLine="435"/>
              <w:jc w:val="left"/>
              <w:rPr>
                <w:b/>
                <w:color w:val="000000"/>
                <w:sz w:val="21"/>
                <w:szCs w:val="21"/>
              </w:rPr>
            </w:pPr>
            <w:r>
              <w:rPr>
                <w:rFonts w:hint="eastAsia"/>
                <w:b/>
                <w:color w:val="000000"/>
                <w:sz w:val="21"/>
                <w:szCs w:val="21"/>
              </w:rPr>
              <w:t>6</w:t>
            </w:r>
            <w:r>
              <w:rPr>
                <w:b/>
                <w:color w:val="000000"/>
                <w:sz w:val="21"/>
                <w:szCs w:val="21"/>
              </w:rPr>
              <w:t>.环境风险</w:t>
            </w:r>
          </w:p>
          <w:p>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rPr>
              <w:t>1</w:t>
            </w:r>
            <w:r>
              <w:rPr>
                <w:b/>
                <w:color w:val="000000"/>
                <w:sz w:val="21"/>
                <w:szCs w:val="21"/>
              </w:rPr>
              <w:t>）</w:t>
            </w:r>
            <w:r>
              <w:rPr>
                <w:rFonts w:hint="eastAsia"/>
                <w:b/>
                <w:color w:val="000000"/>
                <w:sz w:val="21"/>
                <w:szCs w:val="21"/>
              </w:rPr>
              <w:t>危险物质情况</w:t>
            </w:r>
          </w:p>
          <w:p>
            <w:pPr>
              <w:widowControl/>
              <w:spacing w:line="360" w:lineRule="auto"/>
              <w:ind w:firstLine="435"/>
              <w:jc w:val="left"/>
              <w:rPr>
                <w:color w:val="000000"/>
                <w:sz w:val="21"/>
                <w:szCs w:val="21"/>
              </w:rPr>
            </w:pPr>
            <w:r>
              <w:rPr>
                <w:rFonts w:hint="default" w:ascii="Times New Roman" w:hAnsi="Times New Roman" w:cs="Times New Roman"/>
                <w:color w:val="000000"/>
                <w:sz w:val="21"/>
                <w:szCs w:val="21"/>
              </w:rPr>
              <w:t>根据《建设项目环境风险评价技术导则》（HJ/T 169-2018），物质危险性识别范围主要为原材料及辅助材料、燃料、中间产品、副产品、最终产品、污染物、火灾和爆炸伴生/次生物等。对照附录B所列出的物质，本项目涉及到的环境风险物质主要为废切削液和废润滑油。项目风险物质为柴油、汽油，均存储于地埋罐中，其中 0#柴油埋地油罐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0m³、92#汽油埋地油罐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0m³、95#汽油埋地油罐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0m³</w:t>
            </w:r>
            <w:r>
              <w:rPr>
                <w:rFonts w:hint="eastAsia" w:cs="Times New Roman"/>
                <w:color w:val="000000"/>
                <w:sz w:val="21"/>
                <w:szCs w:val="21"/>
                <w:lang w:eastAsia="zh-CN"/>
              </w:rPr>
              <w:t>、</w:t>
            </w:r>
            <w:r>
              <w:rPr>
                <w:rFonts w:hint="default" w:ascii="Times New Roman" w:hAnsi="Times New Roman" w:cs="Times New Roman"/>
                <w:color w:val="000000"/>
                <w:sz w:val="21"/>
                <w:szCs w:val="21"/>
              </w:rPr>
              <w:t>9</w:t>
            </w:r>
            <w:r>
              <w:rPr>
                <w:rFonts w:hint="eastAsia" w:cs="Times New Roman"/>
                <w:color w:val="000000"/>
                <w:sz w:val="21"/>
                <w:szCs w:val="21"/>
                <w:lang w:val="en-US" w:eastAsia="zh-CN"/>
              </w:rPr>
              <w:t>8</w:t>
            </w:r>
            <w:r>
              <w:rPr>
                <w:rFonts w:hint="default" w:ascii="Times New Roman" w:hAnsi="Times New Roman" w:cs="Times New Roman"/>
                <w:color w:val="000000"/>
                <w:sz w:val="21"/>
                <w:szCs w:val="21"/>
              </w:rPr>
              <w:t>#汽油埋地油罐</w:t>
            </w:r>
            <w:r>
              <w:rPr>
                <w:rFonts w:hint="default" w:ascii="Times New Roman" w:hAnsi="Times New Roman" w:cs="Times New Roman"/>
                <w:color w:val="000000"/>
                <w:sz w:val="21"/>
                <w:szCs w:val="21"/>
                <w:lang w:val="en-US" w:eastAsia="zh-CN"/>
              </w:rPr>
              <w:t>3</w:t>
            </w:r>
            <w:r>
              <w:rPr>
                <w:rFonts w:hint="default" w:ascii="Times New Roman" w:hAnsi="Times New Roman" w:cs="Times New Roman"/>
                <w:color w:val="000000"/>
                <w:sz w:val="21"/>
                <w:szCs w:val="21"/>
              </w:rPr>
              <w:t>0m³。汽油相对密度（水=1）0.7～0.79，</w:t>
            </w:r>
            <w:r>
              <w:rPr>
                <w:rFonts w:hint="eastAsia"/>
                <w:color w:val="000000"/>
                <w:sz w:val="21"/>
                <w:szCs w:val="21"/>
              </w:rPr>
              <w:t xml:space="preserve">本项目取 </w:t>
            </w:r>
            <w:r>
              <w:rPr>
                <w:color w:val="000000"/>
                <w:sz w:val="21"/>
                <w:szCs w:val="21"/>
              </w:rPr>
              <w:t>0.75</w:t>
            </w:r>
            <w:r>
              <w:rPr>
                <w:rFonts w:hint="eastAsia"/>
                <w:color w:val="000000"/>
                <w:sz w:val="21"/>
                <w:szCs w:val="21"/>
              </w:rPr>
              <w:t>，柴油相对密度（水</w:t>
            </w:r>
            <w:r>
              <w:rPr>
                <w:color w:val="000000"/>
                <w:sz w:val="21"/>
                <w:szCs w:val="21"/>
              </w:rPr>
              <w:t>=1</w:t>
            </w:r>
            <w:r>
              <w:rPr>
                <w:rFonts w:hint="eastAsia"/>
                <w:color w:val="000000"/>
                <w:sz w:val="21"/>
                <w:szCs w:val="21"/>
              </w:rPr>
              <w:t>）</w:t>
            </w:r>
            <w:r>
              <w:rPr>
                <w:color w:val="000000"/>
                <w:sz w:val="21"/>
                <w:szCs w:val="21"/>
              </w:rPr>
              <w:t>0.87</w:t>
            </w:r>
            <w:r>
              <w:rPr>
                <w:rFonts w:hint="eastAsia"/>
                <w:color w:val="000000"/>
                <w:sz w:val="21"/>
                <w:szCs w:val="21"/>
              </w:rPr>
              <w:t>～</w:t>
            </w:r>
            <w:r>
              <w:rPr>
                <w:color w:val="000000"/>
                <w:sz w:val="21"/>
                <w:szCs w:val="21"/>
              </w:rPr>
              <w:t>0.9</w:t>
            </w:r>
            <w:r>
              <w:rPr>
                <w:rFonts w:hint="eastAsia"/>
                <w:color w:val="000000"/>
                <w:sz w:val="21"/>
                <w:szCs w:val="21"/>
              </w:rPr>
              <w:t xml:space="preserve">，本项目取 </w:t>
            </w:r>
            <w:r>
              <w:rPr>
                <w:color w:val="000000"/>
                <w:sz w:val="21"/>
                <w:szCs w:val="21"/>
              </w:rPr>
              <w:t>0.9</w:t>
            </w:r>
            <w:r>
              <w:rPr>
                <w:rFonts w:hint="eastAsia"/>
                <w:color w:val="000000"/>
                <w:sz w:val="21"/>
                <w:szCs w:val="21"/>
              </w:rPr>
              <w:t xml:space="preserve">，油料的灌装系数取 </w:t>
            </w:r>
            <w:r>
              <w:rPr>
                <w:color w:val="000000"/>
                <w:sz w:val="21"/>
                <w:szCs w:val="21"/>
              </w:rPr>
              <w:t>0.9</w:t>
            </w:r>
            <w:r>
              <w:rPr>
                <w:rFonts w:hint="eastAsia"/>
                <w:color w:val="000000"/>
                <w:sz w:val="21"/>
                <w:szCs w:val="21"/>
              </w:rPr>
              <w:t xml:space="preserve">。 </w:t>
            </w:r>
          </w:p>
          <w:p>
            <w:pPr>
              <w:widowControl/>
              <w:spacing w:line="360" w:lineRule="auto"/>
              <w:ind w:firstLine="435"/>
              <w:jc w:val="left"/>
              <w:rPr>
                <w:color w:val="auto"/>
                <w:sz w:val="21"/>
                <w:szCs w:val="21"/>
              </w:rPr>
            </w:pPr>
            <w:r>
              <w:rPr>
                <w:rFonts w:hint="eastAsia"/>
                <w:color w:val="000000"/>
                <w:sz w:val="21"/>
                <w:szCs w:val="21"/>
              </w:rPr>
              <w:t>对本项目涉及</w:t>
            </w:r>
            <w:r>
              <w:rPr>
                <w:rFonts w:hint="eastAsia"/>
                <w:color w:val="auto"/>
                <w:sz w:val="21"/>
                <w:szCs w:val="21"/>
              </w:rPr>
              <w:t>物质进行风险识别的具体判定过程见下表。</w:t>
            </w:r>
          </w:p>
          <w:p>
            <w:pPr>
              <w:widowControl/>
              <w:spacing w:line="360" w:lineRule="auto"/>
              <w:jc w:val="center"/>
              <w:rPr>
                <w:b/>
                <w:color w:val="auto"/>
                <w:sz w:val="21"/>
                <w:szCs w:val="21"/>
              </w:rPr>
            </w:pPr>
            <w:r>
              <w:rPr>
                <w:b/>
                <w:color w:val="auto"/>
                <w:sz w:val="21"/>
                <w:szCs w:val="21"/>
              </w:rPr>
              <w:t>表</w:t>
            </w:r>
            <w:r>
              <w:rPr>
                <w:rFonts w:hint="eastAsia"/>
                <w:b/>
                <w:color w:val="auto"/>
                <w:sz w:val="21"/>
                <w:szCs w:val="21"/>
              </w:rPr>
              <w:t>4</w:t>
            </w:r>
            <w:r>
              <w:rPr>
                <w:b/>
                <w:color w:val="auto"/>
                <w:sz w:val="21"/>
                <w:szCs w:val="21"/>
              </w:rPr>
              <w:t>-</w:t>
            </w:r>
            <w:r>
              <w:rPr>
                <w:rFonts w:hint="eastAsia"/>
                <w:b/>
                <w:color w:val="auto"/>
                <w:sz w:val="21"/>
                <w:szCs w:val="21"/>
                <w:lang w:val="en-US" w:eastAsia="zh-CN"/>
              </w:rPr>
              <w:t>9</w:t>
            </w:r>
            <w:r>
              <w:rPr>
                <w:b/>
                <w:color w:val="auto"/>
                <w:sz w:val="21"/>
                <w:szCs w:val="21"/>
              </w:rPr>
              <w:t xml:space="preserve"> 本项目生产过程设计物质风险识别表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052"/>
              <w:gridCol w:w="1322"/>
              <w:gridCol w:w="1020"/>
              <w:gridCol w:w="141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top w:val="single" w:color="auto" w:sz="4" w:space="0"/>
                    <w:left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b/>
                      <w:color w:val="000000"/>
                      <w:sz w:val="21"/>
                      <w:szCs w:val="21"/>
                    </w:rPr>
                    <w:t>序号</w:t>
                  </w:r>
                </w:p>
              </w:tc>
              <w:tc>
                <w:tcPr>
                  <w:tcW w:w="2052"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b/>
                      <w:color w:val="000000"/>
                      <w:sz w:val="21"/>
                      <w:szCs w:val="21"/>
                    </w:rPr>
                    <w:t>物质</w:t>
                  </w:r>
                </w:p>
              </w:tc>
              <w:tc>
                <w:tcPr>
                  <w:tcW w:w="1322"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rFonts w:hint="eastAsia"/>
                      <w:b/>
                      <w:color w:val="000000"/>
                      <w:sz w:val="21"/>
                      <w:szCs w:val="21"/>
                    </w:rPr>
                    <w:t>C</w:t>
                  </w:r>
                  <w:r>
                    <w:rPr>
                      <w:b/>
                      <w:color w:val="000000"/>
                      <w:sz w:val="21"/>
                      <w:szCs w:val="21"/>
                    </w:rPr>
                    <w:t>AS号</w:t>
                  </w:r>
                </w:p>
              </w:tc>
              <w:tc>
                <w:tcPr>
                  <w:tcW w:w="1020"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b/>
                      <w:color w:val="000000"/>
                      <w:sz w:val="21"/>
                      <w:szCs w:val="21"/>
                    </w:rPr>
                    <w:t>临界量</w:t>
                  </w:r>
                  <w:r>
                    <w:rPr>
                      <w:rFonts w:hint="eastAsia"/>
                      <w:b/>
                      <w:color w:val="000000"/>
                      <w:sz w:val="21"/>
                      <w:szCs w:val="21"/>
                    </w:rPr>
                    <w:t>/</w:t>
                  </w:r>
                  <w:r>
                    <w:rPr>
                      <w:b/>
                      <w:color w:val="000000"/>
                      <w:sz w:val="21"/>
                      <w:szCs w:val="21"/>
                    </w:rPr>
                    <w:t>t</w:t>
                  </w:r>
                </w:p>
              </w:tc>
              <w:tc>
                <w:tcPr>
                  <w:tcW w:w="1416" w:type="dxa"/>
                  <w:tcBorders>
                    <w:top w:val="single" w:color="auto" w:sz="4" w:space="0"/>
                    <w:bottom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b/>
                      <w:color w:val="000000"/>
                      <w:sz w:val="21"/>
                      <w:szCs w:val="21"/>
                    </w:rPr>
                    <w:t>最大暂存（在线）量</w:t>
                  </w:r>
                  <w:r>
                    <w:rPr>
                      <w:rFonts w:hint="eastAsia"/>
                      <w:b/>
                      <w:color w:val="000000"/>
                      <w:sz w:val="21"/>
                      <w:szCs w:val="21"/>
                    </w:rPr>
                    <w:t>/</w:t>
                  </w:r>
                  <w:r>
                    <w:rPr>
                      <w:b/>
                      <w:color w:val="000000"/>
                      <w:sz w:val="21"/>
                      <w:szCs w:val="21"/>
                    </w:rPr>
                    <w:t>t</w:t>
                  </w:r>
                </w:p>
              </w:tc>
              <w:tc>
                <w:tcPr>
                  <w:tcW w:w="1530" w:type="dxa"/>
                  <w:tcBorders>
                    <w:top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b/>
                      <w:color w:val="000000"/>
                      <w:sz w:val="21"/>
                      <w:szCs w:val="21"/>
                    </w:rPr>
                  </w:pPr>
                  <w:r>
                    <w:rPr>
                      <w:b/>
                      <w:color w:val="000000"/>
                      <w:sz w:val="21"/>
                      <w:szCs w:val="21"/>
                    </w:rPr>
                    <w:t>临界量比值</w:t>
                  </w:r>
                  <w:r>
                    <w:rPr>
                      <w:rFonts w:hint="eastAsia"/>
                      <w:b/>
                      <w:color w:val="000000"/>
                      <w:sz w:val="21"/>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1</w:t>
                  </w:r>
                </w:p>
              </w:tc>
              <w:tc>
                <w:tcPr>
                  <w:tcW w:w="2052" w:type="dxa"/>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油类物质（</w:t>
                  </w:r>
                  <w:r>
                    <w:rPr>
                      <w:color w:val="000000"/>
                      <w:sz w:val="21"/>
                      <w:szCs w:val="21"/>
                    </w:rPr>
                    <w:t>92#</w:t>
                  </w:r>
                  <w:r>
                    <w:rPr>
                      <w:rFonts w:hint="eastAsia"/>
                      <w:color w:val="000000"/>
                      <w:sz w:val="21"/>
                      <w:szCs w:val="21"/>
                    </w:rPr>
                    <w:t>汽油）</w:t>
                  </w:r>
                </w:p>
              </w:tc>
              <w:tc>
                <w:tcPr>
                  <w:tcW w:w="1322" w:type="dxa"/>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w:t>
                  </w:r>
                </w:p>
              </w:tc>
              <w:tc>
                <w:tcPr>
                  <w:tcW w:w="1020" w:type="dxa"/>
                  <w:vMerge w:val="restart"/>
                  <w:shd w:val="clear" w:color="auto" w:fill="auto"/>
                  <w:noWrap w:val="0"/>
                  <w:vAlign w:val="center"/>
                </w:tcPr>
                <w:p>
                  <w:pPr>
                    <w:widowControl/>
                    <w:spacing w:line="360" w:lineRule="auto"/>
                    <w:jc w:val="center"/>
                    <w:rPr>
                      <w:rFonts w:hint="eastAsia"/>
                      <w:color w:val="000000"/>
                      <w:sz w:val="21"/>
                      <w:szCs w:val="21"/>
                    </w:rPr>
                  </w:pPr>
                  <w:r>
                    <w:rPr>
                      <w:rFonts w:hint="eastAsia"/>
                      <w:color w:val="000000"/>
                      <w:sz w:val="21"/>
                      <w:szCs w:val="21"/>
                    </w:rPr>
                    <w:t>2</w:t>
                  </w:r>
                  <w:r>
                    <w:rPr>
                      <w:color w:val="000000"/>
                      <w:sz w:val="21"/>
                      <w:szCs w:val="21"/>
                    </w:rPr>
                    <w:t>500</w:t>
                  </w:r>
                </w:p>
              </w:tc>
              <w:tc>
                <w:tcPr>
                  <w:tcW w:w="1416" w:type="dxa"/>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20.25</w:t>
                  </w:r>
                </w:p>
              </w:tc>
              <w:tc>
                <w:tcPr>
                  <w:tcW w:w="1530"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2</w:t>
                  </w:r>
                </w:p>
              </w:tc>
              <w:tc>
                <w:tcPr>
                  <w:tcW w:w="2052" w:type="dxa"/>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油类物质（</w:t>
                  </w:r>
                  <w:r>
                    <w:rPr>
                      <w:color w:val="000000"/>
                      <w:sz w:val="21"/>
                      <w:szCs w:val="21"/>
                    </w:rPr>
                    <w:t>95#</w:t>
                  </w:r>
                  <w:r>
                    <w:rPr>
                      <w:rFonts w:hint="eastAsia"/>
                      <w:color w:val="000000"/>
                      <w:sz w:val="21"/>
                      <w:szCs w:val="21"/>
                    </w:rPr>
                    <w:t>汽油）</w:t>
                  </w:r>
                </w:p>
              </w:tc>
              <w:tc>
                <w:tcPr>
                  <w:tcW w:w="1322" w:type="dxa"/>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w:t>
                  </w:r>
                </w:p>
              </w:tc>
              <w:tc>
                <w:tcPr>
                  <w:tcW w:w="1020" w:type="dxa"/>
                  <w:vMerge w:val="continue"/>
                  <w:shd w:val="clear" w:color="auto" w:fill="auto"/>
                  <w:noWrap w:val="0"/>
                  <w:vAlign w:val="top"/>
                </w:tcPr>
                <w:p>
                  <w:pPr>
                    <w:widowControl/>
                    <w:spacing w:line="360" w:lineRule="auto"/>
                    <w:jc w:val="center"/>
                    <w:rPr>
                      <w:rFonts w:hint="eastAsia"/>
                      <w:color w:val="000000"/>
                      <w:sz w:val="21"/>
                      <w:szCs w:val="21"/>
                    </w:rPr>
                  </w:pPr>
                </w:p>
              </w:tc>
              <w:tc>
                <w:tcPr>
                  <w:tcW w:w="1416" w:type="dxa"/>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20.25</w:t>
                  </w:r>
                </w:p>
              </w:tc>
              <w:tc>
                <w:tcPr>
                  <w:tcW w:w="1530" w:type="dxa"/>
                  <w:tcBorders>
                    <w:right w:val="single" w:color="auto" w:sz="4" w:space="0"/>
                  </w:tcBorders>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tcBorders>
                  <w:shd w:val="clear" w:color="auto" w:fill="auto"/>
                  <w:noWrap w:val="0"/>
                  <w:vAlign w:val="top"/>
                </w:tcPr>
                <w:p>
                  <w:pPr>
                    <w:widowControl/>
                    <w:spacing w:line="360" w:lineRule="auto"/>
                    <w:jc w:val="center"/>
                    <w:rPr>
                      <w:rFonts w:hint="eastAsia" w:eastAsia="宋体"/>
                      <w:color w:val="000000"/>
                      <w:sz w:val="21"/>
                      <w:szCs w:val="21"/>
                      <w:lang w:val="en-US" w:eastAsia="zh-CN"/>
                    </w:rPr>
                  </w:pPr>
                  <w:r>
                    <w:rPr>
                      <w:rFonts w:hint="eastAsia"/>
                      <w:color w:val="000000"/>
                      <w:sz w:val="21"/>
                      <w:szCs w:val="21"/>
                      <w:lang w:val="en-US" w:eastAsia="zh-CN"/>
                    </w:rPr>
                    <w:t>3</w:t>
                  </w:r>
                </w:p>
              </w:tc>
              <w:tc>
                <w:tcPr>
                  <w:tcW w:w="2052" w:type="dxa"/>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油类物质（</w:t>
                  </w:r>
                  <w:r>
                    <w:rPr>
                      <w:color w:val="000000"/>
                      <w:sz w:val="21"/>
                      <w:szCs w:val="21"/>
                    </w:rPr>
                    <w:t>9</w:t>
                  </w:r>
                  <w:r>
                    <w:rPr>
                      <w:rFonts w:hint="eastAsia"/>
                      <w:color w:val="000000"/>
                      <w:sz w:val="21"/>
                      <w:szCs w:val="21"/>
                      <w:lang w:val="en-US" w:eastAsia="zh-CN"/>
                    </w:rPr>
                    <w:t>8</w:t>
                  </w:r>
                  <w:r>
                    <w:rPr>
                      <w:color w:val="000000"/>
                      <w:sz w:val="21"/>
                      <w:szCs w:val="21"/>
                    </w:rPr>
                    <w:t>#</w:t>
                  </w:r>
                  <w:r>
                    <w:rPr>
                      <w:rFonts w:hint="eastAsia"/>
                      <w:color w:val="000000"/>
                      <w:sz w:val="21"/>
                      <w:szCs w:val="21"/>
                    </w:rPr>
                    <w:t>汽油）</w:t>
                  </w:r>
                </w:p>
              </w:tc>
              <w:tc>
                <w:tcPr>
                  <w:tcW w:w="1322" w:type="dxa"/>
                  <w:shd w:val="clear" w:color="auto" w:fill="auto"/>
                  <w:noWrap w:val="0"/>
                  <w:vAlign w:val="top"/>
                </w:tcPr>
                <w:p>
                  <w:pPr>
                    <w:widowControl/>
                    <w:spacing w:line="360" w:lineRule="auto"/>
                    <w:jc w:val="center"/>
                    <w:rPr>
                      <w:rFonts w:hint="eastAsia" w:eastAsia="宋体"/>
                      <w:color w:val="000000"/>
                      <w:sz w:val="21"/>
                      <w:szCs w:val="21"/>
                      <w:lang w:val="en-US" w:eastAsia="zh-CN"/>
                    </w:rPr>
                  </w:pPr>
                  <w:r>
                    <w:rPr>
                      <w:rFonts w:hint="eastAsia"/>
                      <w:color w:val="000000"/>
                      <w:sz w:val="21"/>
                      <w:szCs w:val="21"/>
                      <w:lang w:val="en-US" w:eastAsia="zh-CN"/>
                    </w:rPr>
                    <w:t>/</w:t>
                  </w:r>
                </w:p>
              </w:tc>
              <w:tc>
                <w:tcPr>
                  <w:tcW w:w="1020" w:type="dxa"/>
                  <w:vMerge w:val="continue"/>
                  <w:shd w:val="clear" w:color="auto" w:fill="auto"/>
                  <w:noWrap w:val="0"/>
                  <w:vAlign w:val="top"/>
                </w:tcPr>
                <w:p>
                  <w:pPr>
                    <w:widowControl/>
                    <w:spacing w:line="360" w:lineRule="auto"/>
                    <w:jc w:val="center"/>
                    <w:rPr>
                      <w:rFonts w:hint="eastAsia"/>
                      <w:color w:val="000000"/>
                      <w:sz w:val="21"/>
                      <w:szCs w:val="21"/>
                    </w:rPr>
                  </w:pPr>
                </w:p>
              </w:tc>
              <w:tc>
                <w:tcPr>
                  <w:tcW w:w="1416" w:type="dxa"/>
                  <w:shd w:val="clear" w:color="auto" w:fill="auto"/>
                  <w:noWrap w:val="0"/>
                  <w:vAlign w:val="center"/>
                </w:tcPr>
                <w:p>
                  <w:pPr>
                    <w:widowControl/>
                    <w:spacing w:line="360" w:lineRule="auto"/>
                    <w:jc w:val="center"/>
                    <w:rPr>
                      <w:rFonts w:hint="default"/>
                      <w:color w:val="000000"/>
                      <w:sz w:val="21"/>
                      <w:szCs w:val="21"/>
                      <w:lang w:val="en-US" w:eastAsia="zh-CN"/>
                    </w:rPr>
                  </w:pPr>
                  <w:r>
                    <w:rPr>
                      <w:rFonts w:hint="eastAsia"/>
                      <w:color w:val="000000"/>
                      <w:sz w:val="21"/>
                      <w:szCs w:val="21"/>
                      <w:lang w:val="en-US" w:eastAsia="zh-CN"/>
                    </w:rPr>
                    <w:t>20.25</w:t>
                  </w:r>
                </w:p>
              </w:tc>
              <w:tc>
                <w:tcPr>
                  <w:tcW w:w="1530" w:type="dxa"/>
                  <w:tcBorders>
                    <w:right w:val="single" w:color="auto" w:sz="4" w:space="0"/>
                  </w:tcBorders>
                  <w:shd w:val="clear" w:color="auto" w:fill="auto"/>
                  <w:noWrap w:val="0"/>
                  <w:vAlign w:val="center"/>
                </w:tcPr>
                <w:p>
                  <w:pPr>
                    <w:widowControl/>
                    <w:spacing w:line="360" w:lineRule="auto"/>
                    <w:jc w:val="center"/>
                    <w:rPr>
                      <w:rFonts w:hint="default"/>
                      <w:color w:val="000000"/>
                      <w:sz w:val="21"/>
                      <w:szCs w:val="21"/>
                      <w:lang w:val="en-US" w:eastAsia="zh-CN"/>
                    </w:rPr>
                  </w:pPr>
                  <w:r>
                    <w:rPr>
                      <w:rFonts w:hint="eastAsia"/>
                      <w:color w:val="000000"/>
                      <w:sz w:val="21"/>
                      <w:szCs w:val="21"/>
                      <w:lang w:val="en-US" w:eastAsia="zh-CN"/>
                    </w:rPr>
                    <w:t>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tcBorders>
                    <w:left w:val="single" w:color="auto" w:sz="4" w:space="0"/>
                    <w:bottom w:val="single" w:color="auto" w:sz="4" w:space="0"/>
                  </w:tcBorders>
                  <w:shd w:val="clear" w:color="auto" w:fill="auto"/>
                  <w:noWrap w:val="0"/>
                  <w:vAlign w:val="top"/>
                </w:tcPr>
                <w:p>
                  <w:pPr>
                    <w:widowControl/>
                    <w:spacing w:line="360" w:lineRule="auto"/>
                    <w:jc w:val="center"/>
                    <w:rPr>
                      <w:rFonts w:hint="eastAsia" w:eastAsia="宋体"/>
                      <w:color w:val="000000"/>
                      <w:sz w:val="21"/>
                      <w:szCs w:val="21"/>
                      <w:lang w:eastAsia="zh-CN"/>
                    </w:rPr>
                  </w:pPr>
                  <w:r>
                    <w:rPr>
                      <w:rFonts w:hint="eastAsia"/>
                      <w:color w:val="000000"/>
                      <w:sz w:val="21"/>
                      <w:szCs w:val="21"/>
                      <w:lang w:val="en-US" w:eastAsia="zh-CN"/>
                    </w:rPr>
                    <w:t>4</w:t>
                  </w:r>
                </w:p>
              </w:tc>
              <w:tc>
                <w:tcPr>
                  <w:tcW w:w="2052" w:type="dxa"/>
                  <w:tcBorders>
                    <w:bottom w:val="single" w:color="auto" w:sz="4" w:space="0"/>
                  </w:tcBorders>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油类物质（</w:t>
                  </w:r>
                  <w:r>
                    <w:rPr>
                      <w:color w:val="000000"/>
                      <w:sz w:val="21"/>
                      <w:szCs w:val="21"/>
                    </w:rPr>
                    <w:t>柴油</w:t>
                  </w:r>
                  <w:r>
                    <w:rPr>
                      <w:rFonts w:hint="eastAsia"/>
                      <w:color w:val="000000"/>
                      <w:sz w:val="21"/>
                      <w:szCs w:val="21"/>
                    </w:rPr>
                    <w:t>）</w:t>
                  </w:r>
                </w:p>
              </w:tc>
              <w:tc>
                <w:tcPr>
                  <w:tcW w:w="1322" w:type="dxa"/>
                  <w:tcBorders>
                    <w:bottom w:val="single" w:color="auto" w:sz="4" w:space="0"/>
                  </w:tcBorders>
                  <w:shd w:val="clear" w:color="auto" w:fill="auto"/>
                  <w:noWrap w:val="0"/>
                  <w:vAlign w:val="top"/>
                </w:tcPr>
                <w:p>
                  <w:pPr>
                    <w:widowControl/>
                    <w:spacing w:line="360" w:lineRule="auto"/>
                    <w:jc w:val="center"/>
                    <w:rPr>
                      <w:rFonts w:hint="eastAsia"/>
                      <w:color w:val="000000"/>
                      <w:sz w:val="21"/>
                      <w:szCs w:val="21"/>
                    </w:rPr>
                  </w:pPr>
                  <w:r>
                    <w:rPr>
                      <w:rFonts w:hint="eastAsia"/>
                      <w:color w:val="000000"/>
                      <w:sz w:val="21"/>
                      <w:szCs w:val="21"/>
                    </w:rPr>
                    <w:t>/</w:t>
                  </w:r>
                </w:p>
              </w:tc>
              <w:tc>
                <w:tcPr>
                  <w:tcW w:w="1020" w:type="dxa"/>
                  <w:vMerge w:val="continue"/>
                  <w:tcBorders>
                    <w:bottom w:val="single" w:color="auto" w:sz="4" w:space="0"/>
                  </w:tcBorders>
                  <w:shd w:val="clear" w:color="auto" w:fill="auto"/>
                  <w:noWrap w:val="0"/>
                  <w:vAlign w:val="top"/>
                </w:tcPr>
                <w:p>
                  <w:pPr>
                    <w:widowControl/>
                    <w:spacing w:line="360" w:lineRule="auto"/>
                    <w:jc w:val="center"/>
                    <w:rPr>
                      <w:rFonts w:hint="eastAsia"/>
                      <w:color w:val="000000"/>
                      <w:sz w:val="21"/>
                      <w:szCs w:val="21"/>
                    </w:rPr>
                  </w:pPr>
                </w:p>
              </w:tc>
              <w:tc>
                <w:tcPr>
                  <w:tcW w:w="1416" w:type="dxa"/>
                  <w:tcBorders>
                    <w:bottom w:val="single" w:color="auto" w:sz="4" w:space="0"/>
                  </w:tcBorders>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24.3</w:t>
                  </w:r>
                </w:p>
              </w:tc>
              <w:tc>
                <w:tcPr>
                  <w:tcW w:w="1530" w:type="dxa"/>
                  <w:tcBorders>
                    <w:bottom w:val="single" w:color="auto" w:sz="4" w:space="0"/>
                    <w:right w:val="single" w:color="auto" w:sz="4" w:space="0"/>
                  </w:tcBorders>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0.00972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1" w:type="dxa"/>
                  <w:gridSpan w:val="5"/>
                  <w:tcBorders>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color w:val="000000"/>
                      <w:sz w:val="21"/>
                      <w:szCs w:val="21"/>
                    </w:rPr>
                  </w:pPr>
                  <w:r>
                    <w:rPr>
                      <w:color w:val="000000"/>
                      <w:sz w:val="21"/>
                      <w:szCs w:val="21"/>
                    </w:rPr>
                    <w:t>合计</w:t>
                  </w:r>
                </w:p>
              </w:tc>
              <w:tc>
                <w:tcPr>
                  <w:tcW w:w="1530" w:type="dxa"/>
                  <w:tcBorders>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default" w:eastAsia="宋体"/>
                      <w:color w:val="000000"/>
                      <w:sz w:val="21"/>
                      <w:szCs w:val="21"/>
                      <w:lang w:val="en-US" w:eastAsia="zh-CN"/>
                    </w:rPr>
                  </w:pPr>
                  <w:r>
                    <w:rPr>
                      <w:rFonts w:hint="eastAsia"/>
                      <w:color w:val="000000"/>
                      <w:sz w:val="21"/>
                      <w:szCs w:val="21"/>
                      <w:lang w:val="en-US" w:eastAsia="zh-CN"/>
                    </w:rPr>
                    <w:t>0.03402</w:t>
                  </w:r>
                </w:p>
              </w:tc>
            </w:tr>
          </w:tbl>
          <w:p>
            <w:pPr>
              <w:widowControl/>
              <w:spacing w:line="360" w:lineRule="auto"/>
              <w:jc w:val="left"/>
              <w:rPr>
                <w:rFonts w:hint="eastAsia" w:eastAsia="宋体"/>
                <w:b/>
                <w:color w:val="auto"/>
                <w:sz w:val="21"/>
                <w:szCs w:val="21"/>
                <w:lang w:eastAsia="zh-CN"/>
              </w:rPr>
            </w:pPr>
            <w:r>
              <w:rPr>
                <w:rFonts w:hint="eastAsia"/>
                <w:b/>
                <w:color w:val="000000"/>
                <w:sz w:val="21"/>
                <w:szCs w:val="21"/>
              </w:rPr>
              <w:t xml:space="preserve"> </w:t>
            </w:r>
            <w:r>
              <w:rPr>
                <w:b/>
                <w:color w:val="000000"/>
                <w:sz w:val="21"/>
                <w:szCs w:val="21"/>
              </w:rPr>
              <w:t xml:space="preserve"> </w:t>
            </w:r>
            <w:r>
              <w:rPr>
                <w:b/>
                <w:color w:val="auto"/>
                <w:sz w:val="21"/>
                <w:szCs w:val="21"/>
              </w:rPr>
              <w:t xml:space="preserve">  </w:t>
            </w:r>
            <w:r>
              <w:rPr>
                <w:rFonts w:hint="eastAsia"/>
                <w:b/>
                <w:color w:val="auto"/>
                <w:sz w:val="21"/>
                <w:szCs w:val="21"/>
                <w:lang w:eastAsia="zh-CN"/>
              </w:rPr>
              <w:t>注：最大在线量是油罐储量加上管道内的油储（管径为</w:t>
            </w:r>
            <w:r>
              <w:rPr>
                <w:rFonts w:hint="eastAsia"/>
                <w:b/>
                <w:color w:val="auto"/>
                <w:sz w:val="21"/>
                <w:szCs w:val="21"/>
                <w:lang w:val="en-US" w:eastAsia="zh-CN"/>
              </w:rPr>
              <w:t>53mm；0#管道有56m，98#管道6m，95#管道38m，92#管道51m</w:t>
            </w:r>
            <w:r>
              <w:rPr>
                <w:rFonts w:hint="eastAsia"/>
                <w:b/>
                <w:color w:val="auto"/>
                <w:sz w:val="21"/>
                <w:szCs w:val="21"/>
                <w:lang w:eastAsia="zh-CN"/>
              </w:rPr>
              <w:t>）</w:t>
            </w:r>
          </w:p>
          <w:p>
            <w:pPr>
              <w:widowControl/>
              <w:spacing w:line="360" w:lineRule="auto"/>
              <w:ind w:firstLine="422" w:firstLineChars="200"/>
              <w:jc w:val="left"/>
              <w:rPr>
                <w:b/>
                <w:color w:val="000000"/>
                <w:sz w:val="21"/>
                <w:szCs w:val="21"/>
              </w:rPr>
            </w:pPr>
            <w:r>
              <w:rPr>
                <w:rFonts w:hint="eastAsia"/>
                <w:b/>
                <w:bCs/>
                <w:color w:val="000000"/>
                <w:sz w:val="21"/>
                <w:szCs w:val="21"/>
              </w:rPr>
              <w:t>注</w:t>
            </w:r>
            <w:r>
              <w:rPr>
                <w:b/>
                <w:bCs/>
                <w:color w:val="000000"/>
                <w:sz w:val="21"/>
                <w:szCs w:val="21"/>
              </w:rPr>
              <w:t xml:space="preserve">: </w:t>
            </w:r>
            <w:r>
              <w:rPr>
                <w:rFonts w:hint="eastAsia"/>
                <w:b/>
                <w:bCs/>
                <w:color w:val="000000"/>
                <w:sz w:val="21"/>
                <w:szCs w:val="21"/>
              </w:rPr>
              <w:t xml:space="preserve">当 </w:t>
            </w:r>
            <w:r>
              <w:rPr>
                <w:b/>
                <w:bCs/>
                <w:color w:val="000000"/>
                <w:sz w:val="21"/>
                <w:szCs w:val="21"/>
              </w:rPr>
              <w:t>Q</w:t>
            </w:r>
            <w:r>
              <w:rPr>
                <w:rFonts w:hint="eastAsia"/>
                <w:b/>
                <w:bCs/>
                <w:color w:val="000000"/>
                <w:sz w:val="21"/>
                <w:szCs w:val="21"/>
              </w:rPr>
              <w:t>＜</w:t>
            </w:r>
            <w:r>
              <w:rPr>
                <w:b/>
                <w:bCs/>
                <w:color w:val="000000"/>
                <w:sz w:val="21"/>
                <w:szCs w:val="21"/>
              </w:rPr>
              <w:t xml:space="preserve">1 </w:t>
            </w:r>
            <w:r>
              <w:rPr>
                <w:rFonts w:hint="eastAsia"/>
                <w:b/>
                <w:bCs/>
                <w:color w:val="000000"/>
                <w:sz w:val="21"/>
                <w:szCs w:val="21"/>
              </w:rPr>
              <w:t>时，该项目环境风险潜势为</w:t>
            </w:r>
            <w:r>
              <w:rPr>
                <w:b/>
                <w:bCs/>
                <w:color w:val="000000"/>
                <w:sz w:val="21"/>
                <w:szCs w:val="21"/>
              </w:rPr>
              <w:t>I</w:t>
            </w:r>
            <w:r>
              <w:rPr>
                <w:rFonts w:hint="eastAsia"/>
                <w:b/>
                <w:bCs/>
                <w:color w:val="000000"/>
                <w:sz w:val="21"/>
                <w:szCs w:val="21"/>
              </w:rPr>
              <w:t xml:space="preserve">；当 </w:t>
            </w:r>
            <w:r>
              <w:rPr>
                <w:b/>
                <w:bCs/>
                <w:color w:val="000000"/>
                <w:sz w:val="21"/>
                <w:szCs w:val="21"/>
              </w:rPr>
              <w:t xml:space="preserve">Q≥1 </w:t>
            </w:r>
            <w:r>
              <w:rPr>
                <w:rFonts w:hint="eastAsia"/>
                <w:b/>
                <w:bCs/>
                <w:color w:val="000000"/>
                <w:sz w:val="21"/>
                <w:szCs w:val="21"/>
              </w:rPr>
              <w:t>时，将</w:t>
            </w:r>
            <w:r>
              <w:rPr>
                <w:b/>
                <w:bCs/>
                <w:color w:val="000000"/>
                <w:sz w:val="21"/>
                <w:szCs w:val="21"/>
              </w:rPr>
              <w:t>Q</w:t>
            </w:r>
            <w:r>
              <w:rPr>
                <w:rFonts w:hint="eastAsia"/>
                <w:b/>
                <w:bCs/>
                <w:color w:val="000000"/>
                <w:sz w:val="21"/>
                <w:szCs w:val="21"/>
              </w:rPr>
              <w:t>值划分为：</w:t>
            </w:r>
            <w:r>
              <w:rPr>
                <w:b/>
                <w:bCs/>
                <w:color w:val="000000"/>
                <w:sz w:val="21"/>
                <w:szCs w:val="21"/>
              </w:rPr>
              <w:t>(1)1≤Q&lt;10</w:t>
            </w:r>
            <w:r>
              <w:rPr>
                <w:rFonts w:hint="eastAsia"/>
                <w:b/>
                <w:bCs/>
                <w:color w:val="000000"/>
                <w:sz w:val="21"/>
                <w:szCs w:val="21"/>
              </w:rPr>
              <w:t xml:space="preserve">； </w:t>
            </w:r>
          </w:p>
          <w:p>
            <w:pPr>
              <w:widowControl/>
              <w:spacing w:line="360" w:lineRule="auto"/>
              <w:jc w:val="left"/>
              <w:rPr>
                <w:b/>
                <w:bCs/>
                <w:color w:val="000000"/>
                <w:sz w:val="21"/>
                <w:szCs w:val="21"/>
              </w:rPr>
            </w:pPr>
            <w:r>
              <w:rPr>
                <w:b/>
                <w:bCs/>
                <w:color w:val="000000"/>
                <w:sz w:val="21"/>
                <w:szCs w:val="21"/>
              </w:rPr>
              <w:t>(2)10≤Q&lt;100</w:t>
            </w:r>
            <w:r>
              <w:rPr>
                <w:rFonts w:hint="eastAsia"/>
                <w:b/>
                <w:bCs/>
                <w:color w:val="000000"/>
                <w:sz w:val="21"/>
                <w:szCs w:val="21"/>
              </w:rPr>
              <w:t>；</w:t>
            </w:r>
            <w:r>
              <w:rPr>
                <w:b/>
                <w:bCs/>
                <w:color w:val="000000"/>
                <w:sz w:val="21"/>
                <w:szCs w:val="21"/>
              </w:rPr>
              <w:t>(3)Q≥100</w:t>
            </w:r>
            <w:r>
              <w:rPr>
                <w:rFonts w:hint="eastAsia"/>
                <w:b/>
                <w:bCs/>
                <w:color w:val="000000"/>
                <w:sz w:val="21"/>
                <w:szCs w:val="21"/>
              </w:rPr>
              <w:t>。</w:t>
            </w:r>
          </w:p>
          <w:p>
            <w:pPr>
              <w:widowControl/>
              <w:spacing w:line="360" w:lineRule="auto"/>
              <w:jc w:val="left"/>
              <w:rPr>
                <w:rFonts w:hint="eastAsia"/>
                <w:bCs/>
                <w:color w:val="000000"/>
                <w:sz w:val="21"/>
                <w:szCs w:val="21"/>
              </w:rPr>
            </w:pPr>
            <w:r>
              <w:rPr>
                <w:rFonts w:hint="eastAsia"/>
                <w:b/>
                <w:bCs/>
                <w:color w:val="000000"/>
                <w:sz w:val="21"/>
                <w:szCs w:val="21"/>
              </w:rPr>
              <w:t xml:space="preserve"> </w:t>
            </w:r>
            <w:r>
              <w:rPr>
                <w:b/>
                <w:bCs/>
                <w:color w:val="000000"/>
                <w:sz w:val="21"/>
                <w:szCs w:val="21"/>
              </w:rPr>
              <w:t xml:space="preserve">  </w:t>
            </w:r>
            <w:r>
              <w:rPr>
                <w:bCs/>
                <w:color w:val="000000"/>
                <w:sz w:val="21"/>
                <w:szCs w:val="21"/>
              </w:rPr>
              <w:t xml:space="preserve"> 结合上表可知，本项目风险物质储存量未超过临界量，</w:t>
            </w:r>
            <w:r>
              <w:rPr>
                <w:rFonts w:hint="eastAsia"/>
                <w:bCs/>
                <w:color w:val="000000"/>
                <w:sz w:val="21"/>
                <w:szCs w:val="21"/>
              </w:rPr>
              <w:t>该项目环境风险潜势为</w:t>
            </w:r>
            <w:r>
              <w:rPr>
                <w:bCs/>
                <w:color w:val="000000"/>
                <w:sz w:val="21"/>
                <w:szCs w:val="21"/>
              </w:rPr>
              <w:t>I，仅简单分析。</w:t>
            </w:r>
          </w:p>
          <w:p>
            <w:pPr>
              <w:widowControl/>
              <w:spacing w:line="360" w:lineRule="auto"/>
              <w:ind w:firstLine="435"/>
              <w:jc w:val="left"/>
              <w:rPr>
                <w:rFonts w:hint="default" w:eastAsia="宋体"/>
                <w:b/>
                <w:bCs/>
                <w:color w:val="000000"/>
                <w:sz w:val="21"/>
                <w:szCs w:val="21"/>
                <w:lang w:val="en-US" w:eastAsia="zh-CN"/>
              </w:rPr>
            </w:pPr>
            <w:r>
              <w:rPr>
                <w:rFonts w:hint="eastAsia"/>
                <w:b/>
                <w:bCs/>
                <w:color w:val="000000"/>
                <w:sz w:val="21"/>
                <w:szCs w:val="21"/>
                <w:lang w:eastAsia="zh-CN"/>
              </w:rPr>
              <w:t>（</w:t>
            </w:r>
            <w:r>
              <w:rPr>
                <w:rFonts w:hint="eastAsia"/>
                <w:b/>
                <w:bCs/>
                <w:color w:val="000000"/>
                <w:sz w:val="21"/>
                <w:szCs w:val="21"/>
                <w:lang w:val="en-US" w:eastAsia="zh-CN"/>
              </w:rPr>
              <w:t>2</w:t>
            </w:r>
            <w:r>
              <w:rPr>
                <w:rFonts w:hint="eastAsia"/>
                <w:b/>
                <w:bCs/>
                <w:color w:val="000000"/>
                <w:sz w:val="21"/>
                <w:szCs w:val="21"/>
                <w:lang w:eastAsia="zh-CN"/>
              </w:rPr>
              <w:t>）</w:t>
            </w:r>
            <w:r>
              <w:rPr>
                <w:rFonts w:hint="eastAsia"/>
                <w:b/>
                <w:bCs/>
                <w:color w:val="000000"/>
                <w:sz w:val="21"/>
                <w:szCs w:val="21"/>
                <w:lang w:val="en-US" w:eastAsia="zh-CN"/>
              </w:rPr>
              <w:t>环境风险分析</w:t>
            </w:r>
          </w:p>
          <w:p>
            <w:pPr>
              <w:widowControl/>
              <w:spacing w:line="360" w:lineRule="auto"/>
              <w:ind w:firstLine="435"/>
              <w:jc w:val="left"/>
              <w:rPr>
                <w:b/>
                <w:bCs/>
                <w:color w:val="000000"/>
                <w:sz w:val="21"/>
                <w:szCs w:val="21"/>
              </w:rPr>
            </w:pPr>
            <w:r>
              <w:rPr>
                <w:rFonts w:hint="default" w:ascii="Calibri" w:hAnsi="Calibri" w:cs="Calibri"/>
                <w:b/>
                <w:bCs/>
                <w:color w:val="000000"/>
                <w:sz w:val="21"/>
                <w:szCs w:val="21"/>
              </w:rPr>
              <w:t>①</w:t>
            </w:r>
            <w:r>
              <w:rPr>
                <w:b/>
                <w:bCs/>
                <w:color w:val="000000"/>
                <w:sz w:val="21"/>
                <w:szCs w:val="21"/>
              </w:rPr>
              <w:t>风险识别</w:t>
            </w:r>
          </w:p>
          <w:p>
            <w:pPr>
              <w:widowControl/>
              <w:spacing w:line="360" w:lineRule="auto"/>
              <w:ind w:firstLine="435"/>
              <w:jc w:val="left"/>
              <w:rPr>
                <w:color w:val="000000"/>
                <w:sz w:val="21"/>
                <w:szCs w:val="21"/>
              </w:rPr>
            </w:pPr>
            <w:r>
              <w:rPr>
                <w:rFonts w:hint="eastAsia"/>
                <w:color w:val="000000"/>
                <w:sz w:val="21"/>
                <w:szCs w:val="21"/>
              </w:rPr>
              <w:t>企业环境风险物质为汽油、柴油。汽油、柴油由地下储罐存储。本项目物质风险为汽油、柴油可能出现泄露；柴油、汽油属于易燃液体，可能导致火灾与爆炸的发生。</w:t>
            </w:r>
          </w:p>
          <w:p>
            <w:pPr>
              <w:widowControl/>
              <w:spacing w:line="360" w:lineRule="auto"/>
              <w:ind w:firstLine="435"/>
              <w:jc w:val="left"/>
              <w:rPr>
                <w:color w:val="000000"/>
                <w:sz w:val="21"/>
                <w:szCs w:val="21"/>
              </w:rPr>
            </w:pPr>
            <w:r>
              <w:rPr>
                <w:rFonts w:hint="eastAsia"/>
                <w:b/>
                <w:bCs/>
                <w:color w:val="000000"/>
                <w:sz w:val="21"/>
                <w:szCs w:val="21"/>
              </w:rPr>
              <w:t>泄漏</w:t>
            </w:r>
          </w:p>
          <w:p>
            <w:pPr>
              <w:widowControl/>
              <w:spacing w:line="360" w:lineRule="auto"/>
              <w:ind w:firstLine="435"/>
              <w:jc w:val="left"/>
              <w:rPr>
                <w:color w:val="000000"/>
                <w:sz w:val="21"/>
                <w:szCs w:val="21"/>
              </w:rPr>
            </w:pPr>
            <w:r>
              <w:rPr>
                <w:rFonts w:hint="eastAsia"/>
                <w:color w:val="000000"/>
                <w:sz w:val="21"/>
                <w:szCs w:val="21"/>
              </w:rPr>
              <w:t>油罐的泄漏和溢出较易发生。根据统计，储油罐可能发生溢出的原因如下：</w:t>
            </w:r>
            <w:r>
              <w:rPr>
                <w:color w:val="000000"/>
                <w:sz w:val="21"/>
                <w:szCs w:val="21"/>
              </w:rPr>
              <w:t>a.</w:t>
            </w:r>
            <w:r>
              <w:rPr>
                <w:rFonts w:hint="eastAsia"/>
                <w:color w:val="000000"/>
                <w:sz w:val="21"/>
                <w:szCs w:val="21"/>
              </w:rPr>
              <w:t>油罐计量仪表失灵，致使油罐加油过程中灌满溢出；</w:t>
            </w:r>
            <w:r>
              <w:rPr>
                <w:color w:val="000000"/>
                <w:sz w:val="21"/>
                <w:szCs w:val="21"/>
              </w:rPr>
              <w:t>b.</w:t>
            </w:r>
            <w:r>
              <w:rPr>
                <w:rFonts w:hint="eastAsia"/>
                <w:color w:val="000000"/>
                <w:sz w:val="21"/>
                <w:szCs w:val="21"/>
              </w:rPr>
              <w:t>在为储罐加油过程中，由于存在气障气阻，致使油类溢出；</w:t>
            </w:r>
            <w:r>
              <w:rPr>
                <w:color w:val="000000"/>
                <w:sz w:val="21"/>
                <w:szCs w:val="21"/>
              </w:rPr>
              <w:t>c.</w:t>
            </w:r>
            <w:r>
              <w:rPr>
                <w:rFonts w:hint="eastAsia"/>
                <w:color w:val="000000"/>
                <w:sz w:val="21"/>
                <w:szCs w:val="21"/>
              </w:rPr>
              <w:t xml:space="preserve">在加油过程中，由于接口衔接不严密，致使油类溢出。 </w:t>
            </w:r>
          </w:p>
          <w:p>
            <w:pPr>
              <w:widowControl/>
              <w:spacing w:line="360" w:lineRule="auto"/>
              <w:ind w:firstLine="435"/>
              <w:jc w:val="left"/>
              <w:rPr>
                <w:color w:val="000000"/>
                <w:sz w:val="21"/>
                <w:szCs w:val="21"/>
              </w:rPr>
            </w:pPr>
            <w:r>
              <w:rPr>
                <w:rFonts w:hint="eastAsia"/>
                <w:color w:val="000000"/>
                <w:sz w:val="21"/>
                <w:szCs w:val="21"/>
              </w:rPr>
              <w:t>可能发生油罐泄漏的原因如下：</w:t>
            </w:r>
            <w:r>
              <w:rPr>
                <w:color w:val="000000"/>
                <w:sz w:val="21"/>
                <w:szCs w:val="21"/>
              </w:rPr>
              <w:t>a.</w:t>
            </w:r>
            <w:r>
              <w:rPr>
                <w:rFonts w:hint="eastAsia"/>
                <w:color w:val="000000"/>
                <w:sz w:val="21"/>
                <w:szCs w:val="21"/>
              </w:rPr>
              <w:t>输油管道腐蚀致使油类泄漏；</w:t>
            </w:r>
            <w:r>
              <w:rPr>
                <w:color w:val="000000"/>
                <w:sz w:val="21"/>
                <w:szCs w:val="21"/>
              </w:rPr>
              <w:t>b.</w:t>
            </w:r>
            <w:r>
              <w:rPr>
                <w:rFonts w:hint="eastAsia"/>
                <w:color w:val="000000"/>
                <w:sz w:val="21"/>
                <w:szCs w:val="21"/>
              </w:rPr>
              <w:t>由于施工而破坏输油管道；</w:t>
            </w:r>
            <w:r>
              <w:rPr>
                <w:color w:val="000000"/>
                <w:sz w:val="21"/>
                <w:szCs w:val="21"/>
              </w:rPr>
              <w:t>c.</w:t>
            </w:r>
            <w:r>
              <w:rPr>
                <w:rFonts w:hint="eastAsia"/>
                <w:color w:val="000000"/>
                <w:sz w:val="21"/>
                <w:szCs w:val="21"/>
              </w:rPr>
              <w:t>在收发油过程中，由于操作失误，致使油类泄漏；</w:t>
            </w:r>
            <w:r>
              <w:rPr>
                <w:color w:val="000000"/>
                <w:sz w:val="21"/>
                <w:szCs w:val="21"/>
              </w:rPr>
              <w:t>d.</w:t>
            </w:r>
            <w:r>
              <w:rPr>
                <w:rFonts w:hint="eastAsia"/>
                <w:color w:val="000000"/>
                <w:sz w:val="21"/>
                <w:szCs w:val="21"/>
              </w:rPr>
              <w:t xml:space="preserve">各个管道接口不严，致使跑、冒、滴、漏现象的发生。 </w:t>
            </w:r>
          </w:p>
          <w:p>
            <w:pPr>
              <w:widowControl/>
              <w:spacing w:line="360" w:lineRule="auto"/>
              <w:ind w:firstLine="435"/>
              <w:jc w:val="left"/>
              <w:rPr>
                <w:color w:val="000000"/>
                <w:sz w:val="21"/>
                <w:szCs w:val="21"/>
              </w:rPr>
            </w:pPr>
            <w:r>
              <w:rPr>
                <w:rFonts w:hint="eastAsia"/>
                <w:color w:val="000000"/>
                <w:sz w:val="21"/>
                <w:szCs w:val="21"/>
              </w:rPr>
              <w:t xml:space="preserve">溢出和泄漏的油类不仅污染地表水环境，污染地下水，而且对地区水源可能带来不良影响。一旦污染，将难以消除，而且还是引起火灾和爆炸的隐患。 </w:t>
            </w:r>
          </w:p>
          <w:p>
            <w:pPr>
              <w:widowControl/>
              <w:spacing w:line="360" w:lineRule="auto"/>
              <w:ind w:firstLine="435"/>
              <w:jc w:val="left"/>
              <w:rPr>
                <w:color w:val="000000"/>
                <w:sz w:val="21"/>
                <w:szCs w:val="21"/>
              </w:rPr>
            </w:pPr>
            <w:r>
              <w:rPr>
                <w:rFonts w:hint="eastAsia"/>
                <w:b/>
                <w:bCs/>
                <w:color w:val="000000"/>
                <w:sz w:val="21"/>
                <w:szCs w:val="21"/>
              </w:rPr>
              <w:t xml:space="preserve">火灾与爆炸 </w:t>
            </w:r>
          </w:p>
          <w:p>
            <w:pPr>
              <w:widowControl/>
              <w:spacing w:line="360" w:lineRule="auto"/>
              <w:ind w:firstLine="435"/>
              <w:jc w:val="left"/>
              <w:rPr>
                <w:color w:val="000000"/>
                <w:sz w:val="21"/>
                <w:szCs w:val="21"/>
              </w:rPr>
            </w:pPr>
            <w:r>
              <w:rPr>
                <w:rFonts w:hint="eastAsia"/>
                <w:color w:val="000000"/>
                <w:sz w:val="21"/>
                <w:szCs w:val="21"/>
              </w:rPr>
              <w:t xml:space="preserve">有资料表明，储油罐中液位下降时，罐中气体空间增大，罐内气体压力小于大气压力，大量空气补充进入罐内，当达到爆炸极限时，遇火就会发生爆炸。同时，油品输出使罐内形成负压，在罐外燃烧的火焰还会被吸入储油罐内，使罐内油气爆炸。 </w:t>
            </w:r>
          </w:p>
          <w:p>
            <w:pPr>
              <w:widowControl/>
              <w:spacing w:line="360" w:lineRule="auto"/>
              <w:ind w:firstLine="435"/>
              <w:jc w:val="left"/>
              <w:rPr>
                <w:color w:val="000000"/>
                <w:sz w:val="21"/>
                <w:szCs w:val="21"/>
              </w:rPr>
            </w:pPr>
            <w:r>
              <w:rPr>
                <w:rFonts w:hint="eastAsia"/>
                <w:color w:val="000000"/>
                <w:sz w:val="21"/>
                <w:szCs w:val="21"/>
              </w:rPr>
              <w:t>储油罐若要发生火灾及爆炸，必须具备下列条件：</w:t>
            </w:r>
            <w:r>
              <w:rPr>
                <w:color w:val="000000"/>
                <w:sz w:val="21"/>
                <w:szCs w:val="21"/>
              </w:rPr>
              <w:t>a.</w:t>
            </w:r>
            <w:r>
              <w:rPr>
                <w:rFonts w:hint="eastAsia"/>
                <w:color w:val="000000"/>
                <w:sz w:val="21"/>
                <w:szCs w:val="21"/>
              </w:rPr>
              <w:t>油类泄漏或油气蒸发；</w:t>
            </w:r>
            <w:r>
              <w:rPr>
                <w:color w:val="000000"/>
                <w:sz w:val="21"/>
                <w:szCs w:val="21"/>
              </w:rPr>
              <w:t>b.</w:t>
            </w:r>
            <w:r>
              <w:rPr>
                <w:rFonts w:hint="eastAsia"/>
                <w:color w:val="000000"/>
                <w:sz w:val="21"/>
                <w:szCs w:val="21"/>
              </w:rPr>
              <w:t>有足够的空气助燃；</w:t>
            </w:r>
            <w:r>
              <w:rPr>
                <w:color w:val="000000"/>
                <w:sz w:val="21"/>
                <w:szCs w:val="21"/>
              </w:rPr>
              <w:t>c.</w:t>
            </w:r>
            <w:r>
              <w:rPr>
                <w:rFonts w:hint="eastAsia"/>
                <w:color w:val="000000"/>
                <w:sz w:val="21"/>
                <w:szCs w:val="21"/>
              </w:rPr>
              <w:t>油气必须与空气混和，并达到一定的浓度；</w:t>
            </w:r>
            <w:r>
              <w:rPr>
                <w:color w:val="000000"/>
                <w:sz w:val="21"/>
                <w:szCs w:val="21"/>
              </w:rPr>
              <w:t>d.</w:t>
            </w:r>
            <w:r>
              <w:rPr>
                <w:rFonts w:hint="eastAsia"/>
                <w:color w:val="000000"/>
                <w:sz w:val="21"/>
                <w:szCs w:val="21"/>
              </w:rPr>
              <w:t>现场有明火；只有以上四个条件同时具备时，才可能发生火灾和爆炸。根据全国统计，储罐火灾及爆炸事故发生的概率远远低于</w:t>
            </w:r>
            <w:r>
              <w:rPr>
                <w:color w:val="000000"/>
                <w:sz w:val="21"/>
                <w:szCs w:val="21"/>
              </w:rPr>
              <w:t>3.1×10</w:t>
            </w:r>
            <w:r>
              <w:rPr>
                <w:color w:val="000000"/>
                <w:sz w:val="21"/>
                <w:szCs w:val="21"/>
                <w:vertAlign w:val="superscript"/>
              </w:rPr>
              <w:t>-5</w:t>
            </w:r>
            <w:r>
              <w:rPr>
                <w:rFonts w:hint="eastAsia"/>
                <w:color w:val="000000"/>
                <w:sz w:val="21"/>
                <w:szCs w:val="21"/>
              </w:rPr>
              <w:t>次</w:t>
            </w:r>
            <w:r>
              <w:rPr>
                <w:color w:val="000000"/>
                <w:sz w:val="21"/>
                <w:szCs w:val="21"/>
              </w:rPr>
              <w:t>/</w:t>
            </w:r>
            <w:r>
              <w:rPr>
                <w:rFonts w:hint="eastAsia"/>
                <w:color w:val="000000"/>
                <w:sz w:val="21"/>
                <w:szCs w:val="21"/>
              </w:rPr>
              <w:t>年。</w:t>
            </w:r>
          </w:p>
          <w:p>
            <w:pPr>
              <w:widowControl/>
              <w:spacing w:line="360" w:lineRule="auto"/>
              <w:ind w:firstLine="435"/>
              <w:jc w:val="left"/>
              <w:rPr>
                <w:b/>
                <w:color w:val="000000"/>
                <w:sz w:val="21"/>
                <w:szCs w:val="21"/>
              </w:rPr>
            </w:pPr>
            <w:r>
              <w:rPr>
                <w:rFonts w:hint="default" w:ascii="Calibri" w:hAnsi="Calibri" w:cs="Calibri"/>
                <w:b/>
                <w:color w:val="000000"/>
                <w:sz w:val="21"/>
                <w:szCs w:val="21"/>
              </w:rPr>
              <w:t>②</w:t>
            </w:r>
            <w:r>
              <w:rPr>
                <w:b/>
                <w:color w:val="000000"/>
                <w:sz w:val="21"/>
                <w:szCs w:val="21"/>
              </w:rPr>
              <w:t>环境风险分析</w:t>
            </w:r>
          </w:p>
          <w:p>
            <w:pPr>
              <w:widowControl/>
              <w:spacing w:line="360" w:lineRule="auto"/>
              <w:ind w:firstLine="435"/>
              <w:jc w:val="left"/>
              <w:rPr>
                <w:color w:val="000000"/>
                <w:sz w:val="21"/>
                <w:szCs w:val="21"/>
              </w:rPr>
            </w:pPr>
            <w:r>
              <w:rPr>
                <w:rFonts w:hint="eastAsia"/>
                <w:b/>
                <w:bCs/>
                <w:color w:val="000000"/>
                <w:sz w:val="21"/>
                <w:szCs w:val="21"/>
              </w:rPr>
              <w:t xml:space="preserve">加油站着火或爆炸对环境的影响 </w:t>
            </w:r>
          </w:p>
          <w:p>
            <w:pPr>
              <w:widowControl/>
              <w:spacing w:line="360" w:lineRule="auto"/>
              <w:ind w:firstLine="435"/>
              <w:jc w:val="left"/>
              <w:rPr>
                <w:color w:val="000000"/>
                <w:sz w:val="21"/>
                <w:szCs w:val="21"/>
              </w:rPr>
            </w:pPr>
            <w:r>
              <w:rPr>
                <w:rFonts w:hint="eastAsia"/>
                <w:color w:val="000000"/>
                <w:sz w:val="21"/>
                <w:szCs w:val="21"/>
              </w:rPr>
              <w:t xml:space="preserve">加油站属一级防火单位，油罐的燃烧或爆炸引起的后果相当严重，不但会造成人员伤亡和财产损失，大量成品油的泄漏和燃烧，也将给大气环境和地表水及土壤环境造成严重污染，尤其是对地表水和土壤的污染影响将是一个相当长的时间，被污染的水体和土壤中的各种生物及植物将全部死亡，被污染的水体和土壤得到完全净化，恢复其原有的功能，需要十几年甚至上百年的时间。 </w:t>
            </w:r>
          </w:p>
          <w:p>
            <w:pPr>
              <w:widowControl/>
              <w:spacing w:line="360" w:lineRule="auto"/>
              <w:ind w:firstLine="435"/>
              <w:jc w:val="left"/>
              <w:rPr>
                <w:color w:val="000000"/>
                <w:sz w:val="21"/>
                <w:szCs w:val="21"/>
              </w:rPr>
            </w:pPr>
            <w:r>
              <w:rPr>
                <w:rFonts w:hint="eastAsia"/>
                <w:b/>
                <w:bCs/>
                <w:color w:val="000000"/>
                <w:sz w:val="21"/>
                <w:szCs w:val="21"/>
              </w:rPr>
              <w:t xml:space="preserve">储油罐溢出与泄露对环境的影响 </w:t>
            </w:r>
          </w:p>
          <w:p>
            <w:pPr>
              <w:widowControl/>
              <w:spacing w:line="360" w:lineRule="auto"/>
              <w:ind w:firstLine="435"/>
              <w:jc w:val="left"/>
              <w:rPr>
                <w:color w:val="000000"/>
                <w:sz w:val="21"/>
                <w:szCs w:val="21"/>
              </w:rPr>
            </w:pPr>
            <w:r>
              <w:rPr>
                <w:color w:val="000000"/>
                <w:sz w:val="21"/>
                <w:szCs w:val="21"/>
              </w:rPr>
              <w:t>1</w:t>
            </w:r>
            <w:r>
              <w:rPr>
                <w:rFonts w:hint="eastAsia"/>
                <w:color w:val="000000"/>
                <w:sz w:val="21"/>
                <w:szCs w:val="21"/>
              </w:rPr>
              <w:t xml:space="preserve">）对地表水的污染 </w:t>
            </w:r>
          </w:p>
          <w:p>
            <w:pPr>
              <w:widowControl/>
              <w:spacing w:line="360" w:lineRule="auto"/>
              <w:ind w:firstLine="435"/>
              <w:jc w:val="left"/>
              <w:rPr>
                <w:color w:val="000000"/>
                <w:sz w:val="21"/>
                <w:szCs w:val="21"/>
              </w:rPr>
            </w:pPr>
            <w:r>
              <w:rPr>
                <w:rFonts w:hint="eastAsia"/>
                <w:color w:val="000000"/>
                <w:sz w:val="21"/>
                <w:szCs w:val="21"/>
              </w:rPr>
              <w:t xml:space="preserve">泄漏或渗漏的成品油一旦进入地表河流，将造成地表河流的污染，影响范围小到几公里大到几十公里。污染首先将造成地表河流的景观破坏，产生严重的刺鼻气味；其次，由于有机烃类物质难溶于水，大部分上浮在水层表面，形成一层油膜使空气与水隔离，造成水中溶解氧浓度降低，逐渐形成死水，致使水中生物死亡；再次，成品油的主要成分是 </w:t>
            </w:r>
            <w:r>
              <w:rPr>
                <w:color w:val="000000"/>
                <w:sz w:val="21"/>
                <w:szCs w:val="21"/>
              </w:rPr>
              <w:t>C4</w:t>
            </w:r>
            <w:r>
              <w:rPr>
                <w:rFonts w:hint="eastAsia"/>
                <w:color w:val="000000"/>
                <w:sz w:val="21"/>
                <w:szCs w:val="21"/>
              </w:rPr>
              <w:t>～</w:t>
            </w:r>
            <w:r>
              <w:rPr>
                <w:color w:val="000000"/>
                <w:sz w:val="21"/>
                <w:szCs w:val="21"/>
              </w:rPr>
              <w:t xml:space="preserve">C9 </w:t>
            </w:r>
            <w:r>
              <w:rPr>
                <w:rFonts w:hint="eastAsia"/>
                <w:color w:val="000000"/>
                <w:sz w:val="21"/>
                <w:szCs w:val="21"/>
              </w:rPr>
              <w:t xml:space="preserve">的烃类、芳烃类、醇酮类以及卤代烃类有机物，一旦进入水环境，由于可生化性较差，造成被污染水体长时间得不到净化，完全恢复则需十几年、甚至几十年的时间。 </w:t>
            </w:r>
          </w:p>
          <w:p>
            <w:pPr>
              <w:widowControl/>
              <w:spacing w:line="360" w:lineRule="auto"/>
              <w:ind w:firstLine="435"/>
              <w:jc w:val="left"/>
              <w:rPr>
                <w:color w:val="000000"/>
                <w:sz w:val="21"/>
                <w:szCs w:val="21"/>
              </w:rPr>
            </w:pPr>
            <w:r>
              <w:rPr>
                <w:color w:val="000000"/>
                <w:sz w:val="21"/>
                <w:szCs w:val="21"/>
              </w:rPr>
              <w:t>2</w:t>
            </w:r>
            <w:r>
              <w:rPr>
                <w:rFonts w:hint="eastAsia"/>
                <w:color w:val="000000"/>
                <w:sz w:val="21"/>
                <w:szCs w:val="21"/>
              </w:rPr>
              <w:t xml:space="preserve">）对地下水的污染 </w:t>
            </w:r>
          </w:p>
          <w:p>
            <w:pPr>
              <w:widowControl/>
              <w:spacing w:line="360" w:lineRule="auto"/>
              <w:ind w:firstLine="435"/>
              <w:jc w:val="left"/>
              <w:rPr>
                <w:color w:val="000000"/>
                <w:sz w:val="21"/>
                <w:szCs w:val="21"/>
              </w:rPr>
            </w:pPr>
            <w:r>
              <w:rPr>
                <w:rFonts w:hint="eastAsia"/>
                <w:color w:val="000000"/>
                <w:sz w:val="21"/>
                <w:szCs w:val="21"/>
              </w:rPr>
              <w:t xml:space="preserve">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 </w:t>
            </w:r>
          </w:p>
          <w:p>
            <w:pPr>
              <w:widowControl/>
              <w:spacing w:line="360" w:lineRule="auto"/>
              <w:ind w:firstLine="435"/>
              <w:jc w:val="left"/>
              <w:rPr>
                <w:b/>
                <w:color w:val="000000"/>
                <w:sz w:val="21"/>
                <w:szCs w:val="21"/>
              </w:rPr>
            </w:pPr>
            <w:r>
              <w:rPr>
                <w:b/>
                <w:color w:val="000000"/>
                <w:sz w:val="21"/>
                <w:szCs w:val="21"/>
              </w:rPr>
              <w:t>（</w:t>
            </w:r>
            <w:r>
              <w:rPr>
                <w:rFonts w:hint="eastAsia"/>
                <w:b/>
                <w:color w:val="000000"/>
                <w:sz w:val="21"/>
                <w:szCs w:val="21"/>
                <w:lang w:val="en-US" w:eastAsia="zh-CN"/>
              </w:rPr>
              <w:t>3</w:t>
            </w:r>
            <w:r>
              <w:rPr>
                <w:b/>
                <w:color w:val="000000"/>
                <w:sz w:val="21"/>
                <w:szCs w:val="21"/>
              </w:rPr>
              <w:t>）环境</w:t>
            </w:r>
            <w:r>
              <w:rPr>
                <w:rFonts w:hint="eastAsia"/>
                <w:b/>
                <w:color w:val="000000"/>
                <w:sz w:val="21"/>
                <w:szCs w:val="21"/>
                <w:lang w:eastAsia="zh-CN"/>
              </w:rPr>
              <w:t>风</w:t>
            </w:r>
            <w:r>
              <w:rPr>
                <w:rFonts w:hint="eastAsia"/>
                <w:b/>
                <w:color w:val="000000"/>
                <w:sz w:val="21"/>
                <w:szCs w:val="21"/>
              </w:rPr>
              <w:t>险防范措施</w:t>
            </w:r>
          </w:p>
          <w:p>
            <w:pPr>
              <w:widowControl/>
              <w:spacing w:line="360" w:lineRule="auto"/>
              <w:ind w:firstLine="435"/>
              <w:jc w:val="left"/>
              <w:rPr>
                <w:color w:val="000000"/>
                <w:sz w:val="21"/>
                <w:szCs w:val="21"/>
              </w:rPr>
            </w:pPr>
            <w:r>
              <w:rPr>
                <w:rFonts w:hint="eastAsia"/>
                <w:color w:val="000000"/>
                <w:sz w:val="21"/>
                <w:szCs w:val="21"/>
              </w:rPr>
              <w:t xml:space="preserve">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 </w:t>
            </w:r>
          </w:p>
          <w:p>
            <w:pPr>
              <w:widowControl/>
              <w:spacing w:line="360" w:lineRule="auto"/>
              <w:ind w:firstLine="435"/>
              <w:jc w:val="left"/>
              <w:rPr>
                <w:rFonts w:hint="eastAsia"/>
                <w:color w:val="000000"/>
                <w:sz w:val="21"/>
                <w:szCs w:val="21"/>
              </w:rPr>
            </w:pPr>
            <w:r>
              <w:rPr>
                <w:rFonts w:hint="eastAsia"/>
                <w:color w:val="000000"/>
                <w:sz w:val="21"/>
                <w:szCs w:val="21"/>
              </w:rPr>
              <w:t>①总图布置严格按照《汽车加油加气加氢站技术标准》(DB33/T2136-2018)的要求进行设计，严格控制各建、构筑物的安全防护距离；</w:t>
            </w:r>
          </w:p>
          <w:p>
            <w:pPr>
              <w:widowControl/>
              <w:spacing w:line="360" w:lineRule="auto"/>
              <w:ind w:firstLine="435"/>
              <w:jc w:val="left"/>
              <w:rPr>
                <w:rFonts w:hint="eastAsia"/>
                <w:color w:val="000000"/>
                <w:sz w:val="21"/>
                <w:szCs w:val="21"/>
              </w:rPr>
            </w:pPr>
            <w:r>
              <w:rPr>
                <w:rFonts w:hint="eastAsia"/>
                <w:color w:val="000000"/>
                <w:sz w:val="21"/>
                <w:szCs w:val="21"/>
              </w:rPr>
              <w:t>②按有关规范设计设置了有效的消防系统，做到以防为主，安全可靠；工艺设备、</w:t>
            </w:r>
          </w:p>
          <w:p>
            <w:pPr>
              <w:widowControl/>
              <w:spacing w:line="360" w:lineRule="auto"/>
              <w:jc w:val="left"/>
              <w:rPr>
                <w:rFonts w:hint="eastAsia"/>
                <w:color w:val="000000"/>
                <w:sz w:val="21"/>
                <w:szCs w:val="21"/>
              </w:rPr>
            </w:pPr>
            <w:r>
              <w:rPr>
                <w:rFonts w:hint="eastAsia"/>
                <w:color w:val="000000"/>
                <w:sz w:val="21"/>
                <w:szCs w:val="21"/>
              </w:rPr>
              <w:t>运输设施及工艺系统选用了高质、高效可靠性的产品。加油站防爆区电气设备、器材的选型、设计安装及维护均符合《爆炸火灾危电力装置设计规范》(GB50058.82)和《漏电保护器安装与运行》(GB13955-92)的规定；在可能发生成品油挥发及泄漏积聚的场所，设置了可燃气体报警装置；在管沟敷设油品管道的始端、末端和分支处，设置了防静电和防感应雷的联合接地装置；</w:t>
            </w:r>
          </w:p>
          <w:p>
            <w:pPr>
              <w:widowControl/>
              <w:spacing w:line="360" w:lineRule="auto"/>
              <w:ind w:firstLine="435"/>
              <w:jc w:val="left"/>
              <w:rPr>
                <w:rFonts w:hint="eastAsia"/>
                <w:color w:val="000000"/>
                <w:sz w:val="21"/>
                <w:szCs w:val="21"/>
              </w:rPr>
            </w:pPr>
            <w:r>
              <w:rPr>
                <w:rFonts w:hint="eastAsia"/>
                <w:color w:val="000000"/>
                <w:sz w:val="21"/>
                <w:szCs w:val="21"/>
              </w:rPr>
              <w:t>③为防止火灾发生时火势蔓延，在加油站含油污水出口、污水管道出口设置了阀</w:t>
            </w:r>
          </w:p>
          <w:p>
            <w:pPr>
              <w:widowControl/>
              <w:spacing w:line="360" w:lineRule="auto"/>
              <w:jc w:val="left"/>
              <w:rPr>
                <w:rFonts w:hint="eastAsia"/>
                <w:color w:val="000000"/>
                <w:sz w:val="21"/>
                <w:szCs w:val="21"/>
              </w:rPr>
            </w:pPr>
            <w:r>
              <w:rPr>
                <w:rFonts w:hint="eastAsia"/>
                <w:color w:val="000000"/>
                <w:sz w:val="21"/>
                <w:szCs w:val="21"/>
              </w:rPr>
              <w:t>门井和水封井，各种污水井均设了盖板；该项目的土建结构设计单位在进行结构设计时，采取了较大的抗震结构保险系数，增加了加油站的抗震能力；油罐安装高低液位报警器，减少管线接口，油罐的进出口管道采用金属软管连接等。</w:t>
            </w:r>
          </w:p>
          <w:p>
            <w:pPr>
              <w:widowControl/>
              <w:spacing w:line="360" w:lineRule="auto"/>
              <w:ind w:firstLine="435"/>
              <w:jc w:val="left"/>
              <w:rPr>
                <w:rFonts w:hint="eastAsia"/>
                <w:color w:val="000000"/>
                <w:sz w:val="21"/>
                <w:szCs w:val="21"/>
              </w:rPr>
            </w:pPr>
            <w:r>
              <w:rPr>
                <w:rFonts w:hint="eastAsia"/>
                <w:color w:val="000000"/>
                <w:sz w:val="21"/>
                <w:szCs w:val="21"/>
              </w:rPr>
              <w:t>④项目须高度重视储罐区地面及地下储油罐的硬化、防渗、防腐、防漏设计， 对储油罐内外表面、防油堤的内表面、油罐区地面、输油管线外表面均做好防渗防腐处理工作；双层罐和防渗池应符合《汽车加油加气加氢站技术标准》（GB50156-2021）的要求；加强日常维护，专人专职管理和运行，切实防止事故发生。</w:t>
            </w:r>
          </w:p>
          <w:p>
            <w:pPr>
              <w:widowControl/>
              <w:spacing w:line="360" w:lineRule="auto"/>
              <w:ind w:firstLine="435"/>
              <w:jc w:val="left"/>
              <w:rPr>
                <w:rFonts w:hint="eastAsia"/>
                <w:color w:val="000000"/>
                <w:sz w:val="21"/>
                <w:szCs w:val="21"/>
              </w:rPr>
            </w:pPr>
            <w:r>
              <w:rPr>
                <w:rFonts w:hint="eastAsia"/>
                <w:color w:val="000000"/>
                <w:sz w:val="21"/>
                <w:szCs w:val="21"/>
              </w:rPr>
              <w:t>⑤场区内地面采用混凝土硬化，防止生产过程中跑、冒、滴、漏的物料渗入土壤，进而对地下水环境造成污染。污水管道采用防渗管道输送污水。加强管理，注意污水收集、防油泄漏工作，防止污水、油污污染周边地表水河道</w:t>
            </w:r>
          </w:p>
          <w:p>
            <w:pPr>
              <w:widowControl/>
              <w:spacing w:line="360" w:lineRule="auto"/>
              <w:ind w:firstLine="435"/>
              <w:jc w:val="left"/>
              <w:rPr>
                <w:rFonts w:hint="eastAsia"/>
                <w:color w:val="000000"/>
                <w:sz w:val="21"/>
                <w:szCs w:val="21"/>
              </w:rPr>
            </w:pPr>
            <w:r>
              <w:rPr>
                <w:rFonts w:hint="eastAsia"/>
                <w:color w:val="000000"/>
                <w:sz w:val="21"/>
                <w:szCs w:val="21"/>
              </w:rPr>
              <w:t>⑥建立应急救援组织，企业</w:t>
            </w:r>
            <w:r>
              <w:rPr>
                <w:rFonts w:hint="eastAsia"/>
                <w:color w:val="000000" w:themeColor="text1"/>
                <w:sz w:val="21"/>
                <w:szCs w:val="21"/>
                <w14:textFill>
                  <w14:solidFill>
                    <w14:schemeClr w14:val="tx1"/>
                  </w14:solidFill>
                </w14:textFill>
              </w:rPr>
              <w:t>已编制环境风险事故防范措施和应急预案</w:t>
            </w:r>
            <w:r>
              <w:rPr>
                <w:rFonts w:hint="eastAsia"/>
                <w:color w:val="000000"/>
                <w:sz w:val="21"/>
                <w:szCs w:val="21"/>
              </w:rPr>
              <w:t>，本项目建设完成后，企业需将本次扩建纳入现有的应急管理体系制，修订突发环境事件应急预案。</w:t>
            </w:r>
          </w:p>
          <w:p>
            <w:pPr>
              <w:widowControl/>
              <w:spacing w:line="360" w:lineRule="auto"/>
              <w:ind w:firstLine="435"/>
              <w:jc w:val="left"/>
              <w:rPr>
                <w:rFonts w:hint="eastAsia"/>
                <w:b/>
                <w:color w:val="000000"/>
                <w:sz w:val="21"/>
                <w:szCs w:val="21"/>
              </w:rPr>
            </w:pPr>
            <w:r>
              <w:rPr>
                <w:b/>
                <w:color w:val="000000"/>
                <w:sz w:val="21"/>
                <w:szCs w:val="21"/>
              </w:rPr>
              <w:t>（</w:t>
            </w:r>
            <w:r>
              <w:rPr>
                <w:rFonts w:hint="eastAsia"/>
                <w:b/>
                <w:color w:val="000000"/>
                <w:sz w:val="21"/>
                <w:szCs w:val="21"/>
                <w:lang w:val="en-US" w:eastAsia="zh-CN"/>
              </w:rPr>
              <w:t>4</w:t>
            </w:r>
            <w:r>
              <w:rPr>
                <w:b/>
                <w:color w:val="000000"/>
                <w:sz w:val="21"/>
                <w:szCs w:val="21"/>
              </w:rPr>
              <w:t>）分析结论</w:t>
            </w:r>
          </w:p>
          <w:p>
            <w:pPr>
              <w:pStyle w:val="7"/>
              <w:spacing w:after="0" w:line="360" w:lineRule="auto"/>
              <w:ind w:firstLineChars="200"/>
              <w:jc w:val="left"/>
              <w:rPr>
                <w:kern w:val="2"/>
                <w:sz w:val="21"/>
                <w:szCs w:val="21"/>
              </w:rPr>
            </w:pPr>
            <w:r>
              <w:rPr>
                <w:rFonts w:hint="eastAsia"/>
                <w:kern w:val="2"/>
                <w:sz w:val="21"/>
                <w:szCs w:val="21"/>
              </w:rPr>
              <w:t>本项目环境风险简单分析内容见下表。</w:t>
            </w:r>
          </w:p>
          <w:p>
            <w:pPr>
              <w:pStyle w:val="7"/>
              <w:spacing w:after="0" w:line="360" w:lineRule="auto"/>
              <w:ind w:firstLine="422" w:firstLineChars="200"/>
              <w:jc w:val="center"/>
              <w:rPr>
                <w:b/>
                <w:sz w:val="21"/>
                <w:szCs w:val="21"/>
              </w:rPr>
            </w:pPr>
            <w:r>
              <w:rPr>
                <w:rFonts w:hint="eastAsia"/>
                <w:b/>
                <w:sz w:val="21"/>
                <w:szCs w:val="21"/>
              </w:rPr>
              <w:t>表</w:t>
            </w:r>
            <w:r>
              <w:rPr>
                <w:b/>
                <w:sz w:val="21"/>
                <w:szCs w:val="21"/>
              </w:rPr>
              <w:t>4</w:t>
            </w:r>
            <w:r>
              <w:rPr>
                <w:rFonts w:hint="eastAsia"/>
                <w:b/>
                <w:sz w:val="21"/>
                <w:szCs w:val="21"/>
              </w:rPr>
              <w:t>-</w:t>
            </w:r>
            <w:r>
              <w:rPr>
                <w:rFonts w:hint="eastAsia"/>
                <w:b/>
                <w:sz w:val="21"/>
                <w:szCs w:val="21"/>
                <w:lang w:val="en-US" w:eastAsia="zh-CN"/>
              </w:rPr>
              <w:t>10</w:t>
            </w:r>
            <w:r>
              <w:rPr>
                <w:b/>
                <w:sz w:val="21"/>
                <w:szCs w:val="21"/>
              </w:rPr>
              <w:t xml:space="preserve">  </w:t>
            </w:r>
            <w:r>
              <w:rPr>
                <w:rFonts w:hint="eastAsia"/>
                <w:b/>
                <w:sz w:val="21"/>
                <w:szCs w:val="21"/>
              </w:rPr>
              <w:t>建设项目环境风险简单分析内容表</w:t>
            </w:r>
          </w:p>
          <w:tbl>
            <w:tblPr>
              <w:tblStyle w:val="8"/>
              <w:tblW w:w="8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01" w:type="dxa"/>
                  <w:shd w:val="clear" w:color="auto" w:fill="auto"/>
                  <w:vAlign w:val="center"/>
                </w:tcPr>
                <w:p>
                  <w:pPr>
                    <w:pStyle w:val="7"/>
                    <w:spacing w:after="0"/>
                    <w:ind w:firstLine="0" w:firstLineChars="0"/>
                    <w:jc w:val="center"/>
                    <w:rPr>
                      <w:sz w:val="21"/>
                      <w:szCs w:val="21"/>
                    </w:rPr>
                  </w:pPr>
                  <w:r>
                    <w:rPr>
                      <w:rFonts w:hint="eastAsia"/>
                      <w:sz w:val="21"/>
                      <w:szCs w:val="21"/>
                    </w:rPr>
                    <w:t>建设项目名称</w:t>
                  </w:r>
                </w:p>
              </w:tc>
              <w:tc>
                <w:tcPr>
                  <w:tcW w:w="6503" w:type="dxa"/>
                  <w:shd w:val="clear" w:color="auto" w:fill="auto"/>
                  <w:vAlign w:val="center"/>
                </w:tcPr>
                <w:p>
                  <w:pPr>
                    <w:pStyle w:val="7"/>
                    <w:spacing w:after="0"/>
                    <w:ind w:firstLine="0" w:firstLineChars="0"/>
                    <w:jc w:val="center"/>
                    <w:rPr>
                      <w:sz w:val="21"/>
                      <w:szCs w:val="21"/>
                    </w:rPr>
                  </w:pPr>
                  <w:r>
                    <w:rPr>
                      <w:rFonts w:hint="eastAsia"/>
                      <w:sz w:val="21"/>
                      <w:szCs w:val="21"/>
                      <w:lang w:eastAsia="zh-CN"/>
                    </w:rPr>
                    <w:t>中国石化销售有限公司湖南常德桃源新河桥建设项目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01" w:type="dxa"/>
                  <w:shd w:val="clear" w:color="auto" w:fill="auto"/>
                  <w:vAlign w:val="center"/>
                </w:tcPr>
                <w:p>
                  <w:pPr>
                    <w:pStyle w:val="7"/>
                    <w:spacing w:after="0"/>
                    <w:ind w:firstLine="0" w:firstLineChars="0"/>
                    <w:jc w:val="center"/>
                    <w:rPr>
                      <w:sz w:val="21"/>
                      <w:szCs w:val="21"/>
                    </w:rPr>
                  </w:pPr>
                  <w:r>
                    <w:rPr>
                      <w:rFonts w:hint="eastAsia"/>
                      <w:sz w:val="21"/>
                      <w:szCs w:val="21"/>
                    </w:rPr>
                    <w:t>建设地点</w:t>
                  </w:r>
                </w:p>
              </w:tc>
              <w:tc>
                <w:tcPr>
                  <w:tcW w:w="6503" w:type="dxa"/>
                  <w:shd w:val="clear" w:color="auto" w:fill="auto"/>
                  <w:vAlign w:val="center"/>
                </w:tcPr>
                <w:p>
                  <w:pPr>
                    <w:pStyle w:val="7"/>
                    <w:spacing w:after="0"/>
                    <w:ind w:firstLine="0" w:firstLineChars="0"/>
                    <w:jc w:val="center"/>
                    <w:rPr>
                      <w:rFonts w:hint="default"/>
                      <w:sz w:val="21"/>
                      <w:szCs w:val="21"/>
                      <w:lang w:val="en-US"/>
                    </w:rPr>
                  </w:pPr>
                  <w:r>
                    <w:rPr>
                      <w:rFonts w:hint="eastAsia"/>
                      <w:sz w:val="21"/>
                      <w:szCs w:val="21"/>
                      <w:lang w:val="en-US" w:eastAsia="zh-CN"/>
                    </w:rPr>
                    <w:t>桃源县漳江镇白佛阁社区漳江北路019号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01" w:type="dxa"/>
                  <w:shd w:val="clear" w:color="auto" w:fill="auto"/>
                  <w:vAlign w:val="center"/>
                </w:tcPr>
                <w:p>
                  <w:pPr>
                    <w:pStyle w:val="7"/>
                    <w:spacing w:after="0"/>
                    <w:ind w:firstLine="0" w:firstLineChars="0"/>
                    <w:jc w:val="center"/>
                    <w:rPr>
                      <w:sz w:val="21"/>
                      <w:szCs w:val="21"/>
                    </w:rPr>
                  </w:pPr>
                  <w:r>
                    <w:rPr>
                      <w:rFonts w:hint="eastAsia"/>
                      <w:sz w:val="21"/>
                      <w:szCs w:val="21"/>
                    </w:rPr>
                    <w:t>地理坐标</w:t>
                  </w:r>
                </w:p>
              </w:tc>
              <w:tc>
                <w:tcPr>
                  <w:tcW w:w="6503" w:type="dxa"/>
                  <w:shd w:val="clear" w:color="auto" w:fill="auto"/>
                  <w:vAlign w:val="center"/>
                </w:tcPr>
                <w:p>
                  <w:pPr>
                    <w:pStyle w:val="7"/>
                    <w:spacing w:after="0"/>
                    <w:ind w:firstLine="0" w:firstLineChars="0"/>
                    <w:jc w:val="center"/>
                    <w:rPr>
                      <w:sz w:val="21"/>
                      <w:szCs w:val="21"/>
                    </w:rPr>
                  </w:pPr>
                  <w:r>
                    <w:rPr>
                      <w:rFonts w:hint="eastAsia" w:ascii="宋体" w:hAnsi="宋体" w:cs="宋体"/>
                      <w:sz w:val="21"/>
                      <w:szCs w:val="21"/>
                    </w:rPr>
                    <w:t>（</w:t>
                  </w:r>
                  <w:r>
                    <w:rPr>
                      <w:sz w:val="21"/>
                      <w:szCs w:val="21"/>
                      <w:u w:val="single"/>
                    </w:rPr>
                    <w:t xml:space="preserve"> 11</w:t>
                  </w:r>
                  <w:r>
                    <w:rPr>
                      <w:rFonts w:hint="eastAsia"/>
                      <w:sz w:val="21"/>
                      <w:szCs w:val="21"/>
                      <w:u w:val="single"/>
                      <w:lang w:val="en-US" w:eastAsia="zh-CN"/>
                    </w:rPr>
                    <w:t>1</w:t>
                  </w:r>
                  <w:r>
                    <w:rPr>
                      <w:rFonts w:ascii="宋体" w:hAnsi="宋体" w:cs="宋体"/>
                      <w:sz w:val="21"/>
                      <w:szCs w:val="21"/>
                      <w:u w:val="single"/>
                    </w:rPr>
                    <w:t xml:space="preserve"> </w:t>
                  </w:r>
                  <w:r>
                    <w:rPr>
                      <w:rFonts w:hint="eastAsia" w:ascii="宋体" w:hAnsi="宋体" w:cs="宋体"/>
                      <w:sz w:val="21"/>
                      <w:szCs w:val="21"/>
                    </w:rPr>
                    <w:t>度</w:t>
                  </w:r>
                  <w:r>
                    <w:rPr>
                      <w:rFonts w:ascii="宋体" w:hAnsi="宋体" w:cs="宋体"/>
                      <w:sz w:val="21"/>
                      <w:szCs w:val="21"/>
                      <w:u w:val="single"/>
                    </w:rPr>
                    <w:t xml:space="preserve"> </w:t>
                  </w:r>
                  <w:r>
                    <w:rPr>
                      <w:rFonts w:hint="eastAsia" w:ascii="Times New Roman" w:hAnsi="Times New Roman" w:cs="Times New Roman"/>
                      <w:sz w:val="21"/>
                      <w:szCs w:val="21"/>
                      <w:u w:val="single"/>
                      <w:lang w:val="en-US" w:eastAsia="zh-CN"/>
                    </w:rPr>
                    <w:t>28</w:t>
                  </w:r>
                  <w:r>
                    <w:rPr>
                      <w:rFonts w:ascii="宋体" w:hAnsi="宋体" w:cs="宋体"/>
                      <w:sz w:val="21"/>
                      <w:szCs w:val="21"/>
                      <w:u w:val="single"/>
                    </w:rPr>
                    <w:t xml:space="preserve"> </w:t>
                  </w:r>
                  <w:r>
                    <w:rPr>
                      <w:rFonts w:hint="eastAsia" w:ascii="宋体" w:hAnsi="宋体" w:cs="宋体"/>
                      <w:sz w:val="21"/>
                      <w:szCs w:val="21"/>
                    </w:rPr>
                    <w:t>分</w:t>
                  </w:r>
                  <w:r>
                    <w:rPr>
                      <w:rFonts w:ascii="宋体" w:hAnsi="宋体" w:cs="宋体"/>
                      <w:sz w:val="21"/>
                      <w:szCs w:val="21"/>
                      <w:u w:val="single"/>
                    </w:rPr>
                    <w:t xml:space="preserve"> </w:t>
                  </w:r>
                  <w:r>
                    <w:rPr>
                      <w:rFonts w:hint="eastAsia"/>
                      <w:sz w:val="21"/>
                      <w:szCs w:val="21"/>
                      <w:u w:val="single"/>
                      <w:lang w:val="en-US" w:eastAsia="zh-CN"/>
                    </w:rPr>
                    <w:t>37.27</w:t>
                  </w:r>
                  <w:r>
                    <w:rPr>
                      <w:rFonts w:ascii="宋体" w:hAnsi="宋体" w:cs="宋体"/>
                      <w:sz w:val="21"/>
                      <w:szCs w:val="21"/>
                      <w:u w:val="single"/>
                    </w:rPr>
                    <w:t xml:space="preserve"> </w:t>
                  </w:r>
                  <w:r>
                    <w:rPr>
                      <w:rFonts w:hint="eastAsia" w:ascii="宋体" w:hAnsi="宋体" w:cs="宋体"/>
                      <w:sz w:val="21"/>
                      <w:szCs w:val="21"/>
                    </w:rPr>
                    <w:t>秒，</w:t>
                  </w:r>
                  <w:r>
                    <w:rPr>
                      <w:rFonts w:ascii="宋体" w:hAnsi="宋体" w:cs="宋体"/>
                      <w:sz w:val="21"/>
                      <w:szCs w:val="21"/>
                      <w:u w:val="single"/>
                    </w:rPr>
                    <w:t xml:space="preserve">  </w:t>
                  </w:r>
                  <w:r>
                    <w:rPr>
                      <w:rFonts w:hint="cs"/>
                      <w:sz w:val="21"/>
                      <w:szCs w:val="21"/>
                      <w:u w:val="single"/>
                    </w:rPr>
                    <w:t>2</w:t>
                  </w:r>
                  <w:r>
                    <w:rPr>
                      <w:rFonts w:hint="eastAsia"/>
                      <w:sz w:val="21"/>
                      <w:szCs w:val="21"/>
                      <w:u w:val="single"/>
                      <w:lang w:val="en-US" w:eastAsia="zh-CN"/>
                    </w:rPr>
                    <w:t>8</w:t>
                  </w:r>
                  <w:r>
                    <w:rPr>
                      <w:rFonts w:ascii="宋体" w:hAnsi="宋体" w:cs="宋体"/>
                      <w:sz w:val="21"/>
                      <w:szCs w:val="21"/>
                      <w:u w:val="single"/>
                    </w:rPr>
                    <w:t xml:space="preserve"> </w:t>
                  </w:r>
                  <w:r>
                    <w:rPr>
                      <w:rFonts w:hint="eastAsia" w:ascii="宋体" w:hAnsi="宋体" w:cs="宋体"/>
                      <w:sz w:val="21"/>
                      <w:szCs w:val="21"/>
                    </w:rPr>
                    <w:t>度</w:t>
                  </w:r>
                  <w:r>
                    <w:rPr>
                      <w:rFonts w:ascii="宋体" w:hAnsi="宋体" w:cs="宋体"/>
                      <w:sz w:val="21"/>
                      <w:szCs w:val="21"/>
                      <w:u w:val="single"/>
                    </w:rPr>
                    <w:t xml:space="preserve">  </w:t>
                  </w:r>
                  <w:r>
                    <w:rPr>
                      <w:rFonts w:hint="eastAsia"/>
                      <w:sz w:val="21"/>
                      <w:szCs w:val="21"/>
                      <w:u w:val="single"/>
                      <w:lang w:val="en-US" w:eastAsia="zh-CN"/>
                    </w:rPr>
                    <w:t>55</w:t>
                  </w:r>
                  <w:r>
                    <w:rPr>
                      <w:rFonts w:ascii="宋体" w:hAnsi="宋体" w:cs="宋体"/>
                      <w:sz w:val="21"/>
                      <w:szCs w:val="21"/>
                      <w:u w:val="single"/>
                    </w:rPr>
                    <w:t xml:space="preserve"> </w:t>
                  </w:r>
                  <w:r>
                    <w:rPr>
                      <w:rFonts w:hint="eastAsia" w:ascii="宋体" w:hAnsi="宋体" w:cs="宋体"/>
                      <w:sz w:val="21"/>
                      <w:szCs w:val="21"/>
                    </w:rPr>
                    <w:t>分</w:t>
                  </w:r>
                  <w:r>
                    <w:rPr>
                      <w:rFonts w:ascii="宋体" w:hAnsi="宋体" w:cs="宋体"/>
                      <w:sz w:val="21"/>
                      <w:szCs w:val="21"/>
                      <w:u w:val="single"/>
                    </w:rPr>
                    <w:t xml:space="preserve"> </w:t>
                  </w:r>
                  <w:r>
                    <w:rPr>
                      <w:rFonts w:hint="eastAsia"/>
                      <w:sz w:val="21"/>
                      <w:szCs w:val="21"/>
                      <w:u w:val="single"/>
                      <w:lang w:val="en-US" w:eastAsia="zh-CN"/>
                    </w:rPr>
                    <w:t>4.72</w:t>
                  </w:r>
                  <w:r>
                    <w:rPr>
                      <w:rFonts w:hint="eastAsia" w:ascii="宋体" w:hAnsi="宋体" w:cs="宋体"/>
                      <w:sz w:val="21"/>
                      <w:szCs w:val="21"/>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01" w:type="dxa"/>
                  <w:shd w:val="clear" w:color="auto" w:fill="auto"/>
                  <w:vAlign w:val="center"/>
                </w:tcPr>
                <w:p>
                  <w:pPr>
                    <w:pStyle w:val="7"/>
                    <w:spacing w:after="0"/>
                    <w:ind w:firstLine="0" w:firstLineChars="0"/>
                    <w:jc w:val="center"/>
                    <w:rPr>
                      <w:sz w:val="21"/>
                      <w:szCs w:val="21"/>
                    </w:rPr>
                  </w:pPr>
                  <w:r>
                    <w:rPr>
                      <w:rFonts w:hint="eastAsia"/>
                      <w:sz w:val="21"/>
                      <w:szCs w:val="21"/>
                    </w:rPr>
                    <w:t>主要危险物质及分布</w:t>
                  </w:r>
                </w:p>
              </w:tc>
              <w:tc>
                <w:tcPr>
                  <w:tcW w:w="6503" w:type="dxa"/>
                  <w:shd w:val="clear" w:color="auto" w:fill="auto"/>
                  <w:vAlign w:val="center"/>
                </w:tcPr>
                <w:p>
                  <w:pPr>
                    <w:pStyle w:val="7"/>
                    <w:spacing w:after="0"/>
                    <w:ind w:firstLine="0" w:firstLineChars="0"/>
                    <w:jc w:val="center"/>
                    <w:rPr>
                      <w:sz w:val="21"/>
                      <w:szCs w:val="21"/>
                    </w:rPr>
                  </w:pPr>
                  <w:r>
                    <w:rPr>
                      <w:sz w:val="21"/>
                      <w:szCs w:val="21"/>
                    </w:rPr>
                    <w:t>本项目主要危险物质为汽油、柴油，主要分布于加油区及油罐区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01" w:type="dxa"/>
                  <w:shd w:val="clear" w:color="auto" w:fill="auto"/>
                  <w:vAlign w:val="center"/>
                </w:tcPr>
                <w:p>
                  <w:pPr>
                    <w:pStyle w:val="7"/>
                    <w:spacing w:after="0"/>
                    <w:ind w:firstLine="0" w:firstLineChars="0"/>
                    <w:rPr>
                      <w:sz w:val="21"/>
                      <w:szCs w:val="21"/>
                    </w:rPr>
                  </w:pPr>
                  <w:r>
                    <w:rPr>
                      <w:rFonts w:hint="eastAsia"/>
                      <w:sz w:val="21"/>
                      <w:szCs w:val="21"/>
                    </w:rPr>
                    <w:t>环境影响途径及危害后果</w:t>
                  </w:r>
                </w:p>
              </w:tc>
              <w:tc>
                <w:tcPr>
                  <w:tcW w:w="6503" w:type="dxa"/>
                  <w:shd w:val="clear" w:color="auto" w:fill="auto"/>
                  <w:vAlign w:val="center"/>
                </w:tcPr>
                <w:p>
                  <w:pPr>
                    <w:pStyle w:val="7"/>
                    <w:spacing w:after="0"/>
                    <w:ind w:firstLine="0" w:firstLineChars="0"/>
                    <w:jc w:val="left"/>
                    <w:rPr>
                      <w:b/>
                      <w:sz w:val="21"/>
                      <w:szCs w:val="21"/>
                    </w:rPr>
                  </w:pPr>
                  <w:r>
                    <w:rPr>
                      <w:rFonts w:hint="eastAsia"/>
                      <w:b/>
                      <w:sz w:val="21"/>
                      <w:szCs w:val="21"/>
                    </w:rPr>
                    <w:t>环境影响途径：</w:t>
                  </w:r>
                  <w:r>
                    <w:rPr>
                      <w:sz w:val="21"/>
                      <w:szCs w:val="21"/>
                    </w:rPr>
                    <w:t>加油站属易燃易爆场所，主要风险</w:t>
                  </w:r>
                  <w:r>
                    <w:rPr>
                      <w:rFonts w:hint="eastAsia"/>
                      <w:sz w:val="21"/>
                      <w:szCs w:val="21"/>
                    </w:rPr>
                    <w:t>为油罐泄漏和火灾爆炸及火灾爆炸引起的次生废气和事故废水。</w:t>
                  </w:r>
                </w:p>
                <w:p>
                  <w:pPr>
                    <w:pStyle w:val="7"/>
                    <w:spacing w:after="0"/>
                    <w:ind w:firstLine="0" w:firstLineChars="0"/>
                    <w:jc w:val="left"/>
                    <w:rPr>
                      <w:b/>
                      <w:sz w:val="21"/>
                      <w:szCs w:val="21"/>
                    </w:rPr>
                  </w:pPr>
                  <w:r>
                    <w:rPr>
                      <w:rFonts w:hint="eastAsia"/>
                      <w:b/>
                      <w:sz w:val="21"/>
                      <w:szCs w:val="21"/>
                    </w:rPr>
                    <w:t>危害后果：</w:t>
                  </w:r>
                  <w:r>
                    <w:rPr>
                      <w:sz w:val="21"/>
                      <w:szCs w:val="21"/>
                    </w:rPr>
                    <w:t>油品泄漏会对当地地下水、地表水及土壤造成一定程度的污染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1501" w:type="dxa"/>
                  <w:shd w:val="clear" w:color="auto" w:fill="auto"/>
                  <w:vAlign w:val="center"/>
                </w:tcPr>
                <w:p>
                  <w:pPr>
                    <w:pStyle w:val="7"/>
                    <w:spacing w:after="0"/>
                    <w:ind w:left="420" w:hanging="420" w:hangingChars="200"/>
                    <w:rPr>
                      <w:sz w:val="21"/>
                      <w:szCs w:val="21"/>
                    </w:rPr>
                  </w:pPr>
                  <w:r>
                    <w:rPr>
                      <w:rFonts w:hint="eastAsia"/>
                      <w:sz w:val="21"/>
                      <w:szCs w:val="21"/>
                    </w:rPr>
                    <w:t>风险防范措施要求</w:t>
                  </w:r>
                </w:p>
              </w:tc>
              <w:tc>
                <w:tcPr>
                  <w:tcW w:w="6503" w:type="dxa"/>
                  <w:shd w:val="clear" w:color="auto" w:fill="auto"/>
                  <w:vAlign w:val="center"/>
                </w:tcPr>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①加强职工的培训，提高风险防范风险的意识。</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②针对运营中可能发生的异常现象和存在的风险隐患，设置合理可行的技术措施，制定严格的操作规程。</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③建立健全安全、环境管理体系及高效的安全生产机构，一旦发生事故，要做到快速、高效、安全处置。</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④建立应急救援组织，企业已编制环境风险事故防范措施和应急预案，本项目建设完成后，企业需将本次扩建纳入现有的应急管理体系制，修订突发环境事件应急预案。</w:t>
                  </w:r>
                </w:p>
                <w:p>
                  <w:pPr>
                    <w:pStyle w:val="7"/>
                    <w:spacing w:after="0"/>
                    <w:ind w:firstLine="0" w:firstLineChars="0"/>
                    <w:rPr>
                      <w:sz w:val="21"/>
                      <w:szCs w:val="21"/>
                    </w:rPr>
                  </w:pPr>
                  <w:r>
                    <w:rPr>
                      <w:rFonts w:hint="default" w:ascii="Times New Roman" w:hAnsi="Times New Roman" w:cs="Times New Roman"/>
                      <w:sz w:val="21"/>
                      <w:szCs w:val="21"/>
                    </w:rPr>
                    <w:t>⑤建立废水、废气设备运行管理台账。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04" w:type="dxa"/>
                  <w:gridSpan w:val="2"/>
                  <w:shd w:val="clear" w:color="auto" w:fill="auto"/>
                  <w:vAlign w:val="center"/>
                </w:tcPr>
                <w:p>
                  <w:pPr>
                    <w:pStyle w:val="7"/>
                    <w:spacing w:after="0"/>
                    <w:ind w:firstLine="0" w:firstLineChars="0"/>
                    <w:jc w:val="left"/>
                    <w:rPr>
                      <w:b/>
                      <w:sz w:val="21"/>
                      <w:szCs w:val="21"/>
                      <w:u w:val="single"/>
                    </w:rPr>
                  </w:pPr>
                  <w:r>
                    <w:rPr>
                      <w:rFonts w:hint="eastAsia"/>
                      <w:b/>
                      <w:sz w:val="21"/>
                      <w:szCs w:val="21"/>
                      <w:u w:val="single"/>
                    </w:rPr>
                    <w:t>填表说明</w:t>
                  </w:r>
                  <w:r>
                    <w:rPr>
                      <w:b/>
                      <w:sz w:val="21"/>
                      <w:szCs w:val="21"/>
                      <w:u w:val="single"/>
                    </w:rPr>
                    <w:t>:</w:t>
                  </w:r>
                  <w:r>
                    <w:rPr>
                      <w:sz w:val="21"/>
                      <w:szCs w:val="21"/>
                      <w:u w:val="single"/>
                    </w:rPr>
                    <w:t>无</w:t>
                  </w:r>
                </w:p>
              </w:tc>
            </w:tr>
          </w:tbl>
          <w:p>
            <w:pPr>
              <w:widowControl/>
              <w:spacing w:line="360" w:lineRule="auto"/>
              <w:ind w:firstLine="435"/>
              <w:jc w:val="left"/>
              <w:rPr>
                <w:rFonts w:hint="default" w:ascii="Times New Roman" w:hAnsi="Times New Roman" w:cs="Times New Roman"/>
                <w:color w:val="000000"/>
                <w:sz w:val="21"/>
                <w:szCs w:val="21"/>
              </w:rPr>
            </w:pPr>
            <w:r>
              <w:rPr>
                <w:rFonts w:hint="eastAsia"/>
                <w:color w:val="000000"/>
                <w:sz w:val="21"/>
                <w:szCs w:val="21"/>
              </w:rPr>
              <w:t>项目设计、建造和运行要科学规划、合理布置、严格执行防火安全设计规范，保证工程质量，严格安全生产制度，严格日常管理，提高操作人员素质和水平，以减少事故的发生。一旦发生事故，则要根据具体情况采取应急措施，切断火源，防止事故扩大。建设单位只要按照设计要求严格施工，认真执行评价所提出的各项综合风险防范措施后</w:t>
            </w:r>
            <w:r>
              <w:rPr>
                <w:rFonts w:hint="default" w:ascii="Times New Roman" w:hAnsi="Times New Roman" w:cs="Times New Roman"/>
                <w:color w:val="000000"/>
                <w:sz w:val="21"/>
                <w:szCs w:val="21"/>
              </w:rPr>
              <w:t>，可把事故发生的几率降至最低。</w:t>
            </w:r>
          </w:p>
          <w:p>
            <w:pPr>
              <w:widowControl/>
              <w:spacing w:line="360" w:lineRule="auto"/>
              <w:ind w:firstLine="435"/>
              <w:jc w:val="left"/>
              <w:rPr>
                <w:b/>
                <w:color w:val="000000"/>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 xml:space="preserve">   </w:t>
            </w:r>
            <w:r>
              <w:rPr>
                <w:rFonts w:hint="eastAsia"/>
                <w:b/>
                <w:color w:val="000000"/>
                <w:szCs w:val="21"/>
              </w:rPr>
              <w:t>7、自行监测</w:t>
            </w:r>
          </w:p>
          <w:p>
            <w:pPr>
              <w:pStyle w:val="14"/>
              <w:ind w:firstLine="0" w:firstLineChars="0"/>
              <w:jc w:val="center"/>
              <w:rPr>
                <w:rFonts w:ascii="Times New Roman" w:hAnsi="Times New Roman"/>
                <w:b/>
                <w:bCs/>
              </w:rPr>
            </w:pPr>
            <w:r>
              <w:rPr>
                <w:rFonts w:ascii="Times New Roman" w:hAnsi="Times New Roman"/>
                <w:b/>
                <w:bCs/>
              </w:rPr>
              <w:t>表</w:t>
            </w:r>
            <w:r>
              <w:rPr>
                <w:rFonts w:hint="eastAsia" w:ascii="Times New Roman" w:hAnsi="Times New Roman"/>
                <w:b/>
                <w:bCs/>
              </w:rPr>
              <w:t>4</w:t>
            </w:r>
            <w:r>
              <w:rPr>
                <w:rFonts w:ascii="Times New Roman" w:hAnsi="Times New Roman"/>
                <w:b/>
                <w:bCs/>
              </w:rPr>
              <w:t>-1</w:t>
            </w:r>
            <w:r>
              <w:rPr>
                <w:rFonts w:hint="eastAsia" w:ascii="Times New Roman" w:hAnsi="Times New Roman"/>
                <w:b/>
                <w:bCs/>
                <w:lang w:val="en-US" w:eastAsia="zh-CN"/>
              </w:rPr>
              <w:t>1</w:t>
            </w:r>
            <w:r>
              <w:rPr>
                <w:rFonts w:ascii="Times New Roman" w:hAnsi="Times New Roman"/>
                <w:b/>
                <w:bCs/>
              </w:rPr>
              <w:t xml:space="preserve"> 自行监测计划表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widowControl/>
                    <w:spacing w:line="360" w:lineRule="auto"/>
                    <w:jc w:val="left"/>
                    <w:rPr>
                      <w:b/>
                      <w:color w:val="000000"/>
                      <w:szCs w:val="21"/>
                    </w:rPr>
                  </w:pPr>
                  <w:r>
                    <w:rPr>
                      <w:rFonts w:hint="eastAsia"/>
                      <w:b/>
                      <w:color w:val="000000"/>
                      <w:szCs w:val="21"/>
                    </w:rPr>
                    <w:t>污染物类别</w:t>
                  </w:r>
                </w:p>
              </w:tc>
              <w:tc>
                <w:tcPr>
                  <w:tcW w:w="1984" w:type="dxa"/>
                  <w:vAlign w:val="center"/>
                </w:tcPr>
                <w:p>
                  <w:pPr>
                    <w:adjustRightInd w:val="0"/>
                    <w:snapToGrid w:val="0"/>
                    <w:spacing w:line="276" w:lineRule="auto"/>
                    <w:jc w:val="center"/>
                    <w:rPr>
                      <w:b/>
                      <w:color w:val="000000"/>
                      <w:szCs w:val="21"/>
                    </w:rPr>
                  </w:pPr>
                  <w:r>
                    <w:rPr>
                      <w:b/>
                      <w:bCs/>
                      <w:szCs w:val="21"/>
                    </w:rPr>
                    <w:t>监测点位</w:t>
                  </w:r>
                </w:p>
              </w:tc>
              <w:tc>
                <w:tcPr>
                  <w:tcW w:w="1984" w:type="dxa"/>
                  <w:vAlign w:val="center"/>
                </w:tcPr>
                <w:p>
                  <w:pPr>
                    <w:adjustRightInd w:val="0"/>
                    <w:snapToGrid w:val="0"/>
                    <w:spacing w:line="276" w:lineRule="auto"/>
                    <w:jc w:val="center"/>
                    <w:rPr>
                      <w:b/>
                      <w:color w:val="000000"/>
                      <w:szCs w:val="21"/>
                    </w:rPr>
                  </w:pPr>
                  <w:r>
                    <w:rPr>
                      <w:b/>
                      <w:bCs/>
                      <w:szCs w:val="21"/>
                    </w:rPr>
                    <w:t>监测指标</w:t>
                  </w:r>
                </w:p>
              </w:tc>
              <w:tc>
                <w:tcPr>
                  <w:tcW w:w="1984" w:type="dxa"/>
                  <w:vAlign w:val="center"/>
                </w:tcPr>
                <w:p>
                  <w:pPr>
                    <w:adjustRightInd w:val="0"/>
                    <w:snapToGrid w:val="0"/>
                    <w:spacing w:line="276" w:lineRule="auto"/>
                    <w:jc w:val="center"/>
                    <w:rPr>
                      <w:b/>
                      <w:color w:val="000000"/>
                      <w:szCs w:val="21"/>
                    </w:rPr>
                  </w:pPr>
                  <w:r>
                    <w:rPr>
                      <w:b/>
                      <w:bCs/>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restart"/>
                </w:tcPr>
                <w:p>
                  <w:pPr>
                    <w:widowControl/>
                    <w:spacing w:line="360" w:lineRule="auto"/>
                    <w:jc w:val="left"/>
                  </w:pPr>
                </w:p>
                <w:p/>
                <w:p/>
                <w:p>
                  <w:pPr>
                    <w:ind w:firstLine="420" w:firstLineChars="200"/>
                    <w:jc w:val="left"/>
                  </w:pPr>
                  <w:r>
                    <w:rPr>
                      <w:rFonts w:hint="eastAsia"/>
                    </w:rPr>
                    <w:t>废气</w:t>
                  </w:r>
                </w:p>
              </w:tc>
              <w:tc>
                <w:tcPr>
                  <w:tcW w:w="1984" w:type="dxa"/>
                  <w:vAlign w:val="center"/>
                </w:tcPr>
                <w:p>
                  <w:pPr>
                    <w:adjustRightInd w:val="0"/>
                    <w:snapToGrid w:val="0"/>
                    <w:spacing w:line="276" w:lineRule="auto"/>
                    <w:jc w:val="center"/>
                    <w:rPr>
                      <w:b/>
                      <w:color w:val="000000"/>
                      <w:szCs w:val="21"/>
                    </w:rPr>
                  </w:pPr>
                  <w:r>
                    <w:rPr>
                      <w:rFonts w:hint="eastAsia"/>
                      <w:bCs/>
                      <w:szCs w:val="21"/>
                    </w:rPr>
                    <w:t>加油油气回收立管</w:t>
                  </w:r>
                </w:p>
              </w:tc>
              <w:tc>
                <w:tcPr>
                  <w:tcW w:w="1984" w:type="dxa"/>
                  <w:vAlign w:val="center"/>
                </w:tcPr>
                <w:p>
                  <w:pPr>
                    <w:adjustRightInd w:val="0"/>
                    <w:snapToGrid w:val="0"/>
                    <w:spacing w:line="276" w:lineRule="auto"/>
                    <w:jc w:val="center"/>
                    <w:rPr>
                      <w:b/>
                      <w:color w:val="000000"/>
                      <w:szCs w:val="21"/>
                    </w:rPr>
                  </w:pPr>
                  <w:r>
                    <w:rPr>
                      <w:rFonts w:hint="eastAsia" w:ascii="宋体" w:hAnsi="宋体"/>
                      <w:bCs/>
                      <w:szCs w:val="21"/>
                    </w:rPr>
                    <w:t>液阻、密闭性</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widowControl/>
                    <w:spacing w:line="360" w:lineRule="auto"/>
                    <w:jc w:val="left"/>
                    <w:rPr>
                      <w:b/>
                      <w:color w:val="000000"/>
                      <w:szCs w:val="21"/>
                    </w:rPr>
                  </w:pPr>
                </w:p>
              </w:tc>
              <w:tc>
                <w:tcPr>
                  <w:tcW w:w="1984" w:type="dxa"/>
                  <w:vAlign w:val="center"/>
                </w:tcPr>
                <w:p>
                  <w:pPr>
                    <w:adjustRightInd w:val="0"/>
                    <w:snapToGrid w:val="0"/>
                    <w:spacing w:line="276" w:lineRule="auto"/>
                    <w:jc w:val="center"/>
                    <w:rPr>
                      <w:b/>
                      <w:color w:val="000000"/>
                      <w:szCs w:val="21"/>
                    </w:rPr>
                  </w:pPr>
                  <w:r>
                    <w:rPr>
                      <w:rFonts w:hint="eastAsia"/>
                      <w:bCs/>
                      <w:szCs w:val="21"/>
                    </w:rPr>
                    <w:t>加油枪喷管</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气液比</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widowControl/>
                    <w:spacing w:line="360" w:lineRule="auto"/>
                    <w:jc w:val="left"/>
                    <w:rPr>
                      <w:b/>
                      <w:color w:val="000000"/>
                      <w:szCs w:val="21"/>
                    </w:rPr>
                  </w:pPr>
                </w:p>
              </w:tc>
              <w:tc>
                <w:tcPr>
                  <w:tcW w:w="1984" w:type="dxa"/>
                  <w:vAlign w:val="center"/>
                </w:tcPr>
                <w:p>
                  <w:pPr>
                    <w:adjustRightInd w:val="0"/>
                    <w:snapToGrid w:val="0"/>
                    <w:spacing w:line="276" w:lineRule="auto"/>
                    <w:jc w:val="center"/>
                    <w:rPr>
                      <w:b/>
                      <w:color w:val="000000"/>
                      <w:szCs w:val="21"/>
                    </w:rPr>
                  </w:pPr>
                  <w:r>
                    <w:rPr>
                      <w:rFonts w:hint="eastAsia"/>
                      <w:bCs/>
                      <w:szCs w:val="21"/>
                    </w:rPr>
                    <w:t>加油站油气回收系统密闭点</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泄漏检测值</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Merge w:val="continue"/>
                </w:tcPr>
                <w:p>
                  <w:pPr>
                    <w:widowControl/>
                    <w:spacing w:line="360" w:lineRule="auto"/>
                    <w:jc w:val="left"/>
                    <w:rPr>
                      <w:b/>
                      <w:color w:val="000000"/>
                      <w:szCs w:val="21"/>
                    </w:rPr>
                  </w:pPr>
                </w:p>
              </w:tc>
              <w:tc>
                <w:tcPr>
                  <w:tcW w:w="1984" w:type="dxa"/>
                  <w:vAlign w:val="center"/>
                </w:tcPr>
                <w:p>
                  <w:pPr>
                    <w:adjustRightInd w:val="0"/>
                    <w:snapToGrid w:val="0"/>
                    <w:spacing w:line="276" w:lineRule="auto"/>
                    <w:jc w:val="center"/>
                    <w:rPr>
                      <w:b/>
                      <w:color w:val="000000"/>
                      <w:szCs w:val="21"/>
                    </w:rPr>
                  </w:pPr>
                  <w:r>
                    <w:rPr>
                      <w:bCs/>
                      <w:szCs w:val="21"/>
                    </w:rPr>
                    <w:t>厂界</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非甲烷总烃</w:t>
                  </w:r>
                </w:p>
              </w:tc>
              <w:tc>
                <w:tcPr>
                  <w:tcW w:w="1984" w:type="dxa"/>
                  <w:vAlign w:val="center"/>
                </w:tcPr>
                <w:p>
                  <w:pPr>
                    <w:adjustRightInd w:val="0"/>
                    <w:snapToGrid w:val="0"/>
                    <w:spacing w:line="276" w:lineRule="auto"/>
                    <w:jc w:val="center"/>
                    <w:rPr>
                      <w:b/>
                      <w:color w:val="000000"/>
                      <w:szCs w:val="21"/>
                    </w:rPr>
                  </w:pPr>
                  <w:r>
                    <w:rPr>
                      <w:rFonts w:hint="eastAsia"/>
                      <w:color w:val="000000"/>
                      <w:szCs w:val="21"/>
                    </w:rPr>
                    <w:t>1</w:t>
                  </w:r>
                  <w:r>
                    <w:rPr>
                      <w:color w:val="000000"/>
                      <w:szCs w:val="21"/>
                    </w:rPr>
                    <w:t>次</w:t>
                  </w:r>
                  <w:r>
                    <w:rPr>
                      <w:rFonts w:hint="eastAsia"/>
                      <w:color w:val="000000"/>
                      <w:szCs w:val="21"/>
                    </w:rPr>
                    <w:t>/</w:t>
                  </w:r>
                  <w:r>
                    <w:rPr>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984" w:type="dxa"/>
                </w:tcPr>
                <w:p>
                  <w:pPr>
                    <w:widowControl/>
                    <w:spacing w:line="360" w:lineRule="auto"/>
                    <w:jc w:val="left"/>
                  </w:pPr>
                </w:p>
                <w:p/>
                <w:p>
                  <w:pPr>
                    <w:jc w:val="center"/>
                  </w:pPr>
                  <w:r>
                    <w:rPr>
                      <w:rFonts w:hint="eastAsia"/>
                    </w:rPr>
                    <w:t>废水</w:t>
                  </w:r>
                </w:p>
              </w:tc>
              <w:tc>
                <w:tcPr>
                  <w:tcW w:w="1984" w:type="dxa"/>
                  <w:vAlign w:val="center"/>
                </w:tcPr>
                <w:p>
                  <w:pPr>
                    <w:widowControl/>
                    <w:spacing w:line="276" w:lineRule="auto"/>
                    <w:jc w:val="center"/>
                    <w:rPr>
                      <w:bCs/>
                      <w:szCs w:val="21"/>
                    </w:rPr>
                  </w:pPr>
                  <w:r>
                    <w:rPr>
                      <w:color w:val="000000"/>
                      <w:szCs w:val="21"/>
                    </w:rPr>
                    <w:t>废水总排口</w:t>
                  </w:r>
                  <w:r>
                    <w:rPr>
                      <w:rFonts w:hint="eastAsia"/>
                      <w:color w:val="000000"/>
                      <w:szCs w:val="21"/>
                    </w:rPr>
                    <w:t>D</w:t>
                  </w:r>
                  <w:r>
                    <w:rPr>
                      <w:color w:val="000000"/>
                      <w:szCs w:val="21"/>
                    </w:rPr>
                    <w:t>W001</w:t>
                  </w:r>
                </w:p>
              </w:tc>
              <w:tc>
                <w:tcPr>
                  <w:tcW w:w="1984" w:type="dxa"/>
                  <w:vAlign w:val="center"/>
                </w:tcPr>
                <w:p>
                  <w:pPr>
                    <w:widowControl/>
                    <w:spacing w:line="276" w:lineRule="auto"/>
                    <w:jc w:val="center"/>
                    <w:rPr>
                      <w:rFonts w:hint="eastAsia" w:eastAsia="宋体"/>
                      <w:color w:val="000000"/>
                      <w:szCs w:val="21"/>
                      <w:lang w:eastAsia="zh-CN"/>
                    </w:rPr>
                  </w:pPr>
                  <w:r>
                    <w:rPr>
                      <w:rFonts w:hint="eastAsia"/>
                      <w:color w:val="000000"/>
                      <w:szCs w:val="21"/>
                    </w:rPr>
                    <w:t>化学需氧量、氨氮</w:t>
                  </w:r>
                  <w:r>
                    <w:rPr>
                      <w:rFonts w:hint="eastAsia"/>
                      <w:color w:val="000000"/>
                      <w:szCs w:val="21"/>
                      <w:lang w:eastAsia="zh-CN"/>
                    </w:rPr>
                    <w:t>、</w:t>
                  </w:r>
                </w:p>
                <w:p>
                  <w:pPr>
                    <w:widowControl/>
                    <w:spacing w:line="276" w:lineRule="auto"/>
                    <w:jc w:val="center"/>
                    <w:rPr>
                      <w:color w:val="000000"/>
                      <w:szCs w:val="21"/>
                    </w:rPr>
                  </w:pPr>
                  <w:r>
                    <w:rPr>
                      <w:rFonts w:hint="eastAsia"/>
                      <w:color w:val="000000"/>
                      <w:szCs w:val="21"/>
                    </w:rPr>
                    <w:t>pH值、悬浮物、石油类</w:t>
                  </w:r>
                  <w:r>
                    <w:rPr>
                      <w:rFonts w:hint="eastAsia"/>
                      <w:color w:val="000000"/>
                      <w:szCs w:val="21"/>
                      <w:lang w:eastAsia="zh-CN"/>
                    </w:rPr>
                    <w:t>、</w:t>
                  </w:r>
                  <w:r>
                    <w:rPr>
                      <w:rFonts w:hint="eastAsia"/>
                      <w:color w:val="000000"/>
                      <w:szCs w:val="21"/>
                    </w:rPr>
                    <w:t>总有机碳</w:t>
                  </w:r>
                </w:p>
              </w:tc>
              <w:tc>
                <w:tcPr>
                  <w:tcW w:w="1984" w:type="dxa"/>
                  <w:vAlign w:val="center"/>
                </w:tcPr>
                <w:p>
                  <w:pPr>
                    <w:widowControl/>
                    <w:spacing w:line="276" w:lineRule="auto"/>
                    <w:jc w:val="center"/>
                    <w:rPr>
                      <w:color w:val="000000"/>
                      <w:szCs w:val="21"/>
                    </w:rPr>
                  </w:pPr>
                  <w:r>
                    <w:rPr>
                      <w:rFonts w:hint="eastAsia"/>
                      <w:color w:val="000000"/>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widowControl/>
                    <w:spacing w:line="360" w:lineRule="auto"/>
                    <w:jc w:val="center"/>
                    <w:rPr>
                      <w:b/>
                      <w:color w:val="000000"/>
                      <w:szCs w:val="21"/>
                    </w:rPr>
                  </w:pPr>
                  <w:r>
                    <w:rPr>
                      <w:rFonts w:hint="eastAsia"/>
                      <w:bCs/>
                      <w:color w:val="000000"/>
                      <w:szCs w:val="21"/>
                    </w:rPr>
                    <w:t>噪声</w:t>
                  </w:r>
                </w:p>
              </w:tc>
              <w:tc>
                <w:tcPr>
                  <w:tcW w:w="1984" w:type="dxa"/>
                  <w:vAlign w:val="center"/>
                </w:tcPr>
                <w:p>
                  <w:pPr>
                    <w:widowControl/>
                    <w:spacing w:line="360" w:lineRule="auto"/>
                    <w:jc w:val="center"/>
                    <w:rPr>
                      <w:color w:val="000000"/>
                      <w:szCs w:val="21"/>
                    </w:rPr>
                  </w:pPr>
                  <w:r>
                    <w:rPr>
                      <w:color w:val="000000"/>
                      <w:szCs w:val="21"/>
                    </w:rPr>
                    <w:t>厂界四周</w:t>
                  </w:r>
                </w:p>
              </w:tc>
              <w:tc>
                <w:tcPr>
                  <w:tcW w:w="1984" w:type="dxa"/>
                  <w:vAlign w:val="center"/>
                </w:tcPr>
                <w:p>
                  <w:pPr>
                    <w:widowControl/>
                    <w:spacing w:line="360" w:lineRule="auto"/>
                    <w:jc w:val="center"/>
                    <w:rPr>
                      <w:color w:val="000000"/>
                      <w:szCs w:val="21"/>
                    </w:rPr>
                  </w:pPr>
                  <w:r>
                    <w:rPr>
                      <w:color w:val="000000"/>
                      <w:szCs w:val="21"/>
                    </w:rPr>
                    <w:t>等效连续A声级</w:t>
                  </w:r>
                </w:p>
              </w:tc>
              <w:tc>
                <w:tcPr>
                  <w:tcW w:w="1984" w:type="dxa"/>
                  <w:vAlign w:val="center"/>
                </w:tcPr>
                <w:p>
                  <w:pPr>
                    <w:widowControl/>
                    <w:spacing w:line="360" w:lineRule="auto"/>
                    <w:jc w:val="center"/>
                    <w:rPr>
                      <w:color w:val="000000"/>
                      <w:szCs w:val="21"/>
                    </w:rPr>
                  </w:pPr>
                  <w:r>
                    <w:rPr>
                      <w:rFonts w:hint="eastAsia"/>
                      <w:color w:val="000000"/>
                      <w:szCs w:val="21"/>
                    </w:rPr>
                    <w:t>1</w:t>
                  </w:r>
                  <w:r>
                    <w:rPr>
                      <w:color w:val="000000"/>
                      <w:szCs w:val="21"/>
                    </w:rPr>
                    <w:t>次</w:t>
                  </w:r>
                  <w:r>
                    <w:rPr>
                      <w:rFonts w:hint="eastAsia"/>
                      <w:color w:val="000000"/>
                      <w:szCs w:val="21"/>
                    </w:rPr>
                    <w:t>/</w:t>
                  </w:r>
                  <w:r>
                    <w:rPr>
                      <w:color w:val="000000"/>
                      <w:szCs w:val="21"/>
                    </w:rPr>
                    <w:t>季度</w:t>
                  </w:r>
                </w:p>
              </w:tc>
            </w:tr>
          </w:tbl>
          <w:p>
            <w:pPr>
              <w:widowControl/>
              <w:spacing w:line="360" w:lineRule="auto"/>
              <w:ind w:firstLine="435"/>
              <w:jc w:val="center"/>
              <w:rPr>
                <w:rFonts w:hint="default" w:eastAsia="宋体"/>
                <w:color w:val="000000"/>
                <w:sz w:val="21"/>
                <w:szCs w:val="21"/>
                <w:lang w:val="en-US" w:eastAsia="zh-CN"/>
              </w:rPr>
            </w:pPr>
          </w:p>
        </w:tc>
      </w:tr>
    </w:tbl>
    <w:p>
      <w:pPr>
        <w:rPr>
          <w:rFonts w:hint="eastAsia" w:ascii="宋体" w:cs="宋体"/>
          <w:sz w:val="28"/>
          <w:szCs w:val="28"/>
        </w:rPr>
        <w:sectPr>
          <w:footerReference r:id="rId3" w:type="default"/>
          <w:pgSz w:w="11907" w:h="16840"/>
          <w:pgMar w:top="1701" w:right="1531" w:bottom="2126" w:left="1531" w:header="851" w:footer="851" w:gutter="0"/>
          <w:cols w:space="720" w:num="1"/>
          <w:docGrid w:linePitch="312" w:charSpace="0"/>
        </w:sectPr>
      </w:pPr>
    </w:p>
    <w:p>
      <w:pPr>
        <w:pStyle w:val="6"/>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 w:name="_Hlk54167917"/>
      <w:r>
        <w:rPr>
          <w:rFonts w:hint="eastAsia" w:ascii="黑体" w:hAnsi="黑体" w:eastAsia="黑体"/>
          <w:snapToGrid w:val="0"/>
          <w:sz w:val="30"/>
          <w:szCs w:val="30"/>
        </w:rPr>
        <w:t>环境保护措施监督检查清单</w:t>
      </w:r>
      <w:bookmarkEnd w:id="3"/>
    </w:p>
    <w:tbl>
      <w:tblPr>
        <w:tblStyle w:val="8"/>
        <w:tblW w:w="92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868"/>
        <w:gridCol w:w="887"/>
        <w:gridCol w:w="1755"/>
        <w:gridCol w:w="1636"/>
        <w:gridCol w:w="23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adjustRightInd w:val="0"/>
              <w:snapToGrid w:val="0"/>
              <w:spacing w:line="276" w:lineRule="auto"/>
              <w:ind w:firstLine="840"/>
              <w:rPr>
                <w:rFonts w:hint="eastAsia" w:ascii="宋体" w:hAnsi="宋体" w:cs="宋体"/>
                <w:szCs w:val="21"/>
              </w:rPr>
            </w:pPr>
            <w:r>
              <w:rPr>
                <w:rFonts w:hint="eastAsia" w:ascii="宋体" w:hAnsi="宋体" w:cs="宋体"/>
                <w:szCs w:val="21"/>
              </w:rPr>
              <w:t>内容</w:t>
            </w:r>
          </w:p>
          <w:p>
            <w:pPr>
              <w:adjustRightInd w:val="0"/>
              <w:snapToGrid w:val="0"/>
              <w:spacing w:line="276" w:lineRule="auto"/>
              <w:rPr>
                <w:rFonts w:hint="eastAsia" w:ascii="宋体" w:hAnsi="宋体" w:cs="宋体"/>
                <w:szCs w:val="21"/>
              </w:rPr>
            </w:pPr>
            <w:r>
              <w:rPr>
                <w:rFonts w:hint="eastAsia" w:ascii="宋体" w:hAnsi="宋体" w:cs="宋体"/>
                <w:szCs w:val="21"/>
              </w:rPr>
              <w:t>要素</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排放口(编号、</w:t>
            </w:r>
          </w:p>
          <w:p>
            <w:pPr>
              <w:adjustRightInd w:val="0"/>
              <w:snapToGrid w:val="0"/>
              <w:spacing w:line="276" w:lineRule="auto"/>
              <w:jc w:val="center"/>
              <w:rPr>
                <w:rFonts w:hint="eastAsia" w:ascii="宋体" w:hAnsi="宋体" w:cs="宋体"/>
                <w:szCs w:val="21"/>
              </w:rPr>
            </w:pPr>
            <w:r>
              <w:rPr>
                <w:rFonts w:hint="eastAsia" w:ascii="宋体" w:hAnsi="宋体" w:cs="宋体"/>
                <w:szCs w:val="21"/>
              </w:rPr>
              <w:t>名称)/污染源</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污染物项目</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环境保护措施</w:t>
            </w:r>
          </w:p>
        </w:tc>
        <w:tc>
          <w:tcPr>
            <w:tcW w:w="2323"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78" w:type="dxa"/>
            <w:vMerge w:val="restart"/>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大气环境</w:t>
            </w:r>
          </w:p>
        </w:tc>
        <w:tc>
          <w:tcPr>
            <w:tcW w:w="1755" w:type="dxa"/>
            <w:gridSpan w:val="2"/>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eastAsia="宋体" w:cs="宋体"/>
                <w:szCs w:val="21"/>
                <w:lang w:eastAsia="zh-CN"/>
              </w:rPr>
              <w:t>加油</w:t>
            </w:r>
            <w:r>
              <w:rPr>
                <w:rFonts w:hint="eastAsia" w:ascii="宋体" w:hAnsi="宋体" w:cs="宋体"/>
                <w:szCs w:val="21"/>
                <w:lang w:eastAsia="zh-CN"/>
              </w:rPr>
              <w:t>枪</w:t>
            </w:r>
          </w:p>
        </w:tc>
        <w:tc>
          <w:tcPr>
            <w:tcW w:w="1755" w:type="dxa"/>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eastAsia="zh-CN"/>
              </w:rPr>
              <w:t>液阻、气液比、泄漏检测值</w:t>
            </w:r>
          </w:p>
        </w:tc>
        <w:tc>
          <w:tcPr>
            <w:tcW w:w="1636" w:type="dxa"/>
            <w:noWrap w:val="0"/>
            <w:vAlign w:val="center"/>
          </w:tcPr>
          <w:p>
            <w:pPr>
              <w:adjustRightInd w:val="0"/>
              <w:snapToGrid w:val="0"/>
              <w:spacing w:line="276" w:lineRule="auto"/>
              <w:jc w:val="center"/>
              <w:rPr>
                <w:rFonts w:hint="eastAsia" w:ascii="宋体" w:hAnsi="宋体" w:eastAsia="宋体" w:cs="宋体"/>
                <w:szCs w:val="21"/>
                <w:lang w:val="en-US" w:eastAsia="zh-CN"/>
              </w:rPr>
            </w:pPr>
            <w:r>
              <w:rPr>
                <w:rFonts w:hint="eastAsia" w:ascii="宋体" w:hAnsi="宋体" w:cs="宋体"/>
                <w:szCs w:val="21"/>
                <w:lang w:val="en-US" w:eastAsia="zh-CN"/>
              </w:rPr>
              <w:t>加油油气回收系统</w:t>
            </w:r>
          </w:p>
        </w:tc>
        <w:tc>
          <w:tcPr>
            <w:tcW w:w="2323" w:type="dxa"/>
            <w:vMerge w:val="restart"/>
            <w:noWrap w:val="0"/>
            <w:vAlign w:val="center"/>
          </w:tcPr>
          <w:p>
            <w:pPr>
              <w:adjustRightInd w:val="0"/>
              <w:snapToGrid w:val="0"/>
              <w:spacing w:line="276" w:lineRule="auto"/>
              <w:jc w:val="center"/>
              <w:rPr>
                <w:rFonts w:ascii="宋体" w:hAnsi="宋体" w:cs="宋体"/>
                <w:szCs w:val="21"/>
              </w:rPr>
            </w:pPr>
            <w:r>
              <w:rPr>
                <w:rFonts w:hint="eastAsia" w:ascii="宋体" w:hAnsi="宋体" w:cs="宋体"/>
                <w:szCs w:val="21"/>
              </w:rPr>
              <w:t>《加油站大气污染物排放标准》</w:t>
            </w:r>
          </w:p>
          <w:p>
            <w:pPr>
              <w:adjustRightInd w:val="0"/>
              <w:snapToGrid w:val="0"/>
              <w:spacing w:line="276" w:lineRule="auto"/>
              <w:jc w:val="center"/>
              <w:rPr>
                <w:rFonts w:hint="eastAsia" w:ascii="宋体" w:hAnsi="宋体" w:cs="宋体"/>
                <w:szCs w:val="21"/>
              </w:rPr>
            </w:pPr>
            <w:r>
              <w:rPr>
                <w:rFonts w:hint="eastAsia" w:ascii="宋体" w:hAnsi="宋体" w:cs="宋体"/>
                <w:szCs w:val="21"/>
              </w:rPr>
              <w:t>（</w:t>
            </w:r>
            <w:r>
              <w:rPr>
                <w:szCs w:val="21"/>
              </w:rPr>
              <w:t>GB20952-2020</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78" w:type="dxa"/>
            <w:vMerge w:val="continue"/>
            <w:noWrap w:val="0"/>
            <w:vAlign w:val="center"/>
          </w:tcPr>
          <w:p>
            <w:pPr>
              <w:adjustRightInd w:val="0"/>
              <w:snapToGrid w:val="0"/>
              <w:spacing w:line="276" w:lineRule="auto"/>
              <w:jc w:val="center"/>
            </w:pPr>
          </w:p>
        </w:tc>
        <w:tc>
          <w:tcPr>
            <w:tcW w:w="1755" w:type="dxa"/>
            <w:gridSpan w:val="2"/>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eastAsia="zh-CN"/>
              </w:rPr>
              <w:t>油罐</w:t>
            </w:r>
          </w:p>
        </w:tc>
        <w:tc>
          <w:tcPr>
            <w:tcW w:w="1755" w:type="dxa"/>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eastAsia="zh-CN"/>
              </w:rPr>
              <w:t>密闭性、泄漏检测值</w:t>
            </w:r>
          </w:p>
        </w:tc>
        <w:tc>
          <w:tcPr>
            <w:tcW w:w="1636" w:type="dxa"/>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卸油油气回收系统</w:t>
            </w:r>
          </w:p>
        </w:tc>
        <w:tc>
          <w:tcPr>
            <w:tcW w:w="2323" w:type="dxa"/>
            <w:vMerge w:val="continue"/>
            <w:noWrap w:val="0"/>
            <w:vAlign w:val="center"/>
          </w:tcPr>
          <w:p>
            <w:pPr>
              <w:adjustRightInd w:val="0"/>
              <w:snapToGrid w:val="0"/>
              <w:spacing w:line="276" w:lineRule="auto"/>
              <w:jc w:val="center"/>
              <w:rPr>
                <w:rFonts w:hint="eastAsia" w:ascii="宋体" w:hAnsi="宋体" w:eastAsia="宋体" w:cs="宋体"/>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778" w:type="dxa"/>
            <w:vMerge w:val="continue"/>
            <w:noWrap w:val="0"/>
            <w:vAlign w:val="center"/>
          </w:tcPr>
          <w:p>
            <w:pPr>
              <w:adjustRightInd w:val="0"/>
              <w:snapToGrid w:val="0"/>
              <w:spacing w:line="276" w:lineRule="auto"/>
              <w:jc w:val="center"/>
              <w:rPr>
                <w:rFonts w:hint="eastAsia" w:ascii="宋体" w:hAnsi="宋体" w:cs="宋体"/>
                <w:szCs w:val="21"/>
              </w:rPr>
            </w:pPr>
          </w:p>
        </w:tc>
        <w:tc>
          <w:tcPr>
            <w:tcW w:w="1755" w:type="dxa"/>
            <w:gridSpan w:val="2"/>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eastAsia="zh-CN"/>
              </w:rPr>
              <w:t>厂界</w:t>
            </w:r>
          </w:p>
        </w:tc>
        <w:tc>
          <w:tcPr>
            <w:tcW w:w="1755" w:type="dxa"/>
            <w:noWrap w:val="0"/>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eastAsia="zh-CN"/>
              </w:rPr>
              <w:t>非甲烷总烃</w:t>
            </w:r>
          </w:p>
        </w:tc>
        <w:tc>
          <w:tcPr>
            <w:tcW w:w="1636" w:type="dxa"/>
            <w:noWrap w:val="0"/>
            <w:vAlign w:val="center"/>
          </w:tcPr>
          <w:p>
            <w:pPr>
              <w:adjustRightInd w:val="0"/>
              <w:snapToGrid w:val="0"/>
              <w:spacing w:line="276" w:lineRule="auto"/>
              <w:jc w:val="center"/>
              <w:rPr>
                <w:rFonts w:hint="default" w:ascii="宋体" w:hAnsi="宋体" w:eastAsia="宋体" w:cs="宋体"/>
                <w:szCs w:val="21"/>
                <w:lang w:val="en-US" w:eastAsia="zh-CN"/>
              </w:rPr>
            </w:pPr>
            <w:r>
              <w:rPr>
                <w:rFonts w:hint="eastAsia" w:ascii="宋体" w:hAnsi="宋体" w:cs="宋体"/>
                <w:szCs w:val="21"/>
                <w:lang w:val="en-US" w:eastAsia="zh-CN"/>
              </w:rPr>
              <w:t>/</w:t>
            </w:r>
          </w:p>
        </w:tc>
        <w:tc>
          <w:tcPr>
            <w:tcW w:w="2323" w:type="dxa"/>
            <w:vMerge w:val="continue"/>
            <w:noWrap w:val="0"/>
            <w:vAlign w:val="center"/>
          </w:tcPr>
          <w:p>
            <w:pPr>
              <w:adjustRightInd w:val="0"/>
              <w:snapToGrid w:val="0"/>
              <w:spacing w:line="276" w:lineRule="auto"/>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地表水环境</w:t>
            </w:r>
          </w:p>
        </w:tc>
        <w:tc>
          <w:tcPr>
            <w:tcW w:w="868" w:type="dxa"/>
            <w:vMerge w:val="restart"/>
            <w:noWrap w:val="0"/>
            <w:vAlign w:val="center"/>
          </w:tcPr>
          <w:p>
            <w:pPr>
              <w:adjustRightInd w:val="0"/>
              <w:snapToGrid w:val="0"/>
              <w:spacing w:line="276" w:lineRule="auto"/>
              <w:jc w:val="center"/>
              <w:rPr>
                <w:szCs w:val="21"/>
              </w:rPr>
            </w:pPr>
            <w:r>
              <w:rPr>
                <w:szCs w:val="21"/>
              </w:rPr>
              <w:t>DW001</w:t>
            </w:r>
          </w:p>
        </w:tc>
        <w:tc>
          <w:tcPr>
            <w:tcW w:w="887" w:type="dxa"/>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生活污水</w:t>
            </w:r>
          </w:p>
        </w:tc>
        <w:tc>
          <w:tcPr>
            <w:tcW w:w="1755" w:type="dxa"/>
            <w:noWrap w:val="0"/>
            <w:vAlign w:val="center"/>
          </w:tcPr>
          <w:p>
            <w:pPr>
              <w:widowControl/>
              <w:spacing w:line="276" w:lineRule="auto"/>
              <w:jc w:val="center"/>
              <w:rPr>
                <w:rFonts w:ascii="宋体" w:hAnsi="宋体" w:cs="宋体"/>
                <w:kern w:val="0"/>
                <w:sz w:val="24"/>
              </w:rPr>
            </w:pPr>
            <w:r>
              <w:rPr>
                <w:color w:val="000000"/>
                <w:kern w:val="0"/>
                <w:szCs w:val="21"/>
              </w:rPr>
              <w:t>CODCr</w:t>
            </w:r>
            <w:r>
              <w:rPr>
                <w:rFonts w:hint="eastAsia" w:ascii="宋体" w:hAnsi="宋体" w:cs="宋体"/>
                <w:color w:val="000000"/>
                <w:kern w:val="0"/>
                <w:szCs w:val="21"/>
              </w:rPr>
              <w:t>、</w:t>
            </w:r>
            <w:r>
              <w:rPr>
                <w:color w:val="000000"/>
                <w:kern w:val="0"/>
                <w:szCs w:val="21"/>
              </w:rPr>
              <w:t>BOD</w:t>
            </w:r>
            <w:r>
              <w:rPr>
                <w:color w:val="000000"/>
                <w:kern w:val="0"/>
                <w:sz w:val="14"/>
                <w:szCs w:val="14"/>
              </w:rPr>
              <w:t>5</w:t>
            </w:r>
            <w:r>
              <w:rPr>
                <w:rFonts w:hint="eastAsia" w:ascii="宋体" w:hAnsi="宋体" w:cs="宋体"/>
                <w:color w:val="000000"/>
                <w:kern w:val="0"/>
                <w:szCs w:val="21"/>
              </w:rPr>
              <w:t>、</w:t>
            </w:r>
          </w:p>
          <w:p>
            <w:pPr>
              <w:adjustRightInd w:val="0"/>
              <w:snapToGrid w:val="0"/>
              <w:spacing w:line="276" w:lineRule="auto"/>
              <w:jc w:val="center"/>
              <w:rPr>
                <w:rFonts w:hint="eastAsia" w:ascii="宋体" w:hAnsi="宋体" w:cs="宋体"/>
                <w:szCs w:val="21"/>
              </w:rPr>
            </w:pPr>
            <w:r>
              <w:rPr>
                <w:color w:val="000000"/>
                <w:kern w:val="0"/>
                <w:szCs w:val="21"/>
              </w:rPr>
              <w:t>SS</w:t>
            </w:r>
            <w:r>
              <w:rPr>
                <w:rFonts w:hint="eastAsia" w:ascii="宋体" w:hAnsi="宋体" w:cs="宋体"/>
                <w:color w:val="000000"/>
                <w:kern w:val="0"/>
                <w:szCs w:val="21"/>
              </w:rPr>
              <w:t>、氨氮</w:t>
            </w:r>
          </w:p>
        </w:tc>
        <w:tc>
          <w:tcPr>
            <w:tcW w:w="1636" w:type="dxa"/>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经化粪池预处</w:t>
            </w:r>
          </w:p>
          <w:p>
            <w:pPr>
              <w:widowControl/>
              <w:spacing w:line="276" w:lineRule="auto"/>
              <w:jc w:val="center"/>
              <w:rPr>
                <w:rFonts w:ascii="宋体" w:hAnsi="宋体" w:cs="宋体"/>
                <w:kern w:val="0"/>
                <w:sz w:val="24"/>
              </w:rPr>
            </w:pPr>
            <w:r>
              <w:rPr>
                <w:rFonts w:hint="eastAsia" w:ascii="宋体" w:hAnsi="宋体" w:cs="宋体"/>
                <w:color w:val="000000"/>
                <w:kern w:val="0"/>
                <w:szCs w:val="21"/>
              </w:rPr>
              <w:t>理后经管网进</w:t>
            </w:r>
          </w:p>
          <w:p>
            <w:pPr>
              <w:widowControl/>
              <w:spacing w:line="276" w:lineRule="auto"/>
              <w:jc w:val="center"/>
              <w:rPr>
                <w:rFonts w:hint="eastAsia" w:ascii="宋体" w:hAnsi="宋体" w:cs="宋体"/>
                <w:szCs w:val="21"/>
              </w:rPr>
            </w:pPr>
            <w:r>
              <w:rPr>
                <w:rFonts w:hint="eastAsia" w:ascii="宋体" w:hAnsi="宋体" w:cs="宋体"/>
                <w:color w:val="000000"/>
                <w:kern w:val="0"/>
                <w:szCs w:val="21"/>
              </w:rPr>
              <w:t>入</w:t>
            </w:r>
            <w:r>
              <w:rPr>
                <w:rFonts w:hint="eastAsia" w:ascii="宋体" w:hAnsi="宋体" w:cs="宋体"/>
                <w:color w:val="000000"/>
                <w:kern w:val="0"/>
                <w:szCs w:val="21"/>
                <w:lang w:eastAsia="zh-CN"/>
              </w:rPr>
              <w:t>桃源县污水处理厂</w:t>
            </w:r>
          </w:p>
        </w:tc>
        <w:tc>
          <w:tcPr>
            <w:tcW w:w="2323" w:type="dxa"/>
            <w:vMerge w:val="restart"/>
            <w:noWrap w:val="0"/>
            <w:vAlign w:val="center"/>
          </w:tcPr>
          <w:p>
            <w:pPr>
              <w:adjustRightInd w:val="0"/>
              <w:snapToGrid w:val="0"/>
              <w:spacing w:line="276" w:lineRule="auto"/>
              <w:jc w:val="center"/>
              <w:rPr>
                <w:rFonts w:ascii="宋体" w:hAnsi="宋体" w:cs="宋体"/>
                <w:szCs w:val="21"/>
              </w:rPr>
            </w:pPr>
            <w:r>
              <w:rPr>
                <w:rFonts w:hint="eastAsia" w:ascii="宋体" w:hAnsi="宋体" w:cs="宋体"/>
                <w:szCs w:val="21"/>
              </w:rPr>
              <w:t>《污水综合排放标准》（</w:t>
            </w:r>
            <w:r>
              <w:rPr>
                <w:szCs w:val="21"/>
              </w:rPr>
              <w:t>GB8978-1996</w:t>
            </w:r>
            <w:r>
              <w:rPr>
                <w:rFonts w:hint="eastAsia" w:ascii="宋体" w:hAnsi="宋体" w:cs="宋体"/>
                <w:szCs w:val="21"/>
              </w:rPr>
              <w:t>）</w:t>
            </w:r>
          </w:p>
          <w:p>
            <w:pPr>
              <w:adjustRightInd w:val="0"/>
              <w:snapToGrid w:val="0"/>
              <w:spacing w:line="276" w:lineRule="auto"/>
              <w:jc w:val="center"/>
              <w:rPr>
                <w:rFonts w:ascii="宋体" w:hAnsi="宋体" w:cs="宋体"/>
                <w:szCs w:val="21"/>
              </w:rPr>
            </w:pPr>
            <w:r>
              <w:rPr>
                <w:rFonts w:hint="eastAsia" w:ascii="宋体" w:hAnsi="宋体" w:cs="宋体"/>
                <w:szCs w:val="21"/>
              </w:rPr>
              <w:t>表</w:t>
            </w:r>
            <w:r>
              <w:rPr>
                <w:szCs w:val="21"/>
              </w:rPr>
              <w:t>4</w:t>
            </w:r>
            <w:r>
              <w:rPr>
                <w:rFonts w:hint="eastAsia" w:ascii="宋体" w:hAnsi="宋体" w:cs="宋体"/>
                <w:szCs w:val="21"/>
              </w:rPr>
              <w:t>三级标准以及</w:t>
            </w:r>
          </w:p>
          <w:p>
            <w:pPr>
              <w:adjustRightInd w:val="0"/>
              <w:snapToGrid w:val="0"/>
              <w:spacing w:line="276" w:lineRule="auto"/>
              <w:jc w:val="center"/>
              <w:rPr>
                <w:rFonts w:hint="eastAsia" w:ascii="宋体" w:hAnsi="宋体" w:cs="宋体"/>
                <w:szCs w:val="21"/>
              </w:rPr>
            </w:pPr>
            <w:r>
              <w:rPr>
                <w:rFonts w:hint="eastAsia" w:ascii="宋体" w:hAnsi="宋体" w:cs="宋体"/>
                <w:color w:val="000000"/>
                <w:kern w:val="0"/>
                <w:szCs w:val="21"/>
                <w:lang w:eastAsia="zh-CN"/>
              </w:rPr>
              <w:t>桃源县污水处理</w:t>
            </w:r>
            <w:r>
              <w:rPr>
                <w:rFonts w:hint="eastAsia" w:ascii="宋体" w:hAnsi="宋体" w:cs="宋体"/>
                <w:szCs w:val="21"/>
              </w:rPr>
              <w:t>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spacing w:line="276" w:lineRule="auto"/>
              <w:jc w:val="center"/>
              <w:rPr>
                <w:rFonts w:hint="eastAsia" w:ascii="宋体" w:hAnsi="宋体" w:cs="宋体"/>
                <w:szCs w:val="21"/>
              </w:rPr>
            </w:pPr>
          </w:p>
        </w:tc>
        <w:tc>
          <w:tcPr>
            <w:tcW w:w="868" w:type="dxa"/>
            <w:vMerge w:val="continue"/>
            <w:noWrap w:val="0"/>
            <w:vAlign w:val="center"/>
          </w:tcPr>
          <w:p>
            <w:pPr>
              <w:adjustRightInd w:val="0"/>
              <w:snapToGrid w:val="0"/>
              <w:spacing w:line="276" w:lineRule="auto"/>
              <w:jc w:val="center"/>
              <w:rPr>
                <w:rFonts w:hint="eastAsia" w:ascii="宋体" w:hAnsi="宋体" w:cs="宋体"/>
                <w:szCs w:val="21"/>
              </w:rPr>
            </w:pPr>
          </w:p>
        </w:tc>
        <w:tc>
          <w:tcPr>
            <w:tcW w:w="887"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lang w:eastAsia="zh-CN"/>
              </w:rPr>
              <w:t>场地清洗废水</w:t>
            </w:r>
          </w:p>
        </w:tc>
        <w:tc>
          <w:tcPr>
            <w:tcW w:w="1755" w:type="dxa"/>
            <w:noWrap w:val="0"/>
            <w:vAlign w:val="center"/>
          </w:tcPr>
          <w:p>
            <w:pPr>
              <w:widowControl/>
              <w:spacing w:line="276" w:lineRule="auto"/>
              <w:jc w:val="center"/>
              <w:rPr>
                <w:rFonts w:ascii="宋体" w:hAnsi="宋体" w:cs="宋体"/>
                <w:kern w:val="0"/>
                <w:sz w:val="24"/>
              </w:rPr>
            </w:pPr>
            <w:r>
              <w:rPr>
                <w:color w:val="000000"/>
                <w:kern w:val="0"/>
                <w:szCs w:val="21"/>
              </w:rPr>
              <w:t>CODCr</w:t>
            </w:r>
            <w:r>
              <w:rPr>
                <w:rFonts w:hint="eastAsia" w:ascii="宋体" w:hAnsi="宋体" w:cs="宋体"/>
                <w:color w:val="000000"/>
                <w:kern w:val="0"/>
                <w:szCs w:val="21"/>
              </w:rPr>
              <w:t>、</w:t>
            </w:r>
            <w:r>
              <w:rPr>
                <w:color w:val="000000"/>
                <w:kern w:val="0"/>
                <w:szCs w:val="21"/>
              </w:rPr>
              <w:t>SS</w:t>
            </w:r>
            <w:r>
              <w:rPr>
                <w:rFonts w:hint="eastAsia" w:ascii="宋体" w:hAnsi="宋体" w:cs="宋体"/>
                <w:color w:val="000000"/>
                <w:kern w:val="0"/>
                <w:szCs w:val="21"/>
              </w:rPr>
              <w:t>、石</w:t>
            </w:r>
          </w:p>
          <w:p>
            <w:pPr>
              <w:adjustRightInd w:val="0"/>
              <w:snapToGrid w:val="0"/>
              <w:spacing w:line="276" w:lineRule="auto"/>
              <w:jc w:val="center"/>
              <w:rPr>
                <w:rFonts w:hint="eastAsia" w:ascii="宋体" w:hAnsi="宋体" w:cs="宋体"/>
                <w:szCs w:val="21"/>
              </w:rPr>
            </w:pPr>
            <w:r>
              <w:rPr>
                <w:rFonts w:hint="eastAsia" w:ascii="宋体" w:hAnsi="宋体" w:cs="宋体"/>
                <w:color w:val="000000"/>
                <w:kern w:val="0"/>
                <w:szCs w:val="21"/>
              </w:rPr>
              <w:t>油类、</w:t>
            </w:r>
            <w:r>
              <w:rPr>
                <w:color w:val="000000"/>
                <w:kern w:val="0"/>
                <w:szCs w:val="21"/>
              </w:rPr>
              <w:t>LAS</w:t>
            </w:r>
          </w:p>
        </w:tc>
        <w:tc>
          <w:tcPr>
            <w:tcW w:w="1636" w:type="dxa"/>
            <w:noWrap w:val="0"/>
            <w:vAlign w:val="center"/>
          </w:tcPr>
          <w:p>
            <w:pPr>
              <w:widowControl/>
              <w:spacing w:line="276" w:lineRule="auto"/>
              <w:jc w:val="center"/>
              <w:rPr>
                <w:rFonts w:ascii="宋体" w:hAnsi="宋体" w:cs="宋体"/>
                <w:kern w:val="0"/>
                <w:sz w:val="24"/>
              </w:rPr>
            </w:pPr>
            <w:r>
              <w:rPr>
                <w:rFonts w:hint="eastAsia" w:ascii="宋体" w:hAnsi="宋体" w:cs="宋体"/>
                <w:color w:val="000000"/>
                <w:kern w:val="0"/>
                <w:szCs w:val="21"/>
              </w:rPr>
              <w:t>经隔油沉淀池</w:t>
            </w:r>
          </w:p>
          <w:p>
            <w:pPr>
              <w:widowControl/>
              <w:spacing w:line="276" w:lineRule="auto"/>
              <w:jc w:val="center"/>
              <w:rPr>
                <w:rFonts w:ascii="宋体" w:hAnsi="宋体" w:cs="宋体"/>
                <w:kern w:val="0"/>
                <w:sz w:val="24"/>
              </w:rPr>
            </w:pPr>
            <w:r>
              <w:rPr>
                <w:rFonts w:hint="eastAsia" w:ascii="宋体" w:hAnsi="宋体" w:cs="宋体"/>
                <w:color w:val="000000"/>
                <w:kern w:val="0"/>
                <w:szCs w:val="21"/>
              </w:rPr>
              <w:t>预处理后经管</w:t>
            </w:r>
          </w:p>
          <w:p>
            <w:pPr>
              <w:widowControl/>
              <w:spacing w:line="276" w:lineRule="auto"/>
              <w:jc w:val="center"/>
              <w:rPr>
                <w:rFonts w:hint="eastAsia" w:ascii="宋体" w:hAnsi="宋体" w:eastAsia="宋体" w:cs="宋体"/>
                <w:szCs w:val="21"/>
                <w:lang w:eastAsia="zh-CN"/>
              </w:rPr>
            </w:pPr>
            <w:r>
              <w:rPr>
                <w:rFonts w:hint="eastAsia" w:ascii="宋体" w:hAnsi="宋体" w:cs="宋体"/>
                <w:color w:val="000000"/>
                <w:kern w:val="0"/>
                <w:szCs w:val="21"/>
              </w:rPr>
              <w:t>网排入</w:t>
            </w:r>
            <w:r>
              <w:rPr>
                <w:rFonts w:hint="eastAsia" w:ascii="宋体" w:hAnsi="宋体" w:cs="宋体"/>
                <w:color w:val="000000"/>
                <w:kern w:val="0"/>
                <w:szCs w:val="21"/>
                <w:lang w:eastAsia="zh-CN"/>
              </w:rPr>
              <w:t>桃源县污水处理厂</w:t>
            </w:r>
          </w:p>
        </w:tc>
        <w:tc>
          <w:tcPr>
            <w:tcW w:w="2323" w:type="dxa"/>
            <w:vMerge w:val="continue"/>
            <w:noWrap w:val="0"/>
            <w:vAlign w:val="center"/>
          </w:tcPr>
          <w:p>
            <w:pPr>
              <w:adjustRightInd w:val="0"/>
              <w:snapToGrid w:val="0"/>
              <w:spacing w:line="276" w:lineRule="auto"/>
              <w:jc w:val="center"/>
              <w:rPr>
                <w:rFonts w:hint="eastAsia"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声环境</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ascii="宋体" w:hAnsi="宋体" w:cs="宋体"/>
                <w:szCs w:val="21"/>
              </w:rPr>
              <w:t>机械噪声</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color w:val="000000"/>
                <w:szCs w:val="21"/>
              </w:rPr>
              <w:t xml:space="preserve">等效连续 </w:t>
            </w:r>
            <w:r>
              <w:rPr>
                <w:color w:val="000000"/>
                <w:szCs w:val="21"/>
              </w:rPr>
              <w:t xml:space="preserve">A </w:t>
            </w:r>
            <w:r>
              <w:rPr>
                <w:rFonts w:hint="eastAsia"/>
                <w:color w:val="000000"/>
                <w:szCs w:val="21"/>
              </w:rPr>
              <w:t>声级</w:t>
            </w:r>
          </w:p>
        </w:tc>
        <w:tc>
          <w:tcPr>
            <w:tcW w:w="1636" w:type="dxa"/>
            <w:noWrap w:val="0"/>
            <w:vAlign w:val="center"/>
          </w:tcPr>
          <w:p>
            <w:pPr>
              <w:widowControl/>
              <w:spacing w:line="276" w:lineRule="auto"/>
              <w:jc w:val="center"/>
              <w:rPr>
                <w:rFonts w:hint="eastAsia" w:ascii="宋体" w:hAnsi="宋体" w:cs="宋体"/>
                <w:kern w:val="0"/>
                <w:sz w:val="24"/>
              </w:rPr>
            </w:pPr>
            <w:r>
              <w:rPr>
                <w:rFonts w:hint="eastAsia" w:ascii="宋体" w:hAnsi="宋体" w:cs="宋体"/>
                <w:color w:val="000000"/>
                <w:kern w:val="0"/>
                <w:szCs w:val="21"/>
              </w:rPr>
              <w:t>对噪声源采取适当隔音、降噪措施，设置禁鸣标识和减速带</w:t>
            </w:r>
          </w:p>
        </w:tc>
        <w:tc>
          <w:tcPr>
            <w:tcW w:w="2323" w:type="dxa"/>
            <w:noWrap w:val="0"/>
            <w:vAlign w:val="center"/>
          </w:tcPr>
          <w:p>
            <w:pPr>
              <w:widowControl/>
              <w:spacing w:line="276" w:lineRule="auto"/>
              <w:jc w:val="center"/>
              <w:rPr>
                <w:rFonts w:hint="eastAsia" w:ascii="宋体" w:hAnsi="宋体" w:cs="宋体"/>
                <w:kern w:val="0"/>
                <w:sz w:val="24"/>
              </w:rPr>
            </w:pPr>
            <w:r>
              <w:rPr>
                <w:rFonts w:hint="eastAsia" w:ascii="宋体" w:hAnsi="宋体" w:cs="宋体"/>
                <w:color w:val="000000"/>
                <w:kern w:val="0"/>
                <w:szCs w:val="21"/>
              </w:rPr>
              <w:t>《工业企业厂界环境噪声排放标准》</w:t>
            </w:r>
            <w:r>
              <w:rPr>
                <w:color w:val="000000"/>
                <w:kern w:val="0"/>
                <w:szCs w:val="21"/>
              </w:rPr>
              <w:t>2</w:t>
            </w:r>
            <w:r>
              <w:rPr>
                <w:rFonts w:hint="eastAsia" w:ascii="宋体" w:hAnsi="宋体" w:cs="宋体"/>
                <w:color w:val="000000"/>
                <w:kern w:val="0"/>
                <w:szCs w:val="21"/>
              </w:rPr>
              <w:t>类、</w:t>
            </w:r>
            <w:r>
              <w:rPr>
                <w:color w:val="000000"/>
                <w:kern w:val="0"/>
                <w:szCs w:val="21"/>
              </w:rPr>
              <w:t>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电磁辐射</w:t>
            </w:r>
          </w:p>
        </w:tc>
        <w:tc>
          <w:tcPr>
            <w:tcW w:w="1755" w:type="dxa"/>
            <w:gridSpan w:val="2"/>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1755"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1636"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c>
          <w:tcPr>
            <w:tcW w:w="2323"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固体废物</w:t>
            </w:r>
          </w:p>
        </w:tc>
        <w:tc>
          <w:tcPr>
            <w:tcW w:w="7469" w:type="dxa"/>
            <w:gridSpan w:val="5"/>
            <w:noWrap w:val="0"/>
            <w:vAlign w:val="center"/>
          </w:tcPr>
          <w:p>
            <w:pPr>
              <w:widowControl/>
              <w:spacing w:line="276" w:lineRule="auto"/>
              <w:jc w:val="center"/>
              <w:rPr>
                <w:rFonts w:hint="eastAsia" w:ascii="宋体" w:hAnsi="宋体" w:cs="宋体"/>
                <w:color w:val="000000"/>
                <w:kern w:val="0"/>
                <w:szCs w:val="21"/>
              </w:rPr>
            </w:pPr>
            <w:r>
              <w:rPr>
                <w:rFonts w:hint="eastAsia" w:ascii="宋体" w:hAnsi="宋体" w:cs="宋体"/>
                <w:color w:val="000000"/>
                <w:kern w:val="0"/>
                <w:szCs w:val="21"/>
              </w:rPr>
              <w:t>生活垃圾交由环卫部门处理；隔油沉淀池浮油</w:t>
            </w:r>
            <w:r>
              <w:rPr>
                <w:rFonts w:ascii="宋体" w:hAnsi="宋体" w:cs="宋体"/>
                <w:color w:val="000000"/>
                <w:kern w:val="0"/>
                <w:szCs w:val="21"/>
              </w:rPr>
              <w:t>和污泥</w:t>
            </w:r>
            <w:r>
              <w:rPr>
                <w:rFonts w:hint="eastAsia" w:ascii="宋体" w:hAnsi="宋体" w:cs="宋体"/>
                <w:color w:val="000000"/>
                <w:kern w:val="0"/>
                <w:szCs w:val="21"/>
              </w:rPr>
              <w:t>、生产过程产生的含油废手套、废抹布交由有资质的单位处理；油罐油泥由</w:t>
            </w:r>
            <w:r>
              <w:rPr>
                <w:rFonts w:hint="eastAsia" w:ascii="宋体" w:hAnsi="宋体" w:cs="宋体"/>
                <w:color w:val="000000"/>
                <w:kern w:val="0"/>
                <w:szCs w:val="21"/>
                <w:lang w:val="en-US" w:eastAsia="zh-CN"/>
              </w:rPr>
              <w:t>有资质的</w:t>
            </w:r>
            <w:r>
              <w:rPr>
                <w:rFonts w:hint="eastAsia" w:ascii="宋体" w:hAnsi="宋体" w:cs="宋体"/>
                <w:color w:val="000000"/>
                <w:kern w:val="0"/>
                <w:szCs w:val="21"/>
              </w:rPr>
              <w:t>公司处理，不在站内贮存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土壤及地下水</w:t>
            </w:r>
          </w:p>
          <w:p>
            <w:pPr>
              <w:adjustRightInd w:val="0"/>
              <w:snapToGrid w:val="0"/>
              <w:spacing w:line="276" w:lineRule="auto"/>
              <w:jc w:val="center"/>
              <w:rPr>
                <w:rFonts w:hint="eastAsia" w:ascii="宋体" w:hAnsi="宋体" w:cs="宋体"/>
                <w:szCs w:val="21"/>
              </w:rPr>
            </w:pPr>
            <w:r>
              <w:rPr>
                <w:rFonts w:hint="eastAsia" w:ascii="宋体" w:hAnsi="宋体" w:cs="宋体"/>
                <w:szCs w:val="21"/>
              </w:rPr>
              <w:t>污染防治措施</w:t>
            </w:r>
          </w:p>
        </w:tc>
        <w:tc>
          <w:tcPr>
            <w:tcW w:w="7469" w:type="dxa"/>
            <w:gridSpan w:val="5"/>
            <w:noWrap w:val="0"/>
            <w:vAlign w:val="center"/>
          </w:tcPr>
          <w:p>
            <w:pPr>
              <w:spacing w:line="360" w:lineRule="auto"/>
              <w:rPr>
                <w:rFonts w:hint="eastAsia"/>
              </w:rPr>
            </w:pPr>
            <w:r>
              <w:rPr>
                <w:rFonts w:hint="eastAsia"/>
              </w:rPr>
              <w:t>①源头控制：主要包括在工艺、管道、设备采取相应措施，防止和减少污染物泄漏情况，将污染物泄漏的环境风险事故降到最低程度。</w:t>
            </w:r>
          </w:p>
          <w:p>
            <w:pPr>
              <w:spacing w:line="360" w:lineRule="auto"/>
              <w:rPr>
                <w:rFonts w:hint="eastAsia"/>
              </w:rPr>
            </w:pPr>
            <w:r>
              <w:rPr>
                <w:rFonts w:hint="eastAsia"/>
              </w:rPr>
              <w:t>②末端控制：主要包括场内污染区地面的防渗措施和泄漏、渗漏污染物收</w:t>
            </w:r>
          </w:p>
          <w:p>
            <w:pPr>
              <w:spacing w:line="360" w:lineRule="auto"/>
              <w:rPr>
                <w:rFonts w:hint="eastAsia"/>
              </w:rPr>
            </w:pPr>
            <w:r>
              <w:rPr>
                <w:rFonts w:hint="eastAsia"/>
              </w:rPr>
              <w:t>集措施，即在污染区地面进行防渗处理，防止洒落地面的污染物渗入地下，并把滞留在地面的污染物收集起来，集中送至危废暂存间；末端控制采取</w:t>
            </w:r>
          </w:p>
          <w:p>
            <w:pPr>
              <w:spacing w:line="360" w:lineRule="auto"/>
              <w:rPr>
                <w:rFonts w:hint="eastAsia"/>
              </w:rPr>
            </w:pPr>
            <w:r>
              <w:rPr>
                <w:rFonts w:hint="eastAsia"/>
              </w:rPr>
              <w:t>分区防渗，按重点污染防治区、一般污染防治区和非污染区防渗措施有区别的防渗原则，将储罐区、加油岛、隔油沉淀池、废水收集池、危废间等作为重点防渗区，其他区域作为简单防渗区。</w:t>
            </w:r>
          </w:p>
          <w:p>
            <w:pPr>
              <w:spacing w:line="360" w:lineRule="auto"/>
              <w:rPr>
                <w:rFonts w:hint="eastAsia"/>
              </w:rPr>
            </w:pPr>
            <w:r>
              <w:rPr>
                <w:rFonts w:hint="eastAsia"/>
              </w:rPr>
              <w:t>③应急响应：一旦发现地下水、土壤污染情况，立即启动应急预案、采取</w:t>
            </w:r>
          </w:p>
          <w:p>
            <w:pPr>
              <w:spacing w:line="360" w:lineRule="auto"/>
              <w:rPr>
                <w:rFonts w:hint="eastAsia" w:ascii="宋体" w:hAnsi="宋体" w:cs="宋体"/>
                <w:szCs w:val="21"/>
              </w:rPr>
            </w:pPr>
            <w:r>
              <w:rPr>
                <w:rFonts w:hint="eastAsia"/>
              </w:rPr>
              <w:t>应急措施控制地下水、土壤污染，并进行治理修复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生态保护措施</w:t>
            </w:r>
          </w:p>
        </w:tc>
        <w:tc>
          <w:tcPr>
            <w:tcW w:w="7469" w:type="dxa"/>
            <w:gridSpan w:val="5"/>
            <w:noWrap w:val="0"/>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spacing w:line="276" w:lineRule="auto"/>
              <w:jc w:val="center"/>
              <w:rPr>
                <w:rFonts w:ascii="宋体" w:hAnsi="宋体" w:cs="宋体"/>
                <w:spacing w:val="-8"/>
                <w:sz w:val="21"/>
                <w:szCs w:val="21"/>
              </w:rPr>
            </w:pPr>
            <w:r>
              <w:rPr>
                <w:rFonts w:hint="eastAsia" w:ascii="宋体" w:hAnsi="宋体" w:cs="宋体"/>
                <w:spacing w:val="-8"/>
                <w:sz w:val="21"/>
                <w:szCs w:val="21"/>
              </w:rPr>
              <w:t>环境风险</w:t>
            </w:r>
          </w:p>
          <w:p>
            <w:pPr>
              <w:adjustRightInd w:val="0"/>
              <w:snapToGrid w:val="0"/>
              <w:spacing w:line="276" w:lineRule="auto"/>
              <w:jc w:val="center"/>
              <w:rPr>
                <w:rFonts w:hint="eastAsia" w:ascii="宋体" w:hAnsi="宋体" w:cs="宋体"/>
                <w:spacing w:val="-8"/>
                <w:sz w:val="21"/>
                <w:szCs w:val="21"/>
              </w:rPr>
            </w:pPr>
            <w:r>
              <w:rPr>
                <w:rFonts w:hint="eastAsia" w:ascii="宋体" w:hAnsi="宋体" w:cs="宋体"/>
                <w:spacing w:val="-8"/>
                <w:sz w:val="21"/>
                <w:szCs w:val="21"/>
              </w:rPr>
              <w:t>防范措施</w:t>
            </w:r>
          </w:p>
        </w:tc>
        <w:tc>
          <w:tcPr>
            <w:tcW w:w="7469" w:type="dxa"/>
            <w:gridSpan w:val="5"/>
            <w:noWrap w:val="0"/>
            <w:vAlign w:val="center"/>
          </w:tcPr>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①加强职工的培训，提高风险防范风险的意识。</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②针对运营中可能发生的异常现象和存在的风险隐患，设置合理可行的技术措施，制定严格的操作规程。</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③建立健全安全、环境管理体系及高效的安全生产机构，一旦发生事故，要做到快速、高效、安全处置。</w:t>
            </w:r>
          </w:p>
          <w:p>
            <w:pPr>
              <w:adjustRightInd w:val="0"/>
              <w:snapToGrid w:val="0"/>
              <w:spacing w:line="360" w:lineRule="auto"/>
              <w:jc w:val="left"/>
              <w:rPr>
                <w:rFonts w:hint="default" w:ascii="Times New Roman" w:hAnsi="Times New Roman" w:cs="Times New Roman"/>
                <w:sz w:val="21"/>
                <w:szCs w:val="21"/>
              </w:rPr>
            </w:pPr>
            <w:r>
              <w:rPr>
                <w:rFonts w:hint="default" w:ascii="Times New Roman" w:hAnsi="Times New Roman" w:cs="Times New Roman"/>
                <w:sz w:val="21"/>
                <w:szCs w:val="21"/>
              </w:rPr>
              <w:t>④建立应急救援组织，企业已编制环境风险事故防范措施和应急预案，本项目建设完成后，企业需将本次扩建纳入现有的应急管理体系制，修订突发环境事件应急预案。</w:t>
            </w:r>
          </w:p>
          <w:p>
            <w:pPr>
              <w:adjustRightInd w:val="0"/>
              <w:snapToGrid w:val="0"/>
              <w:spacing w:line="360" w:lineRule="auto"/>
              <w:jc w:val="left"/>
              <w:rPr>
                <w:rFonts w:hint="eastAsia" w:ascii="宋体" w:hAnsi="宋体" w:cs="宋体"/>
                <w:sz w:val="21"/>
                <w:szCs w:val="21"/>
              </w:rPr>
            </w:pPr>
            <w:r>
              <w:rPr>
                <w:rFonts w:hint="default" w:ascii="Times New Roman" w:hAnsi="Times New Roman" w:cs="Times New Roman"/>
                <w:sz w:val="21"/>
                <w:szCs w:val="21"/>
              </w:rPr>
              <w:t>⑤建立废水、废气设备运行管理台账。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pPr>
              <w:adjustRightInd w:val="0"/>
              <w:snapToGrid w:val="0"/>
              <w:jc w:val="center"/>
              <w:rPr>
                <w:rFonts w:ascii="宋体" w:hAnsi="宋体" w:cs="宋体"/>
                <w:spacing w:val="-8"/>
                <w:sz w:val="21"/>
                <w:szCs w:val="21"/>
              </w:rPr>
            </w:pPr>
            <w:r>
              <w:rPr>
                <w:rFonts w:hint="eastAsia" w:ascii="宋体" w:hAnsi="宋体" w:cs="宋体"/>
                <w:spacing w:val="-8"/>
                <w:sz w:val="21"/>
                <w:szCs w:val="21"/>
              </w:rPr>
              <w:t>其他环境</w:t>
            </w:r>
          </w:p>
          <w:p>
            <w:pPr>
              <w:adjustRightInd w:val="0"/>
              <w:snapToGrid w:val="0"/>
              <w:jc w:val="center"/>
              <w:rPr>
                <w:rFonts w:hint="eastAsia" w:ascii="宋体" w:hAnsi="宋体" w:cs="宋体"/>
                <w:spacing w:val="-8"/>
                <w:sz w:val="21"/>
                <w:szCs w:val="21"/>
              </w:rPr>
            </w:pPr>
            <w:r>
              <w:rPr>
                <w:rFonts w:hint="eastAsia" w:ascii="宋体" w:hAnsi="宋体" w:cs="宋体"/>
                <w:spacing w:val="-8"/>
                <w:sz w:val="21"/>
                <w:szCs w:val="21"/>
              </w:rPr>
              <w:t>管理要求</w:t>
            </w:r>
          </w:p>
        </w:tc>
        <w:tc>
          <w:tcPr>
            <w:tcW w:w="7469" w:type="dxa"/>
            <w:gridSpan w:val="5"/>
            <w:noWrap w:val="0"/>
            <w:vAlign w:val="center"/>
          </w:tcPr>
          <w:p>
            <w:pPr>
              <w:adjustRightInd w:val="0"/>
              <w:snapToGrid w:val="0"/>
              <w:spacing w:line="360" w:lineRule="auto"/>
              <w:rPr>
                <w:rFonts w:ascii="宋体" w:hAnsi="宋体" w:cs="宋体"/>
                <w:b/>
                <w:sz w:val="21"/>
                <w:szCs w:val="21"/>
              </w:rPr>
            </w:pPr>
            <w:r>
              <w:rPr>
                <w:rFonts w:ascii="宋体" w:hAnsi="宋体" w:cs="宋体"/>
                <w:sz w:val="21"/>
                <w:szCs w:val="21"/>
              </w:rPr>
              <w:t xml:space="preserve">    </w:t>
            </w:r>
            <w:r>
              <w:rPr>
                <w:rFonts w:ascii="宋体" w:hAnsi="宋体" w:cs="宋体"/>
                <w:b/>
                <w:sz w:val="21"/>
                <w:szCs w:val="21"/>
              </w:rPr>
              <w:t>一、环境管理机构</w:t>
            </w:r>
          </w:p>
          <w:p>
            <w:pPr>
              <w:adjustRightInd w:val="0"/>
              <w:snapToGrid w:val="0"/>
              <w:spacing w:line="360" w:lineRule="auto"/>
              <w:ind w:firstLine="420"/>
              <w:rPr>
                <w:rFonts w:hint="eastAsia"/>
                <w:sz w:val="21"/>
                <w:szCs w:val="21"/>
              </w:rPr>
            </w:pPr>
            <w:r>
              <w:rPr>
                <w:rFonts w:hint="eastAsia" w:ascii="宋体" w:hAnsi="宋体" w:cs="宋体"/>
                <w:sz w:val="21"/>
                <w:szCs w:val="21"/>
              </w:rPr>
              <w:t>加油站</w:t>
            </w:r>
            <w:r>
              <w:rPr>
                <w:rFonts w:hint="eastAsia"/>
                <w:sz w:val="21"/>
                <w:szCs w:val="21"/>
              </w:rPr>
              <w:t>设</w:t>
            </w:r>
            <w:r>
              <w:rPr>
                <w:rFonts w:hint="eastAsia"/>
                <w:sz w:val="21"/>
                <w:szCs w:val="21"/>
                <w:lang w:eastAsia="zh-CN"/>
              </w:rPr>
              <w:t>置</w:t>
            </w:r>
            <w:r>
              <w:rPr>
                <w:rFonts w:hint="eastAsia"/>
                <w:sz w:val="21"/>
                <w:szCs w:val="21"/>
              </w:rPr>
              <w:t>专门的环境管理机构。基本任务之一是负责组织落实、监督本企业的环境保护工作。</w:t>
            </w:r>
          </w:p>
          <w:p>
            <w:pPr>
              <w:adjustRightInd w:val="0"/>
              <w:snapToGrid w:val="0"/>
              <w:spacing w:line="360" w:lineRule="auto"/>
              <w:ind w:firstLine="420"/>
              <w:rPr>
                <w:rFonts w:hint="eastAsia" w:ascii="宋体" w:hAnsi="宋体" w:cs="宋体"/>
                <w:b/>
                <w:sz w:val="21"/>
                <w:szCs w:val="21"/>
              </w:rPr>
            </w:pPr>
            <w:r>
              <w:rPr>
                <w:rFonts w:hint="eastAsia" w:ascii="宋体" w:hAnsi="宋体" w:cs="宋体"/>
                <w:b/>
                <w:sz w:val="21"/>
                <w:szCs w:val="21"/>
                <w:lang w:eastAsia="zh-CN"/>
              </w:rPr>
              <w:t>二</w:t>
            </w:r>
            <w:r>
              <w:rPr>
                <w:rFonts w:ascii="宋体" w:hAnsi="宋体" w:cs="宋体"/>
                <w:b/>
                <w:sz w:val="21"/>
                <w:szCs w:val="21"/>
              </w:rPr>
              <w:t>、排污许可管理制度</w:t>
            </w:r>
          </w:p>
          <w:p>
            <w:pPr>
              <w:widowControl/>
              <w:spacing w:line="360" w:lineRule="auto"/>
              <w:ind w:firstLine="435"/>
              <w:jc w:val="left"/>
              <w:rPr>
                <w:rFonts w:ascii="宋体" w:hAnsi="宋体" w:cs="宋体"/>
                <w:color w:val="000000"/>
                <w:kern w:val="0"/>
                <w:sz w:val="21"/>
                <w:szCs w:val="21"/>
              </w:rPr>
            </w:pPr>
            <w:r>
              <w:rPr>
                <w:rFonts w:hint="eastAsia" w:ascii="宋体" w:hAnsi="宋体" w:cs="宋体"/>
                <w:color w:val="000000"/>
                <w:kern w:val="0"/>
                <w:sz w:val="21"/>
                <w:szCs w:val="21"/>
              </w:rPr>
              <w:t>根据《排污许可证申请与核发技术规范总则》（</w:t>
            </w:r>
            <w:r>
              <w:rPr>
                <w:color w:val="000000"/>
                <w:kern w:val="0"/>
                <w:sz w:val="21"/>
                <w:szCs w:val="21"/>
              </w:rPr>
              <w:t>HJ942-2018</w:t>
            </w:r>
            <w:r>
              <w:rPr>
                <w:rFonts w:hint="eastAsia" w:ascii="宋体" w:hAnsi="宋体" w:cs="宋体"/>
                <w:color w:val="000000"/>
                <w:kern w:val="0"/>
                <w:sz w:val="21"/>
                <w:szCs w:val="21"/>
              </w:rPr>
              <w:t>）、《排污许可管理办法（试行）》（环保部令第</w:t>
            </w:r>
            <w:r>
              <w:rPr>
                <w:color w:val="000000"/>
                <w:kern w:val="0"/>
                <w:sz w:val="21"/>
                <w:szCs w:val="21"/>
              </w:rPr>
              <w:t>48</w:t>
            </w:r>
            <w:r>
              <w:rPr>
                <w:rFonts w:hint="eastAsia" w:ascii="宋体" w:hAnsi="宋体" w:cs="宋体"/>
                <w:color w:val="000000"/>
                <w:kern w:val="0"/>
                <w:sz w:val="21"/>
                <w:szCs w:val="21"/>
              </w:rPr>
              <w:t>号）及《固定污染源排污许可分类管理名录（</w:t>
            </w:r>
            <w:r>
              <w:rPr>
                <w:color w:val="000000"/>
                <w:kern w:val="0"/>
                <w:sz w:val="21"/>
                <w:szCs w:val="21"/>
              </w:rPr>
              <w:t xml:space="preserve">2019 </w:t>
            </w:r>
            <w:r>
              <w:rPr>
                <w:rFonts w:hint="eastAsia" w:ascii="宋体" w:hAnsi="宋体" w:cs="宋体"/>
                <w:color w:val="000000"/>
                <w:kern w:val="0"/>
                <w:sz w:val="21"/>
                <w:szCs w:val="21"/>
              </w:rPr>
              <w:t>年版）》（第</w:t>
            </w:r>
            <w:r>
              <w:rPr>
                <w:color w:val="000000"/>
                <w:kern w:val="0"/>
                <w:sz w:val="21"/>
                <w:szCs w:val="21"/>
              </w:rPr>
              <w:t>11</w:t>
            </w:r>
            <w:r>
              <w:rPr>
                <w:rFonts w:hint="eastAsia" w:ascii="宋体" w:hAnsi="宋体" w:cs="宋体"/>
                <w:color w:val="000000"/>
                <w:kern w:val="0"/>
                <w:sz w:val="21"/>
                <w:szCs w:val="21"/>
              </w:rPr>
              <w:t>号令），本项目属于“四十二、零售业</w:t>
            </w:r>
            <w:r>
              <w:rPr>
                <w:color w:val="000000"/>
                <w:kern w:val="0"/>
                <w:sz w:val="21"/>
                <w:szCs w:val="21"/>
              </w:rPr>
              <w:t>52</w:t>
            </w:r>
            <w:r>
              <w:rPr>
                <w:rFonts w:hint="eastAsia" w:ascii="宋体" w:hAnsi="宋体" w:cs="宋体"/>
                <w:color w:val="000000"/>
                <w:kern w:val="0"/>
                <w:sz w:val="21"/>
                <w:szCs w:val="21"/>
              </w:rPr>
              <w:t>——</w:t>
            </w:r>
            <w:r>
              <w:rPr>
                <w:color w:val="000000"/>
                <w:kern w:val="0"/>
                <w:sz w:val="21"/>
                <w:szCs w:val="21"/>
              </w:rPr>
              <w:t>100.</w:t>
            </w:r>
            <w:r>
              <w:rPr>
                <w:rFonts w:hint="eastAsia" w:ascii="宋体" w:hAnsi="宋体" w:cs="宋体"/>
                <w:color w:val="000000"/>
                <w:kern w:val="0"/>
                <w:sz w:val="21"/>
                <w:szCs w:val="21"/>
              </w:rPr>
              <w:t xml:space="preserve">汽车、摩托车、零配件和燃料及其他动力销售 </w:t>
            </w:r>
            <w:r>
              <w:rPr>
                <w:color w:val="000000"/>
                <w:kern w:val="0"/>
                <w:sz w:val="21"/>
                <w:szCs w:val="21"/>
              </w:rPr>
              <w:t>526</w:t>
            </w:r>
            <w:r>
              <w:rPr>
                <w:rFonts w:hint="eastAsia" w:ascii="宋体" w:hAnsi="宋体" w:cs="宋体"/>
                <w:color w:val="000000"/>
                <w:kern w:val="0"/>
                <w:sz w:val="21"/>
                <w:szCs w:val="21"/>
              </w:rPr>
              <w:t>”中位于城市建成区的加油站，</w:t>
            </w:r>
            <w:r>
              <w:rPr>
                <w:rFonts w:hint="eastAsia" w:ascii="宋体" w:hAnsi="宋体" w:cs="宋体"/>
                <w:color w:val="000000"/>
                <w:kern w:val="0"/>
                <w:sz w:val="21"/>
                <w:szCs w:val="21"/>
                <w:lang w:eastAsia="zh-CN"/>
              </w:rPr>
              <w:t>已纳入</w:t>
            </w:r>
            <w:r>
              <w:rPr>
                <w:rFonts w:hint="eastAsia" w:ascii="宋体" w:hAnsi="宋体" w:cs="宋体"/>
                <w:color w:val="000000"/>
                <w:kern w:val="0"/>
                <w:sz w:val="21"/>
                <w:szCs w:val="21"/>
              </w:rPr>
              <w:t>为简化管理，</w:t>
            </w:r>
            <w:r>
              <w:rPr>
                <w:rFonts w:hint="eastAsia" w:ascii="宋体" w:hAnsi="宋体" w:cs="宋体"/>
                <w:color w:val="000000"/>
                <w:kern w:val="0"/>
                <w:sz w:val="21"/>
                <w:szCs w:val="21"/>
                <w:lang w:eastAsia="zh-CN"/>
              </w:rPr>
              <w:t>建设单位原有登记管理已注销，正在申领排污许可证</w:t>
            </w:r>
            <w:r>
              <w:rPr>
                <w:rFonts w:hint="eastAsia" w:ascii="宋体" w:hAnsi="宋体" w:cs="宋体"/>
                <w:color w:val="000000"/>
                <w:kern w:val="0"/>
                <w:sz w:val="21"/>
                <w:szCs w:val="21"/>
              </w:rPr>
              <w:t>。</w:t>
            </w:r>
          </w:p>
          <w:p>
            <w:pPr>
              <w:widowControl/>
              <w:spacing w:line="360" w:lineRule="auto"/>
              <w:ind w:firstLine="435"/>
              <w:jc w:val="left"/>
              <w:rPr>
                <w:b/>
                <w:color w:val="000000"/>
                <w:sz w:val="21"/>
                <w:szCs w:val="21"/>
              </w:rPr>
            </w:pPr>
            <w:r>
              <w:rPr>
                <w:rFonts w:hint="eastAsia"/>
                <w:b/>
                <w:color w:val="000000"/>
                <w:sz w:val="21"/>
                <w:szCs w:val="21"/>
                <w:lang w:val="en-US" w:eastAsia="zh-CN"/>
              </w:rPr>
              <w:t>三</w:t>
            </w:r>
            <w:r>
              <w:rPr>
                <w:rFonts w:hint="eastAsia"/>
                <w:b/>
                <w:color w:val="000000"/>
                <w:sz w:val="21"/>
                <w:szCs w:val="21"/>
              </w:rPr>
              <w:t>、项目竣工环境保护验收</w:t>
            </w:r>
          </w:p>
          <w:p>
            <w:pPr>
              <w:widowControl/>
              <w:spacing w:line="360" w:lineRule="auto"/>
              <w:ind w:firstLine="435"/>
              <w:jc w:val="left"/>
              <w:rPr>
                <w:rFonts w:hint="eastAsia"/>
                <w:sz w:val="21"/>
                <w:szCs w:val="21"/>
              </w:rPr>
            </w:pPr>
            <w:r>
              <w:rPr>
                <w:rFonts w:hint="eastAsia"/>
                <w:sz w:val="21"/>
                <w:szCs w:val="21"/>
              </w:rPr>
              <w:t>建设单位应根据《建设项目环境保护管理条例》（2017 年 7 月 16 日修订）、《建设项目竣工环境保护验收暂行办法》（生态环境部（原环境保护部）</w:t>
            </w:r>
          </w:p>
          <w:p>
            <w:pPr>
              <w:widowControl/>
              <w:spacing w:line="360" w:lineRule="auto"/>
              <w:jc w:val="left"/>
              <w:rPr>
                <w:rFonts w:hint="eastAsia"/>
                <w:sz w:val="21"/>
                <w:szCs w:val="21"/>
              </w:rPr>
            </w:pPr>
            <w:r>
              <w:rPr>
                <w:rFonts w:hint="eastAsia"/>
                <w:sz w:val="21"/>
                <w:szCs w:val="21"/>
              </w:rPr>
              <w:t>办公厅 2017 年 11 月 22 日印发）及《关于实施建设项目竣工环境保护企业</w:t>
            </w:r>
          </w:p>
          <w:p>
            <w:pPr>
              <w:widowControl/>
              <w:spacing w:line="360" w:lineRule="auto"/>
              <w:jc w:val="left"/>
              <w:rPr>
                <w:rFonts w:hint="eastAsia"/>
                <w:sz w:val="21"/>
                <w:szCs w:val="21"/>
              </w:rPr>
            </w:pPr>
            <w:r>
              <w:rPr>
                <w:rFonts w:hint="eastAsia"/>
                <w:sz w:val="21"/>
                <w:szCs w:val="21"/>
              </w:rPr>
              <w:t>自行验收管理的指导意见》等的相关要求进行工程竣工验收相关工作，验收调查（监测）报告编制完成后，由企业法人组织对建设项目环境保护设施和环境保护措施进行验收，形成书面报告备查，并向社会公开。</w:t>
            </w:r>
          </w:p>
          <w:p>
            <w:pPr>
              <w:widowControl/>
              <w:numPr>
                <w:ilvl w:val="0"/>
                <w:numId w:val="3"/>
              </w:numPr>
              <w:spacing w:line="360" w:lineRule="auto"/>
              <w:ind w:firstLine="422" w:firstLineChars="200"/>
              <w:jc w:val="left"/>
              <w:rPr>
                <w:rFonts w:hint="eastAsia"/>
                <w:b/>
                <w:bCs/>
                <w:sz w:val="21"/>
                <w:szCs w:val="21"/>
              </w:rPr>
            </w:pPr>
            <w:r>
              <w:rPr>
                <w:rFonts w:hint="eastAsia"/>
                <w:b/>
                <w:bCs/>
                <w:sz w:val="21"/>
                <w:szCs w:val="21"/>
              </w:rPr>
              <w:t>其他管理建议</w:t>
            </w:r>
          </w:p>
          <w:p>
            <w:pPr>
              <w:widowControl/>
              <w:numPr>
                <w:ilvl w:val="0"/>
                <w:numId w:val="0"/>
              </w:numPr>
              <w:spacing w:line="360" w:lineRule="auto"/>
              <w:ind w:firstLine="420" w:firstLineChars="200"/>
              <w:jc w:val="left"/>
              <w:rPr>
                <w:rFonts w:hint="eastAsia"/>
                <w:sz w:val="21"/>
                <w:szCs w:val="21"/>
              </w:rPr>
            </w:pPr>
            <w:r>
              <w:rPr>
                <w:rFonts w:hint="eastAsia"/>
                <w:sz w:val="21"/>
                <w:szCs w:val="21"/>
              </w:rPr>
              <w:t>根据湖南省人民政府办公厅关于印发《湖南省大气污染防治“守护蓝天”攻坚行动计划（2023—2025年）》的通知（湘政办发〔2023〕34号），企业应该服从市里统一安排，完成三次油气回收治理工作。</w:t>
            </w: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p>
            <w:pPr>
              <w:widowControl/>
              <w:spacing w:line="360" w:lineRule="auto"/>
              <w:jc w:val="left"/>
              <w:rPr>
                <w:rFonts w:hint="eastAsia"/>
                <w:sz w:val="21"/>
                <w:szCs w:val="21"/>
              </w:rPr>
            </w:pPr>
          </w:p>
        </w:tc>
      </w:tr>
    </w:tbl>
    <w:p>
      <w:pPr>
        <w:pStyle w:val="6"/>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spacing w:line="360" w:lineRule="auto"/>
              <w:rPr>
                <w:rFonts w:ascii="宋体" w:cs="宋体"/>
                <w:szCs w:val="21"/>
              </w:rPr>
            </w:pPr>
            <w:r>
              <w:rPr>
                <w:rFonts w:hint="eastAsia" w:ascii="宋体" w:cs="宋体"/>
                <w:sz w:val="24"/>
              </w:rPr>
              <w:t xml:space="preserve"> </w:t>
            </w:r>
            <w:r>
              <w:rPr>
                <w:rFonts w:ascii="宋体" w:cs="宋体"/>
                <w:sz w:val="24"/>
              </w:rPr>
              <w:t xml:space="preserve">  </w:t>
            </w:r>
            <w:r>
              <w:rPr>
                <w:rFonts w:hint="eastAsia" w:ascii="宋体" w:cs="宋体"/>
                <w:szCs w:val="21"/>
                <w:lang w:eastAsia="zh-CN"/>
              </w:rPr>
              <w:t>中国石化销售有限公司湖南常德桃源新河桥加油站扩建项目</w:t>
            </w:r>
            <w:r>
              <w:rPr>
                <w:rFonts w:hint="eastAsia" w:ascii="宋体" w:cs="宋体"/>
                <w:szCs w:val="21"/>
              </w:rPr>
              <w:t>符合国家的产业政策</w:t>
            </w:r>
            <w:r>
              <w:rPr>
                <w:rFonts w:ascii="宋体" w:cs="宋体"/>
                <w:szCs w:val="21"/>
              </w:rPr>
              <w:t>，不属于《建设项目环境保护管理条例》中不予审批的五种情形；</w:t>
            </w:r>
            <w:r>
              <w:rPr>
                <w:rFonts w:hint="eastAsia" w:ascii="宋体" w:cs="宋体"/>
                <w:szCs w:val="21"/>
              </w:rPr>
              <w:t>符合《建设项目环境保护管理条例》要求、符合“三线一单”要求。在完善各项环保措施后，所产生的污染物可做到达标排放，从环境保护的角度分析，该项目的实施是可行的。</w:t>
            </w:r>
          </w:p>
        </w:tc>
      </w:tr>
    </w:tbl>
    <w:p>
      <w:pPr>
        <w:rPr>
          <w:rFonts w:ascii="宋体"/>
        </w:rPr>
        <w:sectPr>
          <w:pgSz w:w="11907" w:h="16840"/>
          <w:pgMar w:top="1701" w:right="1531" w:bottom="2126" w:left="1531" w:header="851" w:footer="851" w:gutter="0"/>
          <w:cols w:space="720" w:num="1"/>
          <w:docGrid w:linePitch="312" w:charSpace="0"/>
        </w:sect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134"/>
        <w:gridCol w:w="1559"/>
        <w:gridCol w:w="1418"/>
        <w:gridCol w:w="1843"/>
        <w:gridCol w:w="1559"/>
        <w:gridCol w:w="1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17"/>
              <w:spacing w:beforeLines="0" w:afterLines="0" w:line="240" w:lineRule="auto"/>
              <w:jc w:val="righ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项目</w:t>
            </w:r>
          </w:p>
          <w:p>
            <w:pPr>
              <w:pStyle w:val="17"/>
              <w:spacing w:beforeLines="0" w:afterLines="0" w:line="240" w:lineRule="auto"/>
              <w:jc w:val="left"/>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分类</w:t>
            </w:r>
          </w:p>
        </w:tc>
        <w:tc>
          <w:tcPr>
            <w:tcW w:w="1417" w:type="dxa"/>
            <w:noWrap w:val="0"/>
            <w:tcMar>
              <w:left w:w="28" w:type="dxa"/>
              <w:right w:w="28" w:type="dxa"/>
            </w:tcMar>
            <w:vAlign w:val="center"/>
          </w:tcPr>
          <w:p>
            <w:pPr>
              <w:pStyle w:val="17"/>
              <w:spacing w:beforeLines="0" w:afterLines="0" w:line="240" w:lineRule="auto"/>
              <w:rPr>
                <w:rFonts w:hint="eastAsia" w:ascii="黑体" w:hAnsi="黑体" w:eastAsia="黑体" w:cs="宋体"/>
                <w:snapToGrid w:val="0"/>
                <w:color w:val="000000"/>
                <w:spacing w:val="-6"/>
                <w:kern w:val="21"/>
                <w:szCs w:val="21"/>
              </w:rPr>
            </w:pPr>
            <w:r>
              <w:rPr>
                <w:rFonts w:hint="eastAsia" w:ascii="黑体" w:hAnsi="黑体" w:eastAsia="黑体" w:cs="宋体"/>
                <w:snapToGrid w:val="0"/>
                <w:color w:val="000000"/>
                <w:spacing w:val="-6"/>
                <w:kern w:val="21"/>
                <w:szCs w:val="21"/>
              </w:rPr>
              <w:t>污染物名称</w:t>
            </w:r>
          </w:p>
        </w:tc>
        <w:tc>
          <w:tcPr>
            <w:tcW w:w="1701" w:type="dxa"/>
            <w:noWrap w:val="0"/>
            <w:tcMar>
              <w:left w:w="28" w:type="dxa"/>
              <w:right w:w="28" w:type="dxa"/>
            </w:tcMar>
            <w:vAlign w:val="center"/>
          </w:tcPr>
          <w:p>
            <w:pPr>
              <w:pStyle w:val="17"/>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1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①</w:t>
            </w:r>
            <w:r>
              <w:rPr>
                <w:rFonts w:ascii="黑体" w:hAnsi="黑体" w:eastAsia="黑体"/>
                <w:snapToGrid w:val="0"/>
                <w:color w:val="000000"/>
                <w:spacing w:val="-6"/>
                <w:kern w:val="21"/>
                <w:szCs w:val="21"/>
              </w:rPr>
              <w:fldChar w:fldCharType="end"/>
            </w:r>
          </w:p>
        </w:tc>
        <w:tc>
          <w:tcPr>
            <w:tcW w:w="1134" w:type="dxa"/>
            <w:noWrap w:val="0"/>
            <w:tcMar>
              <w:left w:w="28" w:type="dxa"/>
              <w:right w:w="28" w:type="dxa"/>
            </w:tcMar>
            <w:vAlign w:val="center"/>
          </w:tcPr>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现有工程</w:t>
            </w:r>
          </w:p>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许可排放量</w:t>
            </w:r>
          </w:p>
          <w:p>
            <w:pPr>
              <w:pStyle w:val="17"/>
              <w:spacing w:beforeLines="0" w:afterLines="0"/>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2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snapToGrid w:val="0"/>
                <w:color w:val="000000"/>
                <w:spacing w:val="-6"/>
                <w:kern w:val="21"/>
                <w:szCs w:val="21"/>
              </w:rPr>
              <w:t>②</w:t>
            </w:r>
            <w:r>
              <w:rPr>
                <w:rFonts w:ascii="黑体" w:hAnsi="黑体" w:eastAsia="黑体"/>
                <w:snapToGrid w:val="0"/>
                <w:color w:val="000000"/>
                <w:spacing w:val="-6"/>
                <w:kern w:val="21"/>
                <w:szCs w:val="21"/>
              </w:rPr>
              <w:fldChar w:fldCharType="end"/>
            </w:r>
          </w:p>
        </w:tc>
        <w:tc>
          <w:tcPr>
            <w:tcW w:w="1559" w:type="dxa"/>
            <w:noWrap w:val="0"/>
            <w:tcMar>
              <w:left w:w="28" w:type="dxa"/>
              <w:right w:w="28" w:type="dxa"/>
            </w:tcMar>
            <w:vAlign w:val="center"/>
          </w:tcPr>
          <w:p>
            <w:pPr>
              <w:pStyle w:val="17"/>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在建工程</w:t>
            </w:r>
          </w:p>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3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③</w:t>
            </w:r>
            <w:r>
              <w:rPr>
                <w:rFonts w:ascii="黑体" w:hAnsi="黑体" w:eastAsia="黑体"/>
                <w:snapToGrid w:val="0"/>
                <w:color w:val="000000"/>
                <w:spacing w:val="-6"/>
                <w:kern w:val="21"/>
                <w:szCs w:val="21"/>
              </w:rPr>
              <w:fldChar w:fldCharType="end"/>
            </w:r>
          </w:p>
        </w:tc>
        <w:tc>
          <w:tcPr>
            <w:tcW w:w="1418" w:type="dxa"/>
            <w:noWrap w:val="0"/>
            <w:tcMar>
              <w:left w:w="28" w:type="dxa"/>
              <w:right w:w="28" w:type="dxa"/>
            </w:tcMar>
            <w:vAlign w:val="center"/>
          </w:tcPr>
          <w:p>
            <w:pPr>
              <w:pStyle w:val="17"/>
              <w:spacing w:beforeLines="0" w:afterLines="0" w:line="240" w:lineRule="auto"/>
              <w:rPr>
                <w:rFonts w:hint="eastAsia" w:ascii="黑体" w:hAnsi="黑体" w:eastAsia="黑体"/>
                <w:snapToGrid w:val="0"/>
                <w:color w:val="000000"/>
                <w:spacing w:val="-6"/>
                <w:kern w:val="21"/>
                <w:szCs w:val="21"/>
              </w:rPr>
            </w:pPr>
            <w:r>
              <w:rPr>
                <w:rFonts w:ascii="黑体" w:hAnsi="黑体" w:eastAsia="黑体"/>
                <w:snapToGrid w:val="0"/>
                <w:color w:val="000000"/>
                <w:spacing w:val="-6"/>
                <w:kern w:val="21"/>
                <w:szCs w:val="21"/>
              </w:rPr>
              <w:t>本项目</w:t>
            </w:r>
          </w:p>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排放量（固</w:t>
            </w:r>
            <w:r>
              <w:rPr>
                <w:rFonts w:hint="eastAsia" w:ascii="黑体" w:hAnsi="黑体" w:eastAsia="黑体"/>
                <w:snapToGrid w:val="0"/>
                <w:color w:val="000000"/>
                <w:spacing w:val="-6"/>
                <w:kern w:val="21"/>
                <w:szCs w:val="21"/>
              </w:rPr>
              <w:t>体</w:t>
            </w:r>
            <w:r>
              <w:rPr>
                <w:rFonts w:ascii="黑体" w:hAnsi="黑体" w:eastAsia="黑体"/>
                <w:snapToGrid w:val="0"/>
                <w:color w:val="000000"/>
                <w:spacing w:val="-6"/>
                <w:kern w:val="21"/>
                <w:szCs w:val="21"/>
              </w:rPr>
              <w:t>废</w:t>
            </w:r>
            <w:r>
              <w:rPr>
                <w:rFonts w:hint="eastAsia" w:ascii="黑体" w:hAnsi="黑体" w:eastAsia="黑体"/>
                <w:snapToGrid w:val="0"/>
                <w:color w:val="000000"/>
                <w:spacing w:val="-6"/>
                <w:kern w:val="21"/>
                <w:szCs w:val="21"/>
              </w:rPr>
              <w:t>物</w:t>
            </w:r>
            <w:r>
              <w:rPr>
                <w:rFonts w:ascii="黑体" w:hAnsi="黑体" w:eastAsia="黑体"/>
                <w:snapToGrid w:val="0"/>
                <w:color w:val="000000"/>
                <w:spacing w:val="-6"/>
                <w:kern w:val="21"/>
                <w:szCs w:val="21"/>
              </w:rPr>
              <w:t>产生量）</w:t>
            </w: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4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④</w:t>
            </w:r>
            <w:r>
              <w:rPr>
                <w:rFonts w:ascii="黑体" w:hAnsi="黑体" w:eastAsia="黑体"/>
                <w:snapToGrid w:val="0"/>
                <w:color w:val="000000"/>
                <w:spacing w:val="-6"/>
                <w:kern w:val="21"/>
                <w:szCs w:val="21"/>
              </w:rPr>
              <w:fldChar w:fldCharType="end"/>
            </w:r>
          </w:p>
        </w:tc>
        <w:tc>
          <w:tcPr>
            <w:tcW w:w="1843" w:type="dxa"/>
            <w:noWrap w:val="0"/>
            <w:tcMar>
              <w:left w:w="28" w:type="dxa"/>
              <w:right w:w="28" w:type="dxa"/>
            </w:tcMar>
            <w:vAlign w:val="center"/>
          </w:tcPr>
          <w:p>
            <w:pPr>
              <w:pStyle w:val="17"/>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以新带老削减量</w:t>
            </w:r>
          </w:p>
          <w:p>
            <w:pPr>
              <w:pStyle w:val="17"/>
              <w:spacing w:beforeLines="0" w:afterLines="0" w:line="240" w:lineRule="auto"/>
              <w:rPr>
                <w:rFonts w:ascii="黑体" w:hAnsi="黑体" w:eastAsia="黑体"/>
                <w:snapToGrid w:val="0"/>
                <w:color w:val="000000"/>
                <w:spacing w:val="-16"/>
                <w:kern w:val="21"/>
                <w:szCs w:val="21"/>
              </w:rPr>
            </w:pPr>
            <w:r>
              <w:rPr>
                <w:rFonts w:ascii="黑体" w:hAnsi="黑体" w:eastAsia="黑体"/>
                <w:snapToGrid w:val="0"/>
                <w:color w:val="000000"/>
                <w:spacing w:val="-16"/>
                <w:kern w:val="21"/>
                <w:szCs w:val="21"/>
              </w:rPr>
              <w:t>（新建项目不填）</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5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⑤</w:t>
            </w:r>
            <w:r>
              <w:rPr>
                <w:rFonts w:ascii="黑体" w:hAnsi="黑体" w:eastAsia="黑体"/>
                <w:snapToGrid w:val="0"/>
                <w:color w:val="000000"/>
                <w:spacing w:val="-16"/>
                <w:kern w:val="21"/>
                <w:szCs w:val="21"/>
              </w:rPr>
              <w:fldChar w:fldCharType="end"/>
            </w:r>
          </w:p>
        </w:tc>
        <w:tc>
          <w:tcPr>
            <w:tcW w:w="1559" w:type="dxa"/>
            <w:noWrap w:val="0"/>
            <w:tcMar>
              <w:left w:w="28" w:type="dxa"/>
              <w:right w:w="28" w:type="dxa"/>
            </w:tcMar>
            <w:vAlign w:val="center"/>
          </w:tcPr>
          <w:p>
            <w:pPr>
              <w:pStyle w:val="17"/>
              <w:spacing w:beforeLines="0" w:afterLines="0" w:line="240" w:lineRule="auto"/>
              <w:rPr>
                <w:rFonts w:hint="eastAsia" w:ascii="黑体" w:hAnsi="黑体" w:eastAsia="黑体"/>
                <w:snapToGrid w:val="0"/>
                <w:color w:val="000000"/>
                <w:spacing w:val="-16"/>
                <w:kern w:val="21"/>
                <w:szCs w:val="21"/>
              </w:rPr>
            </w:pPr>
            <w:r>
              <w:rPr>
                <w:rFonts w:ascii="黑体" w:hAnsi="黑体" w:eastAsia="黑体"/>
                <w:snapToGrid w:val="0"/>
                <w:color w:val="000000"/>
                <w:spacing w:val="-16"/>
                <w:kern w:val="21"/>
                <w:szCs w:val="21"/>
              </w:rPr>
              <w:t>本项目建成后</w:t>
            </w:r>
          </w:p>
          <w:p>
            <w:pPr>
              <w:pStyle w:val="17"/>
              <w:spacing w:beforeLines="0" w:afterLines="0" w:line="240" w:lineRule="auto"/>
              <w:rPr>
                <w:rFonts w:ascii="黑体" w:hAnsi="黑体" w:eastAsia="黑体"/>
                <w:snapToGrid w:val="0"/>
                <w:color w:val="000000"/>
                <w:spacing w:val="-16"/>
                <w:kern w:val="21"/>
                <w:szCs w:val="21"/>
              </w:rPr>
            </w:pPr>
            <w:r>
              <w:rPr>
                <w:rFonts w:hint="eastAsia" w:ascii="黑体" w:hAnsi="黑体" w:eastAsia="黑体"/>
                <w:snapToGrid w:val="0"/>
                <w:color w:val="000000"/>
                <w:spacing w:val="-16"/>
                <w:kern w:val="21"/>
                <w:szCs w:val="21"/>
              </w:rPr>
              <w:t>全厂</w:t>
            </w:r>
            <w:r>
              <w:rPr>
                <w:rFonts w:ascii="黑体" w:hAnsi="黑体" w:eastAsia="黑体"/>
                <w:snapToGrid w:val="0"/>
                <w:color w:val="000000"/>
                <w:spacing w:val="-16"/>
                <w:kern w:val="21"/>
                <w:szCs w:val="21"/>
              </w:rPr>
              <w:t>排放量（固</w:t>
            </w:r>
            <w:r>
              <w:rPr>
                <w:rFonts w:hint="eastAsia" w:ascii="黑体" w:hAnsi="黑体" w:eastAsia="黑体"/>
                <w:snapToGrid w:val="0"/>
                <w:color w:val="000000"/>
                <w:spacing w:val="-16"/>
                <w:kern w:val="21"/>
                <w:szCs w:val="21"/>
              </w:rPr>
              <w:t>体</w:t>
            </w:r>
            <w:r>
              <w:rPr>
                <w:rFonts w:ascii="黑体" w:hAnsi="黑体" w:eastAsia="黑体"/>
                <w:snapToGrid w:val="0"/>
                <w:color w:val="000000"/>
                <w:spacing w:val="-16"/>
                <w:kern w:val="21"/>
                <w:szCs w:val="21"/>
              </w:rPr>
              <w:t>废</w:t>
            </w:r>
            <w:r>
              <w:rPr>
                <w:rFonts w:hint="eastAsia" w:ascii="黑体" w:hAnsi="黑体" w:eastAsia="黑体"/>
                <w:snapToGrid w:val="0"/>
                <w:color w:val="000000"/>
                <w:spacing w:val="-16"/>
                <w:kern w:val="21"/>
                <w:szCs w:val="21"/>
              </w:rPr>
              <w:t>物</w:t>
            </w:r>
            <w:r>
              <w:rPr>
                <w:rFonts w:ascii="黑体" w:hAnsi="黑体" w:eastAsia="黑体"/>
                <w:snapToGrid w:val="0"/>
                <w:color w:val="000000"/>
                <w:spacing w:val="-16"/>
                <w:kern w:val="21"/>
                <w:szCs w:val="21"/>
              </w:rPr>
              <w:t>产生量）</w:t>
            </w:r>
            <w:r>
              <w:rPr>
                <w:rFonts w:ascii="黑体" w:hAnsi="黑体" w:eastAsia="黑体"/>
                <w:snapToGrid w:val="0"/>
                <w:color w:val="000000"/>
                <w:spacing w:val="-16"/>
                <w:kern w:val="21"/>
                <w:szCs w:val="21"/>
              </w:rPr>
              <w:fldChar w:fldCharType="begin"/>
            </w:r>
            <w:r>
              <w:rPr>
                <w:rFonts w:ascii="黑体" w:hAnsi="黑体" w:eastAsia="黑体"/>
                <w:snapToGrid w:val="0"/>
                <w:color w:val="000000"/>
                <w:spacing w:val="-16"/>
                <w:kern w:val="21"/>
                <w:szCs w:val="21"/>
              </w:rPr>
              <w:instrText xml:space="preserve"> = 6 \* GB3 \* MERGEFORMAT </w:instrText>
            </w:r>
            <w:r>
              <w:rPr>
                <w:rFonts w:ascii="黑体" w:hAnsi="黑体" w:eastAsia="黑体"/>
                <w:snapToGrid w:val="0"/>
                <w:color w:val="000000"/>
                <w:spacing w:val="-16"/>
                <w:kern w:val="21"/>
                <w:szCs w:val="21"/>
              </w:rPr>
              <w:fldChar w:fldCharType="separate"/>
            </w:r>
            <w:r>
              <w:rPr>
                <w:rFonts w:hint="eastAsia" w:ascii="黑体" w:hAnsi="黑体" w:eastAsia="黑体" w:cs="宋体"/>
                <w:kern w:val="2"/>
                <w:szCs w:val="21"/>
              </w:rPr>
              <w:t>⑥</w:t>
            </w:r>
            <w:r>
              <w:rPr>
                <w:rFonts w:ascii="黑体" w:hAnsi="黑体" w:eastAsia="黑体"/>
                <w:snapToGrid w:val="0"/>
                <w:color w:val="000000"/>
                <w:spacing w:val="-16"/>
                <w:kern w:val="21"/>
                <w:szCs w:val="21"/>
              </w:rPr>
              <w:fldChar w:fldCharType="end"/>
            </w:r>
          </w:p>
        </w:tc>
        <w:tc>
          <w:tcPr>
            <w:tcW w:w="1569" w:type="dxa"/>
            <w:noWrap w:val="0"/>
            <w:tcMar>
              <w:left w:w="28" w:type="dxa"/>
              <w:right w:w="28" w:type="dxa"/>
            </w:tcMar>
            <w:vAlign w:val="center"/>
          </w:tcPr>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t>变化量</w:t>
            </w:r>
          </w:p>
          <w:p>
            <w:pPr>
              <w:pStyle w:val="17"/>
              <w:spacing w:beforeLines="0" w:afterLines="0" w:line="240" w:lineRule="auto"/>
              <w:rPr>
                <w:rFonts w:ascii="黑体" w:hAnsi="黑体" w:eastAsia="黑体"/>
                <w:snapToGrid w:val="0"/>
                <w:color w:val="000000"/>
                <w:spacing w:val="-6"/>
                <w:kern w:val="21"/>
                <w:szCs w:val="21"/>
              </w:rPr>
            </w:pPr>
            <w:r>
              <w:rPr>
                <w:rFonts w:ascii="黑体" w:hAnsi="黑体" w:eastAsia="黑体"/>
                <w:snapToGrid w:val="0"/>
                <w:color w:val="000000"/>
                <w:spacing w:val="-6"/>
                <w:kern w:val="21"/>
                <w:szCs w:val="21"/>
              </w:rPr>
              <w:fldChar w:fldCharType="begin"/>
            </w:r>
            <w:r>
              <w:rPr>
                <w:rFonts w:ascii="黑体" w:hAnsi="黑体" w:eastAsia="黑体"/>
                <w:snapToGrid w:val="0"/>
                <w:color w:val="000000"/>
                <w:spacing w:val="-6"/>
                <w:kern w:val="21"/>
                <w:szCs w:val="21"/>
              </w:rPr>
              <w:instrText xml:space="preserve"> = 7 \* GB3 \* MERGEFORMAT </w:instrText>
            </w:r>
            <w:r>
              <w:rPr>
                <w:rFonts w:ascii="黑体" w:hAnsi="黑体" w:eastAsia="黑体"/>
                <w:snapToGrid w:val="0"/>
                <w:color w:val="000000"/>
                <w:spacing w:val="-6"/>
                <w:kern w:val="21"/>
                <w:szCs w:val="21"/>
              </w:rPr>
              <w:fldChar w:fldCharType="separate"/>
            </w:r>
            <w:r>
              <w:rPr>
                <w:rFonts w:hint="eastAsia" w:ascii="黑体" w:hAnsi="黑体" w:eastAsia="黑体" w:cs="宋体"/>
                <w:kern w:val="2"/>
                <w:szCs w:val="21"/>
              </w:rPr>
              <w:t>⑦</w:t>
            </w:r>
            <w:r>
              <w:rPr>
                <w:rFonts w:ascii="黑体" w:hAnsi="黑体"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88" w:type="dxa"/>
            <w:vMerge w:val="restart"/>
            <w:noWrap w:val="0"/>
            <w:vAlign w:val="center"/>
          </w:tcPr>
          <w:p>
            <w:pPr>
              <w:pStyle w:val="17"/>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废气</w:t>
            </w:r>
          </w:p>
        </w:tc>
        <w:tc>
          <w:tcPr>
            <w:tcW w:w="1417" w:type="dxa"/>
            <w:noWrap w:val="0"/>
            <w:vAlign w:val="center"/>
          </w:tcPr>
          <w:p>
            <w:pPr>
              <w:pStyle w:val="17"/>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非甲烷总烃</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rPr>
              <w:t>0.75t/a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0.028t/a</w:t>
            </w:r>
          </w:p>
        </w:tc>
        <w:tc>
          <w:tcPr>
            <w:tcW w:w="1843"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55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0.778t/a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+0.028t/a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烟尘</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rPr>
              <w:t xml:space="preserve"> 0.000072t/a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zCs w:val="21"/>
              </w:rPr>
              <w:t xml:space="preserve"> 0.000072t/a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ascii="Times New Roman"/>
                <w:snapToGrid w:val="0"/>
                <w:color w:val="000000"/>
                <w:kern w:val="21"/>
                <w:szCs w:val="21"/>
              </w:rPr>
            </w:pPr>
            <w:r>
              <w:rPr>
                <w:rFonts w:ascii="Times New Roman"/>
                <w:color w:val="000000"/>
                <w:szCs w:val="21"/>
              </w:rPr>
              <w:t>SO</w:t>
            </w:r>
            <w:r>
              <w:rPr>
                <w:rFonts w:ascii="Times New Roman"/>
                <w:color w:val="000000"/>
                <w:sz w:val="14"/>
                <w:szCs w:val="14"/>
              </w:rPr>
              <w:t>2</w:t>
            </w:r>
          </w:p>
        </w:tc>
        <w:tc>
          <w:tcPr>
            <w:tcW w:w="1701"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zCs w:val="21"/>
              </w:rPr>
              <w:t>0.00075t/a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zCs w:val="21"/>
              </w:rPr>
              <w:t>0.00075t/a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ascii="Times New Roman"/>
                <w:snapToGrid w:val="0"/>
                <w:color w:val="000000"/>
                <w:kern w:val="21"/>
                <w:szCs w:val="21"/>
              </w:rPr>
            </w:pPr>
            <w:r>
              <w:rPr>
                <w:rFonts w:ascii="Times New Roman"/>
                <w:color w:val="000000"/>
                <w:szCs w:val="21"/>
              </w:rPr>
              <w:t>NO</w:t>
            </w:r>
            <w:r>
              <w:rPr>
                <w:rFonts w:ascii="Times New Roman"/>
                <w:color w:val="000000"/>
                <w:sz w:val="14"/>
                <w:szCs w:val="14"/>
              </w:rPr>
              <w:t>2</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rPr>
              <w:t>0.00049t/a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zCs w:val="21"/>
              </w:rPr>
              <w:t>0.00049t/a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7"/>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废水</w:t>
            </w:r>
          </w:p>
        </w:tc>
        <w:tc>
          <w:tcPr>
            <w:tcW w:w="1417" w:type="dxa"/>
            <w:noWrap w:val="0"/>
            <w:vAlign w:val="center"/>
          </w:tcPr>
          <w:p>
            <w:pPr>
              <w:pStyle w:val="17"/>
              <w:spacing w:beforeLines="0" w:afterLines="0" w:line="240" w:lineRule="auto"/>
              <w:rPr>
                <w:rFonts w:ascii="Times New Roman"/>
                <w:snapToGrid w:val="0"/>
                <w:color w:val="000000"/>
                <w:kern w:val="21"/>
                <w:szCs w:val="21"/>
              </w:rPr>
            </w:pPr>
            <w:r>
              <w:rPr>
                <w:rFonts w:ascii="Times New Roman"/>
                <w:snapToGrid w:val="0"/>
                <w:color w:val="000000"/>
                <w:kern w:val="21"/>
                <w:szCs w:val="21"/>
              </w:rPr>
              <w:t>CODcr</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lang w:val="fr-FR"/>
              </w:rPr>
              <w:t xml:space="preserve"> 0.021t/a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zCs w:val="21"/>
                <w:lang w:val="fr-FR"/>
              </w:rPr>
              <w:t xml:space="preserve"> 0.021t/a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B</w:t>
            </w:r>
            <w:r>
              <w:rPr>
                <w:rFonts w:ascii="Times New Roman"/>
                <w:snapToGrid w:val="0"/>
                <w:color w:val="000000"/>
                <w:kern w:val="21"/>
                <w:szCs w:val="21"/>
              </w:rPr>
              <w:t>OD</w:t>
            </w:r>
            <w:r>
              <w:rPr>
                <w:rFonts w:ascii="Times New Roman"/>
                <w:snapToGrid w:val="0"/>
                <w:color w:val="000000"/>
                <w:kern w:val="21"/>
                <w:szCs w:val="21"/>
                <w:vertAlign w:val="subscript"/>
              </w:rPr>
              <w:t>5</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lang w:val="fr-FR"/>
              </w:rPr>
              <w:t xml:space="preserve"> 0.016t/a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color w:val="000000"/>
                <w:szCs w:val="21"/>
              </w:rPr>
            </w:pPr>
            <w:r>
              <w:rPr>
                <w:rFonts w:hint="default" w:ascii="Times New Roman" w:hAnsi="Times New Roman" w:cs="Times New Roman"/>
                <w:szCs w:val="21"/>
                <w:lang w:val="fr-FR"/>
              </w:rPr>
              <w:t xml:space="preserve"> 0.016t/a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S</w:t>
            </w:r>
            <w:r>
              <w:rPr>
                <w:rFonts w:ascii="Times New Roman"/>
                <w:snapToGrid w:val="0"/>
                <w:color w:val="000000"/>
                <w:kern w:val="21"/>
                <w:szCs w:val="21"/>
              </w:rPr>
              <w:t>S</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lang w:val="fr-FR"/>
              </w:rPr>
              <w:t xml:space="preserve"> 0.0</w:t>
            </w:r>
            <w:r>
              <w:rPr>
                <w:rFonts w:hint="default" w:ascii="Times New Roman" w:hAnsi="Times New Roman" w:cs="Times New Roman"/>
                <w:szCs w:val="21"/>
                <w:lang w:val="en-US" w:eastAsia="zh-CN"/>
              </w:rPr>
              <w:t>17</w:t>
            </w:r>
            <w:r>
              <w:rPr>
                <w:rFonts w:hint="default" w:ascii="Times New Roman" w:hAnsi="Times New Roman" w:cs="Times New Roman"/>
                <w:szCs w:val="21"/>
                <w:lang w:val="fr-FR"/>
              </w:rPr>
              <w:t>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color w:val="000000"/>
                <w:szCs w:val="21"/>
              </w:rPr>
            </w:pPr>
            <w:r>
              <w:rPr>
                <w:rFonts w:hint="default" w:ascii="Times New Roman" w:hAnsi="Times New Roman" w:cs="Times New Roman"/>
                <w:szCs w:val="21"/>
                <w:lang w:val="fr-FR"/>
              </w:rPr>
              <w:t xml:space="preserve"> 0.0</w:t>
            </w:r>
            <w:r>
              <w:rPr>
                <w:rFonts w:hint="default" w:ascii="Times New Roman" w:hAnsi="Times New Roman" w:cs="Times New Roman"/>
                <w:szCs w:val="21"/>
                <w:lang w:val="en-US" w:eastAsia="zh-CN"/>
              </w:rPr>
              <w:t>17</w:t>
            </w:r>
            <w:r>
              <w:rPr>
                <w:rFonts w:hint="default" w:ascii="Times New Roman" w:hAnsi="Times New Roman" w:cs="Times New Roman"/>
                <w:szCs w:val="21"/>
                <w:lang w:val="fr-FR"/>
              </w:rPr>
              <w:t>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ascii="Times New Roman"/>
                <w:snapToGrid w:val="0"/>
                <w:color w:val="000000"/>
                <w:kern w:val="21"/>
                <w:szCs w:val="21"/>
              </w:rPr>
            </w:pPr>
            <w:r>
              <w:rPr>
                <w:rFonts w:ascii="Times New Roman"/>
                <w:snapToGrid w:val="0"/>
                <w:color w:val="000000"/>
                <w:kern w:val="21"/>
                <w:szCs w:val="21"/>
              </w:rPr>
              <w:t>石油类</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zCs w:val="21"/>
                <w:lang w:val="fr-FR"/>
              </w:rPr>
              <w:t>0.011t/a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color w:val="000000"/>
                <w:szCs w:val="21"/>
              </w:rPr>
            </w:pPr>
            <w:r>
              <w:rPr>
                <w:rFonts w:hint="default" w:ascii="Times New Roman" w:hAnsi="Times New Roman" w:cs="Times New Roman"/>
                <w:szCs w:val="21"/>
                <w:lang w:val="fr-FR"/>
              </w:rPr>
              <w:t>0.011t/a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int="eastAsia"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hAnsi="宋体" w:cs="宋体"/>
                <w:snapToGrid w:val="0"/>
                <w:color w:val="000000"/>
                <w:kern w:val="21"/>
                <w:szCs w:val="21"/>
              </w:rPr>
            </w:pPr>
            <w:r>
              <w:rPr>
                <w:rFonts w:hAnsi="宋体" w:cs="宋体"/>
                <w:snapToGrid w:val="0"/>
                <w:color w:val="000000"/>
                <w:kern w:val="21"/>
                <w:szCs w:val="21"/>
              </w:rPr>
              <w:t>氨氮</w:t>
            </w:r>
          </w:p>
        </w:tc>
        <w:tc>
          <w:tcPr>
            <w:tcW w:w="1701"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0.004</w:t>
            </w:r>
            <w:r>
              <w:rPr>
                <w:rFonts w:hint="default" w:ascii="Times New Roman" w:hAnsi="Times New Roman" w:cs="Times New Roman"/>
                <w:szCs w:val="21"/>
                <w:lang w:val="fr-FR"/>
              </w:rPr>
              <w:t>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0.004</w:t>
            </w:r>
            <w:r>
              <w:rPr>
                <w:rFonts w:hint="default" w:ascii="Times New Roman" w:hAnsi="Times New Roman" w:cs="Times New Roman"/>
                <w:szCs w:val="21"/>
                <w:lang w:val="fr-FR"/>
              </w:rPr>
              <w:t>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7"/>
              <w:spacing w:beforeLines="0" w:afterLines="0" w:line="240" w:lineRule="auto"/>
              <w:rPr>
                <w:rFonts w:hint="eastAsia" w:hAnsi="宋体" w:cs="宋体"/>
                <w:snapToGrid w:val="0"/>
                <w:color w:val="000000"/>
                <w:kern w:val="21"/>
                <w:szCs w:val="21"/>
              </w:rPr>
            </w:pPr>
            <w:r>
              <w:rPr>
                <w:rFonts w:hint="eastAsia" w:hAnsi="宋体" w:cs="宋体"/>
                <w:snapToGrid w:val="0"/>
                <w:color w:val="000000"/>
                <w:kern w:val="21"/>
                <w:szCs w:val="21"/>
              </w:rPr>
              <w:t>危险废物</w:t>
            </w:r>
          </w:p>
        </w:tc>
        <w:tc>
          <w:tcPr>
            <w:tcW w:w="1417" w:type="dxa"/>
            <w:noWrap w:val="0"/>
            <w:vAlign w:val="center"/>
          </w:tcPr>
          <w:p>
            <w:pPr>
              <w:pStyle w:val="17"/>
              <w:spacing w:beforeLines="0" w:afterLines="0" w:line="240" w:lineRule="auto"/>
              <w:rPr>
                <w:rFonts w:hint="eastAsia" w:hAnsi="宋体" w:eastAsia="宋体" w:cs="宋体"/>
                <w:snapToGrid w:val="0"/>
                <w:color w:val="000000"/>
                <w:kern w:val="21"/>
                <w:szCs w:val="21"/>
                <w:lang w:eastAsia="zh-CN"/>
              </w:rPr>
            </w:pPr>
            <w:r>
              <w:rPr>
                <w:color w:val="000000"/>
                <w:szCs w:val="21"/>
              </w:rPr>
              <w:t>废过滤芯</w:t>
            </w:r>
          </w:p>
        </w:tc>
        <w:tc>
          <w:tcPr>
            <w:tcW w:w="1701" w:type="dxa"/>
            <w:noWrap w:val="0"/>
            <w:vAlign w:val="center"/>
          </w:tcPr>
          <w:p>
            <w:pPr>
              <w:widowControl/>
              <w:spacing w:line="276" w:lineRule="auto"/>
              <w:jc w:val="center"/>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4kg</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widowControl/>
              <w:spacing w:line="276" w:lineRule="auto"/>
              <w:jc w:val="center"/>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4kg</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hAnsi="宋体" w:cs="宋体"/>
                <w:snapToGrid w:val="0"/>
                <w:color w:val="000000"/>
                <w:kern w:val="21"/>
                <w:szCs w:val="21"/>
              </w:rPr>
            </w:pPr>
            <w:r>
              <w:rPr>
                <w:color w:val="000000"/>
                <w:szCs w:val="21"/>
              </w:rPr>
              <w:t>隔油池浮油</w:t>
            </w:r>
          </w:p>
        </w:tc>
        <w:tc>
          <w:tcPr>
            <w:tcW w:w="1701" w:type="dxa"/>
            <w:noWrap w:val="0"/>
            <w:vAlign w:val="center"/>
          </w:tcPr>
          <w:p>
            <w:pPr>
              <w:widowControl/>
              <w:spacing w:line="276" w:lineRule="auto"/>
              <w:jc w:val="center"/>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0.005</w:t>
            </w:r>
            <w:r>
              <w:rPr>
                <w:rFonts w:hint="default" w:ascii="Times New Roman" w:hAnsi="Times New Roman" w:cs="Times New Roman"/>
                <w:szCs w:val="21"/>
                <w:lang w:val="fr-FR"/>
              </w:rPr>
              <w:t>t/a</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widowControl/>
              <w:spacing w:line="276" w:lineRule="auto"/>
              <w:jc w:val="center"/>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0.005</w:t>
            </w:r>
            <w:r>
              <w:rPr>
                <w:rFonts w:hint="default" w:ascii="Times New Roman" w:hAnsi="Times New Roman" w:cs="Times New Roman"/>
                <w:szCs w:val="21"/>
                <w:lang w:val="fr-FR"/>
              </w:rPr>
              <w:t>t/a</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eastAsia="宋体"/>
                <w:color w:val="000000"/>
                <w:szCs w:val="21"/>
                <w:lang w:eastAsia="zh-CN"/>
              </w:rPr>
            </w:pPr>
            <w:r>
              <w:rPr>
                <w:rFonts w:hint="eastAsia"/>
                <w:color w:val="000000"/>
                <w:szCs w:val="21"/>
                <w:lang w:eastAsia="zh-CN"/>
              </w:rPr>
              <w:t>油罐底渣</w:t>
            </w:r>
          </w:p>
        </w:tc>
        <w:tc>
          <w:tcPr>
            <w:tcW w:w="1701" w:type="dxa"/>
            <w:noWrap w:val="0"/>
            <w:vAlign w:val="center"/>
          </w:tcPr>
          <w:p>
            <w:pPr>
              <w:widowControl/>
              <w:spacing w:line="276" w:lineRule="auto"/>
              <w:jc w:val="center"/>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6t/次</w:t>
            </w:r>
          </w:p>
        </w:tc>
        <w:tc>
          <w:tcPr>
            <w:tcW w:w="1134"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418"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4t/次</w:t>
            </w:r>
          </w:p>
        </w:tc>
        <w:tc>
          <w:tcPr>
            <w:tcW w:w="1843"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0</w:t>
            </w:r>
          </w:p>
        </w:tc>
        <w:tc>
          <w:tcPr>
            <w:tcW w:w="1559" w:type="dxa"/>
            <w:noWrap w:val="0"/>
            <w:vAlign w:val="center"/>
          </w:tcPr>
          <w:p>
            <w:pPr>
              <w:widowControl/>
              <w:spacing w:line="276"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10</w:t>
            </w:r>
            <w:r>
              <w:rPr>
                <w:rFonts w:hint="default" w:ascii="Times New Roman" w:hAnsi="Times New Roman" w:cs="Times New Roman"/>
                <w:snapToGrid w:val="0"/>
                <w:color w:val="000000"/>
                <w:kern w:val="21"/>
                <w:szCs w:val="21"/>
                <w:lang w:val="en-US" w:eastAsia="zh-CN"/>
              </w:rPr>
              <w:t>t/次</w:t>
            </w:r>
          </w:p>
        </w:tc>
        <w:tc>
          <w:tcPr>
            <w:tcW w:w="156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+4t/次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7"/>
              <w:spacing w:beforeLines="0" w:afterLines="0" w:line="240" w:lineRule="auto"/>
              <w:rPr>
                <w:rFonts w:hAnsi="宋体" w:cs="宋体"/>
                <w:snapToGrid w:val="0"/>
                <w:color w:val="000000"/>
                <w:kern w:val="21"/>
                <w:szCs w:val="21"/>
              </w:rPr>
            </w:pPr>
          </w:p>
        </w:tc>
        <w:tc>
          <w:tcPr>
            <w:tcW w:w="1417" w:type="dxa"/>
            <w:noWrap w:val="0"/>
            <w:vAlign w:val="center"/>
          </w:tcPr>
          <w:p>
            <w:pPr>
              <w:pStyle w:val="17"/>
              <w:spacing w:beforeLines="0" w:afterLines="0" w:line="240" w:lineRule="auto"/>
              <w:rPr>
                <w:rFonts w:hint="eastAsia"/>
                <w:color w:val="000000"/>
                <w:szCs w:val="21"/>
                <w:lang w:eastAsia="zh-CN"/>
              </w:rPr>
            </w:pPr>
            <w:r>
              <w:rPr>
                <w:rFonts w:hint="eastAsia"/>
                <w:color w:val="000000"/>
                <w:szCs w:val="21"/>
                <w:lang w:eastAsia="zh-CN"/>
              </w:rPr>
              <w:t>含油废手套、抹布</w:t>
            </w:r>
          </w:p>
        </w:tc>
        <w:tc>
          <w:tcPr>
            <w:tcW w:w="1701" w:type="dxa"/>
            <w:noWrap w:val="0"/>
            <w:vAlign w:val="center"/>
          </w:tcPr>
          <w:p>
            <w:pPr>
              <w:widowControl/>
              <w:spacing w:line="276" w:lineRule="auto"/>
              <w:jc w:val="center"/>
              <w:rPr>
                <w:rFonts w:hint="default" w:ascii="Times New Roman" w:hAnsi="Times New Roman"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134"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559"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418"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0.05t/a</w:t>
            </w:r>
          </w:p>
        </w:tc>
        <w:tc>
          <w:tcPr>
            <w:tcW w:w="1843" w:type="dxa"/>
            <w:noWrap w:val="0"/>
            <w:vAlign w:val="center"/>
          </w:tcPr>
          <w:p>
            <w:pPr>
              <w:pStyle w:val="17"/>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w:t>
            </w:r>
          </w:p>
        </w:tc>
        <w:tc>
          <w:tcPr>
            <w:tcW w:w="1559" w:type="dxa"/>
            <w:noWrap w:val="0"/>
            <w:vAlign w:val="center"/>
          </w:tcPr>
          <w:p>
            <w:pPr>
              <w:widowControl/>
              <w:spacing w:line="276" w:lineRule="auto"/>
              <w:jc w:val="center"/>
              <w:rPr>
                <w:rFonts w:hint="default" w:ascii="Times New Roman" w:hAnsi="Times New Roman"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0.05t/a</w:t>
            </w:r>
          </w:p>
        </w:tc>
        <w:tc>
          <w:tcPr>
            <w:tcW w:w="1569" w:type="dxa"/>
            <w:noWrap w:val="0"/>
            <w:vAlign w:val="center"/>
          </w:tcPr>
          <w:p>
            <w:pPr>
              <w:pStyle w:val="17"/>
              <w:spacing w:beforeLines="0" w:afterLines="0" w:line="240" w:lineRule="auto"/>
              <w:rPr>
                <w:rFonts w:hint="default" w:ascii="Times New Roman" w:hAnsi="Times New Roman"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+0.05t/a</w:t>
            </w:r>
          </w:p>
        </w:tc>
      </w:tr>
    </w:tbl>
    <w:p>
      <w:pPr>
        <w:pStyle w:val="17"/>
        <w:spacing w:before="192" w:beforeLines="80" w:after="24"/>
        <w:jc w:val="left"/>
        <w:rPr>
          <w:rFonts w:hint="eastAsia"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hint="eastAsia"/>
        </w:rPr>
      </w:pPr>
    </w:p>
    <w:p/>
    <w:p/>
    <w:p>
      <w:pPr>
        <w:jc w:val="center"/>
        <w:outlineLvl w:val="5"/>
        <w:rPr>
          <w:rFonts w:hint="eastAsia"/>
          <w:b/>
          <w:color w:val="000000"/>
          <w:sz w:val="24"/>
        </w:rPr>
      </w:pPr>
    </w:p>
    <w:p>
      <w:pPr>
        <w:jc w:val="center"/>
        <w:outlineLvl w:val="5"/>
        <w:rPr>
          <w:b/>
          <w:color w:val="000000"/>
          <w:sz w:val="24"/>
        </w:rPr>
      </w:pPr>
      <w:r>
        <w:rPr>
          <w:rFonts w:hint="eastAsia"/>
          <w:b/>
          <w:color w:val="000000"/>
          <w:sz w:val="24"/>
        </w:rPr>
        <w:t>本工程大气污染物排放基本情况一览表</w:t>
      </w:r>
    </w:p>
    <w:p>
      <w:pPr>
        <w:jc w:val="center"/>
        <w:outlineLvl w:val="5"/>
        <w:rPr>
          <w:b/>
          <w:color w:val="000000"/>
          <w:sz w:val="24"/>
        </w:rPr>
      </w:pPr>
    </w:p>
    <w:tbl>
      <w:tblPr>
        <w:tblStyle w:val="8"/>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1114"/>
        <w:gridCol w:w="2400"/>
        <w:gridCol w:w="844"/>
        <w:gridCol w:w="887"/>
        <w:gridCol w:w="864"/>
        <w:gridCol w:w="867"/>
        <w:gridCol w:w="1301"/>
        <w:gridCol w:w="1234"/>
        <w:gridCol w:w="1077"/>
        <w:gridCol w:w="2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2" w:type="pct"/>
            <w:gridSpan w:val="2"/>
            <w:noWrap w:val="0"/>
            <w:vAlign w:val="center"/>
          </w:tcPr>
          <w:p>
            <w:pPr>
              <w:jc w:val="center"/>
              <w:rPr>
                <w:b/>
                <w:color w:val="000000"/>
                <w:szCs w:val="21"/>
              </w:rPr>
            </w:pPr>
            <w:r>
              <w:rPr>
                <w:b/>
                <w:color w:val="000000"/>
                <w:szCs w:val="21"/>
              </w:rPr>
              <w:t>污染源项</w:t>
            </w:r>
          </w:p>
        </w:tc>
        <w:tc>
          <w:tcPr>
            <w:tcW w:w="825" w:type="pct"/>
            <w:vMerge w:val="restart"/>
            <w:noWrap w:val="0"/>
            <w:vAlign w:val="center"/>
          </w:tcPr>
          <w:p>
            <w:pPr>
              <w:jc w:val="center"/>
              <w:rPr>
                <w:b/>
                <w:color w:val="000000"/>
                <w:szCs w:val="21"/>
              </w:rPr>
            </w:pPr>
            <w:r>
              <w:rPr>
                <w:b/>
                <w:color w:val="000000"/>
                <w:szCs w:val="21"/>
              </w:rPr>
              <w:t>治理措施</w:t>
            </w:r>
          </w:p>
        </w:tc>
        <w:tc>
          <w:tcPr>
            <w:tcW w:w="290" w:type="pct"/>
            <w:vMerge w:val="restart"/>
            <w:noWrap w:val="0"/>
            <w:vAlign w:val="center"/>
          </w:tcPr>
          <w:p>
            <w:pPr>
              <w:jc w:val="center"/>
              <w:rPr>
                <w:b/>
                <w:color w:val="000000"/>
                <w:szCs w:val="21"/>
              </w:rPr>
            </w:pPr>
            <w:r>
              <w:rPr>
                <w:rFonts w:hint="eastAsia"/>
                <w:b/>
                <w:color w:val="000000"/>
                <w:szCs w:val="21"/>
              </w:rPr>
              <w:t>排放</w:t>
            </w:r>
          </w:p>
          <w:p>
            <w:pPr>
              <w:jc w:val="center"/>
              <w:rPr>
                <w:b/>
                <w:color w:val="000000"/>
                <w:szCs w:val="21"/>
              </w:rPr>
            </w:pPr>
            <w:r>
              <w:rPr>
                <w:rFonts w:hint="eastAsia"/>
                <w:b/>
                <w:color w:val="000000"/>
                <w:szCs w:val="21"/>
              </w:rPr>
              <w:t>形式</w:t>
            </w:r>
          </w:p>
        </w:tc>
        <w:tc>
          <w:tcPr>
            <w:tcW w:w="305" w:type="pct"/>
            <w:vMerge w:val="restart"/>
            <w:noWrap w:val="0"/>
            <w:vAlign w:val="center"/>
          </w:tcPr>
          <w:p>
            <w:pPr>
              <w:jc w:val="center"/>
              <w:rPr>
                <w:b/>
                <w:color w:val="000000"/>
                <w:szCs w:val="21"/>
              </w:rPr>
            </w:pPr>
            <w:r>
              <w:rPr>
                <w:rFonts w:hint="eastAsia"/>
                <w:b/>
                <w:color w:val="000000"/>
                <w:szCs w:val="21"/>
              </w:rPr>
              <w:t>排放口编号</w:t>
            </w:r>
          </w:p>
        </w:tc>
        <w:tc>
          <w:tcPr>
            <w:tcW w:w="297" w:type="pct"/>
            <w:vMerge w:val="restart"/>
            <w:noWrap w:val="0"/>
            <w:vAlign w:val="center"/>
          </w:tcPr>
          <w:p>
            <w:pPr>
              <w:jc w:val="center"/>
              <w:rPr>
                <w:b/>
                <w:color w:val="000000"/>
                <w:szCs w:val="21"/>
              </w:rPr>
            </w:pPr>
            <w:r>
              <w:rPr>
                <w:rFonts w:hint="eastAsia"/>
                <w:b/>
                <w:color w:val="000000"/>
                <w:szCs w:val="21"/>
              </w:rPr>
              <w:t>排放口坐标</w:t>
            </w:r>
          </w:p>
        </w:tc>
        <w:tc>
          <w:tcPr>
            <w:tcW w:w="298" w:type="pct"/>
            <w:vMerge w:val="restart"/>
            <w:noWrap w:val="0"/>
            <w:vAlign w:val="center"/>
          </w:tcPr>
          <w:p>
            <w:pPr>
              <w:jc w:val="center"/>
              <w:rPr>
                <w:b/>
                <w:color w:val="000000"/>
                <w:szCs w:val="21"/>
              </w:rPr>
            </w:pPr>
            <w:r>
              <w:rPr>
                <w:rFonts w:hint="eastAsia"/>
                <w:b/>
                <w:color w:val="000000"/>
                <w:szCs w:val="21"/>
              </w:rPr>
              <w:t>排放口类型</w:t>
            </w:r>
          </w:p>
        </w:tc>
        <w:tc>
          <w:tcPr>
            <w:tcW w:w="447" w:type="pct"/>
            <w:vMerge w:val="restart"/>
            <w:noWrap w:val="0"/>
            <w:vAlign w:val="center"/>
          </w:tcPr>
          <w:p>
            <w:pPr>
              <w:jc w:val="center"/>
              <w:rPr>
                <w:b/>
                <w:color w:val="000000"/>
                <w:szCs w:val="21"/>
              </w:rPr>
            </w:pPr>
            <w:r>
              <w:rPr>
                <w:rFonts w:hint="eastAsia"/>
                <w:b/>
                <w:color w:val="000000"/>
                <w:szCs w:val="21"/>
              </w:rPr>
              <w:t>污染</w:t>
            </w:r>
          </w:p>
          <w:p>
            <w:pPr>
              <w:jc w:val="center"/>
              <w:rPr>
                <w:b/>
                <w:color w:val="000000"/>
                <w:szCs w:val="21"/>
              </w:rPr>
            </w:pPr>
            <w:r>
              <w:rPr>
                <w:rFonts w:hint="eastAsia"/>
                <w:b/>
                <w:color w:val="000000"/>
                <w:szCs w:val="21"/>
              </w:rPr>
              <w:t>因子</w:t>
            </w:r>
          </w:p>
        </w:tc>
        <w:tc>
          <w:tcPr>
            <w:tcW w:w="794" w:type="pct"/>
            <w:gridSpan w:val="2"/>
            <w:noWrap w:val="0"/>
            <w:vAlign w:val="center"/>
          </w:tcPr>
          <w:p>
            <w:pPr>
              <w:jc w:val="center"/>
              <w:rPr>
                <w:b/>
                <w:color w:val="000000"/>
                <w:szCs w:val="21"/>
              </w:rPr>
            </w:pPr>
            <w:r>
              <w:rPr>
                <w:rFonts w:hint="eastAsia"/>
                <w:b/>
                <w:color w:val="000000"/>
                <w:szCs w:val="21"/>
              </w:rPr>
              <w:t>标准值</w:t>
            </w:r>
          </w:p>
        </w:tc>
        <w:tc>
          <w:tcPr>
            <w:tcW w:w="992" w:type="pct"/>
            <w:vMerge w:val="restart"/>
            <w:noWrap w:val="0"/>
            <w:vAlign w:val="center"/>
          </w:tcPr>
          <w:p>
            <w:pPr>
              <w:jc w:val="center"/>
              <w:rPr>
                <w:b/>
                <w:color w:val="000000"/>
                <w:szCs w:val="21"/>
              </w:rPr>
            </w:pPr>
            <w:r>
              <w:rPr>
                <w:b/>
                <w:color w:val="00000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69" w:type="pct"/>
            <w:noWrap w:val="0"/>
            <w:vAlign w:val="center"/>
          </w:tcPr>
          <w:p>
            <w:pPr>
              <w:jc w:val="center"/>
              <w:rPr>
                <w:b/>
                <w:bCs/>
                <w:color w:val="000000"/>
                <w:szCs w:val="21"/>
              </w:rPr>
            </w:pPr>
            <w:r>
              <w:rPr>
                <w:rFonts w:hint="eastAsia"/>
                <w:b/>
                <w:bCs/>
                <w:color w:val="000000"/>
                <w:szCs w:val="21"/>
              </w:rPr>
              <w:t>生产工艺</w:t>
            </w:r>
          </w:p>
        </w:tc>
        <w:tc>
          <w:tcPr>
            <w:tcW w:w="383" w:type="pct"/>
            <w:noWrap w:val="0"/>
            <w:vAlign w:val="center"/>
          </w:tcPr>
          <w:p>
            <w:pPr>
              <w:jc w:val="center"/>
              <w:rPr>
                <w:b/>
                <w:bCs/>
                <w:color w:val="000000"/>
                <w:szCs w:val="21"/>
              </w:rPr>
            </w:pPr>
            <w:r>
              <w:rPr>
                <w:rFonts w:hint="eastAsia"/>
                <w:b/>
                <w:bCs/>
                <w:color w:val="000000"/>
                <w:szCs w:val="21"/>
              </w:rPr>
              <w:t>产污设备</w:t>
            </w:r>
          </w:p>
        </w:tc>
        <w:tc>
          <w:tcPr>
            <w:tcW w:w="825" w:type="pct"/>
            <w:vMerge w:val="continue"/>
            <w:noWrap w:val="0"/>
            <w:vAlign w:val="center"/>
          </w:tcPr>
          <w:p>
            <w:pPr>
              <w:jc w:val="center"/>
              <w:rPr>
                <w:color w:val="000000"/>
                <w:szCs w:val="21"/>
              </w:rPr>
            </w:pPr>
          </w:p>
        </w:tc>
        <w:tc>
          <w:tcPr>
            <w:tcW w:w="290" w:type="pct"/>
            <w:vMerge w:val="continue"/>
            <w:noWrap w:val="0"/>
            <w:vAlign w:val="center"/>
          </w:tcPr>
          <w:p>
            <w:pPr>
              <w:jc w:val="center"/>
              <w:rPr>
                <w:color w:val="000000"/>
                <w:szCs w:val="21"/>
              </w:rPr>
            </w:pPr>
          </w:p>
        </w:tc>
        <w:tc>
          <w:tcPr>
            <w:tcW w:w="305" w:type="pct"/>
            <w:vMerge w:val="continue"/>
            <w:noWrap w:val="0"/>
            <w:vAlign w:val="center"/>
          </w:tcPr>
          <w:p>
            <w:pPr>
              <w:jc w:val="center"/>
              <w:rPr>
                <w:color w:val="000000"/>
                <w:szCs w:val="21"/>
              </w:rPr>
            </w:pPr>
          </w:p>
        </w:tc>
        <w:tc>
          <w:tcPr>
            <w:tcW w:w="297" w:type="pct"/>
            <w:vMerge w:val="continue"/>
            <w:noWrap w:val="0"/>
            <w:vAlign w:val="center"/>
          </w:tcPr>
          <w:p>
            <w:pPr>
              <w:jc w:val="center"/>
              <w:rPr>
                <w:color w:val="000000"/>
                <w:szCs w:val="21"/>
              </w:rPr>
            </w:pPr>
          </w:p>
        </w:tc>
        <w:tc>
          <w:tcPr>
            <w:tcW w:w="298" w:type="pct"/>
            <w:vMerge w:val="continue"/>
            <w:noWrap w:val="0"/>
            <w:vAlign w:val="center"/>
          </w:tcPr>
          <w:p>
            <w:pPr>
              <w:jc w:val="center"/>
              <w:rPr>
                <w:color w:val="000000"/>
                <w:szCs w:val="21"/>
              </w:rPr>
            </w:pPr>
          </w:p>
        </w:tc>
        <w:tc>
          <w:tcPr>
            <w:tcW w:w="447" w:type="pct"/>
            <w:vMerge w:val="continue"/>
            <w:noWrap w:val="0"/>
            <w:vAlign w:val="center"/>
          </w:tcPr>
          <w:p>
            <w:pPr>
              <w:jc w:val="center"/>
              <w:rPr>
                <w:color w:val="000000"/>
                <w:szCs w:val="21"/>
              </w:rPr>
            </w:pPr>
          </w:p>
        </w:tc>
        <w:tc>
          <w:tcPr>
            <w:tcW w:w="424" w:type="pct"/>
            <w:noWrap w:val="0"/>
            <w:vAlign w:val="center"/>
          </w:tcPr>
          <w:p>
            <w:pPr>
              <w:pStyle w:val="23"/>
              <w:rPr>
                <w:color w:val="000000"/>
                <w:kern w:val="2"/>
                <w:sz w:val="21"/>
                <w:szCs w:val="21"/>
              </w:rPr>
            </w:pPr>
            <w:r>
              <w:rPr>
                <w:rFonts w:hint="eastAsia"/>
                <w:color w:val="000000"/>
                <w:kern w:val="2"/>
                <w:sz w:val="21"/>
                <w:szCs w:val="21"/>
              </w:rPr>
              <w:t>浓度</w:t>
            </w:r>
            <w:r>
              <w:rPr>
                <w:color w:val="000000"/>
                <w:kern w:val="2"/>
                <w:sz w:val="21"/>
                <w:szCs w:val="21"/>
              </w:rPr>
              <w:t>限值（mg/m</w:t>
            </w:r>
            <w:r>
              <w:rPr>
                <w:color w:val="000000"/>
                <w:kern w:val="2"/>
                <w:sz w:val="21"/>
                <w:szCs w:val="21"/>
                <w:vertAlign w:val="superscript"/>
              </w:rPr>
              <w:t>3</w:t>
            </w:r>
            <w:r>
              <w:rPr>
                <w:color w:val="000000"/>
                <w:kern w:val="2"/>
                <w:sz w:val="21"/>
                <w:szCs w:val="21"/>
              </w:rPr>
              <w:t>）</w:t>
            </w:r>
          </w:p>
        </w:tc>
        <w:tc>
          <w:tcPr>
            <w:tcW w:w="370" w:type="pct"/>
            <w:noWrap w:val="0"/>
            <w:vAlign w:val="center"/>
          </w:tcPr>
          <w:p>
            <w:pPr>
              <w:pStyle w:val="23"/>
              <w:rPr>
                <w:color w:val="000000"/>
                <w:kern w:val="2"/>
                <w:sz w:val="21"/>
                <w:szCs w:val="21"/>
              </w:rPr>
            </w:pPr>
            <w:r>
              <w:rPr>
                <w:color w:val="000000"/>
                <w:kern w:val="2"/>
                <w:sz w:val="21"/>
                <w:szCs w:val="21"/>
              </w:rPr>
              <w:t>速率</w:t>
            </w:r>
            <w:r>
              <w:rPr>
                <w:rFonts w:hint="eastAsia"/>
                <w:color w:val="000000"/>
                <w:kern w:val="2"/>
                <w:sz w:val="21"/>
                <w:szCs w:val="21"/>
              </w:rPr>
              <w:t>限值</w:t>
            </w:r>
          </w:p>
          <w:p>
            <w:pPr>
              <w:pStyle w:val="23"/>
              <w:rPr>
                <w:color w:val="000000"/>
                <w:kern w:val="2"/>
                <w:sz w:val="21"/>
                <w:szCs w:val="21"/>
              </w:rPr>
            </w:pPr>
            <w:r>
              <w:rPr>
                <w:color w:val="000000"/>
                <w:kern w:val="2"/>
                <w:sz w:val="21"/>
                <w:szCs w:val="21"/>
              </w:rPr>
              <w:t>（kg/h）</w:t>
            </w:r>
          </w:p>
        </w:tc>
        <w:tc>
          <w:tcPr>
            <w:tcW w:w="992" w:type="pct"/>
            <w:vMerge w:val="continue"/>
            <w:noWrap w:val="0"/>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752" w:type="pct"/>
            <w:gridSpan w:val="2"/>
            <w:noWrap w:val="0"/>
            <w:vAlign w:val="center"/>
          </w:tcPr>
          <w:p>
            <w:pPr>
              <w:jc w:val="center"/>
              <w:rPr>
                <w:color w:val="000000"/>
                <w:szCs w:val="21"/>
              </w:rPr>
            </w:pPr>
            <w:r>
              <w:rPr>
                <w:rFonts w:hint="eastAsia"/>
                <w:color w:val="000000"/>
                <w:szCs w:val="21"/>
              </w:rPr>
              <w:t>厂界</w:t>
            </w:r>
          </w:p>
        </w:tc>
        <w:tc>
          <w:tcPr>
            <w:tcW w:w="825" w:type="pct"/>
            <w:noWrap w:val="0"/>
            <w:vAlign w:val="center"/>
          </w:tcPr>
          <w:p>
            <w:pPr>
              <w:jc w:val="center"/>
              <w:rPr>
                <w:color w:val="000000"/>
                <w:szCs w:val="21"/>
              </w:rPr>
            </w:pPr>
            <w:r>
              <w:rPr>
                <w:rFonts w:hint="eastAsia"/>
                <w:color w:val="000000"/>
                <w:szCs w:val="21"/>
              </w:rPr>
              <w:t>一次、</w:t>
            </w:r>
            <w:r>
              <w:rPr>
                <w:color w:val="000000"/>
                <w:szCs w:val="21"/>
              </w:rPr>
              <w:t>二次油气回收系统</w:t>
            </w:r>
          </w:p>
        </w:tc>
        <w:tc>
          <w:tcPr>
            <w:tcW w:w="290" w:type="pct"/>
            <w:noWrap w:val="0"/>
            <w:vAlign w:val="center"/>
          </w:tcPr>
          <w:p>
            <w:pPr>
              <w:jc w:val="center"/>
              <w:rPr>
                <w:color w:val="000000"/>
                <w:szCs w:val="21"/>
              </w:rPr>
            </w:pPr>
            <w:r>
              <w:rPr>
                <w:rFonts w:hint="eastAsia"/>
                <w:color w:val="000000"/>
                <w:szCs w:val="21"/>
              </w:rPr>
              <w:t>无组织</w:t>
            </w:r>
          </w:p>
        </w:tc>
        <w:tc>
          <w:tcPr>
            <w:tcW w:w="900" w:type="pct"/>
            <w:gridSpan w:val="3"/>
            <w:noWrap w:val="0"/>
            <w:vAlign w:val="center"/>
          </w:tcPr>
          <w:p>
            <w:pPr>
              <w:jc w:val="center"/>
              <w:rPr>
                <w:color w:val="000000"/>
                <w:szCs w:val="21"/>
              </w:rPr>
            </w:pPr>
            <w:r>
              <w:rPr>
                <w:rFonts w:hint="eastAsia"/>
                <w:color w:val="000000"/>
                <w:szCs w:val="21"/>
              </w:rPr>
              <w:t>/</w:t>
            </w:r>
          </w:p>
        </w:tc>
        <w:tc>
          <w:tcPr>
            <w:tcW w:w="447" w:type="pct"/>
            <w:noWrap w:val="0"/>
            <w:vAlign w:val="center"/>
          </w:tcPr>
          <w:p>
            <w:pPr>
              <w:jc w:val="center"/>
              <w:rPr>
                <w:color w:val="000000"/>
                <w:szCs w:val="21"/>
              </w:rPr>
            </w:pPr>
            <w:r>
              <w:rPr>
                <w:rFonts w:hint="eastAsia"/>
                <w:color w:val="000000"/>
                <w:szCs w:val="21"/>
              </w:rPr>
              <w:t>非甲烷总烃</w:t>
            </w:r>
          </w:p>
        </w:tc>
        <w:tc>
          <w:tcPr>
            <w:tcW w:w="424" w:type="pct"/>
            <w:noWrap w:val="0"/>
            <w:vAlign w:val="center"/>
          </w:tcPr>
          <w:p>
            <w:pPr>
              <w:jc w:val="center"/>
              <w:rPr>
                <w:color w:val="000000"/>
                <w:szCs w:val="21"/>
              </w:rPr>
            </w:pPr>
            <w:r>
              <w:rPr>
                <w:color w:val="000000"/>
                <w:szCs w:val="21"/>
              </w:rPr>
              <w:t>4.0</w:t>
            </w:r>
          </w:p>
        </w:tc>
        <w:tc>
          <w:tcPr>
            <w:tcW w:w="370" w:type="pct"/>
            <w:noWrap w:val="0"/>
            <w:vAlign w:val="center"/>
          </w:tcPr>
          <w:p>
            <w:pPr>
              <w:jc w:val="center"/>
              <w:rPr>
                <w:color w:val="000000"/>
                <w:szCs w:val="21"/>
              </w:rPr>
            </w:pPr>
            <w:r>
              <w:rPr>
                <w:color w:val="000000"/>
                <w:szCs w:val="21"/>
              </w:rPr>
              <w:t>/</w:t>
            </w:r>
          </w:p>
        </w:tc>
        <w:tc>
          <w:tcPr>
            <w:tcW w:w="992" w:type="pct"/>
            <w:noWrap w:val="0"/>
            <w:vAlign w:val="center"/>
          </w:tcPr>
          <w:p>
            <w:pPr>
              <w:jc w:val="center"/>
              <w:rPr>
                <w:color w:val="000000"/>
                <w:szCs w:val="21"/>
              </w:rPr>
            </w:pPr>
            <w:r>
              <w:rPr>
                <w:rFonts w:hint="eastAsia"/>
                <w:color w:val="000000"/>
                <w:szCs w:val="21"/>
              </w:rPr>
              <w:t>非甲烷总烃执行《加油站大气</w:t>
            </w:r>
            <w:r>
              <w:rPr>
                <w:color w:val="000000"/>
                <w:szCs w:val="21"/>
              </w:rPr>
              <w:t>污染物排放标准</w:t>
            </w:r>
            <w:r>
              <w:rPr>
                <w:rFonts w:hint="eastAsia"/>
                <w:color w:val="000000"/>
                <w:szCs w:val="21"/>
              </w:rPr>
              <w:t>》</w:t>
            </w:r>
          </w:p>
        </w:tc>
      </w:tr>
    </w:tbl>
    <w:p>
      <w:pPr>
        <w:spacing w:line="220" w:lineRule="atLeast"/>
      </w:pPr>
    </w:p>
    <w:p>
      <w:pPr>
        <w:spacing w:line="220" w:lineRule="atLeast"/>
        <w:sectPr>
          <w:pgSz w:w="16838" w:h="11906" w:orient="landscape"/>
          <w:pgMar w:top="1080" w:right="1440" w:bottom="1080" w:left="1440" w:header="708" w:footer="708" w:gutter="0"/>
          <w:cols w:space="708" w:num="1"/>
          <w:docGrid w:linePitch="360" w:charSpace="0"/>
        </w:sectPr>
      </w:pPr>
    </w:p>
    <w:p>
      <w:pPr>
        <w:jc w:val="center"/>
        <w:outlineLvl w:val="5"/>
        <w:rPr>
          <w:b/>
          <w:color w:val="000000"/>
          <w:sz w:val="24"/>
        </w:rPr>
      </w:pPr>
      <w:r>
        <w:rPr>
          <w:rFonts w:hint="eastAsia"/>
          <w:b/>
          <w:color w:val="000000"/>
          <w:sz w:val="24"/>
        </w:rPr>
        <w:t xml:space="preserve"> </w:t>
      </w:r>
    </w:p>
    <w:p>
      <w:pPr>
        <w:jc w:val="center"/>
        <w:outlineLvl w:val="5"/>
        <w:rPr>
          <w:b/>
          <w:color w:val="000000"/>
          <w:sz w:val="24"/>
        </w:rPr>
      </w:pPr>
    </w:p>
    <w:p>
      <w:pPr>
        <w:jc w:val="center"/>
        <w:outlineLvl w:val="5"/>
        <w:rPr>
          <w:b/>
          <w:color w:val="000000"/>
          <w:sz w:val="24"/>
        </w:rPr>
      </w:pPr>
      <w:r>
        <w:rPr>
          <w:rFonts w:hint="eastAsia"/>
          <w:b/>
          <w:color w:val="000000"/>
          <w:sz w:val="24"/>
        </w:rPr>
        <w:t>本工程废水污染物排放基本情况一览表</w:t>
      </w:r>
    </w:p>
    <w:p>
      <w:pPr>
        <w:jc w:val="center"/>
        <w:outlineLvl w:val="5"/>
        <w:rPr>
          <w:b/>
          <w:color w:val="000000"/>
          <w:sz w:val="24"/>
        </w:rPr>
      </w:pPr>
    </w:p>
    <w:tbl>
      <w:tblPr>
        <w:tblStyle w:val="8"/>
        <w:tblW w:w="5353" w:type="pct"/>
        <w:tblInd w:w="-15" w:type="dxa"/>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551"/>
        <w:gridCol w:w="907"/>
        <w:gridCol w:w="675"/>
        <w:gridCol w:w="1260"/>
        <w:gridCol w:w="584"/>
        <w:gridCol w:w="503"/>
        <w:gridCol w:w="633"/>
        <w:gridCol w:w="829"/>
        <w:gridCol w:w="645"/>
        <w:gridCol w:w="483"/>
        <w:gridCol w:w="875"/>
        <w:gridCol w:w="978"/>
      </w:tblGrid>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08"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废水类别</w:t>
            </w:r>
          </w:p>
        </w:tc>
        <w:tc>
          <w:tcPr>
            <w:tcW w:w="508"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产生环节</w:t>
            </w:r>
          </w:p>
        </w:tc>
        <w:tc>
          <w:tcPr>
            <w:tcW w:w="1084" w:type="pct"/>
            <w:gridSpan w:val="2"/>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w:t>
            </w:r>
          </w:p>
        </w:tc>
        <w:tc>
          <w:tcPr>
            <w:tcW w:w="327"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排放口</w:t>
            </w:r>
          </w:p>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编号</w:t>
            </w:r>
          </w:p>
        </w:tc>
        <w:tc>
          <w:tcPr>
            <w:tcW w:w="282"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排放口坐标</w:t>
            </w:r>
          </w:p>
        </w:tc>
        <w:tc>
          <w:tcPr>
            <w:tcW w:w="354"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w:t>
            </w:r>
            <w:r>
              <w:rPr>
                <w:rFonts w:hint="eastAsia" w:ascii="Times New Roman" w:hAnsi="Times New Roman" w:cs="Times New Roman"/>
                <w:b/>
                <w:color w:val="000000"/>
                <w:kern w:val="0"/>
                <w:sz w:val="21"/>
                <w:szCs w:val="18"/>
              </w:rPr>
              <w:t>方式</w:t>
            </w:r>
          </w:p>
        </w:tc>
        <w:tc>
          <w:tcPr>
            <w:tcW w:w="464"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排放去向</w:t>
            </w:r>
          </w:p>
        </w:tc>
        <w:tc>
          <w:tcPr>
            <w:tcW w:w="361"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排放口</w:t>
            </w:r>
          </w:p>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hint="eastAsia" w:ascii="Times New Roman" w:hAnsi="Times New Roman" w:cs="Times New Roman"/>
                <w:b/>
                <w:color w:val="000000"/>
                <w:kern w:val="0"/>
                <w:sz w:val="21"/>
                <w:szCs w:val="18"/>
              </w:rPr>
              <w:t>类型</w:t>
            </w:r>
          </w:p>
        </w:tc>
        <w:tc>
          <w:tcPr>
            <w:tcW w:w="270"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污染物种类</w:t>
            </w:r>
          </w:p>
        </w:tc>
        <w:tc>
          <w:tcPr>
            <w:tcW w:w="490" w:type="pct"/>
            <w:vMerge w:val="restart"/>
            <w:noWrap w:val="0"/>
            <w:vAlign w:val="center"/>
          </w:tcPr>
          <w:p>
            <w:pPr>
              <w:pStyle w:val="23"/>
              <w:rPr>
                <w:color w:val="000000"/>
                <w:sz w:val="21"/>
                <w:szCs w:val="21"/>
              </w:rPr>
            </w:pPr>
            <w:r>
              <w:rPr>
                <w:color w:val="000000"/>
                <w:kern w:val="2"/>
                <w:sz w:val="21"/>
                <w:szCs w:val="21"/>
              </w:rPr>
              <w:t>排放</w:t>
            </w:r>
            <w:r>
              <w:rPr>
                <w:rFonts w:hint="eastAsia"/>
                <w:color w:val="000000"/>
                <w:kern w:val="2"/>
                <w:sz w:val="21"/>
                <w:szCs w:val="21"/>
              </w:rPr>
              <w:t>浓度</w:t>
            </w:r>
            <w:r>
              <w:rPr>
                <w:rFonts w:hint="eastAsia" w:ascii="宋体" w:hAnsi="宋体" w:cs="宋体"/>
                <w:color w:val="000000"/>
                <w:sz w:val="21"/>
                <w:szCs w:val="21"/>
              </w:rPr>
              <w:t>限值</w:t>
            </w:r>
          </w:p>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sz w:val="21"/>
                <w:szCs w:val="21"/>
              </w:rPr>
              <w:t>（mg/</w:t>
            </w:r>
            <w:r>
              <w:rPr>
                <w:rFonts w:hint="eastAsia" w:ascii="Times New Roman" w:hAnsi="Times New Roman" w:cs="Times New Roman"/>
                <w:b/>
                <w:color w:val="000000"/>
                <w:sz w:val="21"/>
                <w:szCs w:val="21"/>
              </w:rPr>
              <w:t>L</w:t>
            </w:r>
            <w:r>
              <w:rPr>
                <w:rFonts w:ascii="Times New Roman" w:hAnsi="Times New Roman" w:cs="Times New Roman"/>
                <w:b/>
                <w:color w:val="000000"/>
                <w:sz w:val="21"/>
                <w:szCs w:val="21"/>
              </w:rPr>
              <w:t>）</w:t>
            </w:r>
          </w:p>
        </w:tc>
        <w:tc>
          <w:tcPr>
            <w:tcW w:w="547" w:type="pct"/>
            <w:vMerge w:val="restart"/>
            <w:noWrap w:val="0"/>
            <w:vAlign w:val="center"/>
          </w:tcPr>
          <w:p>
            <w:pPr>
              <w:pStyle w:val="23"/>
              <w:rPr>
                <w:color w:val="000000"/>
                <w:kern w:val="2"/>
                <w:sz w:val="21"/>
                <w:szCs w:val="21"/>
              </w:rPr>
            </w:pPr>
            <w:r>
              <w:rPr>
                <w:rFonts w:hint="eastAsia"/>
                <w:color w:val="000000"/>
                <w:kern w:val="2"/>
                <w:sz w:val="21"/>
                <w:szCs w:val="21"/>
              </w:rPr>
              <w:t>执行标准</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308"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08"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78" w:type="pc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污染治理设施名称</w:t>
            </w:r>
          </w:p>
        </w:tc>
        <w:tc>
          <w:tcPr>
            <w:tcW w:w="706" w:type="pct"/>
            <w:noWrap w:val="0"/>
            <w:vAlign w:val="center"/>
          </w:tcPr>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污染治理设施</w:t>
            </w:r>
          </w:p>
          <w:p>
            <w:pPr>
              <w:pStyle w:val="24"/>
              <w:adjustRightInd w:val="0"/>
              <w:snapToGrid w:val="0"/>
              <w:spacing w:line="240" w:lineRule="auto"/>
              <w:ind w:firstLine="0" w:firstLineChars="0"/>
              <w:jc w:val="center"/>
              <w:rPr>
                <w:rFonts w:ascii="Times New Roman" w:hAnsi="Times New Roman" w:cs="Times New Roman"/>
                <w:b/>
                <w:color w:val="000000"/>
                <w:kern w:val="0"/>
                <w:sz w:val="21"/>
                <w:szCs w:val="18"/>
              </w:rPr>
            </w:pPr>
            <w:r>
              <w:rPr>
                <w:rFonts w:ascii="Times New Roman" w:hAnsi="Times New Roman" w:cs="Times New Roman"/>
                <w:b/>
                <w:color w:val="000000"/>
                <w:kern w:val="0"/>
                <w:sz w:val="21"/>
                <w:szCs w:val="18"/>
              </w:rPr>
              <w:t>工艺</w:t>
            </w:r>
          </w:p>
        </w:tc>
        <w:tc>
          <w:tcPr>
            <w:tcW w:w="327"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82"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54"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64"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61"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70"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90"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47"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生产</w:t>
            </w:r>
            <w:r>
              <w:rPr>
                <w:rFonts w:ascii="Times New Roman" w:hAnsi="Times New Roman" w:cs="Times New Roman"/>
                <w:color w:val="000000"/>
                <w:kern w:val="0"/>
                <w:sz w:val="21"/>
                <w:szCs w:val="18"/>
              </w:rPr>
              <w:t>废水</w:t>
            </w:r>
          </w:p>
        </w:tc>
        <w:tc>
          <w:tcPr>
            <w:tcW w:w="508" w:type="pct"/>
            <w:vMerge w:val="restart"/>
            <w:noWrap w:val="0"/>
            <w:vAlign w:val="center"/>
          </w:tcPr>
          <w:p>
            <w:pPr>
              <w:jc w:val="center"/>
              <w:rPr>
                <w:rFonts w:hint="eastAsia" w:eastAsia="宋体"/>
                <w:color w:val="000000"/>
                <w:szCs w:val="21"/>
                <w:lang w:eastAsia="zh-CN"/>
              </w:rPr>
            </w:pPr>
            <w:r>
              <w:rPr>
                <w:rFonts w:hint="eastAsia"/>
                <w:color w:val="000000"/>
                <w:szCs w:val="21"/>
                <w:lang w:val="en-US" w:eastAsia="zh-CN"/>
              </w:rPr>
              <w:t>场地清洗废水</w:t>
            </w:r>
          </w:p>
        </w:tc>
        <w:tc>
          <w:tcPr>
            <w:tcW w:w="378" w:type="pct"/>
            <w:vMerge w:val="restart"/>
            <w:noWrap w:val="0"/>
            <w:vAlign w:val="center"/>
          </w:tcPr>
          <w:p>
            <w:pPr>
              <w:jc w:val="center"/>
              <w:rPr>
                <w:color w:val="000000"/>
                <w:szCs w:val="21"/>
              </w:rPr>
            </w:pPr>
            <w:r>
              <w:rPr>
                <w:rFonts w:hint="eastAsia"/>
                <w:color w:val="000000"/>
                <w:szCs w:val="21"/>
              </w:rPr>
              <w:t>隔油沉淀池</w:t>
            </w:r>
          </w:p>
        </w:tc>
        <w:tc>
          <w:tcPr>
            <w:tcW w:w="706" w:type="pct"/>
            <w:vMerge w:val="restart"/>
            <w:noWrap w:val="0"/>
            <w:vAlign w:val="center"/>
          </w:tcPr>
          <w:p>
            <w:pPr>
              <w:jc w:val="center"/>
              <w:rPr>
                <w:color w:val="000000"/>
                <w:szCs w:val="21"/>
              </w:rPr>
            </w:pPr>
            <w:r>
              <w:rPr>
                <w:rFonts w:hint="eastAsia"/>
                <w:color w:val="000000"/>
                <w:szCs w:val="21"/>
              </w:rPr>
              <w:t>/</w:t>
            </w:r>
          </w:p>
        </w:tc>
        <w:tc>
          <w:tcPr>
            <w:tcW w:w="327" w:type="pct"/>
            <w:vMerge w:val="restart"/>
            <w:noWrap w:val="0"/>
            <w:vAlign w:val="center"/>
          </w:tcPr>
          <w:p>
            <w:pPr>
              <w:jc w:val="center"/>
              <w:rPr>
                <w:color w:val="000000"/>
                <w:szCs w:val="18"/>
              </w:rPr>
            </w:pPr>
            <w:r>
              <w:rPr>
                <w:color w:val="000000"/>
                <w:szCs w:val="21"/>
              </w:rPr>
              <w:t>DW001</w:t>
            </w:r>
          </w:p>
          <w:p>
            <w:pPr>
              <w:jc w:val="center"/>
              <w:rPr>
                <w:color w:val="000000"/>
                <w:szCs w:val="18"/>
              </w:rPr>
            </w:pPr>
          </w:p>
        </w:tc>
        <w:tc>
          <w:tcPr>
            <w:tcW w:w="282" w:type="pct"/>
            <w:vMerge w:val="restart"/>
            <w:noWrap w:val="0"/>
            <w:vAlign w:val="center"/>
          </w:tcPr>
          <w:p>
            <w:pPr>
              <w:jc w:val="center"/>
              <w:rPr>
                <w:color w:val="000000"/>
                <w:szCs w:val="18"/>
              </w:rPr>
            </w:pPr>
            <w:r>
              <w:rPr>
                <w:rFonts w:hint="eastAsia"/>
                <w:color w:val="000000"/>
                <w:szCs w:val="21"/>
              </w:rPr>
              <w:t>经度：111.470721499</w:t>
            </w:r>
            <w:r>
              <w:rPr>
                <w:color w:val="000000"/>
                <w:szCs w:val="21"/>
              </w:rPr>
              <w:t>E</w:t>
            </w:r>
            <w:r>
              <w:rPr>
                <w:rFonts w:hint="eastAsia"/>
                <w:color w:val="000000"/>
                <w:szCs w:val="21"/>
              </w:rPr>
              <w:t>纬度：28.912477216</w:t>
            </w:r>
            <w:r>
              <w:rPr>
                <w:color w:val="000000"/>
                <w:szCs w:val="21"/>
              </w:rPr>
              <w:t>N</w:t>
            </w:r>
          </w:p>
          <w:p>
            <w:pPr>
              <w:jc w:val="center"/>
              <w:rPr>
                <w:color w:val="000000"/>
                <w:szCs w:val="18"/>
              </w:rPr>
            </w:pPr>
          </w:p>
        </w:tc>
        <w:tc>
          <w:tcPr>
            <w:tcW w:w="354"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lang w:eastAsia="zh-CN"/>
              </w:rPr>
              <w:t>间接</w:t>
            </w:r>
            <w:r>
              <w:rPr>
                <w:rFonts w:hint="eastAsia" w:ascii="Times New Roman" w:hAnsi="Times New Roman" w:cs="Times New Roman"/>
                <w:color w:val="000000"/>
                <w:kern w:val="0"/>
                <w:sz w:val="21"/>
                <w:szCs w:val="18"/>
              </w:rPr>
              <w:t>排放</w:t>
            </w:r>
          </w:p>
        </w:tc>
        <w:tc>
          <w:tcPr>
            <w:tcW w:w="464" w:type="pct"/>
            <w:vMerge w:val="restart"/>
            <w:noWrap w:val="0"/>
            <w:vAlign w:val="center"/>
          </w:tcPr>
          <w:p>
            <w:pPr>
              <w:pStyle w:val="24"/>
              <w:adjustRightInd w:val="0"/>
              <w:snapToGrid w:val="0"/>
              <w:spacing w:line="240" w:lineRule="auto"/>
              <w:ind w:firstLine="0" w:firstLineChars="0"/>
              <w:jc w:val="center"/>
              <w:rPr>
                <w:rFonts w:hint="eastAsia" w:ascii="Times New Roman" w:hAnsi="Times New Roman" w:eastAsia="宋体" w:cs="Times New Roman"/>
                <w:color w:val="000000"/>
                <w:kern w:val="0"/>
                <w:sz w:val="21"/>
                <w:szCs w:val="18"/>
                <w:lang w:eastAsia="zh-CN"/>
              </w:rPr>
            </w:pPr>
            <w:r>
              <w:rPr>
                <w:rFonts w:hint="eastAsia" w:ascii="Times New Roman" w:hAnsi="Times New Roman" w:cs="Times New Roman"/>
                <w:color w:val="000000"/>
                <w:kern w:val="0"/>
                <w:sz w:val="21"/>
                <w:szCs w:val="18"/>
                <w:lang w:eastAsia="zh-CN"/>
              </w:rPr>
              <w:t>桃源县污水处理厂</w:t>
            </w:r>
          </w:p>
          <w:p>
            <w:pPr>
              <w:pStyle w:val="24"/>
              <w:adjustRightInd w:val="0"/>
              <w:snapToGrid w:val="0"/>
              <w:spacing w:line="240" w:lineRule="auto"/>
              <w:ind w:firstLine="420"/>
              <w:jc w:val="center"/>
              <w:rPr>
                <w:rFonts w:ascii="Times New Roman" w:hAnsi="Times New Roman" w:cs="Times New Roman"/>
                <w:color w:val="000000"/>
                <w:kern w:val="0"/>
                <w:sz w:val="21"/>
                <w:szCs w:val="18"/>
              </w:rPr>
            </w:pPr>
          </w:p>
        </w:tc>
        <w:tc>
          <w:tcPr>
            <w:tcW w:w="361" w:type="pct"/>
            <w:vMerge w:val="restart"/>
            <w:noWrap w:val="0"/>
            <w:vAlign w:val="center"/>
          </w:tcPr>
          <w:p>
            <w:pPr>
              <w:pStyle w:val="24"/>
              <w:adjustRightInd w:val="0"/>
              <w:snapToGrid w:val="0"/>
              <w:spacing w:line="240" w:lineRule="auto"/>
              <w:ind w:firstLine="0" w:firstLineChars="0"/>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一般排放口</w:t>
            </w:r>
          </w:p>
        </w:tc>
        <w:tc>
          <w:tcPr>
            <w:tcW w:w="270" w:type="pct"/>
            <w:vMerge w:val="restart"/>
            <w:noWrap w:val="0"/>
            <w:vAlign w:val="center"/>
          </w:tcPr>
          <w:p>
            <w:pPr>
              <w:jc w:val="center"/>
              <w:rPr>
                <w:color w:val="000000"/>
                <w:szCs w:val="18"/>
              </w:rPr>
            </w:pPr>
            <w:r>
              <w:rPr>
                <w:color w:val="000000"/>
                <w:szCs w:val="21"/>
              </w:rPr>
              <w:t>CODcr</w:t>
            </w:r>
          </w:p>
        </w:tc>
        <w:tc>
          <w:tcPr>
            <w:tcW w:w="875" w:type="dxa"/>
            <w:vMerge w:val="restart"/>
            <w:noWrap w:val="0"/>
            <w:vAlign w:val="center"/>
          </w:tcPr>
          <w:p>
            <w:pPr>
              <w:widowControl/>
              <w:jc w:val="center"/>
              <w:rPr>
                <w:rFonts w:hint="default" w:eastAsia="宋体"/>
                <w:color w:val="000000"/>
                <w:szCs w:val="21"/>
                <w:lang w:val="en-US" w:eastAsia="zh-CN"/>
              </w:rPr>
            </w:pPr>
            <w:r>
              <w:rPr>
                <w:rFonts w:hint="eastAsia"/>
                <w:color w:val="000000"/>
                <w:szCs w:val="21"/>
                <w:lang w:val="en-US" w:eastAsia="zh-CN"/>
              </w:rPr>
              <w:t>220</w:t>
            </w:r>
          </w:p>
        </w:tc>
        <w:tc>
          <w:tcPr>
            <w:tcW w:w="547"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default" w:ascii="Times New Roman" w:hAnsi="Times New Roman" w:cs="Times New Roman"/>
                <w:sz w:val="21"/>
                <w:szCs w:val="21"/>
              </w:rPr>
              <w:t>执行《污水综合排放标准》（GB8978-1996）表4三级标准以及</w:t>
            </w:r>
            <w:r>
              <w:rPr>
                <w:rFonts w:hint="default" w:ascii="Times New Roman" w:hAnsi="Times New Roman" w:cs="Times New Roman"/>
                <w:sz w:val="21"/>
                <w:szCs w:val="21"/>
                <w:lang w:eastAsia="zh-CN"/>
              </w:rPr>
              <w:t>桃源县污水处理厂</w:t>
            </w:r>
            <w:r>
              <w:rPr>
                <w:rFonts w:hint="default" w:ascii="Times New Roman" w:hAnsi="Times New Roman" w:cs="Times New Roman"/>
                <w:sz w:val="21"/>
                <w:szCs w:val="21"/>
              </w:rPr>
              <w:t>进水水质要</w:t>
            </w:r>
            <w:r>
              <w:rPr>
                <w:sz w:val="21"/>
                <w:szCs w:val="21"/>
              </w:rPr>
              <w:t>求</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rPr>
                <w:color w:val="000000"/>
                <w:szCs w:val="21"/>
              </w:rPr>
            </w:pPr>
          </w:p>
        </w:tc>
        <w:tc>
          <w:tcPr>
            <w:tcW w:w="508" w:type="pct"/>
            <w:vMerge w:val="continue"/>
            <w:noWrap w:val="0"/>
            <w:vAlign w:val="center"/>
          </w:tcPr>
          <w:p>
            <w:pPr>
              <w:jc w:val="center"/>
              <w:rPr>
                <w:color w:val="000000"/>
                <w:szCs w:val="21"/>
              </w:rPr>
            </w:pPr>
          </w:p>
        </w:tc>
        <w:tc>
          <w:tcPr>
            <w:tcW w:w="378" w:type="pct"/>
            <w:vMerge w:val="continue"/>
            <w:noWrap w:val="0"/>
            <w:vAlign w:val="center"/>
          </w:tcPr>
          <w:p>
            <w:pPr>
              <w:jc w:val="center"/>
              <w:rPr>
                <w:color w:val="000000"/>
                <w:szCs w:val="21"/>
              </w:rPr>
            </w:pPr>
          </w:p>
        </w:tc>
        <w:tc>
          <w:tcPr>
            <w:tcW w:w="706" w:type="pct"/>
            <w:vMerge w:val="continue"/>
            <w:noWrap w:val="0"/>
            <w:vAlign w:val="center"/>
          </w:tcPr>
          <w:p>
            <w:pPr>
              <w:jc w:val="center"/>
              <w:rPr>
                <w:color w:val="000000"/>
                <w:szCs w:val="21"/>
              </w:rPr>
            </w:pPr>
          </w:p>
        </w:tc>
        <w:tc>
          <w:tcPr>
            <w:tcW w:w="327" w:type="pct"/>
            <w:vMerge w:val="continue"/>
            <w:noWrap w:val="0"/>
            <w:vAlign w:val="center"/>
          </w:tcPr>
          <w:p>
            <w:pPr>
              <w:jc w:val="center"/>
              <w:rPr>
                <w:color w:val="000000"/>
                <w:szCs w:val="21"/>
              </w:rPr>
            </w:pPr>
          </w:p>
        </w:tc>
        <w:tc>
          <w:tcPr>
            <w:tcW w:w="282" w:type="pct"/>
            <w:vMerge w:val="continue"/>
            <w:noWrap w:val="0"/>
            <w:vAlign w:val="center"/>
          </w:tcPr>
          <w:p>
            <w:pPr>
              <w:jc w:val="center"/>
              <w:rPr>
                <w:color w:val="000000"/>
                <w:szCs w:val="21"/>
              </w:rPr>
            </w:pPr>
          </w:p>
        </w:tc>
        <w:tc>
          <w:tcPr>
            <w:tcW w:w="35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46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361"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270" w:type="pct"/>
            <w:vMerge w:val="restart"/>
            <w:noWrap w:val="0"/>
            <w:vAlign w:val="center"/>
          </w:tcPr>
          <w:p>
            <w:pPr>
              <w:jc w:val="center"/>
              <w:rPr>
                <w:b w:val="0"/>
                <w:bCs w:val="0"/>
                <w:color w:val="000000"/>
                <w:szCs w:val="21"/>
              </w:rPr>
            </w:pPr>
            <w:r>
              <w:rPr>
                <w:b w:val="0"/>
                <w:bCs w:val="0"/>
              </w:rPr>
              <w:t>BOD</w:t>
            </w:r>
            <w:r>
              <w:rPr>
                <w:b w:val="0"/>
                <w:bCs w:val="0"/>
                <w:vertAlign w:val="subscript"/>
              </w:rPr>
              <w:t>5</w:t>
            </w:r>
          </w:p>
        </w:tc>
        <w:tc>
          <w:tcPr>
            <w:tcW w:w="875" w:type="dxa"/>
            <w:vMerge w:val="restart"/>
            <w:noWrap w:val="0"/>
            <w:vAlign w:val="center"/>
          </w:tcPr>
          <w:p>
            <w:pPr>
              <w:widowControl/>
              <w:jc w:val="center"/>
              <w:rPr>
                <w:rFonts w:hint="default" w:eastAsia="宋体"/>
                <w:color w:val="000000"/>
                <w:szCs w:val="21"/>
                <w:lang w:val="en-US" w:eastAsia="zh-CN"/>
              </w:rPr>
            </w:pPr>
            <w:r>
              <w:rPr>
                <w:rFonts w:hint="eastAsia"/>
                <w:color w:val="000000"/>
                <w:szCs w:val="21"/>
                <w:lang w:val="en-US" w:eastAsia="zh-CN"/>
              </w:rPr>
              <w:t>110</w:t>
            </w:r>
          </w:p>
        </w:tc>
        <w:tc>
          <w:tcPr>
            <w:tcW w:w="547"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sz w:val="21"/>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rPr>
                <w:color w:val="000000"/>
                <w:szCs w:val="21"/>
              </w:rPr>
            </w:pPr>
          </w:p>
        </w:tc>
        <w:tc>
          <w:tcPr>
            <w:tcW w:w="508" w:type="pct"/>
            <w:vMerge w:val="continue"/>
            <w:noWrap w:val="0"/>
            <w:vAlign w:val="center"/>
          </w:tcPr>
          <w:p>
            <w:pPr>
              <w:jc w:val="center"/>
              <w:rPr>
                <w:color w:val="000000"/>
                <w:szCs w:val="21"/>
              </w:rPr>
            </w:pPr>
          </w:p>
        </w:tc>
        <w:tc>
          <w:tcPr>
            <w:tcW w:w="378" w:type="pct"/>
            <w:vMerge w:val="continue"/>
            <w:noWrap w:val="0"/>
            <w:vAlign w:val="center"/>
          </w:tcPr>
          <w:p>
            <w:pPr>
              <w:jc w:val="center"/>
              <w:rPr>
                <w:color w:val="000000"/>
                <w:szCs w:val="21"/>
              </w:rPr>
            </w:pPr>
          </w:p>
        </w:tc>
        <w:tc>
          <w:tcPr>
            <w:tcW w:w="706" w:type="pct"/>
            <w:vMerge w:val="continue"/>
            <w:noWrap w:val="0"/>
            <w:vAlign w:val="center"/>
          </w:tcPr>
          <w:p>
            <w:pPr>
              <w:jc w:val="center"/>
              <w:rPr>
                <w:color w:val="000000"/>
                <w:szCs w:val="21"/>
              </w:rPr>
            </w:pPr>
          </w:p>
        </w:tc>
        <w:tc>
          <w:tcPr>
            <w:tcW w:w="327" w:type="pct"/>
            <w:vMerge w:val="continue"/>
            <w:noWrap w:val="0"/>
            <w:vAlign w:val="center"/>
          </w:tcPr>
          <w:p>
            <w:pPr>
              <w:jc w:val="center"/>
              <w:rPr>
                <w:color w:val="000000"/>
                <w:szCs w:val="21"/>
              </w:rPr>
            </w:pPr>
          </w:p>
        </w:tc>
        <w:tc>
          <w:tcPr>
            <w:tcW w:w="282" w:type="pct"/>
            <w:vMerge w:val="continue"/>
            <w:noWrap w:val="0"/>
            <w:vAlign w:val="center"/>
          </w:tcPr>
          <w:p>
            <w:pPr>
              <w:jc w:val="center"/>
              <w:rPr>
                <w:color w:val="000000"/>
                <w:szCs w:val="21"/>
              </w:rPr>
            </w:pPr>
          </w:p>
        </w:tc>
        <w:tc>
          <w:tcPr>
            <w:tcW w:w="35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46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361"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sz w:val="21"/>
                <w:szCs w:val="21"/>
              </w:rPr>
            </w:pPr>
          </w:p>
        </w:tc>
        <w:tc>
          <w:tcPr>
            <w:tcW w:w="270" w:type="pct"/>
            <w:vMerge w:val="restart"/>
            <w:noWrap w:val="0"/>
            <w:vAlign w:val="center"/>
          </w:tcPr>
          <w:p>
            <w:pPr>
              <w:jc w:val="center"/>
              <w:rPr>
                <w:b w:val="0"/>
                <w:bCs w:val="0"/>
                <w:color w:val="000000"/>
                <w:szCs w:val="21"/>
              </w:rPr>
            </w:pPr>
            <w:r>
              <w:rPr>
                <w:b w:val="0"/>
                <w:bCs w:val="0"/>
              </w:rPr>
              <w:t>NH</w:t>
            </w:r>
            <w:r>
              <w:rPr>
                <w:b w:val="0"/>
                <w:bCs w:val="0"/>
                <w:vertAlign w:val="subscript"/>
              </w:rPr>
              <w:t>3</w:t>
            </w:r>
            <w:r>
              <w:rPr>
                <w:b w:val="0"/>
                <w:bCs w:val="0"/>
              </w:rPr>
              <w:t>-N</w:t>
            </w:r>
          </w:p>
        </w:tc>
        <w:tc>
          <w:tcPr>
            <w:tcW w:w="875" w:type="dxa"/>
            <w:vMerge w:val="restart"/>
            <w:noWrap w:val="0"/>
            <w:vAlign w:val="center"/>
          </w:tcPr>
          <w:p>
            <w:pPr>
              <w:widowControl/>
              <w:jc w:val="center"/>
              <w:rPr>
                <w:rFonts w:hint="default" w:eastAsia="宋体"/>
                <w:color w:val="000000"/>
                <w:szCs w:val="21"/>
                <w:lang w:val="en-US" w:eastAsia="zh-CN"/>
              </w:rPr>
            </w:pPr>
            <w:r>
              <w:rPr>
                <w:rFonts w:hint="eastAsia"/>
                <w:color w:val="auto"/>
                <w:szCs w:val="21"/>
                <w:lang w:val="en-US" w:eastAsia="zh-CN"/>
              </w:rPr>
              <w:t>22</w:t>
            </w:r>
          </w:p>
        </w:tc>
        <w:tc>
          <w:tcPr>
            <w:tcW w:w="547" w:type="pct"/>
            <w:vMerge w:val="continue"/>
            <w:noWrap w:val="0"/>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r>
              <w:rPr>
                <w:rFonts w:ascii="Times New Roman" w:hAnsi="Times New Roman" w:cs="Times New Roman"/>
                <w:color w:val="000000"/>
                <w:kern w:val="0"/>
                <w:sz w:val="21"/>
                <w:szCs w:val="18"/>
              </w:rPr>
              <w:t>生活污水</w:t>
            </w:r>
          </w:p>
        </w:tc>
        <w:tc>
          <w:tcPr>
            <w:tcW w:w="508" w:type="pct"/>
            <w:vMerge w:val="restart"/>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r>
              <w:rPr>
                <w:rFonts w:hint="eastAsia" w:ascii="Times New Roman" w:hAnsi="Times New Roman" w:cs="Times New Roman"/>
                <w:color w:val="000000"/>
                <w:kern w:val="0"/>
                <w:sz w:val="21"/>
                <w:szCs w:val="18"/>
              </w:rPr>
              <w:t>员工生活、来往人员</w:t>
            </w:r>
          </w:p>
        </w:tc>
        <w:tc>
          <w:tcPr>
            <w:tcW w:w="378" w:type="pct"/>
            <w:vMerge w:val="restart"/>
            <w:noWrap w:val="0"/>
            <w:vAlign w:val="center"/>
          </w:tcPr>
          <w:p>
            <w:pPr>
              <w:jc w:val="center"/>
              <w:rPr>
                <w:color w:val="000000"/>
                <w:szCs w:val="18"/>
              </w:rPr>
            </w:pPr>
            <w:r>
              <w:rPr>
                <w:rFonts w:hint="eastAsia"/>
                <w:color w:val="000000"/>
                <w:szCs w:val="21"/>
              </w:rPr>
              <w:t>化粪池</w:t>
            </w:r>
          </w:p>
        </w:tc>
        <w:tc>
          <w:tcPr>
            <w:tcW w:w="706" w:type="pct"/>
            <w:vMerge w:val="restart"/>
            <w:noWrap w:val="0"/>
            <w:vAlign w:val="center"/>
          </w:tcPr>
          <w:p>
            <w:pPr>
              <w:jc w:val="center"/>
              <w:rPr>
                <w:color w:val="000000"/>
                <w:szCs w:val="18"/>
              </w:rPr>
            </w:pPr>
            <w:r>
              <w:rPr>
                <w:color w:val="000000"/>
                <w:szCs w:val="21"/>
              </w:rPr>
              <w:t>/</w:t>
            </w:r>
          </w:p>
        </w:tc>
        <w:tc>
          <w:tcPr>
            <w:tcW w:w="327" w:type="pct"/>
            <w:vMerge w:val="continue"/>
            <w:noWrap w:val="0"/>
            <w:vAlign w:val="center"/>
          </w:tcPr>
          <w:p>
            <w:pPr>
              <w:jc w:val="center"/>
              <w:rPr>
                <w:color w:val="000000"/>
                <w:szCs w:val="18"/>
              </w:rPr>
            </w:pPr>
          </w:p>
        </w:tc>
        <w:tc>
          <w:tcPr>
            <w:tcW w:w="282" w:type="pct"/>
            <w:vMerge w:val="continue"/>
            <w:noWrap w:val="0"/>
            <w:vAlign w:val="center"/>
          </w:tcPr>
          <w:p>
            <w:pPr>
              <w:jc w:val="center"/>
              <w:rPr>
                <w:color w:val="000000"/>
                <w:szCs w:val="18"/>
              </w:rPr>
            </w:pPr>
          </w:p>
        </w:tc>
        <w:tc>
          <w:tcPr>
            <w:tcW w:w="35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kern w:val="0"/>
                <w:sz w:val="21"/>
                <w:szCs w:val="18"/>
              </w:rPr>
            </w:pPr>
          </w:p>
        </w:tc>
        <w:tc>
          <w:tcPr>
            <w:tcW w:w="464"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kern w:val="0"/>
                <w:sz w:val="21"/>
                <w:szCs w:val="18"/>
              </w:rPr>
            </w:pPr>
          </w:p>
        </w:tc>
        <w:tc>
          <w:tcPr>
            <w:tcW w:w="361" w:type="pct"/>
            <w:vMerge w:val="continue"/>
            <w:noWrap w:val="0"/>
            <w:vAlign w:val="center"/>
          </w:tcPr>
          <w:p>
            <w:pPr>
              <w:pStyle w:val="24"/>
              <w:adjustRightInd w:val="0"/>
              <w:snapToGrid w:val="0"/>
              <w:spacing w:line="240" w:lineRule="auto"/>
              <w:ind w:firstLine="420"/>
              <w:jc w:val="center"/>
              <w:rPr>
                <w:rFonts w:ascii="Times New Roman" w:hAnsi="Times New Roman" w:cs="Times New Roman"/>
                <w:color w:val="000000"/>
                <w:kern w:val="0"/>
                <w:sz w:val="21"/>
                <w:szCs w:val="18"/>
              </w:rPr>
            </w:pPr>
          </w:p>
        </w:tc>
        <w:tc>
          <w:tcPr>
            <w:tcW w:w="270" w:type="pct"/>
            <w:vMerge w:val="restart"/>
            <w:noWrap w:val="0"/>
            <w:vAlign w:val="center"/>
          </w:tcPr>
          <w:p>
            <w:pPr>
              <w:jc w:val="center"/>
              <w:rPr>
                <w:b w:val="0"/>
                <w:bCs w:val="0"/>
                <w:color w:val="000000"/>
                <w:szCs w:val="18"/>
              </w:rPr>
            </w:pPr>
            <w:r>
              <w:rPr>
                <w:b w:val="0"/>
                <w:bCs w:val="0"/>
              </w:rPr>
              <w:t>SS</w:t>
            </w:r>
          </w:p>
        </w:tc>
        <w:tc>
          <w:tcPr>
            <w:tcW w:w="875" w:type="dxa"/>
            <w:vMerge w:val="restart"/>
            <w:noWrap w:val="0"/>
            <w:vAlign w:val="center"/>
          </w:tcPr>
          <w:p>
            <w:pPr>
              <w:widowControl/>
              <w:jc w:val="center"/>
              <w:rPr>
                <w:rFonts w:hint="default" w:eastAsia="宋体"/>
                <w:color w:val="000000"/>
                <w:szCs w:val="21"/>
                <w:lang w:val="en-US" w:eastAsia="zh-CN"/>
              </w:rPr>
            </w:pPr>
            <w:r>
              <w:rPr>
                <w:rFonts w:hint="eastAsia"/>
                <w:color w:val="auto"/>
                <w:szCs w:val="21"/>
                <w:lang w:val="en-US" w:eastAsia="zh-CN"/>
              </w:rPr>
              <w:t>20</w:t>
            </w:r>
          </w:p>
        </w:tc>
        <w:tc>
          <w:tcPr>
            <w:tcW w:w="547"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jc w:val="center"/>
            </w:pPr>
          </w:p>
        </w:tc>
        <w:tc>
          <w:tcPr>
            <w:tcW w:w="508" w:type="pct"/>
            <w:vMerge w:val="continue"/>
            <w:noWrap w:val="0"/>
            <w:vAlign w:val="center"/>
          </w:tcPr>
          <w:p>
            <w:pPr>
              <w:jc w:val="center"/>
            </w:pPr>
          </w:p>
        </w:tc>
        <w:tc>
          <w:tcPr>
            <w:tcW w:w="378" w:type="pct"/>
            <w:vMerge w:val="continue"/>
            <w:noWrap w:val="0"/>
            <w:vAlign w:val="center"/>
          </w:tcPr>
          <w:p>
            <w:pPr>
              <w:jc w:val="center"/>
            </w:pPr>
          </w:p>
        </w:tc>
        <w:tc>
          <w:tcPr>
            <w:tcW w:w="706" w:type="pct"/>
            <w:vMerge w:val="continue"/>
            <w:noWrap w:val="0"/>
            <w:vAlign w:val="center"/>
          </w:tcPr>
          <w:p>
            <w:pPr>
              <w:jc w:val="center"/>
            </w:pPr>
          </w:p>
        </w:tc>
        <w:tc>
          <w:tcPr>
            <w:tcW w:w="327" w:type="pct"/>
            <w:vMerge w:val="continue"/>
            <w:noWrap w:val="0"/>
            <w:vAlign w:val="center"/>
          </w:tcPr>
          <w:p>
            <w:pPr>
              <w:jc w:val="center"/>
            </w:pPr>
          </w:p>
        </w:tc>
        <w:tc>
          <w:tcPr>
            <w:tcW w:w="282" w:type="pct"/>
            <w:vMerge w:val="continue"/>
            <w:noWrap w:val="0"/>
            <w:vAlign w:val="center"/>
          </w:tcPr>
          <w:p>
            <w:pPr>
              <w:jc w:val="center"/>
            </w:pPr>
          </w:p>
        </w:tc>
        <w:tc>
          <w:tcPr>
            <w:tcW w:w="354" w:type="pct"/>
            <w:vMerge w:val="continue"/>
            <w:noWrap w:val="0"/>
            <w:vAlign w:val="center"/>
          </w:tcPr>
          <w:p>
            <w:pPr>
              <w:pStyle w:val="24"/>
              <w:adjustRightInd w:val="0"/>
              <w:snapToGrid w:val="0"/>
              <w:spacing w:line="240" w:lineRule="auto"/>
              <w:jc w:val="center"/>
            </w:pPr>
          </w:p>
        </w:tc>
        <w:tc>
          <w:tcPr>
            <w:tcW w:w="464" w:type="pct"/>
            <w:vMerge w:val="continue"/>
            <w:noWrap w:val="0"/>
            <w:vAlign w:val="center"/>
          </w:tcPr>
          <w:p>
            <w:pPr>
              <w:pStyle w:val="24"/>
              <w:adjustRightInd w:val="0"/>
              <w:snapToGrid w:val="0"/>
              <w:spacing w:line="240" w:lineRule="auto"/>
              <w:jc w:val="center"/>
            </w:pPr>
          </w:p>
        </w:tc>
        <w:tc>
          <w:tcPr>
            <w:tcW w:w="361" w:type="pct"/>
            <w:vMerge w:val="continue"/>
            <w:noWrap w:val="0"/>
            <w:vAlign w:val="center"/>
          </w:tcPr>
          <w:p>
            <w:pPr>
              <w:pStyle w:val="24"/>
              <w:adjustRightInd w:val="0"/>
              <w:snapToGrid w:val="0"/>
              <w:spacing w:line="240" w:lineRule="auto"/>
              <w:jc w:val="center"/>
            </w:pPr>
          </w:p>
        </w:tc>
        <w:tc>
          <w:tcPr>
            <w:tcW w:w="270" w:type="pct"/>
            <w:vMerge w:val="restart"/>
            <w:noWrap w:val="0"/>
            <w:vAlign w:val="center"/>
          </w:tcPr>
          <w:p>
            <w:pPr>
              <w:jc w:val="center"/>
              <w:rPr>
                <w:b w:val="0"/>
                <w:bCs w:val="0"/>
                <w:color w:val="000000"/>
                <w:szCs w:val="21"/>
              </w:rPr>
            </w:pPr>
            <w:r>
              <w:rPr>
                <w:rFonts w:hint="eastAsia"/>
                <w:b w:val="0"/>
                <w:bCs w:val="0"/>
                <w:kern w:val="0"/>
                <w:szCs w:val="21"/>
              </w:rPr>
              <w:t>石油类</w:t>
            </w:r>
          </w:p>
        </w:tc>
        <w:tc>
          <w:tcPr>
            <w:tcW w:w="875" w:type="dxa"/>
            <w:vMerge w:val="restart"/>
            <w:noWrap w:val="0"/>
            <w:vAlign w:val="center"/>
          </w:tcPr>
          <w:p>
            <w:pPr>
              <w:widowControl/>
              <w:jc w:val="center"/>
              <w:rPr>
                <w:rFonts w:hint="default" w:eastAsia="宋体"/>
                <w:color w:val="000000"/>
                <w:szCs w:val="21"/>
                <w:lang w:val="en-US" w:eastAsia="zh-CN"/>
              </w:rPr>
            </w:pPr>
            <w:r>
              <w:rPr>
                <w:rFonts w:hint="eastAsia"/>
                <w:color w:val="auto"/>
                <w:szCs w:val="21"/>
                <w:lang w:val="en-US" w:eastAsia="zh-CN"/>
              </w:rPr>
              <w:t>/</w:t>
            </w:r>
          </w:p>
        </w:tc>
        <w:tc>
          <w:tcPr>
            <w:tcW w:w="547" w:type="pct"/>
            <w:vMerge w:val="continue"/>
            <w:noWrap w:val="0"/>
            <w:vAlign w:val="center"/>
          </w:tcPr>
          <w:p>
            <w:pPr>
              <w:jc w:val="center"/>
              <w:rPr>
                <w:color w:val="000000"/>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08"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508"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78" w:type="pct"/>
            <w:vMerge w:val="continue"/>
            <w:noWrap w:val="0"/>
            <w:vAlign w:val="center"/>
          </w:tcPr>
          <w:p>
            <w:pPr>
              <w:jc w:val="center"/>
              <w:rPr>
                <w:color w:val="000000"/>
                <w:szCs w:val="18"/>
              </w:rPr>
            </w:pPr>
          </w:p>
        </w:tc>
        <w:tc>
          <w:tcPr>
            <w:tcW w:w="706" w:type="pct"/>
            <w:vMerge w:val="continue"/>
            <w:noWrap w:val="0"/>
            <w:vAlign w:val="center"/>
          </w:tcPr>
          <w:p>
            <w:pPr>
              <w:jc w:val="center"/>
              <w:rPr>
                <w:color w:val="000000"/>
                <w:szCs w:val="18"/>
              </w:rPr>
            </w:pPr>
          </w:p>
        </w:tc>
        <w:tc>
          <w:tcPr>
            <w:tcW w:w="327" w:type="pct"/>
            <w:vMerge w:val="continue"/>
            <w:noWrap w:val="0"/>
            <w:vAlign w:val="center"/>
          </w:tcPr>
          <w:p>
            <w:pPr>
              <w:jc w:val="center"/>
              <w:rPr>
                <w:color w:val="000000"/>
                <w:szCs w:val="18"/>
              </w:rPr>
            </w:pPr>
          </w:p>
        </w:tc>
        <w:tc>
          <w:tcPr>
            <w:tcW w:w="282" w:type="pct"/>
            <w:vMerge w:val="continue"/>
            <w:noWrap w:val="0"/>
            <w:vAlign w:val="center"/>
          </w:tcPr>
          <w:p>
            <w:pPr>
              <w:jc w:val="center"/>
              <w:rPr>
                <w:color w:val="000000"/>
                <w:szCs w:val="18"/>
              </w:rPr>
            </w:pPr>
          </w:p>
        </w:tc>
        <w:tc>
          <w:tcPr>
            <w:tcW w:w="354"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464"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361"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c>
          <w:tcPr>
            <w:tcW w:w="270" w:type="pct"/>
            <w:noWrap w:val="0"/>
            <w:vAlign w:val="center"/>
          </w:tcPr>
          <w:p>
            <w:pPr>
              <w:jc w:val="center"/>
              <w:rPr>
                <w:rFonts w:hint="default" w:eastAsia="宋体"/>
                <w:color w:val="000000"/>
                <w:szCs w:val="18"/>
                <w:lang w:val="en-US" w:eastAsia="zh-CN"/>
              </w:rPr>
            </w:pPr>
            <w:r>
              <w:rPr>
                <w:rFonts w:hint="eastAsia"/>
                <w:color w:val="000000"/>
                <w:szCs w:val="21"/>
                <w:lang w:val="en-US" w:eastAsia="zh-CN"/>
              </w:rPr>
              <w:t>总磷</w:t>
            </w:r>
          </w:p>
        </w:tc>
        <w:tc>
          <w:tcPr>
            <w:tcW w:w="875" w:type="dxa"/>
            <w:noWrap w:val="0"/>
            <w:vAlign w:val="center"/>
          </w:tcPr>
          <w:p>
            <w:pPr>
              <w:widowControl/>
              <w:jc w:val="center"/>
              <w:rPr>
                <w:rFonts w:hint="default" w:eastAsia="宋体"/>
                <w:color w:val="000000"/>
                <w:szCs w:val="21"/>
                <w:lang w:val="en-US" w:eastAsia="zh-CN"/>
              </w:rPr>
            </w:pPr>
            <w:r>
              <w:rPr>
                <w:rFonts w:hint="eastAsia"/>
                <w:color w:val="auto"/>
                <w:szCs w:val="21"/>
                <w:lang w:val="en-US" w:eastAsia="zh-CN"/>
              </w:rPr>
              <w:t>4</w:t>
            </w:r>
          </w:p>
        </w:tc>
        <w:tc>
          <w:tcPr>
            <w:tcW w:w="547" w:type="pct"/>
            <w:vMerge w:val="continue"/>
            <w:noWrap w:val="0"/>
            <w:vAlign w:val="center"/>
          </w:tcPr>
          <w:p>
            <w:pPr>
              <w:pStyle w:val="24"/>
              <w:adjustRightInd w:val="0"/>
              <w:snapToGrid w:val="0"/>
              <w:spacing w:line="240" w:lineRule="auto"/>
              <w:ind w:firstLine="0" w:firstLineChars="0"/>
              <w:jc w:val="center"/>
              <w:rPr>
                <w:rFonts w:ascii="Times New Roman" w:hAnsi="Times New Roman" w:cs="Times New Roman"/>
                <w:color w:val="000000"/>
                <w:kern w:val="0"/>
                <w:sz w:val="21"/>
                <w:szCs w:val="18"/>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3CFF9"/>
    <w:multiLevelType w:val="singleLevel"/>
    <w:tmpl w:val="9DB3CFF9"/>
    <w:lvl w:ilvl="0" w:tentative="0">
      <w:start w:val="4"/>
      <w:numFmt w:val="chineseCounting"/>
      <w:suff w:val="nothing"/>
      <w:lvlText w:val="%1、"/>
      <w:lvlJc w:val="left"/>
      <w:rPr>
        <w:rFonts w:hint="eastAsia"/>
      </w:rPr>
    </w:lvl>
  </w:abstractNum>
  <w:abstractNum w:abstractNumId="1">
    <w:nsid w:val="A87FFF39"/>
    <w:multiLevelType w:val="singleLevel"/>
    <w:tmpl w:val="A87FFF39"/>
    <w:lvl w:ilvl="0" w:tentative="0">
      <w:start w:val="2"/>
      <w:numFmt w:val="chineseCounting"/>
      <w:suff w:val="nothing"/>
      <w:lvlText w:val="%1、"/>
      <w:lvlJc w:val="left"/>
      <w:rPr>
        <w:rFonts w:hint="eastAsia"/>
        <w:b/>
        <w:bCs/>
      </w:rPr>
    </w:lvl>
  </w:abstractNum>
  <w:abstractNum w:abstractNumId="2">
    <w:nsid w:val="49CE16CE"/>
    <w:multiLevelType w:val="singleLevel"/>
    <w:tmpl w:val="49CE16CE"/>
    <w:lvl w:ilvl="0" w:tentative="0">
      <w:start w:val="2"/>
      <w:numFmt w:val="decimal"/>
      <w:suff w:val="nothing"/>
      <w:lvlText w:val="%1、"/>
      <w:lvlJc w:val="left"/>
      <w:pPr>
        <w:ind w:left="420" w:leftChars="0" w:firstLine="0" w:firstLineChars="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YjNjZDBmZmZmMWE1NjcwODk1MTVlZmU3MjRjMjMifQ=="/>
  </w:docVars>
  <w:rsids>
    <w:rsidRoot w:val="5E7018B3"/>
    <w:rsid w:val="00936276"/>
    <w:rsid w:val="00C326B8"/>
    <w:rsid w:val="0270061D"/>
    <w:rsid w:val="032357BB"/>
    <w:rsid w:val="0334789D"/>
    <w:rsid w:val="04C01D76"/>
    <w:rsid w:val="04D07A99"/>
    <w:rsid w:val="05E11832"/>
    <w:rsid w:val="06426774"/>
    <w:rsid w:val="06605F0F"/>
    <w:rsid w:val="06A553F2"/>
    <w:rsid w:val="07106873"/>
    <w:rsid w:val="073065CD"/>
    <w:rsid w:val="075C73C2"/>
    <w:rsid w:val="0922463B"/>
    <w:rsid w:val="095433D7"/>
    <w:rsid w:val="0B093FC6"/>
    <w:rsid w:val="0B2C17A1"/>
    <w:rsid w:val="0B5C4FFD"/>
    <w:rsid w:val="0B907F82"/>
    <w:rsid w:val="0D471659"/>
    <w:rsid w:val="0E1327A4"/>
    <w:rsid w:val="0F621C35"/>
    <w:rsid w:val="10132E58"/>
    <w:rsid w:val="10CD7582"/>
    <w:rsid w:val="10DF4879"/>
    <w:rsid w:val="129A3494"/>
    <w:rsid w:val="12F11306"/>
    <w:rsid w:val="14133E90"/>
    <w:rsid w:val="146F4EA4"/>
    <w:rsid w:val="148E372C"/>
    <w:rsid w:val="15A14E59"/>
    <w:rsid w:val="15CC7E09"/>
    <w:rsid w:val="176302F9"/>
    <w:rsid w:val="1A41408A"/>
    <w:rsid w:val="1BF038C8"/>
    <w:rsid w:val="1DCF5433"/>
    <w:rsid w:val="1E164C43"/>
    <w:rsid w:val="1F3A241A"/>
    <w:rsid w:val="20450EE3"/>
    <w:rsid w:val="208512E0"/>
    <w:rsid w:val="21110DC5"/>
    <w:rsid w:val="219E6AFD"/>
    <w:rsid w:val="23294AEC"/>
    <w:rsid w:val="23D04F68"/>
    <w:rsid w:val="249635F9"/>
    <w:rsid w:val="254E4396"/>
    <w:rsid w:val="259A4F1D"/>
    <w:rsid w:val="267A4B30"/>
    <w:rsid w:val="27FD20A3"/>
    <w:rsid w:val="29883BEF"/>
    <w:rsid w:val="29F15C38"/>
    <w:rsid w:val="2D247504"/>
    <w:rsid w:val="2DC84F02"/>
    <w:rsid w:val="2E903C71"/>
    <w:rsid w:val="2EB23BE8"/>
    <w:rsid w:val="2EFC1307"/>
    <w:rsid w:val="2F644435"/>
    <w:rsid w:val="2F6F7D2B"/>
    <w:rsid w:val="2FC75471"/>
    <w:rsid w:val="308725A7"/>
    <w:rsid w:val="330864CC"/>
    <w:rsid w:val="33A67A93"/>
    <w:rsid w:val="33B273BE"/>
    <w:rsid w:val="33C87A09"/>
    <w:rsid w:val="350308DE"/>
    <w:rsid w:val="35316FEE"/>
    <w:rsid w:val="35A61FCC"/>
    <w:rsid w:val="35E13004"/>
    <w:rsid w:val="36056CF3"/>
    <w:rsid w:val="369E0EF6"/>
    <w:rsid w:val="37A12A4B"/>
    <w:rsid w:val="380C0DC5"/>
    <w:rsid w:val="390A2872"/>
    <w:rsid w:val="39381001"/>
    <w:rsid w:val="3A3C4CAD"/>
    <w:rsid w:val="3A6A7A6C"/>
    <w:rsid w:val="3AF060BE"/>
    <w:rsid w:val="3B4701F7"/>
    <w:rsid w:val="3C221C81"/>
    <w:rsid w:val="3D4E71D1"/>
    <w:rsid w:val="3EBD04DD"/>
    <w:rsid w:val="3EF60223"/>
    <w:rsid w:val="40112738"/>
    <w:rsid w:val="41222BA6"/>
    <w:rsid w:val="415154E2"/>
    <w:rsid w:val="435E3EE6"/>
    <w:rsid w:val="437B05F4"/>
    <w:rsid w:val="449D459A"/>
    <w:rsid w:val="45F67B77"/>
    <w:rsid w:val="46B04A59"/>
    <w:rsid w:val="4A8978D5"/>
    <w:rsid w:val="4C1F5B0A"/>
    <w:rsid w:val="4C4874E2"/>
    <w:rsid w:val="4CFB4554"/>
    <w:rsid w:val="4D4F068D"/>
    <w:rsid w:val="4E1F73F0"/>
    <w:rsid w:val="4E6855C9"/>
    <w:rsid w:val="4EA36C51"/>
    <w:rsid w:val="4F021BCA"/>
    <w:rsid w:val="51402E7D"/>
    <w:rsid w:val="51B11329"/>
    <w:rsid w:val="51E1640E"/>
    <w:rsid w:val="52120376"/>
    <w:rsid w:val="529E42FF"/>
    <w:rsid w:val="541008E5"/>
    <w:rsid w:val="543842E0"/>
    <w:rsid w:val="559F70A7"/>
    <w:rsid w:val="563111E4"/>
    <w:rsid w:val="569752EE"/>
    <w:rsid w:val="56C854A7"/>
    <w:rsid w:val="57455939"/>
    <w:rsid w:val="5774562F"/>
    <w:rsid w:val="582D6D32"/>
    <w:rsid w:val="584C06EA"/>
    <w:rsid w:val="5A556070"/>
    <w:rsid w:val="5A93401E"/>
    <w:rsid w:val="5AFF16B3"/>
    <w:rsid w:val="5BAF4E87"/>
    <w:rsid w:val="5C3744D8"/>
    <w:rsid w:val="5CE84AF5"/>
    <w:rsid w:val="5D290C69"/>
    <w:rsid w:val="5DC34C1A"/>
    <w:rsid w:val="5E7018B3"/>
    <w:rsid w:val="5E884983"/>
    <w:rsid w:val="5F88611B"/>
    <w:rsid w:val="613B0F6B"/>
    <w:rsid w:val="62DD052C"/>
    <w:rsid w:val="64C00105"/>
    <w:rsid w:val="65422E2C"/>
    <w:rsid w:val="670342D9"/>
    <w:rsid w:val="670C5884"/>
    <w:rsid w:val="68210EBB"/>
    <w:rsid w:val="69BD10B7"/>
    <w:rsid w:val="6A0E36C1"/>
    <w:rsid w:val="6AB51D8E"/>
    <w:rsid w:val="6AEF52A0"/>
    <w:rsid w:val="6B1E610D"/>
    <w:rsid w:val="6B9F6CC6"/>
    <w:rsid w:val="6BC95AF1"/>
    <w:rsid w:val="6BDB00BE"/>
    <w:rsid w:val="6DFD1A82"/>
    <w:rsid w:val="6E9A3775"/>
    <w:rsid w:val="6F3952A6"/>
    <w:rsid w:val="702759BA"/>
    <w:rsid w:val="711A34A8"/>
    <w:rsid w:val="714D4ACF"/>
    <w:rsid w:val="71535E5D"/>
    <w:rsid w:val="71755DD4"/>
    <w:rsid w:val="71EA4A14"/>
    <w:rsid w:val="73555EBD"/>
    <w:rsid w:val="76BD3525"/>
    <w:rsid w:val="777F79AC"/>
    <w:rsid w:val="77DF1E38"/>
    <w:rsid w:val="78FA19E0"/>
    <w:rsid w:val="78FD502C"/>
    <w:rsid w:val="7A257D35"/>
    <w:rsid w:val="7A805F15"/>
    <w:rsid w:val="7AEC0911"/>
    <w:rsid w:val="7AFB559C"/>
    <w:rsid w:val="7B4A02D1"/>
    <w:rsid w:val="7BC57D1D"/>
    <w:rsid w:val="7C4C127B"/>
    <w:rsid w:val="7E584AB3"/>
    <w:rsid w:val="7EA96B5C"/>
    <w:rsid w:val="7F3663C0"/>
    <w:rsid w:val="7FF0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szCs w:val="20"/>
    </w:rPr>
  </w:style>
  <w:style w:type="paragraph" w:styleId="3">
    <w:name w:val="annotation text"/>
    <w:basedOn w:val="1"/>
    <w:autoRedefine/>
    <w:qFormat/>
    <w:uiPriority w:val="0"/>
    <w:pPr>
      <w:jc w:val="left"/>
    </w:pPr>
  </w:style>
  <w:style w:type="paragraph" w:styleId="4">
    <w:name w:val="Body Text"/>
    <w:basedOn w:val="1"/>
    <w:autoRedefine/>
    <w:qFormat/>
    <w:uiPriority w:val="0"/>
    <w:pPr>
      <w:widowControl/>
      <w:snapToGrid w:val="0"/>
      <w:spacing w:before="60" w:after="160" w:line="259" w:lineRule="auto"/>
      <w:ind w:right="113"/>
    </w:pPr>
    <w:rPr>
      <w:kern w:val="0"/>
      <w:sz w:val="18"/>
      <w:szCs w:val="20"/>
    </w:rPr>
  </w:style>
  <w:style w:type="paragraph" w:styleId="5">
    <w:name w:val="footer"/>
    <w:basedOn w:val="1"/>
    <w:autoRedefine/>
    <w:qFormat/>
    <w:uiPriority w:val="99"/>
    <w:pPr>
      <w:tabs>
        <w:tab w:val="center" w:pos="4153"/>
        <w:tab w:val="right" w:pos="8306"/>
      </w:tabs>
      <w:snapToGrid w:val="0"/>
      <w:jc w:val="left"/>
    </w:pPr>
    <w:rPr>
      <w:kern w:val="0"/>
      <w:sz w:val="18"/>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7">
    <w:name w:val="Body Text First Indent"/>
    <w:basedOn w:val="4"/>
    <w:autoRedefine/>
    <w:qFormat/>
    <w:uiPriority w:val="99"/>
    <w:pPr>
      <w:widowControl w:val="0"/>
      <w:snapToGrid/>
      <w:spacing w:before="0" w:after="120" w:line="240" w:lineRule="auto"/>
      <w:ind w:right="0" w:firstLine="420" w:firstLineChars="100"/>
    </w:pPr>
    <w:rPr>
      <w:sz w:val="20"/>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autoRedefine/>
    <w:qFormat/>
    <w:uiPriority w:val="0"/>
  </w:style>
  <w:style w:type="character" w:styleId="12">
    <w:name w:val="annotation reference"/>
    <w:basedOn w:val="10"/>
    <w:autoRedefine/>
    <w:qFormat/>
    <w:uiPriority w:val="0"/>
    <w:rPr>
      <w:sz w:val="21"/>
      <w:szCs w:val="21"/>
    </w:rPr>
  </w:style>
  <w:style w:type="paragraph" w:customStyle="1" w:styleId="1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4">
    <w:name w:val="_Style 1"/>
    <w:basedOn w:val="1"/>
    <w:next w:val="1"/>
    <w:autoRedefine/>
    <w:qFormat/>
    <w:uiPriority w:val="0"/>
    <w:pPr>
      <w:ind w:firstLine="420" w:firstLineChars="200"/>
    </w:pPr>
    <w:rPr>
      <w:rFonts w:ascii="Calibri" w:hAnsi="Calibri"/>
      <w:szCs w:val="22"/>
    </w:rPr>
  </w:style>
  <w:style w:type="paragraph" w:customStyle="1" w:styleId="15">
    <w:name w:val="Table Text"/>
    <w:basedOn w:val="1"/>
    <w:autoRedefine/>
    <w:semiHidden/>
    <w:qFormat/>
    <w:uiPriority w:val="0"/>
    <w:rPr>
      <w:rFonts w:ascii="宋体" w:hAnsi="宋体" w:eastAsia="宋体" w:cs="宋体"/>
      <w:sz w:val="20"/>
      <w:szCs w:val="20"/>
      <w:lang w:val="en-US" w:eastAsia="en-US"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styleId="18">
    <w:name w:val="List Paragraph"/>
    <w:basedOn w:val="1"/>
    <w:autoRedefine/>
    <w:qFormat/>
    <w:uiPriority w:val="0"/>
    <w:pPr>
      <w:ind w:firstLine="420" w:firstLineChars="200"/>
    </w:pPr>
    <w:rPr>
      <w:rFonts w:ascii="Calibri" w:hAnsi="Calibri" w:eastAsia="宋体" w:cs="Times New Roman"/>
      <w:szCs w:val="22"/>
    </w:rPr>
  </w:style>
  <w:style w:type="paragraph" w:customStyle="1" w:styleId="19">
    <w:name w:val="1图表标题"/>
    <w:basedOn w:val="1"/>
    <w:next w:val="1"/>
    <w:autoRedefine/>
    <w:qFormat/>
    <w:uiPriority w:val="0"/>
    <w:pPr>
      <w:snapToGrid w:val="0"/>
      <w:jc w:val="center"/>
    </w:pPr>
    <w:rPr>
      <w:bCs/>
      <w:szCs w:val="20"/>
    </w:rPr>
  </w:style>
  <w:style w:type="paragraph" w:customStyle="1" w:styleId="20">
    <w:name w:val="正文表格内容"/>
    <w:basedOn w:val="21"/>
    <w:autoRedefine/>
    <w:qFormat/>
    <w:uiPriority w:val="0"/>
    <w:rPr>
      <w:bCs/>
    </w:rPr>
  </w:style>
  <w:style w:type="paragraph" w:customStyle="1" w:styleId="21">
    <w:name w:val="正文表格"/>
    <w:basedOn w:val="1"/>
    <w:autoRedefine/>
    <w:qFormat/>
    <w:uiPriority w:val="0"/>
    <w:pPr>
      <w:jc w:val="center"/>
    </w:pPr>
  </w:style>
  <w:style w:type="paragraph" w:customStyle="1" w:styleId="22">
    <w:name w:val="项目表正文"/>
    <w:basedOn w:val="1"/>
    <w:autoRedefine/>
    <w:qFormat/>
    <w:uiPriority w:val="0"/>
    <w:pPr>
      <w:spacing w:line="360" w:lineRule="auto"/>
      <w:ind w:firstLine="480" w:firstLineChars="200"/>
    </w:pPr>
    <w:rPr>
      <w:color w:val="000000"/>
      <w:sz w:val="24"/>
    </w:rPr>
  </w:style>
  <w:style w:type="paragraph" w:customStyle="1" w:styleId="23">
    <w:name w:val="HJ-表格"/>
    <w:basedOn w:val="1"/>
    <w:autoRedefine/>
    <w:qFormat/>
    <w:uiPriority w:val="0"/>
    <w:pPr>
      <w:jc w:val="center"/>
    </w:pPr>
    <w:rPr>
      <w:b/>
      <w:kern w:val="0"/>
      <w:sz w:val="18"/>
      <w:szCs w:val="20"/>
    </w:rPr>
  </w:style>
  <w:style w:type="paragraph" w:customStyle="1" w:styleId="24">
    <w:name w:val="正文（用）"/>
    <w:basedOn w:val="1"/>
    <w:autoRedefine/>
    <w:qFormat/>
    <w:uiPriority w:val="0"/>
    <w:pPr>
      <w:spacing w:line="360" w:lineRule="auto"/>
      <w:ind w:firstLine="480" w:firstLineChars="200"/>
      <w:jc w:val="left"/>
    </w:pPr>
    <w:rPr>
      <w:rFonts w:ascii="宋体" w:hAnsi="宋体" w:cs="宋体"/>
      <w:sz w:val="24"/>
      <w:szCs w:val="20"/>
    </w:rPr>
  </w:style>
  <w:style w:type="paragraph" w:customStyle="1" w:styleId="25">
    <w:name w:val="正文文本 全"/>
    <w:basedOn w:val="4"/>
    <w:autoRedefine/>
    <w:qFormat/>
    <w:uiPriority w:val="0"/>
    <w:pPr>
      <w:spacing w:before="0" w:after="0" w:line="360" w:lineRule="auto"/>
      <w:ind w:right="0" w:firstLine="200" w:firstLineChars="200"/>
    </w:pPr>
    <w:rPr>
      <w:sz w:val="21"/>
    </w:rPr>
  </w:style>
  <w:style w:type="paragraph" w:customStyle="1" w:styleId="26">
    <w:name w:val="图标标题"/>
    <w:basedOn w:val="1"/>
    <w:autoRedefine/>
    <w:qFormat/>
    <w:uiPriority w:val="0"/>
    <w:pPr>
      <w:widowControl/>
      <w:adjustRightInd w:val="0"/>
      <w:snapToGrid w:val="0"/>
      <w:spacing w:line="360" w:lineRule="auto"/>
      <w:jc w:val="center"/>
    </w:pPr>
    <w:rPr>
      <w:rFonts w:eastAsia="黑体"/>
      <w:color w:val="000000"/>
      <w:szCs w:val="21"/>
    </w:rPr>
  </w:style>
  <w:style w:type="paragraph" w:customStyle="1" w:styleId="27">
    <w:name w:val="报告正文"/>
    <w:basedOn w:val="1"/>
    <w:autoRedefine/>
    <w:qFormat/>
    <w:uiPriority w:val="0"/>
    <w:pPr>
      <w:adjustRightInd w:val="0"/>
      <w:snapToGrid w:val="0"/>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14353</Words>
  <Characters>16481</Characters>
  <Lines>0</Lines>
  <Paragraphs>0</Paragraphs>
  <TotalTime>65</TotalTime>
  <ScaleCrop>false</ScaleCrop>
  <LinksUpToDate>false</LinksUpToDate>
  <CharactersWithSpaces>16855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2024-03-11T08:31:00Z</dcterms:created>
  <dc:creator>绝可</dc:creator>
  <cp:lastModifiedBy>绝可</cp:lastModifiedBy>
  <cp:lastPrinted>2024-04-22T00:55:00Z</cp:lastPrinted>
  <dcterms:modified xsi:type="dcterms:W3CDTF">2024-04-22T07:27:53Z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AFF2EA15F31F4FBC9F2A81284B496A91_13</vt:lpwstr>
  </property>
</Properties>
</file>