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rPr>
          <w:rFonts w:ascii="仿宋_GB2312" w:eastAsia="仿宋_GB2312" w:cs="仿宋_GB2312" w:hAnsi="仿宋_GB2312"/>
          <w:color w:val="auto"/>
          <w:sz w:val="36"/>
          <w:szCs w:val="36"/>
        </w:rPr>
      </w:pPr>
    </w:p>
    <w:p>
      <w:pPr>
        <w:rPr>
          <w:rFonts w:ascii="仿宋_GB2312" w:eastAsia="仿宋_GB2312" w:cs="仿宋_GB2312" w:hAnsi="仿宋_GB2312"/>
          <w:color w:val="auto"/>
          <w:sz w:val="36"/>
          <w:szCs w:val="36"/>
        </w:rPr>
      </w:pPr>
    </w:p>
    <w:p>
      <w:pPr>
        <w:rPr>
          <w:rFonts w:ascii="仿宋_GB2312" w:eastAsia="仿宋_GB2312" w:cs="仿宋_GB2312" w:hAnsi="仿宋_GB2312"/>
          <w:color w:val="auto"/>
          <w:sz w:val="36"/>
          <w:szCs w:val="36"/>
        </w:rPr>
      </w:pPr>
    </w:p>
    <w:p>
      <w:pPr>
        <w:rPr>
          <w:rFonts w:ascii="仿宋_GB2312" w:eastAsia="仿宋_GB2312" w:cs="仿宋_GB2312" w:hAnsi="仿宋_GB2312"/>
          <w:color w:val="auto"/>
          <w:sz w:val="36"/>
          <w:szCs w:val="36"/>
        </w:rPr>
      </w:pPr>
    </w:p>
    <w:p>
      <w:pPr>
        <w:rPr>
          <w:rFonts w:ascii="仿宋_GB2312" w:eastAsia="仿宋_GB2312" w:cs="仿宋_GB2312" w:hAnsi="仿宋_GB2312" w:hint="eastAsia"/>
          <w:color w:val="auto"/>
          <w:sz w:val="36"/>
          <w:szCs w:val="36"/>
        </w:rPr>
      </w:pPr>
    </w:p>
    <w:p>
      <w:pPr>
        <w:adjustRightInd w:val="0"/>
        <w:snapToGrid w:val="0"/>
        <w:jc w:val="center"/>
        <w:outlineLvl w:val="0"/>
        <w:rPr>
          <w:rFonts w:ascii="方正小标宋_GBK" w:eastAsia="方正小标宋_GBK" w:hint="eastAsia"/>
          <w:bCs/>
          <w:color w:val="auto"/>
          <w:sz w:val="72"/>
          <w:szCs w:val="72"/>
        </w:rPr>
      </w:pPr>
      <w:bookmarkStart w:id="0" w:name="_Toc7532"/>
      <w:bookmarkStart w:id="1" w:name="_Toc14655"/>
      <w:bookmarkStart w:id="2" w:name="_Toc13535"/>
      <w:r>
        <w:rPr>
          <w:rFonts w:ascii="方正小标宋_GBK" w:eastAsia="方正小标宋_GBK" w:hint="eastAsia"/>
          <w:bCs/>
          <w:color w:val="auto"/>
          <w:sz w:val="72"/>
          <w:szCs w:val="72"/>
        </w:rPr>
        <w:t>建设项目环境影响报告表</w:t>
      </w:r>
      <w:bookmarkEnd w:id="0"/>
      <w:bookmarkEnd w:id="1"/>
      <w:bookmarkEnd w:id="2"/>
    </w:p>
    <w:p>
      <w:pPr>
        <w:adjustRightInd w:val="0"/>
        <w:snapToGrid w:val="0"/>
        <w:spacing w:beforeLines="80" w:before="192"/>
        <w:jc w:val="center"/>
        <w:rPr>
          <w:rFonts w:ascii="楷体_GB2312" w:eastAsia="楷体_GB2312" w:hint="eastAsia"/>
          <w:bCs/>
          <w:color w:val="auto"/>
          <w:sz w:val="48"/>
          <w:szCs w:val="48"/>
        </w:rPr>
      </w:pPr>
      <w:r>
        <w:rPr>
          <w:rFonts w:ascii="楷体_GB2312" w:eastAsia="楷体_GB2312" w:hint="eastAsia"/>
          <w:bCs/>
          <w:color w:val="auto"/>
          <w:sz w:val="48"/>
          <w:szCs w:val="48"/>
        </w:rPr>
        <w:t>（污染影响类）</w:t>
      </w:r>
    </w:p>
    <w:p>
      <w:pPr>
        <w:rPr>
          <w:color w:val="auto"/>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spacing w:line="360" w:lineRule="auto"/>
        <w:ind w:firstLineChars="800" w:firstLine="3520"/>
        <w:rPr>
          <w:rFonts w:eastAsia="仿宋"/>
          <w:color w:val="0000FF"/>
          <w:sz w:val="44"/>
          <w:szCs w:val="44"/>
        </w:rPr>
      </w:pPr>
    </w:p>
    <w:tbl>
      <w:tblPr>
        <w:jc w:val="left"/>
        <w:tblInd w:w="0" w:type="dxa"/>
        <w:tblW w:w="4999"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2193"/>
        <w:gridCol w:w="7543"/>
      </w:tblGrid>
      <w:tr>
        <w:tc>
          <w:tcPr>
            <w:tcW w:w="1126" w:type="pct"/>
            <w:tcBorders>
              <w:top w:val="nil"/>
              <w:left w:val="nil"/>
              <w:bottom w:val="nil"/>
              <w:right w:val="nil"/>
            </w:tcBorders>
            <w:vAlign w:val="bottom"/>
          </w:tcPr>
          <w:p>
            <w:pPr>
              <w:spacing w:line="360" w:lineRule="auto"/>
              <w:jc w:val="center"/>
              <w:rPr>
                <w:rFonts w:eastAsia="仿宋_GB2312" w:hint="eastAsia"/>
                <w:sz w:val="36"/>
                <w:szCs w:val="36"/>
              </w:rPr>
            </w:pPr>
            <w:r>
              <w:rPr>
                <w:rFonts w:eastAsia="仿宋_GB2312" w:hint="eastAsia"/>
                <w:sz w:val="36"/>
                <w:szCs w:val="36"/>
              </w:rPr>
              <w:t>项目名称：</w:t>
            </w:r>
          </w:p>
        </w:tc>
        <w:tc>
          <w:tcPr>
            <w:tcW w:w="3873" w:type="pct"/>
            <w:tcBorders>
              <w:left w:val="nil"/>
            </w:tcBorders>
            <w:vAlign w:val="bottom"/>
          </w:tcPr>
          <w:p>
            <w:pPr>
              <w:jc w:val="center"/>
              <w:rPr>
                <w:rFonts w:eastAsia="宋体" w:hint="eastAsia"/>
                <w:sz w:val="36"/>
                <w:szCs w:val="36"/>
                <w:lang w:eastAsia="zh-CN"/>
              </w:rPr>
            </w:pPr>
            <w:r>
              <w:rPr>
                <w:rFonts w:ascii="仿宋_GB2312" w:eastAsia="仿宋_GB2312" w:cs="仿宋_GB2312" w:hAnsi="仿宋_GB2312" w:hint="eastAsia"/>
                <w:sz w:val="36"/>
                <w:szCs w:val="36"/>
                <w:lang w:eastAsia="zh-CN"/>
              </w:rPr>
              <w:t>湖南智农生物科技有限公司茶油加工厂建设项目</w:t>
            </w:r>
          </w:p>
        </w:tc>
      </w:tr>
      <w:tr>
        <w:trPr>
          <w:trHeight w:val="689"/>
        </w:trPr>
        <w:tc>
          <w:tcPr>
            <w:tcW w:w="1126" w:type="pct"/>
            <w:tcBorders>
              <w:top w:val="nil"/>
              <w:left w:val="nil"/>
              <w:bottom w:val="nil"/>
              <w:right w:val="nil"/>
            </w:tcBorders>
            <w:vAlign w:val="bottom"/>
          </w:tcPr>
          <w:p>
            <w:pPr>
              <w:spacing w:line="360" w:lineRule="auto"/>
              <w:jc w:val="center"/>
              <w:rPr>
                <w:rFonts w:eastAsia="仿宋_GB2312" w:hint="eastAsia"/>
                <w:sz w:val="36"/>
                <w:szCs w:val="36"/>
              </w:rPr>
            </w:pPr>
            <w:r>
              <w:rPr>
                <w:rFonts w:eastAsia="仿宋_GB2312" w:hint="eastAsia"/>
                <w:sz w:val="36"/>
                <w:szCs w:val="36"/>
              </w:rPr>
              <w:t>建设单位：</w:t>
            </w:r>
          </w:p>
        </w:tc>
        <w:tc>
          <w:tcPr>
            <w:tcW w:w="3873" w:type="pct"/>
            <w:tcBorders>
              <w:left w:val="nil"/>
            </w:tcBorders>
            <w:vAlign w:val="bottom"/>
          </w:tcPr>
          <w:p>
            <w:pPr>
              <w:jc w:val="center"/>
              <w:rPr>
                <w:rFonts w:ascii="仿宋_GB2312" w:eastAsia="仿宋_GB2312" w:cs="仿宋_GB2312" w:hAnsi="仿宋_GB2312" w:hint="eastAsia"/>
                <w:sz w:val="36"/>
                <w:szCs w:val="36"/>
                <w:lang w:eastAsia="zh-CN"/>
              </w:rPr>
            </w:pPr>
            <w:r>
              <w:rPr>
                <w:rFonts w:ascii="仿宋_GB2312" w:eastAsia="仿宋_GB2312" w:cs="仿宋_GB2312" w:hAnsi="仿宋_GB2312" w:hint="eastAsia"/>
                <w:sz w:val="36"/>
                <w:szCs w:val="36"/>
                <w:lang w:eastAsia="zh-CN"/>
              </w:rPr>
              <w:t>湖南智农生物科技有限公司</w:t>
            </w:r>
          </w:p>
        </w:tc>
      </w:tr>
      <w:tr>
        <w:tc>
          <w:tcPr>
            <w:tcW w:w="1126" w:type="pct"/>
            <w:tcBorders>
              <w:top w:val="nil"/>
              <w:left w:val="nil"/>
              <w:bottom w:val="nil"/>
              <w:right w:val="nil"/>
            </w:tcBorders>
            <w:vAlign w:val="bottom"/>
          </w:tcPr>
          <w:p>
            <w:pPr>
              <w:spacing w:line="360" w:lineRule="auto"/>
              <w:jc w:val="center"/>
              <w:rPr>
                <w:rFonts w:eastAsia="仿宋_GB2312" w:hint="eastAsia"/>
                <w:sz w:val="36"/>
                <w:szCs w:val="36"/>
              </w:rPr>
            </w:pPr>
            <w:r>
              <w:rPr>
                <w:rFonts w:eastAsia="仿宋_GB2312" w:hint="eastAsia"/>
                <w:sz w:val="36"/>
                <w:szCs w:val="36"/>
              </w:rPr>
              <w:t>编制日期：</w:t>
            </w:r>
          </w:p>
        </w:tc>
        <w:tc>
          <w:tcPr>
            <w:tcW w:w="3873" w:type="pct"/>
            <w:tcBorders>
              <w:left w:val="nil"/>
              <w:bottom w:val="single" w:sz="4" w:space="0" w:color="auto"/>
            </w:tcBorders>
            <w:vAlign w:val="bottom"/>
          </w:tcPr>
          <w:p>
            <w:pPr>
              <w:jc w:val="center"/>
              <w:rPr>
                <w:rFonts w:ascii="仿宋_GB2312" w:eastAsia="仿宋_GB2312" w:cs="仿宋_GB2312" w:hAnsi="仿宋_GB2312" w:hint="eastAsia"/>
                <w:sz w:val="36"/>
                <w:szCs w:val="36"/>
                <w:lang w:val="en-US" w:eastAsia="zh-CN"/>
              </w:rPr>
            </w:pPr>
            <w:r>
              <w:rPr>
                <w:rFonts w:ascii="仿宋_GB2312" w:eastAsia="仿宋_GB2312" w:cs="仿宋_GB2312" w:hAnsi="仿宋_GB2312" w:hint="eastAsia"/>
                <w:sz w:val="36"/>
                <w:szCs w:val="36"/>
                <w:lang w:val="en-US" w:eastAsia="zh-CN"/>
              </w:rPr>
              <w:t xml:space="preserve">   年  月</w:t>
            </w:r>
          </w:p>
        </w:tc>
      </w:tr>
    </w:tbl>
    <w:p>
      <w:pPr>
        <w:adjustRightInd w:val="0"/>
        <w:snapToGrid w:val="0"/>
        <w:spacing w:line="360" w:lineRule="auto"/>
        <w:ind w:firstLineChars="100" w:firstLine="360"/>
        <w:jc w:val="both"/>
        <w:rPr>
          <w:rFonts w:ascii="仿宋_GB2312" w:eastAsia="仿宋_GB2312" w:hint="eastAsia"/>
          <w:color w:val="0000FF"/>
          <w:sz w:val="36"/>
          <w:szCs w:val="36"/>
        </w:rPr>
      </w:pPr>
    </w:p>
    <w:p>
      <w:pPr>
        <w:adjustRightInd w:val="0"/>
        <w:snapToGrid w:val="0"/>
        <w:spacing w:line="360" w:lineRule="auto"/>
        <w:ind w:firstLineChars="100" w:firstLine="360"/>
        <w:rPr>
          <w:rFonts w:ascii="仿宋_GB2312" w:eastAsia="仿宋_GB2312"/>
          <w:color w:val="0000FF"/>
          <w:sz w:val="36"/>
          <w:szCs w:val="36"/>
          <w:u w:val="single"/>
        </w:rPr>
      </w:pPr>
    </w:p>
    <w:p>
      <w:pPr>
        <w:adjustRightInd w:val="0"/>
        <w:snapToGrid w:val="0"/>
        <w:spacing w:line="288" w:lineRule="auto"/>
        <w:jc w:val="center"/>
        <w:rPr>
          <w:rFonts w:ascii="仿宋_GB2312" w:eastAsia="仿宋_GB2312"/>
          <w:color w:val="0000FF"/>
          <w:sz w:val="36"/>
          <w:szCs w:val="36"/>
          <w:u w:val="single"/>
        </w:rPr>
      </w:pPr>
      <w:bookmarkStart w:id="3" w:name="_Hlk57884087"/>
    </w:p>
    <w:p>
      <w:pPr>
        <w:adjustRightInd w:val="0"/>
        <w:snapToGrid w:val="0"/>
        <w:spacing w:line="288" w:lineRule="auto"/>
        <w:ind w:firstLine="1040"/>
        <w:rPr>
          <w:rFonts w:ascii="仿宋_GB2312" w:eastAsia="仿宋_GB2312" w:hint="eastAsia"/>
          <w:color w:val="0000FF"/>
          <w:sz w:val="36"/>
          <w:szCs w:val="36"/>
        </w:rPr>
      </w:pPr>
    </w:p>
    <w:p>
      <w:pPr>
        <w:adjustRightInd w:val="0"/>
        <w:snapToGrid w:val="0"/>
        <w:spacing w:line="288" w:lineRule="auto"/>
        <w:jc w:val="center"/>
        <w:rPr>
          <w:rFonts w:ascii="楷体_GB2312" w:eastAsia="楷体_GB2312" w:hint="eastAsia"/>
          <w:color w:val="auto"/>
          <w:sz w:val="36"/>
          <w:szCs w:val="36"/>
        </w:rPr>
      </w:pPr>
      <w:bookmarkEnd w:id="3"/>
      <w:r>
        <w:rPr>
          <w:rFonts w:ascii="楷体_GB2312" w:eastAsia="楷体_GB2312" w:hint="eastAsia"/>
          <w:color w:val="auto"/>
          <w:sz w:val="36"/>
          <w:szCs w:val="36"/>
        </w:rPr>
        <w:t>中华人民共和国生态环境部制</w:t>
      </w:r>
    </w:p>
    <w:p>
      <w:pPr>
        <w:adjustRightInd w:val="0"/>
        <w:snapToGrid w:val="0"/>
        <w:spacing w:line="288" w:lineRule="auto"/>
        <w:ind w:firstLine="1040"/>
        <w:rPr>
          <w:rFonts w:ascii="仿宋_GB2312" w:eastAsia="仿宋_GB2312"/>
          <w:color w:val="0000FF"/>
          <w:sz w:val="36"/>
          <w:szCs w:val="36"/>
        </w:rPr>
        <w:sectPr>
          <w:headerReference w:type="default" r:id="rId2"/>
          <w:footerReference w:type="default" r:id="rId3"/>
          <w:footerReference w:type="even" r:id="rId4"/>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start="3"/>
          <w:cols w:num="1" w:space="0"/>
          <w:rtlGutter/>
          <w:docGrid w:linePitch="312" w:charSpace="0"/>
        </w:sectPr>
      </w:pPr>
    </w:p>
    <w:p>
      <w:pPr>
        <w:adjustRightInd w:val="0"/>
        <w:snapToGrid w:val="0"/>
        <w:spacing w:line="288" w:lineRule="auto"/>
        <w:ind w:firstLine="1040"/>
        <w:rPr>
          <w:rFonts w:ascii="仿宋_GB2312" w:eastAsia="仿宋_GB2312"/>
          <w:color w:val="0000FF"/>
          <w:sz w:val="36"/>
          <w:szCs w:val="36"/>
        </w:rPr>
        <w:sectPr>
          <w:footerReference w:type="default" r:id="rId5"/>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start="1"/>
          <w:cols w:num="1" w:space="0"/>
          <w:rtlGutter/>
          <w:docGrid w:linePitch="312" w:charSpace="0"/>
        </w:sectPr>
      </w:pPr>
    </w:p>
    <w:sdt>
      <w:sdtPr>
        <w:rPr>
          <w:rFonts w:ascii="宋体" w:eastAsia="宋体" w:cs="Times New Roman" w:hAnsi="宋体"/>
          <w:kern w:val="2"/>
          <w:sz w:val="22"/>
          <w:szCs w:val="28"/>
          <w:lang w:val="en-US" w:eastAsia="zh-CN" w:bidi="ar-SA"/>
        </w:rPr>
        <w:id w:val="1173260799"/>
        <w15:color w:val="DBDBDB"/>
        <w:docPartObj>
          <w:docPartGallery w:val="Table of Contents"/>
          <w:docPartUnique/>
        </w:docPartObj>
      </w:sdtPr>
      <w:sdtEndPr>
        <w:rPr>
          <w:rFonts w:ascii="仿宋_GB2312" w:eastAsia="仿宋_GB2312" w:hAnsi="Times New Roman"/>
          <w:b w:val="0"/>
          <w:bCs w:val="0"/>
          <w:color w:val="0000FF"/>
          <w:sz w:val="21"/>
          <w:szCs w:val="36"/>
        </w:rPr>
      </w:sdtEndPr>
      <w:sdtContent>
        <w:p>
          <w:pPr>
            <w:spacing w:before="0" w:after="0" w:line="360" w:lineRule="auto"/>
            <w:ind w:left="0" w:right="0" w:firstLine="0"/>
            <w:jc w:val="center"/>
            <w:rPr>
              <w:sz w:val="22"/>
              <w:szCs w:val="28"/>
            </w:rPr>
          </w:pPr>
          <w:r>
            <w:rPr>
              <w:rFonts w:ascii="宋体" w:eastAsia="宋体" w:hAnsi="宋体"/>
              <w:b/>
              <w:bCs/>
              <w:sz w:val="22"/>
              <w:szCs w:val="28"/>
            </w:rPr>
            <w:t>目</w:t>
          </w:r>
          <w:r>
            <w:rPr>
              <w:rFonts w:ascii="宋体" w:eastAsia="宋体" w:hAnsi="宋体" w:hint="eastAsia"/>
              <w:b/>
              <w:bCs/>
              <w:sz w:val="22"/>
              <w:szCs w:val="28"/>
              <w:lang w:val="en-US" w:eastAsia="zh-CN"/>
            </w:rPr>
            <w:t xml:space="preserve"> </w:t>
          </w:r>
          <w:r>
            <w:rPr>
              <w:rFonts w:ascii="宋体" w:eastAsia="宋体" w:hAnsi="宋体"/>
              <w:b/>
              <w:bCs/>
              <w:sz w:val="22"/>
              <w:szCs w:val="28"/>
            </w:rPr>
            <w:t>录</w:t>
          </w:r>
        </w:p>
        <w:p>
          <w:pPr>
            <w:pStyle w:val="24"/>
            <w:tabs>
              <w:tab w:val="right" w:leader="dot" w:pos="8930"/>
            </w:tabs>
            <w:spacing w:line="360" w:lineRule="auto"/>
            <w:rPr>
              <w:b/>
              <w:bCs/>
              <w:sz w:val="22"/>
              <w:szCs w:val="28"/>
            </w:rPr>
          </w:pPr>
          <w:r>
            <w:rPr>
              <w:rFonts w:ascii="仿宋_GB2312" w:eastAsia="仿宋_GB2312"/>
              <w:b/>
              <w:bCs/>
              <w:color w:val="0000FF"/>
              <w:sz w:val="40"/>
              <w:szCs w:val="40"/>
            </w:rPr>
            <w:fldChar w:fldCharType="begin"/>
          </w:r>
          <w:r>
            <w:rPr>
              <w:rFonts w:ascii="仿宋_GB2312" w:eastAsia="仿宋_GB2312"/>
              <w:b/>
              <w:bCs/>
              <w:color w:val="0000FF"/>
              <w:sz w:val="40"/>
              <w:szCs w:val="40"/>
            </w:rPr>
            <w:instrText xml:space="preserve">TOC \o "1-1" \h \u </w:instrText>
          </w:r>
          <w:r>
            <w:rPr>
              <w:rFonts w:ascii="仿宋_GB2312" w:eastAsia="仿宋_GB2312"/>
              <w:b/>
              <w:bCs/>
              <w:color w:val="0000FF"/>
              <w:sz w:val="40"/>
              <w:szCs w:val="40"/>
            </w:rPr>
            <w:fldChar w:fldCharType="separate"/>
          </w: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_Toc18403 </w:instrText>
          </w:r>
          <w:r>
            <w:rPr>
              <w:rFonts w:ascii="仿宋_GB2312" w:eastAsia="仿宋_GB2312"/>
              <w:b/>
              <w:bCs/>
              <w:sz w:val="22"/>
              <w:szCs w:val="40"/>
            </w:rPr>
            <w:fldChar w:fldCharType="separate"/>
          </w:r>
          <w:r>
            <w:rPr>
              <w:rFonts w:hint="eastAsia"/>
              <w:b/>
              <w:bCs/>
              <w:sz w:val="22"/>
              <w:szCs w:val="36"/>
            </w:rPr>
            <w:t>一、建设项目基本情况</w:t>
          </w:r>
          <w:r>
            <w:rPr>
              <w:b/>
              <w:bCs/>
              <w:sz w:val="22"/>
              <w:szCs w:val="28"/>
            </w:rPr>
            <w:tab/>
          </w:r>
          <w:r>
            <w:rPr>
              <w:b/>
              <w:bCs/>
              <w:sz w:val="22"/>
              <w:szCs w:val="28"/>
            </w:rPr>
            <w:fldChar w:fldCharType="begin"/>
          </w:r>
          <w:r>
            <w:rPr>
              <w:b/>
              <w:bCs/>
              <w:sz w:val="22"/>
              <w:szCs w:val="28"/>
            </w:rPr>
            <w:instrText xml:space="preserve"> PAGEREF _Toc18403 \h </w:instrText>
          </w:r>
          <w:r>
            <w:rPr>
              <w:b/>
              <w:bCs/>
              <w:sz w:val="22"/>
              <w:szCs w:val="28"/>
            </w:rPr>
            <w:fldChar w:fldCharType="separate"/>
          </w:r>
          <w:r>
            <w:rPr>
              <w:b/>
              <w:bCs/>
              <w:sz w:val="22"/>
              <w:szCs w:val="28"/>
            </w:rPr>
            <w:t>1</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_Toc13009 </w:instrText>
          </w:r>
          <w:r>
            <w:rPr>
              <w:rFonts w:ascii="仿宋_GB2312" w:eastAsia="仿宋_GB2312"/>
              <w:b/>
              <w:bCs/>
              <w:sz w:val="22"/>
              <w:szCs w:val="40"/>
            </w:rPr>
            <w:fldChar w:fldCharType="separate"/>
          </w:r>
          <w:r>
            <w:rPr>
              <w:rFonts w:hint="eastAsia"/>
              <w:b/>
              <w:bCs/>
              <w:sz w:val="22"/>
              <w:szCs w:val="36"/>
            </w:rPr>
            <w:t>二、建设项目工程分析</w:t>
          </w:r>
          <w:r>
            <w:rPr>
              <w:b/>
              <w:bCs/>
              <w:sz w:val="22"/>
              <w:szCs w:val="28"/>
            </w:rPr>
            <w:tab/>
          </w:r>
          <w:r>
            <w:rPr>
              <w:b/>
              <w:bCs/>
              <w:sz w:val="22"/>
              <w:szCs w:val="28"/>
            </w:rPr>
            <w:fldChar w:fldCharType="begin"/>
          </w:r>
          <w:r>
            <w:rPr>
              <w:b/>
              <w:bCs/>
              <w:sz w:val="22"/>
              <w:szCs w:val="28"/>
            </w:rPr>
            <w:instrText xml:space="preserve"> PAGEREF _Toc13009 \h </w:instrText>
          </w:r>
          <w:r>
            <w:rPr>
              <w:b/>
              <w:bCs/>
              <w:sz w:val="22"/>
              <w:szCs w:val="28"/>
            </w:rPr>
            <w:fldChar w:fldCharType="separate"/>
          </w:r>
          <w:r>
            <w:rPr>
              <w:b/>
              <w:bCs/>
              <w:sz w:val="22"/>
              <w:szCs w:val="28"/>
            </w:rPr>
            <w:t>9</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_Toc19666 </w:instrText>
          </w:r>
          <w:r>
            <w:rPr>
              <w:rFonts w:ascii="仿宋_GB2312" w:eastAsia="仿宋_GB2312"/>
              <w:b/>
              <w:bCs/>
              <w:sz w:val="22"/>
              <w:szCs w:val="40"/>
            </w:rPr>
            <w:fldChar w:fldCharType="separate"/>
          </w:r>
          <w:r>
            <w:rPr>
              <w:rFonts w:hint="eastAsia"/>
              <w:b/>
              <w:bCs/>
              <w:sz w:val="22"/>
              <w:szCs w:val="36"/>
            </w:rPr>
            <w:t>三、区域环境质量现状、环境保护目标及评价标准</w:t>
          </w:r>
          <w:r>
            <w:rPr>
              <w:b/>
              <w:bCs/>
              <w:sz w:val="22"/>
              <w:szCs w:val="28"/>
            </w:rPr>
            <w:tab/>
          </w:r>
          <w:r>
            <w:rPr>
              <w:b/>
              <w:bCs/>
              <w:sz w:val="22"/>
              <w:szCs w:val="28"/>
            </w:rPr>
            <w:fldChar w:fldCharType="begin"/>
          </w:r>
          <w:r>
            <w:rPr>
              <w:b/>
              <w:bCs/>
              <w:sz w:val="22"/>
              <w:szCs w:val="28"/>
            </w:rPr>
            <w:instrText xml:space="preserve"> PAGEREF _Toc19666 \h </w:instrText>
          </w:r>
          <w:r>
            <w:rPr>
              <w:b/>
              <w:bCs/>
              <w:sz w:val="22"/>
              <w:szCs w:val="28"/>
            </w:rPr>
            <w:fldChar w:fldCharType="separate"/>
          </w:r>
          <w:r>
            <w:rPr>
              <w:b/>
              <w:bCs/>
              <w:sz w:val="22"/>
              <w:szCs w:val="28"/>
            </w:rPr>
            <w:t>20</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_Toc16223 </w:instrText>
          </w:r>
          <w:r>
            <w:rPr>
              <w:rFonts w:ascii="仿宋_GB2312" w:eastAsia="仿宋_GB2312"/>
              <w:b/>
              <w:bCs/>
              <w:sz w:val="22"/>
              <w:szCs w:val="40"/>
            </w:rPr>
            <w:fldChar w:fldCharType="separate"/>
          </w:r>
          <w:r>
            <w:rPr>
              <w:rFonts w:ascii="Times New Roman" w:hAnsi="Times New Roman" w:hint="eastAsia"/>
              <w:b/>
              <w:bCs/>
              <w:kern w:val="2"/>
              <w:sz w:val="22"/>
              <w:szCs w:val="36"/>
            </w:rPr>
            <w:t>四、主要环境影响和保护措施</w:t>
          </w:r>
          <w:r>
            <w:rPr>
              <w:b/>
              <w:bCs/>
              <w:sz w:val="22"/>
              <w:szCs w:val="28"/>
            </w:rPr>
            <w:tab/>
          </w:r>
          <w:r>
            <w:rPr>
              <w:b/>
              <w:bCs/>
              <w:sz w:val="22"/>
              <w:szCs w:val="28"/>
            </w:rPr>
            <w:fldChar w:fldCharType="begin"/>
          </w:r>
          <w:r>
            <w:rPr>
              <w:b/>
              <w:bCs/>
              <w:sz w:val="22"/>
              <w:szCs w:val="28"/>
            </w:rPr>
            <w:instrText xml:space="preserve"> PAGEREF _Toc16223 \h </w:instrText>
          </w:r>
          <w:r>
            <w:rPr>
              <w:b/>
              <w:bCs/>
              <w:sz w:val="22"/>
              <w:szCs w:val="28"/>
            </w:rPr>
            <w:fldChar w:fldCharType="separate"/>
          </w:r>
          <w:r>
            <w:rPr>
              <w:b/>
              <w:bCs/>
              <w:sz w:val="22"/>
              <w:szCs w:val="28"/>
            </w:rPr>
            <w:t>26</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_Toc9251 </w:instrText>
          </w:r>
          <w:r>
            <w:rPr>
              <w:rFonts w:ascii="仿宋_GB2312" w:eastAsia="仿宋_GB2312"/>
              <w:b/>
              <w:bCs/>
              <w:sz w:val="22"/>
              <w:szCs w:val="40"/>
            </w:rPr>
            <w:fldChar w:fldCharType="separate"/>
          </w:r>
          <w:r>
            <w:rPr>
              <w:rFonts w:hint="eastAsia"/>
              <w:b/>
              <w:bCs/>
              <w:sz w:val="22"/>
              <w:szCs w:val="36"/>
            </w:rPr>
            <w:t>五、环境保护措施监督检查清单</w:t>
          </w:r>
          <w:r>
            <w:rPr>
              <w:b/>
              <w:bCs/>
              <w:sz w:val="22"/>
              <w:szCs w:val="28"/>
            </w:rPr>
            <w:tab/>
          </w:r>
          <w:r>
            <w:rPr>
              <w:b/>
              <w:bCs/>
              <w:sz w:val="22"/>
              <w:szCs w:val="28"/>
            </w:rPr>
            <w:fldChar w:fldCharType="begin"/>
          </w:r>
          <w:r>
            <w:rPr>
              <w:b/>
              <w:bCs/>
              <w:sz w:val="22"/>
              <w:szCs w:val="28"/>
            </w:rPr>
            <w:instrText xml:space="preserve"> PAGEREF _Toc9251 \h </w:instrText>
          </w:r>
          <w:r>
            <w:rPr>
              <w:b/>
              <w:bCs/>
              <w:sz w:val="22"/>
              <w:szCs w:val="28"/>
            </w:rPr>
            <w:fldChar w:fldCharType="separate"/>
          </w:r>
          <w:r>
            <w:rPr>
              <w:b/>
              <w:bCs/>
              <w:sz w:val="22"/>
              <w:szCs w:val="28"/>
            </w:rPr>
            <w:t>51</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_Toc21648 </w:instrText>
          </w:r>
          <w:r>
            <w:rPr>
              <w:rFonts w:ascii="仿宋_GB2312" w:eastAsia="仿宋_GB2312"/>
              <w:b/>
              <w:bCs/>
              <w:sz w:val="22"/>
              <w:szCs w:val="40"/>
            </w:rPr>
            <w:fldChar w:fldCharType="separate"/>
          </w:r>
          <w:r>
            <w:rPr>
              <w:rFonts w:ascii="Times New Roman" w:hAnsi="Times New Roman" w:hint="eastAsia"/>
              <w:b/>
              <w:bCs/>
              <w:kern w:val="2"/>
              <w:sz w:val="22"/>
              <w:szCs w:val="36"/>
            </w:rPr>
            <w:t>六、结论</w:t>
          </w:r>
          <w:r>
            <w:rPr>
              <w:b/>
              <w:bCs/>
              <w:sz w:val="22"/>
              <w:szCs w:val="28"/>
            </w:rPr>
            <w:tab/>
          </w:r>
          <w:r>
            <w:rPr>
              <w:b/>
              <w:bCs/>
              <w:sz w:val="22"/>
              <w:szCs w:val="28"/>
            </w:rPr>
            <w:fldChar w:fldCharType="begin"/>
          </w:r>
          <w:r>
            <w:rPr>
              <w:b/>
              <w:bCs/>
              <w:sz w:val="22"/>
              <w:szCs w:val="28"/>
            </w:rPr>
            <w:instrText xml:space="preserve"> PAGEREF _Toc21648 \h </w:instrText>
          </w:r>
          <w:r>
            <w:rPr>
              <w:b/>
              <w:bCs/>
              <w:sz w:val="22"/>
              <w:szCs w:val="28"/>
            </w:rPr>
            <w:fldChar w:fldCharType="separate"/>
          </w:r>
          <w:r>
            <w:rPr>
              <w:b/>
              <w:bCs/>
              <w:sz w:val="22"/>
              <w:szCs w:val="28"/>
            </w:rPr>
            <w:t>55</w:t>
          </w:r>
          <w:r>
            <w:rPr>
              <w:b/>
              <w:bCs/>
              <w:sz w:val="22"/>
              <w:szCs w:val="28"/>
            </w:rPr>
            <w:fldChar w:fldCharType="end"/>
          </w:r>
          <w:r>
            <w:rPr>
              <w:rFonts w:ascii="仿宋_GB2312" w:eastAsia="仿宋_GB2312"/>
              <w:b/>
              <w:bCs/>
              <w:color w:val="0000FF"/>
              <w:sz w:val="22"/>
              <w:szCs w:val="40"/>
            </w:rPr>
            <w:fldChar w:fldCharType="end"/>
          </w:r>
        </w:p>
        <w:p>
          <w:pPr>
            <w:pStyle w:val="24"/>
            <w:tabs>
              <w:tab w:val="right" w:leader="dot" w:pos="8930"/>
            </w:tabs>
            <w:spacing w:line="360" w:lineRule="auto"/>
            <w:rPr>
              <w:b/>
              <w:bCs/>
              <w:sz w:val="22"/>
              <w:szCs w:val="28"/>
            </w:rPr>
          </w:pPr>
          <w:r>
            <w:rPr>
              <w:rFonts w:ascii="仿宋_GB2312" w:eastAsia="仿宋_GB2312"/>
              <w:b/>
              <w:bCs/>
              <w:color w:val="0000FF"/>
              <w:sz w:val="22"/>
              <w:szCs w:val="40"/>
            </w:rPr>
            <w:fldChar w:fldCharType="begin"/>
          </w:r>
          <w:r>
            <w:rPr>
              <w:rFonts w:ascii="仿宋_GB2312" w:eastAsia="仿宋_GB2312"/>
              <w:b/>
              <w:bCs/>
              <w:sz w:val="22"/>
              <w:szCs w:val="40"/>
            </w:rPr>
            <w:instrText xml:space="preserve"> HYPERLINK \l _Toc11913 </w:instrText>
          </w:r>
          <w:r>
            <w:rPr>
              <w:rFonts w:ascii="仿宋_GB2312" w:eastAsia="仿宋_GB2312"/>
              <w:b/>
              <w:bCs/>
              <w:sz w:val="22"/>
              <w:szCs w:val="40"/>
            </w:rPr>
            <w:fldChar w:fldCharType="separate"/>
          </w:r>
          <w:r>
            <w:rPr>
              <w:rFonts w:ascii="黑体" w:eastAsia="黑体" w:hAnsi="黑体" w:hint="eastAsia"/>
              <w:b/>
              <w:bCs/>
              <w:snapToGrid w:val="0"/>
              <w:sz w:val="22"/>
              <w:szCs w:val="36"/>
            </w:rPr>
            <w:t>附表</w:t>
          </w:r>
          <w:r>
            <w:rPr>
              <w:b/>
              <w:bCs/>
              <w:sz w:val="22"/>
              <w:szCs w:val="28"/>
            </w:rPr>
            <w:tab/>
          </w:r>
          <w:r>
            <w:rPr>
              <w:b/>
              <w:bCs/>
              <w:sz w:val="22"/>
              <w:szCs w:val="28"/>
            </w:rPr>
            <w:fldChar w:fldCharType="begin"/>
          </w:r>
          <w:r>
            <w:rPr>
              <w:b/>
              <w:bCs/>
              <w:sz w:val="22"/>
              <w:szCs w:val="28"/>
            </w:rPr>
            <w:instrText xml:space="preserve"> PAGEREF _Toc11913 \h </w:instrText>
          </w:r>
          <w:r>
            <w:rPr>
              <w:b/>
              <w:bCs/>
              <w:sz w:val="22"/>
              <w:szCs w:val="28"/>
            </w:rPr>
            <w:fldChar w:fldCharType="separate"/>
          </w:r>
          <w:r>
            <w:rPr>
              <w:b/>
              <w:bCs/>
              <w:sz w:val="22"/>
              <w:szCs w:val="28"/>
            </w:rPr>
            <w:t>56</w:t>
          </w:r>
          <w:r>
            <w:rPr>
              <w:b/>
              <w:bCs/>
              <w:sz w:val="22"/>
              <w:szCs w:val="28"/>
            </w:rPr>
            <w:fldChar w:fldCharType="end"/>
          </w:r>
          <w:r>
            <w:rPr>
              <w:rFonts w:ascii="仿宋_GB2312" w:eastAsia="仿宋_GB2312"/>
              <w:b/>
              <w:bCs/>
              <w:color w:val="0000FF"/>
              <w:sz w:val="22"/>
              <w:szCs w:val="40"/>
            </w:rPr>
            <w:fldChar w:fldCharType="end"/>
          </w:r>
        </w:p>
        <w:p>
          <w:pPr>
            <w:adjustRightInd w:val="0"/>
            <w:snapToGrid w:val="0"/>
            <w:spacing w:line="360" w:lineRule="auto"/>
            <w:rPr>
              <w:rFonts w:ascii="仿宋_GB2312" w:eastAsia="仿宋_GB2312" w:hint="eastAsia"/>
              <w:b/>
              <w:bCs/>
              <w:color w:val="auto"/>
              <w:sz w:val="22"/>
              <w:szCs w:val="40"/>
              <w:lang w:val="en-US" w:eastAsia="zh-CN"/>
            </w:rPr>
          </w:pPr>
          <w:r>
            <w:rPr>
              <w:rFonts w:ascii="仿宋_GB2312" w:eastAsia="仿宋_GB2312"/>
              <w:b/>
              <w:bCs/>
              <w:color w:val="0000FF"/>
              <w:sz w:val="22"/>
              <w:szCs w:val="40"/>
            </w:rPr>
            <w:fldChar w:fldCharType="end"/>
          </w:r>
          <w:r>
            <w:rPr>
              <w:rFonts w:ascii="仿宋_GB2312" w:eastAsia="仿宋_GB2312" w:hint="eastAsia"/>
              <w:b/>
              <w:bCs/>
              <w:color w:val="auto"/>
              <w:sz w:val="22"/>
              <w:szCs w:val="40"/>
              <w:lang w:val="en-US" w:eastAsia="zh-CN"/>
            </w:rPr>
            <w:t>附图</w:t>
          </w:r>
        </w:p>
        <w:p>
          <w:pPr>
            <w:adjustRightInd w:val="0"/>
            <w:snapToGrid w:val="0"/>
            <w:spacing w:line="360" w:lineRule="auto"/>
            <w:rPr>
              <w:rFonts w:hint="eastAsia"/>
              <w:b w:val="0"/>
              <w:bCs w:val="0"/>
              <w:color w:val="auto"/>
              <w:u w:val="none"/>
            </w:rPr>
          </w:pPr>
          <w:r>
            <w:rPr>
              <w:rFonts w:hint="eastAsia"/>
              <w:b w:val="0"/>
              <w:bCs w:val="0"/>
              <w:color w:val="auto"/>
              <w:u w:val="none"/>
            </w:rPr>
            <w:t>附图</w:t>
          </w:r>
          <w:r>
            <w:rPr>
              <w:b w:val="0"/>
              <w:bCs w:val="0"/>
              <w:color w:val="auto"/>
              <w:u w:val="none"/>
            </w:rPr>
            <w:t xml:space="preserve">1  </w:t>
          </w:r>
          <w:r>
            <w:rPr>
              <w:rFonts w:hint="eastAsia"/>
              <w:b w:val="0"/>
              <w:bCs w:val="0"/>
              <w:color w:val="auto"/>
              <w:u w:val="none"/>
            </w:rPr>
            <w:t>项目位置示意图</w:t>
          </w:r>
        </w:p>
        <w:p>
          <w:pPr>
            <w:adjustRightInd w:val="0"/>
            <w:snapToGrid w:val="0"/>
            <w:spacing w:line="360" w:lineRule="auto"/>
            <w:rPr>
              <w:rFonts w:ascii="宋体" w:hAnsi="宋体" w:hint="eastAsia"/>
              <w:b w:val="0"/>
              <w:bCs w:val="0"/>
              <w:color w:val="auto"/>
              <w:u w:val="none"/>
            </w:rPr>
          </w:pPr>
          <w:r>
            <w:rPr>
              <w:rFonts w:ascii="宋体" w:hAnsi="宋体" w:hint="eastAsia"/>
              <w:b w:val="0"/>
              <w:bCs w:val="0"/>
              <w:color w:val="auto"/>
              <w:u w:val="none"/>
              <w:lang w:val="en-US" w:eastAsia="zh-CN"/>
            </w:rPr>
            <w:t>附</w:t>
          </w:r>
          <w:r>
            <w:rPr>
              <w:rFonts w:ascii="宋体" w:hAnsi="宋体" w:hint="eastAsia"/>
              <w:b w:val="0"/>
              <w:bCs w:val="0"/>
              <w:color w:val="auto"/>
              <w:u w:val="none"/>
            </w:rPr>
            <w:t>图</w:t>
          </w:r>
          <w:r>
            <w:rPr>
              <w:rFonts w:ascii="宋体" w:hAnsi="宋体" w:hint="eastAsia"/>
              <w:b w:val="0"/>
              <w:bCs w:val="0"/>
              <w:color w:val="auto"/>
              <w:u w:val="none"/>
              <w:lang w:val="en-US" w:eastAsia="zh-CN"/>
            </w:rPr>
            <w:t>2</w:t>
          </w:r>
          <w:r>
            <w:rPr>
              <w:rFonts w:ascii="宋体" w:hAnsi="宋体"/>
              <w:b w:val="0"/>
              <w:bCs w:val="0"/>
              <w:color w:val="auto"/>
              <w:u w:val="none"/>
            </w:rPr>
            <w:t xml:space="preserve">  </w:t>
          </w:r>
          <w:r>
            <w:rPr>
              <w:rFonts w:ascii="宋体" w:hAnsi="宋体" w:hint="eastAsia"/>
              <w:b w:val="0"/>
              <w:bCs w:val="0"/>
              <w:color w:val="auto"/>
              <w:u w:val="none"/>
              <w:lang w:val="en-US" w:eastAsia="zh-CN"/>
            </w:rPr>
            <w:t>平面布置</w:t>
          </w:r>
          <w:r>
            <w:rPr>
              <w:rFonts w:ascii="宋体" w:hAnsi="宋体" w:hint="eastAsia"/>
              <w:b w:val="0"/>
              <w:bCs w:val="0"/>
              <w:color w:val="auto"/>
              <w:u w:val="none"/>
            </w:rPr>
            <w:t>图</w:t>
          </w:r>
        </w:p>
        <w:p>
          <w:pPr>
            <w:adjustRightInd w:val="0"/>
            <w:snapToGrid w:val="0"/>
            <w:spacing w:line="360" w:lineRule="auto"/>
            <w:rPr>
              <w:rFonts w:ascii="宋体" w:hAnsi="宋体" w:hint="eastAsia"/>
              <w:b w:val="0"/>
              <w:bCs w:val="0"/>
              <w:color w:val="auto"/>
              <w:u w:val="none"/>
              <w:lang w:eastAsia="zh-CN"/>
            </w:rPr>
          </w:pPr>
          <w:r>
            <w:rPr>
              <w:rFonts w:ascii="宋体" w:hAnsi="宋体" w:hint="eastAsia"/>
              <w:b w:val="0"/>
              <w:bCs w:val="0"/>
              <w:color w:val="auto"/>
              <w:u w:val="none"/>
              <w:lang w:eastAsia="zh-CN"/>
            </w:rPr>
            <w:t>附图</w:t>
          </w:r>
          <w:r>
            <w:rPr>
              <w:rFonts w:ascii="宋体" w:hAnsi="宋体" w:hint="eastAsia"/>
              <w:b w:val="0"/>
              <w:bCs w:val="0"/>
              <w:color w:val="auto"/>
              <w:u w:val="none"/>
              <w:lang w:val="en-US" w:eastAsia="zh-CN"/>
            </w:rPr>
            <w:t xml:space="preserve">3  </w:t>
          </w:r>
          <w:r>
            <w:rPr>
              <w:rFonts w:ascii="宋体" w:hAnsi="宋体" w:hint="eastAsia"/>
              <w:b w:val="0"/>
              <w:bCs w:val="0"/>
              <w:color w:val="auto"/>
              <w:u w:val="none"/>
            </w:rPr>
            <w:t>项目敏感目标相对位置示意图</w:t>
          </w:r>
          <w:r>
            <w:rPr>
              <w:rFonts w:ascii="宋体" w:hAnsi="宋体" w:hint="eastAsia"/>
              <w:b w:val="0"/>
              <w:bCs w:val="0"/>
              <w:color w:val="auto"/>
              <w:u w:val="none"/>
              <w:lang w:eastAsia="zh-CN"/>
            </w:rPr>
            <w:t>（</w:t>
          </w:r>
          <w:r>
            <w:rPr>
              <w:rFonts w:ascii="宋体" w:hAnsi="宋体" w:hint="eastAsia"/>
              <w:b w:val="0"/>
              <w:bCs w:val="0"/>
              <w:color w:val="auto"/>
              <w:u w:val="none"/>
              <w:lang w:val="en-US" w:eastAsia="zh-CN"/>
            </w:rPr>
            <w:t>50、500m</w:t>
          </w:r>
          <w:r>
            <w:rPr>
              <w:rFonts w:ascii="宋体" w:hAnsi="宋体" w:hint="eastAsia"/>
              <w:b w:val="0"/>
              <w:bCs w:val="0"/>
              <w:color w:val="auto"/>
              <w:u w:val="none"/>
              <w:lang w:eastAsia="zh-CN"/>
            </w:rPr>
            <w:t>）</w:t>
          </w:r>
        </w:p>
        <w:p>
          <w:pPr>
            <w:adjustRightInd w:val="0"/>
            <w:snapToGrid w:val="0"/>
            <w:spacing w:line="360" w:lineRule="auto"/>
            <w:rPr>
              <w:rFonts w:ascii="宋体" w:hAnsi="宋体" w:hint="eastAsia"/>
              <w:b w:val="0"/>
              <w:bCs w:val="0"/>
              <w:color w:val="auto"/>
              <w:u w:val="none"/>
              <w:lang w:val="en-US" w:eastAsia="zh-CN"/>
            </w:rPr>
          </w:pPr>
          <w:r>
            <w:rPr>
              <w:rFonts w:ascii="宋体" w:hAnsi="宋体" w:hint="eastAsia"/>
              <w:b w:val="0"/>
              <w:bCs w:val="0"/>
              <w:color w:val="auto"/>
              <w:u w:val="none"/>
              <w:lang w:eastAsia="zh-CN"/>
            </w:rPr>
            <w:t>附图</w:t>
          </w:r>
          <w:r>
            <w:rPr>
              <w:rFonts w:ascii="宋体" w:hAnsi="宋体" w:hint="eastAsia"/>
              <w:b w:val="0"/>
              <w:bCs w:val="0"/>
              <w:color w:val="auto"/>
              <w:u w:val="none"/>
              <w:lang w:val="en-US" w:eastAsia="zh-CN"/>
            </w:rPr>
            <w:t>4  雨污水走向图</w:t>
          </w:r>
        </w:p>
        <w:p>
          <w:pPr>
            <w:adjustRightInd w:val="0"/>
            <w:snapToGrid w:val="0"/>
            <w:spacing w:line="360" w:lineRule="auto"/>
            <w:rPr>
              <w:rFonts w:ascii="宋体" w:hAnsi="宋体" w:hint="eastAsia"/>
              <w:b w:val="0"/>
              <w:bCs w:val="0"/>
              <w:color w:val="auto"/>
              <w:u w:val="none"/>
              <w:lang w:val="en-US" w:eastAsia="zh-CN"/>
            </w:rPr>
          </w:pPr>
          <w:r>
            <w:rPr>
              <w:rFonts w:ascii="宋体" w:hAnsi="宋体" w:hint="eastAsia"/>
              <w:b w:val="0"/>
              <w:bCs w:val="0"/>
              <w:color w:val="auto"/>
              <w:u w:val="none"/>
              <w:lang w:eastAsia="zh-CN"/>
            </w:rPr>
            <w:t>附图</w:t>
          </w:r>
          <w:r>
            <w:rPr>
              <w:rFonts w:ascii="宋体" w:hAnsi="宋体" w:hint="eastAsia"/>
              <w:b w:val="0"/>
              <w:bCs w:val="0"/>
              <w:color w:val="auto"/>
              <w:u w:val="none"/>
              <w:lang w:val="en-US" w:eastAsia="zh-CN"/>
            </w:rPr>
            <w:t xml:space="preserve">5  </w:t>
          </w:r>
          <w:r>
            <w:rPr>
              <w:rFonts w:hint="eastAsia"/>
              <w:b w:val="0"/>
              <w:bCs w:val="0"/>
              <w:color w:val="auto"/>
              <w:u w:val="none"/>
              <w:lang w:val="en-US" w:eastAsia="zh-CN"/>
            </w:rPr>
            <w:t>产业布局</w:t>
          </w:r>
          <w:r>
            <w:rPr>
              <w:rFonts w:hint="eastAsia"/>
              <w:b w:val="0"/>
              <w:bCs w:val="0"/>
              <w:color w:val="auto"/>
              <w:u w:val="none"/>
            </w:rPr>
            <w:t>图</w:t>
          </w:r>
        </w:p>
        <w:p>
          <w:pPr>
            <w:adjustRightInd w:val="0"/>
            <w:snapToGrid w:val="0"/>
            <w:spacing w:line="360" w:lineRule="auto"/>
            <w:rPr>
              <w:rFonts w:ascii="仿宋_GB2312" w:eastAsia="仿宋_GB2312" w:hint="eastAsia"/>
              <w:b/>
              <w:bCs/>
              <w:color w:val="auto"/>
              <w:sz w:val="22"/>
              <w:szCs w:val="40"/>
              <w:lang w:val="en-US" w:eastAsia="zh-CN"/>
            </w:rPr>
          </w:pPr>
          <w:r>
            <w:rPr>
              <w:rFonts w:ascii="仿宋_GB2312" w:eastAsia="仿宋_GB2312" w:hint="eastAsia"/>
              <w:b/>
              <w:bCs/>
              <w:color w:val="auto"/>
              <w:sz w:val="22"/>
              <w:szCs w:val="40"/>
              <w:lang w:val="en-US" w:eastAsia="zh-CN"/>
            </w:rPr>
            <w:t>附件</w:t>
          </w:r>
        </w:p>
        <w:p>
          <w:pPr>
            <w:adjustRightInd w:val="0"/>
            <w:snapToGrid w:val="0"/>
            <w:spacing w:line="360" w:lineRule="auto"/>
            <w:rPr>
              <w:rFonts w:ascii="Times New Roman" w:eastAsia="宋体" w:cs="Times New Roman" w:hAnsi="Times New Roman" w:hint="eastAsia"/>
              <w:b w:val="0"/>
              <w:bCs w:val="0"/>
              <w:u w:val="none"/>
              <w:lang w:val="en-US" w:eastAsia="zh-CN"/>
            </w:rPr>
          </w:pPr>
          <w:r>
            <w:rPr>
              <w:rFonts w:ascii="Times New Roman" w:eastAsia="宋体" w:cs="Times New Roman" w:hAnsi="Times New Roman" w:hint="eastAsia"/>
              <w:b w:val="0"/>
              <w:bCs w:val="0"/>
              <w:u w:val="none"/>
              <w:lang w:val="en-US" w:eastAsia="zh-CN"/>
            </w:rPr>
            <w:t>附件1 委托书</w:t>
          </w:r>
        </w:p>
        <w:p>
          <w:pPr>
            <w:adjustRightInd w:val="0"/>
            <w:snapToGrid w:val="0"/>
            <w:spacing w:line="360" w:lineRule="auto"/>
            <w:rPr>
              <w:rFonts w:ascii="Times New Roman" w:eastAsia="宋体" w:cs="Times New Roman" w:hAnsi="Times New Roman" w:hint="eastAsia"/>
              <w:b w:val="0"/>
              <w:bCs w:val="0"/>
              <w:u w:val="none"/>
              <w:lang w:val="en-US" w:eastAsia="zh-CN"/>
            </w:rPr>
          </w:pPr>
          <w:r>
            <w:rPr>
              <w:rFonts w:ascii="Times New Roman" w:eastAsia="宋体" w:cs="Times New Roman" w:hAnsi="Times New Roman" w:hint="eastAsia"/>
              <w:b w:val="0"/>
              <w:bCs w:val="0"/>
              <w:u w:val="none"/>
              <w:lang w:val="en-US" w:eastAsia="zh-CN"/>
            </w:rPr>
            <w:t>附件2 营业执照</w:t>
          </w:r>
        </w:p>
        <w:p>
          <w:pPr>
            <w:adjustRightInd w:val="0"/>
            <w:snapToGrid w:val="0"/>
            <w:spacing w:line="360" w:lineRule="auto"/>
            <w:rPr>
              <w:rFonts w:ascii="Times New Roman" w:eastAsia="宋体" w:cs="Times New Roman" w:hAnsi="Times New Roman" w:hint="eastAsia"/>
              <w:b w:val="0"/>
              <w:bCs w:val="0"/>
              <w:u w:val="none"/>
              <w:lang w:val="en-US" w:eastAsia="zh-CN"/>
            </w:rPr>
          </w:pPr>
          <w:r>
            <w:rPr>
              <w:rFonts w:ascii="Times New Roman" w:eastAsia="宋体" w:cs="Times New Roman" w:hAnsi="Times New Roman" w:hint="eastAsia"/>
              <w:b w:val="0"/>
              <w:bCs w:val="0"/>
              <w:u w:val="none"/>
              <w:lang w:val="en-US" w:eastAsia="zh-CN"/>
            </w:rPr>
            <w:t>附件3 用地租赁合同</w:t>
          </w:r>
        </w:p>
        <w:p>
          <w:pPr>
            <w:adjustRightInd w:val="0"/>
            <w:snapToGrid w:val="0"/>
            <w:spacing w:line="360" w:lineRule="auto"/>
            <w:rPr>
              <w:rFonts w:cs="Times New Roman" w:hint="eastAsia"/>
              <w:b w:val="0"/>
              <w:bCs w:val="0"/>
              <w:u w:val="none"/>
              <w:lang w:val="en-US" w:eastAsia="zh-CN"/>
            </w:rPr>
          </w:pPr>
          <w:r>
            <w:rPr>
              <w:rFonts w:cs="Times New Roman" w:hint="eastAsia"/>
              <w:b w:val="0"/>
              <w:bCs w:val="0"/>
              <w:u w:val="none"/>
              <w:lang w:val="en-US" w:eastAsia="zh-CN"/>
            </w:rPr>
            <w:t>附件4 监测报告</w:t>
          </w:r>
        </w:p>
        <w:p>
          <w:pPr>
            <w:adjustRightInd w:val="0"/>
            <w:snapToGrid w:val="0"/>
            <w:spacing w:line="360" w:lineRule="auto"/>
            <w:rPr>
              <w:rFonts w:ascii="仿宋_GB2312" w:eastAsia="仿宋_GB2312" w:cs="Times New Roman" w:hAnsi="Times New Roman"/>
              <w:b w:val="0"/>
              <w:bCs w:val="0"/>
              <w:color w:val="0000FF"/>
              <w:kern w:val="2"/>
              <w:sz w:val="21"/>
              <w:szCs w:val="36"/>
              <w:lang w:val="en-US" w:eastAsia="zh-CN" w:bidi="ar-SA"/>
            </w:rPr>
          </w:pPr>
          <w:r>
            <w:rPr>
              <w:rFonts w:cs="Times New Roman" w:hint="eastAsia"/>
              <w:b w:val="0"/>
              <w:bCs w:val="0"/>
              <w:u w:val="none"/>
              <w:lang w:val="en-US" w:eastAsia="zh-CN"/>
            </w:rPr>
            <w:t>附件5 发改备案</w:t>
          </w:r>
        </w:p>
      </w:sdtContent>
    </w:sdt>
    <w:p>
      <w:pPr>
        <w:adjustRightInd w:val="0"/>
        <w:snapToGrid w:val="0"/>
        <w:spacing w:line="288" w:lineRule="auto"/>
        <w:rPr>
          <w:rFonts w:ascii="仿宋_GB2312" w:eastAsia="仿宋_GB2312" w:cs="Times New Roman" w:hAnsi="Times New Roman"/>
          <w:b w:val="0"/>
          <w:bCs w:val="0"/>
          <w:color w:val="0000FF"/>
          <w:kern w:val="2"/>
          <w:sz w:val="21"/>
          <w:szCs w:val="36"/>
          <w:lang w:val="en-US" w:eastAsia="zh-CN" w:bidi="ar-SA"/>
        </w:rPr>
        <w:sectPr>
          <w:footerReference w:type="default" r:id="rId6"/>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start="1"/>
          <w:cols w:num="1" w:space="0"/>
          <w:rtlGutter/>
          <w:docGrid w:linePitch="312" w:charSpace="0"/>
        </w:sectPr>
      </w:pPr>
    </w:p>
    <w:p>
      <w:pPr>
        <w:spacing w:line="360" w:lineRule="auto"/>
        <w:jc w:val="center"/>
        <w:outlineLvl w:val="0"/>
        <w:rPr>
          <w:rFonts w:hint="eastAsia"/>
          <w:b/>
          <w:bCs/>
          <w:color w:val="auto"/>
          <w:sz w:val="32"/>
          <w:szCs w:val="32"/>
        </w:rPr>
      </w:pPr>
      <w:bookmarkStart w:id="4" w:name="_Toc13275"/>
      <w:bookmarkStart w:id="5" w:name="_Toc18403"/>
      <w:bookmarkStart w:id="6" w:name="_Toc24803"/>
      <w:r>
        <w:rPr>
          <w:rFonts w:hint="eastAsia"/>
          <w:b/>
          <w:bCs/>
          <w:color w:val="auto"/>
          <w:sz w:val="32"/>
          <w:szCs w:val="32"/>
        </w:rPr>
        <w:t>一、建设项目基本情况</w:t>
      </w:r>
      <w:bookmarkEnd w:id="4"/>
      <w:bookmarkEnd w:id="5"/>
      <w:bookmarkEnd w:id="6"/>
    </w:p>
    <w:tbl>
      <w:tblPr>
        <w:jc w:val="center"/>
        <w:tblW w:w="494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0" w:type="dxa"/>
          <w:bottom w:w="0" w:type="dxa"/>
          <w:right w:w="0" w:type="dxa"/>
        </w:tblCellMar>
        <w:tblLook w:val="0600" w:firstRow="0" w:lastRow="0" w:firstColumn="0" w:lastColumn="0" w:noHBand="1" w:noVBand="1"/>
      </w:tblPr>
      <w:tblGrid>
        <w:gridCol w:w="489"/>
        <w:gridCol w:w="539"/>
        <w:gridCol w:w="881"/>
        <w:gridCol w:w="2160"/>
        <w:gridCol w:w="1827"/>
        <w:gridCol w:w="3551"/>
      </w:tblGrid>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建设项目名称</w:t>
            </w:r>
          </w:p>
        </w:tc>
        <w:tc>
          <w:tcPr>
            <w:tcW w:w="3989" w:type="pct"/>
            <w:gridSpan w:val="3"/>
            <w:vAlign w:val="center"/>
          </w:tcPr>
          <w:p>
            <w:pPr>
              <w:adjustRightInd w:val="0"/>
              <w:snapToGrid w:val="0"/>
              <w:jc w:val="center"/>
              <w:rPr>
                <w:rFonts w:hint="eastAsia"/>
                <w:color w:val="auto"/>
                <w:sz w:val="24"/>
              </w:rPr>
            </w:pPr>
            <w:r>
              <w:rPr>
                <w:rFonts w:hint="eastAsia"/>
                <w:color w:val="auto"/>
                <w:sz w:val="24"/>
                <w:lang w:val="en-US" w:eastAsia="zh-CN"/>
              </w:rPr>
              <w:t>湖南智农生物科技有限公司茶油加工厂建设项目</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项目代码</w:t>
            </w:r>
          </w:p>
        </w:tc>
        <w:tc>
          <w:tcPr>
            <w:tcW w:w="3989" w:type="pct"/>
            <w:gridSpan w:val="3"/>
            <w:vAlign w:val="center"/>
          </w:tcPr>
          <w:p>
            <w:pPr>
              <w:adjustRightInd w:val="0"/>
              <w:snapToGrid w:val="0"/>
              <w:jc w:val="center"/>
              <w:rPr>
                <w:rFonts w:eastAsia="宋体"/>
                <w:color w:val="auto"/>
                <w:sz w:val="24"/>
                <w:lang w:val="en-US" w:eastAsia="zh-CN"/>
              </w:rPr>
            </w:pPr>
            <w:r>
              <w:rPr>
                <w:rFonts w:eastAsia="宋体"/>
                <w:color w:val="auto"/>
                <w:sz w:val="24"/>
                <w:lang w:val="en-US" w:eastAsia="zh-CN"/>
              </w:rPr>
              <w:t>2512-430700-04-01-996340</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建设单位联系人</w:t>
            </w:r>
          </w:p>
        </w:tc>
        <w:tc>
          <w:tcPr>
            <w:tcW w:w="1143" w:type="pct"/>
            <w:vAlign w:val="center"/>
          </w:tcPr>
          <w:p>
            <w:pPr>
              <w:adjustRightInd w:val="0"/>
              <w:snapToGrid w:val="0"/>
              <w:jc w:val="center"/>
              <w:rPr>
                <w:rFonts w:eastAsia="宋体" w:hint="eastAsia"/>
                <w:color w:val="auto"/>
                <w:sz w:val="24"/>
                <w:lang w:eastAsia="zh-CN"/>
              </w:rPr>
            </w:pPr>
            <w:r>
              <w:rPr>
                <w:rFonts w:hint="eastAsia"/>
                <w:color w:val="auto"/>
                <w:sz w:val="24"/>
                <w:lang w:val="en-US" w:eastAsia="zh-CN"/>
              </w:rPr>
              <w:t>李佳奇</w:t>
            </w:r>
          </w:p>
        </w:tc>
        <w:tc>
          <w:tcPr>
            <w:tcW w:w="967" w:type="pct"/>
            <w:vAlign w:val="center"/>
          </w:tcPr>
          <w:p>
            <w:pPr>
              <w:adjustRightInd w:val="0"/>
              <w:snapToGrid w:val="0"/>
              <w:jc w:val="center"/>
              <w:rPr>
                <w:rFonts w:hint="eastAsia"/>
                <w:color w:val="auto"/>
                <w:sz w:val="24"/>
              </w:rPr>
            </w:pPr>
            <w:r>
              <w:rPr>
                <w:rFonts w:hint="eastAsia"/>
                <w:color w:val="auto"/>
                <w:sz w:val="24"/>
              </w:rPr>
              <w:t>联系方式</w:t>
            </w:r>
          </w:p>
        </w:tc>
        <w:tc>
          <w:tcPr>
            <w:tcW w:w="1879" w:type="pct"/>
            <w:vAlign w:val="center"/>
          </w:tcPr>
          <w:p>
            <w:pPr>
              <w:adjustRightInd w:val="0"/>
              <w:snapToGrid w:val="0"/>
              <w:jc w:val="center"/>
              <w:rPr>
                <w:rFonts w:eastAsia="宋体"/>
                <w:color w:val="auto"/>
                <w:sz w:val="24"/>
                <w:lang w:val="en-US" w:eastAsia="zh-CN"/>
              </w:rPr>
            </w:pPr>
            <w:r>
              <w:rPr>
                <w:rFonts w:hint="eastAsia"/>
                <w:color w:val="auto"/>
                <w:sz w:val="24"/>
                <w:lang w:val="en-US" w:eastAsia="zh-CN"/>
              </w:rPr>
              <w:t>18173635849</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建设地点</w:t>
            </w:r>
          </w:p>
        </w:tc>
        <w:tc>
          <w:tcPr>
            <w:tcW w:w="3989" w:type="pct"/>
            <w:gridSpan w:val="3"/>
            <w:vAlign w:val="center"/>
          </w:tcPr>
          <w:p>
            <w:pPr>
              <w:adjustRightInd w:val="0"/>
              <w:snapToGrid w:val="0"/>
              <w:jc w:val="center"/>
              <w:rPr>
                <w:rFonts w:eastAsia="宋体" w:hint="eastAsia"/>
                <w:color w:val="auto"/>
                <w:sz w:val="24"/>
                <w:lang w:eastAsia="zh-CN"/>
              </w:rPr>
            </w:pPr>
            <w:r>
              <w:rPr>
                <w:rFonts w:hint="eastAsia"/>
                <w:bCs/>
                <w:color w:val="auto"/>
                <w:sz w:val="24"/>
                <w:szCs w:val="21"/>
                <w:lang w:eastAsia="zh-CN"/>
              </w:rPr>
              <w:t>桃源高新区技术产业开发区</w:t>
            </w:r>
            <w:r>
              <w:rPr>
                <w:rFonts w:hint="eastAsia"/>
                <w:color w:val="auto"/>
                <w:sz w:val="24"/>
                <w:lang w:eastAsia="zh-CN"/>
              </w:rPr>
              <w:t>湖南宝特瑞能新能源有限责任公司，标准化厂房第三栋第1层</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地理坐标</w:t>
            </w:r>
          </w:p>
        </w:tc>
        <w:tc>
          <w:tcPr>
            <w:tcW w:w="3989" w:type="pct"/>
            <w:gridSpan w:val="3"/>
            <w:vAlign w:val="center"/>
          </w:tcPr>
          <w:p>
            <w:pPr>
              <w:jc w:val="center"/>
              <w:rPr>
                <w:rFonts w:eastAsia="宋体" w:hint="eastAsia"/>
                <w:color w:val="auto"/>
                <w:lang w:eastAsia="zh-CN"/>
              </w:rPr>
            </w:pPr>
            <w:r>
              <w:rPr>
                <w:rFonts w:hint="eastAsia"/>
                <w:color w:val="auto"/>
                <w:sz w:val="24"/>
                <w:szCs w:val="24"/>
                <w:lang w:eastAsia="zh-CN"/>
              </w:rPr>
              <w:t>111°29'16.346"</w:t>
            </w:r>
            <w:r>
              <w:rPr>
                <w:rFonts w:hint="eastAsia"/>
                <w:color w:val="auto"/>
                <w:sz w:val="24"/>
                <w:szCs w:val="24"/>
              </w:rPr>
              <w:t>,</w:t>
            </w:r>
            <w:r>
              <w:rPr>
                <w:rFonts w:hint="eastAsia"/>
                <w:color w:val="auto"/>
                <w:sz w:val="24"/>
                <w:szCs w:val="24"/>
                <w:lang w:eastAsia="zh-CN"/>
              </w:rPr>
              <w:t>28°56'23.672"</w:t>
            </w:r>
          </w:p>
        </w:tc>
      </w:tr>
      <w:tr>
        <w:trPr>
          <w:trHeight w:val="454"/>
        </w:trPr>
        <w:tc>
          <w:tcPr>
            <w:tcW w:w="1010" w:type="pct"/>
            <w:gridSpan w:val="3"/>
            <w:tcMar>
              <w:top w:w="16" w:type="dxa"/>
              <w:left w:w="16" w:type="dxa"/>
              <w:right w:w="16" w:type="dxa"/>
            </w:tcMar>
            <w:vAlign w:val="center"/>
          </w:tcPr>
          <w:p>
            <w:pPr>
              <w:adjustRightInd w:val="0"/>
              <w:snapToGrid w:val="0"/>
              <w:jc w:val="center"/>
              <w:rPr>
                <w:rFonts w:ascii="Times New Roman" w:eastAsia="宋体" w:cs="Times New Roman" w:hAnsi="Times New Roman" w:hint="eastAsia"/>
                <w:color w:val="auto"/>
                <w:sz w:val="24"/>
              </w:rPr>
            </w:pPr>
            <w:r>
              <w:rPr>
                <w:rFonts w:ascii="Times New Roman" w:eastAsia="宋体" w:cs="Times New Roman" w:hAnsi="Times New Roman" w:hint="eastAsia"/>
                <w:color w:val="auto"/>
                <w:sz w:val="24"/>
              </w:rPr>
              <w:t>国民经济</w:t>
            </w:r>
          </w:p>
          <w:p>
            <w:pPr>
              <w:adjustRightInd w:val="0"/>
              <w:snapToGrid w:val="0"/>
              <w:jc w:val="center"/>
              <w:rPr>
                <w:rFonts w:ascii="Times New Roman" w:eastAsia="宋体" w:cs="Times New Roman" w:hAnsi="Times New Roman" w:hint="eastAsia"/>
                <w:color w:val="auto"/>
                <w:sz w:val="24"/>
              </w:rPr>
            </w:pPr>
            <w:r>
              <w:rPr>
                <w:rFonts w:ascii="Times New Roman" w:eastAsia="宋体" w:cs="Times New Roman" w:hAnsi="Times New Roman" w:hint="eastAsia"/>
                <w:color w:val="auto"/>
                <w:sz w:val="24"/>
              </w:rPr>
              <w:t>行业类别</w:t>
            </w:r>
          </w:p>
        </w:tc>
        <w:tc>
          <w:tcPr>
            <w:tcW w:w="1143" w:type="pct"/>
            <w:vAlign w:val="center"/>
          </w:tcPr>
          <w:p>
            <w:pPr>
              <w:adjustRightInd w:val="0"/>
              <w:snapToGrid w:val="0"/>
              <w:jc w:val="center"/>
              <w:rPr>
                <w:rFonts w:ascii="Times New Roman" w:eastAsia="宋体" w:cs="Times New Roman" w:hAnsi="Times New Roman" w:hint="eastAsia"/>
                <w:color w:val="auto"/>
                <w:sz w:val="24"/>
              </w:rPr>
            </w:pPr>
            <w:r>
              <w:rPr>
                <w:rFonts w:cs="宋体" w:hint="eastAsia"/>
                <w:color w:val="auto"/>
                <w:sz w:val="24"/>
              </w:rPr>
              <w:t>C1331 食用植物油加工</w:t>
            </w:r>
          </w:p>
        </w:tc>
        <w:tc>
          <w:tcPr>
            <w:tcW w:w="967" w:type="pct"/>
            <w:vAlign w:val="center"/>
          </w:tcPr>
          <w:p>
            <w:pPr>
              <w:adjustRightInd w:val="0"/>
              <w:snapToGrid w:val="0"/>
              <w:jc w:val="center"/>
              <w:rPr>
                <w:rFonts w:ascii="Times New Roman" w:eastAsia="宋体" w:cs="Times New Roman" w:hAnsi="Times New Roman" w:hint="eastAsia"/>
                <w:color w:val="auto"/>
                <w:sz w:val="24"/>
              </w:rPr>
            </w:pPr>
            <w:bookmarkStart w:id="7" w:name="_Hlk49843745"/>
            <w:r>
              <w:rPr>
                <w:rFonts w:ascii="Times New Roman" w:eastAsia="宋体" w:cs="Times New Roman" w:hAnsi="Times New Roman" w:hint="eastAsia"/>
                <w:color w:val="auto"/>
                <w:sz w:val="24"/>
              </w:rPr>
              <w:t>建设项目</w:t>
            </w:r>
          </w:p>
          <w:p>
            <w:pPr>
              <w:adjustRightInd w:val="0"/>
              <w:snapToGrid w:val="0"/>
              <w:jc w:val="center"/>
              <w:rPr>
                <w:rFonts w:ascii="Times New Roman" w:eastAsia="宋体" w:cs="Times New Roman" w:hAnsi="Times New Roman" w:hint="eastAsia"/>
                <w:color w:val="auto"/>
                <w:sz w:val="24"/>
              </w:rPr>
            </w:pPr>
            <w:r>
              <w:rPr>
                <w:rFonts w:ascii="Times New Roman" w:eastAsia="宋体" w:cs="Times New Roman" w:hAnsi="Times New Roman" w:hint="eastAsia"/>
                <w:color w:val="auto"/>
                <w:sz w:val="24"/>
              </w:rPr>
              <w:t>行业类别</w:t>
            </w:r>
            <w:bookmarkEnd w:id="7"/>
          </w:p>
        </w:tc>
        <w:tc>
          <w:tcPr>
            <w:tcW w:w="1879" w:type="pct"/>
            <w:vAlign w:val="center"/>
          </w:tcPr>
          <w:p>
            <w:pPr>
              <w:adjustRightInd w:val="0"/>
              <w:snapToGrid w:val="0"/>
              <w:jc w:val="center"/>
              <w:rPr>
                <w:rFonts w:ascii="Times New Roman" w:eastAsia="宋体" w:cs="Times New Roman" w:hAnsi="Times New Roman"/>
                <w:color w:val="auto"/>
                <w:sz w:val="24"/>
                <w:lang w:val="en-US" w:eastAsia="zh-CN"/>
              </w:rPr>
            </w:pPr>
            <w:r>
              <w:rPr>
                <w:rFonts w:ascii="Times New Roman" w:eastAsia="宋体" w:cs="Times New Roman" w:hAnsi="Times New Roman"/>
                <w:color w:val="auto"/>
                <w:sz w:val="24"/>
                <w:lang w:val="en-US" w:eastAsia="zh-CN"/>
              </w:rPr>
              <w:t>十、农副食品加工业 16“植物油加工133—除单纯分装、调和外的”</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建设性质</w:t>
            </w:r>
          </w:p>
        </w:tc>
        <w:tc>
          <w:tcPr>
            <w:tcW w:w="1143" w:type="pct"/>
            <w:vAlign w:val="center"/>
          </w:tcPr>
          <w:p>
            <w:pPr>
              <w:jc w:val="left"/>
              <w:rPr>
                <w:rFonts w:hint="eastAsia"/>
                <w:color w:val="auto"/>
                <w:sz w:val="24"/>
              </w:rPr>
            </w:pPr>
            <w:r>
              <w:rPr>
                <w:rFonts w:hint="eastAsia"/>
                <w:color w:val="auto"/>
                <w:sz w:val="24"/>
              </w:rPr>
              <w:sym w:font="Wingdings 2" w:char="52"/>
            </w:r>
            <w:r>
              <w:rPr>
                <w:rFonts w:hint="eastAsia"/>
                <w:color w:val="auto"/>
                <w:sz w:val="24"/>
              </w:rPr>
              <w:t>新建（迁建）</w:t>
            </w:r>
          </w:p>
          <w:p>
            <w:pPr>
              <w:jc w:val="left"/>
              <w:rPr>
                <w:rFonts w:hint="eastAsia"/>
                <w:color w:val="auto"/>
                <w:sz w:val="24"/>
              </w:rPr>
            </w:pPr>
            <w:r>
              <w:rPr>
                <w:rFonts w:hint="eastAsia"/>
                <w:color w:val="auto"/>
                <w:sz w:val="24"/>
              </w:rPr>
              <w:sym w:font="Wingdings 2" w:char="A3"/>
            </w:r>
            <w:r>
              <w:rPr>
                <w:rFonts w:hint="eastAsia"/>
                <w:color w:val="auto"/>
                <w:sz w:val="24"/>
              </w:rPr>
              <w:t>改建</w:t>
            </w:r>
          </w:p>
          <w:p>
            <w:pPr>
              <w:jc w:val="left"/>
              <w:rPr>
                <w:rFonts w:hint="eastAsia"/>
                <w:color w:val="auto"/>
                <w:sz w:val="24"/>
              </w:rPr>
            </w:pPr>
            <w:r>
              <w:rPr>
                <w:rFonts w:hint="eastAsia"/>
                <w:color w:val="auto"/>
                <w:sz w:val="24"/>
              </w:rPr>
              <w:sym w:font="Wingdings 2" w:char="A3"/>
            </w:r>
            <w:r>
              <w:rPr>
                <w:rFonts w:hint="eastAsia"/>
                <w:color w:val="auto"/>
                <w:sz w:val="24"/>
              </w:rPr>
              <w:t>扩建</w:t>
            </w:r>
          </w:p>
          <w:p>
            <w:pPr>
              <w:jc w:val="left"/>
              <w:rPr>
                <w:rFonts w:hint="eastAsia"/>
                <w:color w:val="auto"/>
                <w:sz w:val="24"/>
              </w:rPr>
            </w:pPr>
            <w:r>
              <w:rPr>
                <w:rFonts w:hint="eastAsia"/>
                <w:color w:val="auto"/>
                <w:sz w:val="24"/>
              </w:rPr>
              <w:sym w:font="Wingdings 2" w:char="A3"/>
            </w:r>
            <w:r>
              <w:rPr>
                <w:rFonts w:hint="eastAsia"/>
                <w:color w:val="auto"/>
                <w:sz w:val="24"/>
              </w:rPr>
              <w:t>技术改造</w:t>
            </w:r>
          </w:p>
        </w:tc>
        <w:tc>
          <w:tcPr>
            <w:tcW w:w="967" w:type="pct"/>
            <w:vAlign w:val="center"/>
          </w:tcPr>
          <w:p>
            <w:pPr>
              <w:adjustRightInd w:val="0"/>
              <w:snapToGrid w:val="0"/>
              <w:jc w:val="center"/>
              <w:rPr>
                <w:rFonts w:hint="eastAsia"/>
                <w:color w:val="auto"/>
                <w:sz w:val="24"/>
              </w:rPr>
            </w:pPr>
            <w:r>
              <w:rPr>
                <w:rFonts w:hint="eastAsia"/>
                <w:color w:val="auto"/>
                <w:sz w:val="24"/>
              </w:rPr>
              <w:t>建设项目</w:t>
            </w:r>
          </w:p>
          <w:p>
            <w:pPr>
              <w:adjustRightInd w:val="0"/>
              <w:snapToGrid w:val="0"/>
              <w:jc w:val="center"/>
              <w:rPr>
                <w:rFonts w:hint="eastAsia"/>
                <w:color w:val="auto"/>
                <w:sz w:val="24"/>
              </w:rPr>
            </w:pPr>
            <w:r>
              <w:rPr>
                <w:rFonts w:hint="eastAsia"/>
                <w:color w:val="auto"/>
                <w:sz w:val="24"/>
              </w:rPr>
              <w:t>申报情形</w:t>
            </w:r>
          </w:p>
        </w:tc>
        <w:tc>
          <w:tcPr>
            <w:tcW w:w="1879" w:type="pct"/>
            <w:vAlign w:val="center"/>
          </w:tcPr>
          <w:p>
            <w:pPr>
              <w:jc w:val="left"/>
              <w:rPr>
                <w:rFonts w:hint="eastAsia"/>
                <w:color w:val="auto"/>
                <w:sz w:val="24"/>
              </w:rPr>
            </w:pPr>
            <w:r>
              <w:rPr>
                <w:rFonts w:hint="eastAsia"/>
                <w:color w:val="auto"/>
                <w:sz w:val="24"/>
              </w:rPr>
              <w:sym w:font="Wingdings 2" w:char="52"/>
            </w:r>
            <w:r>
              <w:rPr>
                <w:rFonts w:hint="eastAsia"/>
                <w:color w:val="auto"/>
                <w:sz w:val="24"/>
              </w:rPr>
              <w:t>首次申报项目</w:t>
            </w:r>
          </w:p>
          <w:p>
            <w:pPr>
              <w:jc w:val="left"/>
              <w:rPr>
                <w:rFonts w:hint="eastAsia"/>
                <w:color w:val="auto"/>
                <w:sz w:val="24"/>
              </w:rPr>
            </w:pPr>
            <w:r>
              <w:rPr>
                <w:rFonts w:hint="eastAsia"/>
                <w:color w:val="auto"/>
                <w:sz w:val="24"/>
              </w:rPr>
              <w:sym w:font="Wingdings 2" w:char="A3"/>
            </w:r>
            <w:r>
              <w:rPr>
                <w:rFonts w:hint="eastAsia"/>
                <w:color w:val="auto"/>
                <w:sz w:val="24"/>
              </w:rPr>
              <w:t>不予批准后再次申报项目</w:t>
            </w:r>
          </w:p>
          <w:p>
            <w:pPr>
              <w:jc w:val="left"/>
              <w:rPr>
                <w:rFonts w:hint="eastAsia"/>
                <w:color w:val="auto"/>
                <w:sz w:val="24"/>
              </w:rPr>
            </w:pPr>
            <w:r>
              <w:rPr>
                <w:rFonts w:hint="eastAsia"/>
                <w:color w:val="auto"/>
                <w:sz w:val="24"/>
              </w:rPr>
              <w:sym w:font="Wingdings 2" w:char="A3"/>
            </w:r>
            <w:r>
              <w:rPr>
                <w:rFonts w:hint="eastAsia"/>
                <w:color w:val="auto"/>
                <w:sz w:val="24"/>
              </w:rPr>
              <w:t>超五年重新审核项目</w:t>
            </w:r>
          </w:p>
          <w:p>
            <w:pPr>
              <w:jc w:val="left"/>
              <w:rPr>
                <w:rFonts w:hint="eastAsia"/>
                <w:color w:val="auto"/>
                <w:sz w:val="24"/>
              </w:rPr>
            </w:pPr>
            <w:r>
              <w:rPr>
                <w:rFonts w:hint="eastAsia"/>
                <w:color w:val="auto"/>
                <w:sz w:val="24"/>
              </w:rPr>
              <w:sym w:font="Wingdings 2" w:char="A3"/>
            </w:r>
            <w:r>
              <w:rPr>
                <w:rFonts w:hint="eastAsia"/>
                <w:color w:val="auto"/>
                <w:sz w:val="24"/>
              </w:rPr>
              <w:t>重大变动重新报批项目</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项目审批（核准/</w:t>
            </w:r>
          </w:p>
          <w:p>
            <w:pPr>
              <w:adjustRightInd w:val="0"/>
              <w:snapToGrid w:val="0"/>
              <w:jc w:val="center"/>
              <w:rPr>
                <w:rFonts w:hint="eastAsia"/>
                <w:color w:val="auto"/>
                <w:sz w:val="24"/>
              </w:rPr>
            </w:pPr>
            <w:r>
              <w:rPr>
                <w:rFonts w:hint="eastAsia"/>
                <w:color w:val="auto"/>
                <w:sz w:val="24"/>
              </w:rPr>
              <w:t>备案）部门</w:t>
            </w:r>
          </w:p>
        </w:tc>
        <w:tc>
          <w:tcPr>
            <w:tcW w:w="1143" w:type="pct"/>
            <w:vAlign w:val="center"/>
          </w:tcPr>
          <w:p>
            <w:pPr>
              <w:adjustRightInd w:val="0"/>
              <w:snapToGrid w:val="0"/>
              <w:jc w:val="center"/>
              <w:rPr>
                <w:rFonts w:eastAsia="宋体" w:hint="eastAsia"/>
                <w:color w:val="auto"/>
                <w:sz w:val="24"/>
                <w:lang w:eastAsia="zh-CN"/>
              </w:rPr>
            </w:pPr>
            <w:r>
              <w:rPr>
                <w:rFonts w:hint="eastAsia"/>
                <w:color w:val="auto"/>
                <w:sz w:val="24"/>
                <w:lang w:val="en-US" w:eastAsia="zh-CN"/>
              </w:rPr>
              <w:t>桃源县高新技术产业开发区</w:t>
            </w:r>
          </w:p>
        </w:tc>
        <w:tc>
          <w:tcPr>
            <w:tcW w:w="967" w:type="pct"/>
            <w:vAlign w:val="center"/>
          </w:tcPr>
          <w:p>
            <w:pPr>
              <w:adjustRightInd w:val="0"/>
              <w:snapToGrid w:val="0"/>
              <w:jc w:val="center"/>
              <w:rPr>
                <w:rFonts w:hint="eastAsia"/>
                <w:color w:val="auto"/>
                <w:sz w:val="24"/>
              </w:rPr>
            </w:pPr>
            <w:r>
              <w:rPr>
                <w:rFonts w:hint="eastAsia"/>
                <w:color w:val="auto"/>
                <w:sz w:val="24"/>
              </w:rPr>
              <w:t>项目审批（核准/</w:t>
            </w:r>
          </w:p>
          <w:p>
            <w:pPr>
              <w:adjustRightInd w:val="0"/>
              <w:snapToGrid w:val="0"/>
              <w:jc w:val="center"/>
              <w:rPr>
                <w:rFonts w:hint="eastAsia"/>
                <w:color w:val="auto"/>
                <w:sz w:val="24"/>
              </w:rPr>
            </w:pPr>
            <w:r>
              <w:rPr>
                <w:rFonts w:hint="eastAsia"/>
                <w:color w:val="auto"/>
                <w:sz w:val="24"/>
              </w:rPr>
              <w:t>备案）文号</w:t>
            </w:r>
          </w:p>
        </w:tc>
        <w:tc>
          <w:tcPr>
            <w:tcW w:w="1879" w:type="pct"/>
            <w:vAlign w:val="center"/>
          </w:tcPr>
          <w:p>
            <w:pPr>
              <w:adjustRightInd w:val="0"/>
              <w:snapToGrid w:val="0"/>
              <w:jc w:val="center"/>
              <w:rPr>
                <w:rFonts w:eastAsia="宋体"/>
                <w:color w:val="auto"/>
                <w:sz w:val="24"/>
                <w:lang w:val="en-US" w:eastAsia="zh-CN"/>
              </w:rPr>
            </w:pPr>
            <w:r>
              <w:rPr>
                <w:rFonts w:hint="eastAsia"/>
                <w:color w:val="auto"/>
                <w:sz w:val="24"/>
                <w:lang w:val="en-US" w:eastAsia="zh-CN"/>
              </w:rPr>
              <w:t>桃高区发改投〔2025〕94号</w:t>
            </w:r>
          </w:p>
        </w:tc>
      </w:tr>
      <w:tr>
        <w:trPr>
          <w:trHeight w:val="613"/>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总投资（万元）</w:t>
            </w:r>
          </w:p>
        </w:tc>
        <w:tc>
          <w:tcPr>
            <w:tcW w:w="1143" w:type="pct"/>
            <w:vAlign w:val="center"/>
          </w:tcPr>
          <w:p>
            <w:pPr>
              <w:adjustRightInd w:val="0"/>
              <w:snapToGrid w:val="0"/>
              <w:jc w:val="center"/>
              <w:rPr>
                <w:rFonts w:eastAsia="宋体"/>
                <w:color w:val="auto"/>
                <w:sz w:val="24"/>
                <w:lang w:val="en-US" w:eastAsia="zh-CN"/>
              </w:rPr>
            </w:pPr>
            <w:r>
              <w:rPr>
                <w:rFonts w:hint="eastAsia"/>
                <w:color w:val="auto"/>
                <w:sz w:val="24"/>
                <w:lang w:val="en-US" w:eastAsia="zh-CN"/>
              </w:rPr>
              <w:t>100</w:t>
            </w:r>
          </w:p>
        </w:tc>
        <w:tc>
          <w:tcPr>
            <w:tcW w:w="967" w:type="pct"/>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环保投资（万元）</w:t>
            </w:r>
          </w:p>
        </w:tc>
        <w:tc>
          <w:tcPr>
            <w:tcW w:w="1879" w:type="pct"/>
            <w:vAlign w:val="center"/>
          </w:tcPr>
          <w:p>
            <w:pPr>
              <w:adjustRightInd w:val="0"/>
              <w:snapToGrid w:val="0"/>
              <w:jc w:val="center"/>
              <w:rPr>
                <w:rFonts w:eastAsia="宋体"/>
                <w:color w:val="auto"/>
                <w:sz w:val="24"/>
                <w:lang w:val="en-US" w:eastAsia="zh-CN"/>
              </w:rPr>
            </w:pPr>
            <w:r>
              <w:rPr>
                <w:rFonts w:hint="eastAsia"/>
                <w:color w:val="auto"/>
                <w:sz w:val="24"/>
                <w:lang w:val="en-US" w:eastAsia="zh-CN"/>
              </w:rPr>
              <w:t>15</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环保投资占比（%）</w:t>
            </w:r>
          </w:p>
        </w:tc>
        <w:tc>
          <w:tcPr>
            <w:tcW w:w="1143" w:type="pct"/>
            <w:vAlign w:val="center"/>
          </w:tcPr>
          <w:p>
            <w:pPr>
              <w:adjustRightInd w:val="0"/>
              <w:snapToGrid w:val="0"/>
              <w:jc w:val="center"/>
              <w:rPr>
                <w:rFonts w:eastAsia="宋体"/>
                <w:color w:val="auto"/>
                <w:sz w:val="24"/>
                <w:lang w:val="en-US" w:eastAsia="zh-CN"/>
              </w:rPr>
            </w:pPr>
            <w:r>
              <w:rPr>
                <w:rFonts w:hint="eastAsia"/>
                <w:color w:val="auto"/>
                <w:sz w:val="24"/>
                <w:lang w:val="en-US" w:eastAsia="zh-CN"/>
              </w:rPr>
              <w:t>15</w:t>
            </w:r>
          </w:p>
        </w:tc>
        <w:tc>
          <w:tcPr>
            <w:tcW w:w="967" w:type="pct"/>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施工工期</w:t>
            </w:r>
          </w:p>
        </w:tc>
        <w:tc>
          <w:tcPr>
            <w:tcW w:w="1879" w:type="pct"/>
            <w:vAlign w:val="center"/>
          </w:tcPr>
          <w:p>
            <w:pPr>
              <w:adjustRightInd w:val="0"/>
              <w:snapToGrid w:val="0"/>
              <w:jc w:val="center"/>
              <w:rPr>
                <w:rFonts w:eastAsia="宋体" w:hint="eastAsia"/>
                <w:color w:val="auto"/>
                <w:sz w:val="24"/>
                <w:lang w:eastAsia="zh-CN"/>
              </w:rPr>
            </w:pPr>
            <w:r>
              <w:rPr>
                <w:rFonts w:hint="eastAsia"/>
                <w:color w:val="auto"/>
                <w:sz w:val="24"/>
                <w:lang w:val="en-US" w:eastAsia="zh-CN"/>
              </w:rPr>
              <w:t>5个月</w:t>
            </w:r>
          </w:p>
        </w:tc>
      </w:tr>
      <w:tr>
        <w:trPr>
          <w:trHeight w:val="454"/>
        </w:trPr>
        <w:tc>
          <w:tcPr>
            <w:tcW w:w="1010" w:type="pct"/>
            <w:gridSpan w:val="3"/>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是否开工建设</w:t>
            </w:r>
          </w:p>
        </w:tc>
        <w:tc>
          <w:tcPr>
            <w:tcW w:w="1143" w:type="pct"/>
            <w:vAlign w:val="center"/>
          </w:tcPr>
          <w:p>
            <w:pPr>
              <w:adjustRightInd w:val="0"/>
              <w:snapToGrid w:val="0"/>
              <w:rPr>
                <w:rFonts w:hint="eastAsia"/>
                <w:color w:val="auto"/>
                <w:sz w:val="24"/>
              </w:rPr>
            </w:pPr>
            <w:r>
              <w:rPr>
                <w:rFonts w:hint="eastAsia"/>
                <w:color w:val="auto"/>
                <w:sz w:val="24"/>
              </w:rPr>
              <w:sym w:font="Wingdings 2" w:char="52"/>
            </w:r>
            <w:r>
              <w:rPr>
                <w:rFonts w:hint="eastAsia"/>
                <w:color w:val="auto"/>
                <w:sz w:val="24"/>
              </w:rPr>
              <w:t>否</w:t>
            </w:r>
          </w:p>
          <w:p>
            <w:pPr>
              <w:adjustRightInd w:val="0"/>
              <w:snapToGrid w:val="0"/>
              <w:rPr>
                <w:rFonts w:hint="eastAsia"/>
                <w:color w:val="auto"/>
                <w:sz w:val="24"/>
              </w:rPr>
            </w:pPr>
            <w:r>
              <w:rPr>
                <w:rFonts w:hint="eastAsia"/>
                <w:color w:val="auto"/>
                <w:sz w:val="24"/>
              </w:rPr>
              <w:sym w:font="Wingdings 2" w:char="A3"/>
            </w:r>
            <w:r>
              <w:rPr>
                <w:rFonts w:hint="eastAsia"/>
                <w:color w:val="auto"/>
                <w:sz w:val="24"/>
              </w:rPr>
              <w:t>是：</w:t>
            </w:r>
            <w:r>
              <w:rPr>
                <w:rFonts w:hint="eastAsia"/>
                <w:color w:val="auto"/>
                <w:sz w:val="24"/>
                <w:u w:val="single"/>
              </w:rPr>
              <w:t xml:space="preserve">     </w:t>
            </w:r>
          </w:p>
        </w:tc>
        <w:tc>
          <w:tcPr>
            <w:tcW w:w="967" w:type="pct"/>
            <w:tcMar>
              <w:top w:w="16" w:type="dxa"/>
              <w:left w:w="16" w:type="dxa"/>
              <w:right w:w="16" w:type="dxa"/>
            </w:tcMar>
            <w:vAlign w:val="center"/>
          </w:tcPr>
          <w:p>
            <w:pPr>
              <w:adjustRightInd w:val="0"/>
              <w:snapToGrid w:val="0"/>
              <w:jc w:val="center"/>
              <w:rPr>
                <w:rFonts w:hint="eastAsia"/>
                <w:color w:val="auto"/>
                <w:sz w:val="24"/>
              </w:rPr>
            </w:pPr>
            <w:r>
              <w:rPr>
                <w:rFonts w:hint="eastAsia"/>
                <w:color w:val="auto"/>
                <w:spacing w:val="-6"/>
                <w:sz w:val="24"/>
              </w:rPr>
              <w:t>用地面积（m</w:t>
            </w:r>
            <w:r>
              <w:rPr>
                <w:rFonts w:hint="eastAsia"/>
                <w:color w:val="auto"/>
                <w:spacing w:val="-6"/>
                <w:sz w:val="24"/>
                <w:vertAlign w:val="superscript"/>
              </w:rPr>
              <w:t>2</w:t>
            </w:r>
            <w:r>
              <w:rPr>
                <w:rFonts w:hint="eastAsia"/>
                <w:color w:val="auto"/>
                <w:spacing w:val="-6"/>
                <w:sz w:val="24"/>
              </w:rPr>
              <w:t>）</w:t>
            </w:r>
          </w:p>
        </w:tc>
        <w:tc>
          <w:tcPr>
            <w:tcW w:w="1879" w:type="pct"/>
            <w:vAlign w:val="center"/>
          </w:tcPr>
          <w:p>
            <w:pPr>
              <w:adjustRightInd w:val="0"/>
              <w:snapToGrid w:val="0"/>
              <w:jc w:val="center"/>
              <w:rPr>
                <w:color w:val="auto"/>
                <w:sz w:val="24"/>
                <w:lang w:val="en-US"/>
              </w:rPr>
            </w:pPr>
            <w:r>
              <w:rPr>
                <w:rFonts w:hint="eastAsia"/>
                <w:color w:val="auto"/>
                <w:sz w:val="24"/>
                <w:lang w:val="en-US" w:eastAsia="zh-CN"/>
              </w:rPr>
              <w:t>2280</w:t>
            </w:r>
          </w:p>
        </w:tc>
      </w:tr>
      <w:tr>
        <w:trPr>
          <w:trHeight w:val="454"/>
        </w:trPr>
        <w:tc>
          <w:tcPr>
            <w:tcW w:w="544" w:type="pct"/>
            <w:gridSpan w:val="2"/>
            <w:tcMar>
              <w:left w:w="108" w:type="dxa"/>
            </w:tcMar>
            <w:vAlign w:val="center"/>
          </w:tcPr>
          <w:p>
            <w:pPr>
              <w:autoSpaceDE w:val="0"/>
              <w:autoSpaceDN w:val="0"/>
              <w:adjustRightInd w:val="0"/>
              <w:snapToGrid w:val="0"/>
              <w:jc w:val="center"/>
              <w:rPr>
                <w:rFonts w:hint="eastAsia"/>
                <w:color w:val="auto"/>
                <w:kern w:val="0"/>
                <w:sz w:val="24"/>
              </w:rPr>
            </w:pPr>
            <w:r>
              <w:rPr>
                <w:rFonts w:hint="eastAsia"/>
                <w:color w:val="auto"/>
                <w:kern w:val="0"/>
                <w:sz w:val="24"/>
              </w:rPr>
              <w:t>专项评价设置情况</w:t>
            </w:r>
          </w:p>
        </w:tc>
        <w:tc>
          <w:tcPr>
            <w:tcW w:w="4455" w:type="pct"/>
            <w:gridSpan w:val="4"/>
            <w:tcMar>
              <w:left w:w="108" w:type="dxa"/>
            </w:tcMar>
            <w:vAlign w:val="center"/>
          </w:tcPr>
          <w:p>
            <w:pPr>
              <w:autoSpaceDE w:val="0"/>
              <w:autoSpaceDN w:val="0"/>
              <w:spacing w:line="360" w:lineRule="auto"/>
              <w:ind w:firstLineChars="200" w:firstLine="480"/>
              <w:rPr>
                <w:rFonts w:ascii="Times New Roman" w:hAnsi="Times New Roman" w:hint="eastAsia"/>
                <w:color w:val="auto"/>
                <w:kern w:val="0"/>
                <w:sz w:val="24"/>
              </w:rPr>
            </w:pPr>
            <w:r>
              <w:rPr>
                <w:rFonts w:ascii="Times New Roman" w:hAnsi="Times New Roman" w:hint="eastAsia"/>
                <w:color w:val="auto"/>
                <w:kern w:val="0"/>
                <w:sz w:val="24"/>
              </w:rPr>
              <w:t>项目专项情况说明如下表所示：</w:t>
            </w:r>
          </w:p>
          <w:p>
            <w:pPr>
              <w:pStyle w:val="36"/>
              <w:spacing w:beforeLines="50" w:before="120" w:line="360" w:lineRule="auto"/>
              <w:jc w:val="center"/>
              <w:rPr>
                <w:rFonts w:ascii="Times New Roman" w:eastAsia="宋体" w:cs="Times New Roman" w:hAnsi="Times New Roman" w:hint="eastAsia"/>
                <w:b/>
                <w:bCs/>
                <w:color w:val="auto"/>
                <w:sz w:val="21"/>
                <w:szCs w:val="21"/>
              </w:rPr>
            </w:pPr>
            <w:r>
              <w:rPr>
                <w:rFonts w:ascii="Times New Roman" w:eastAsia="宋体" w:cs="Times New Roman" w:hAnsi="Times New Roman" w:hint="eastAsia"/>
                <w:b/>
                <w:bCs/>
                <w:color w:val="auto"/>
                <w:sz w:val="21"/>
                <w:szCs w:val="21"/>
              </w:rPr>
              <w:t>表1-1  专项评价设置原则表及本项目对比说明表</w:t>
            </w:r>
          </w:p>
          <w:tbl>
            <w:tblPr>
              <w:tblpPr w:leftFromText="180" w:rightFromText="180" w:vertAnchor="text" w:horzAnchor="page" w:tblpXSpec="center" w:tblpY="10"/>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921"/>
              <w:gridCol w:w="3078"/>
              <w:gridCol w:w="2991"/>
              <w:gridCol w:w="1199"/>
            </w:tblGrid>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b/>
                      <w:bCs/>
                      <w:color w:val="auto"/>
                      <w:szCs w:val="21"/>
                    </w:rPr>
                  </w:pPr>
                  <w:r>
                    <w:rPr>
                      <w:rFonts w:ascii="Times New Roman" w:eastAsia="宋体" w:cs="Times New Roman" w:hAnsi="Times New Roman" w:hint="eastAsia"/>
                      <w:b/>
                      <w:bCs/>
                      <w:color w:val="auto"/>
                      <w:szCs w:val="21"/>
                    </w:rPr>
                    <w:t>专项设置类别</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b/>
                      <w:bCs/>
                      <w:color w:val="auto"/>
                      <w:szCs w:val="21"/>
                    </w:rPr>
                  </w:pPr>
                  <w:r>
                    <w:rPr>
                      <w:rFonts w:ascii="Times New Roman" w:eastAsia="宋体" w:cs="Times New Roman" w:hAnsi="Times New Roman"/>
                      <w:b/>
                      <w:bCs/>
                      <w:color w:val="auto"/>
                      <w:szCs w:val="21"/>
                    </w:rPr>
                    <w:t>设置原则</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b/>
                      <w:bCs/>
                      <w:color w:val="auto"/>
                      <w:szCs w:val="21"/>
                    </w:rPr>
                  </w:pPr>
                  <w:r>
                    <w:rPr>
                      <w:rFonts w:ascii="Times New Roman" w:eastAsia="宋体" w:cs="Times New Roman" w:hAnsi="Times New Roman" w:hint="eastAsia"/>
                      <w:b/>
                      <w:bCs/>
                      <w:color w:val="auto"/>
                      <w:szCs w:val="21"/>
                    </w:rPr>
                    <w:t>本项目情况</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b/>
                      <w:bCs/>
                      <w:color w:val="auto"/>
                      <w:szCs w:val="21"/>
                    </w:rPr>
                  </w:pPr>
                  <w:r>
                    <w:rPr>
                      <w:rFonts w:ascii="Times New Roman" w:eastAsia="宋体" w:cs="Times New Roman" w:hAnsi="Times New Roman" w:hint="eastAsia"/>
                      <w:b/>
                      <w:bCs/>
                      <w:color w:val="auto"/>
                      <w:szCs w:val="21"/>
                    </w:rPr>
                    <w:t>是否需要</w:t>
                  </w:r>
                  <w:r>
                    <w:rPr>
                      <w:rFonts w:cs="Times New Roman" w:hint="eastAsia"/>
                      <w:b/>
                      <w:bCs/>
                      <w:color w:val="auto"/>
                      <w:szCs w:val="21"/>
                      <w:lang w:eastAsia="zh-CN"/>
                    </w:rPr>
                    <w:t>展开</w:t>
                  </w:r>
                  <w:r>
                    <w:rPr>
                      <w:rFonts w:ascii="Times New Roman" w:eastAsia="宋体" w:cs="Times New Roman" w:hAnsi="Times New Roman" w:hint="eastAsia"/>
                      <w:b/>
                      <w:bCs/>
                      <w:color w:val="auto"/>
                      <w:szCs w:val="21"/>
                    </w:rPr>
                    <w:t>专项评价</w:t>
                  </w:r>
                </w:p>
              </w:tc>
            </w:tr>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大气</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排放废气含有毒有害污染物、二噁英、苯并[a]芘、氰化物、氯气且厂界外500米范围内有环境空气保护目标的建设项目</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rPr>
                    <w:t>本项目排放废气主要</w:t>
                  </w:r>
                  <w:r>
                    <w:rPr>
                      <w:rFonts w:cs="Times New Roman" w:hint="eastAsia"/>
                      <w:color w:val="auto"/>
                      <w:szCs w:val="21"/>
                      <w:lang w:val="en-US" w:eastAsia="zh-CN"/>
                    </w:rPr>
                    <w:t>不</w:t>
                  </w:r>
                  <w:r>
                    <w:rPr>
                      <w:rFonts w:ascii="Times New Roman" w:eastAsia="宋体" w:cs="Times New Roman" w:hAnsi="Times New Roman" w:hint="eastAsia"/>
                      <w:color w:val="auto"/>
                      <w:szCs w:val="21"/>
                    </w:rPr>
                    <w:t>涉及有毒有</w:t>
                  </w:r>
                  <w:r>
                    <w:rPr>
                      <w:rFonts w:cs="Times New Roman" w:hint="eastAsia"/>
                      <w:color w:val="auto"/>
                      <w:szCs w:val="21"/>
                      <w:lang w:val="en-US" w:eastAsia="zh-CN"/>
                    </w:rPr>
                    <w:t>害污染物</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rPr>
                    <w:t>否</w:t>
                  </w:r>
                </w:p>
              </w:tc>
            </w:tr>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地表水</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新增工业废水直排建设项目（槽罐车外送污水处理厂的除外）；新增废水直排的污水集中处理厂</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lang w:val="en-US"/>
                    </w:rPr>
                  </w:pPr>
                  <w:r>
                    <w:rPr>
                      <w:rFonts w:ascii="Times New Roman" w:eastAsia="宋体" w:cs="Times New Roman" w:hAnsi="Times New Roman" w:hint="eastAsia"/>
                      <w:color w:val="auto"/>
                      <w:szCs w:val="21"/>
                    </w:rPr>
                    <w:t>本项目废水经</w:t>
                  </w:r>
                  <w:r>
                    <w:rPr>
                      <w:rFonts w:cs="Times New Roman" w:hint="eastAsia"/>
                      <w:color w:val="auto"/>
                      <w:szCs w:val="21"/>
                      <w:lang w:val="en-US" w:eastAsia="zh-CN"/>
                    </w:rPr>
                    <w:t>管道进入污水处理厂处理</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hint="eastAsia"/>
                      <w:color w:val="auto"/>
                      <w:szCs w:val="21"/>
                    </w:rPr>
                  </w:pPr>
                  <w:r>
                    <w:rPr>
                      <w:rFonts w:ascii="Times New Roman" w:eastAsia="宋体" w:cs="Times New Roman" w:hAnsi="Times New Roman" w:hint="eastAsia"/>
                      <w:color w:val="auto"/>
                      <w:szCs w:val="21"/>
                    </w:rPr>
                    <w:t>否</w:t>
                  </w:r>
                </w:p>
              </w:tc>
            </w:tr>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环境风险</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有毒有害和易燃易爆危险物质储量超过临界量的建设项目</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hint="eastAsia"/>
                      <w:color w:val="auto"/>
                      <w:szCs w:val="21"/>
                    </w:rPr>
                  </w:pPr>
                  <w:r>
                    <w:rPr>
                      <w:rFonts w:ascii="Times New Roman" w:eastAsia="宋体" w:cs="Times New Roman" w:hAnsi="Times New Roman" w:hint="eastAsia"/>
                      <w:color w:val="auto"/>
                      <w:szCs w:val="21"/>
                    </w:rPr>
                    <w:t>项目主要风险物质为</w:t>
                  </w:r>
                  <w:r>
                    <w:rPr>
                      <w:rFonts w:cs="Times New Roman" w:hint="eastAsia"/>
                      <w:color w:val="auto"/>
                      <w:szCs w:val="21"/>
                      <w:lang w:val="en-US" w:eastAsia="zh-CN"/>
                    </w:rPr>
                    <w:t>燃料</w:t>
                  </w:r>
                  <w:r>
                    <w:rPr>
                      <w:rFonts w:ascii="Times New Roman" w:eastAsia="宋体" w:cs="Times New Roman" w:hAnsi="Times New Roman" w:hint="eastAsia"/>
                      <w:color w:val="auto"/>
                      <w:szCs w:val="21"/>
                      <w:lang w:val="en-US" w:eastAsia="zh-CN"/>
                    </w:rPr>
                    <w:t>、危险废物</w:t>
                  </w:r>
                  <w:r>
                    <w:rPr>
                      <w:rFonts w:ascii="Times New Roman" w:eastAsia="宋体" w:cs="Times New Roman" w:hAnsi="Times New Roman" w:hint="eastAsia"/>
                      <w:color w:val="auto"/>
                      <w:szCs w:val="21"/>
                    </w:rPr>
                    <w:t>，项目综合计算Q值&lt;1，未超过临界量</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hint="eastAsia"/>
                      <w:color w:val="auto"/>
                      <w:szCs w:val="21"/>
                    </w:rPr>
                  </w:pPr>
                  <w:r>
                    <w:rPr>
                      <w:rFonts w:ascii="Times New Roman" w:eastAsia="宋体" w:cs="Times New Roman" w:hAnsi="Times New Roman" w:hint="eastAsia"/>
                      <w:color w:val="auto"/>
                      <w:szCs w:val="21"/>
                    </w:rPr>
                    <w:t>否</w:t>
                  </w:r>
                </w:p>
              </w:tc>
            </w:tr>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color w:val="auto"/>
                      <w:szCs w:val="21"/>
                    </w:rPr>
                    <w:t>生态</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取水口下游500米范围内有重要水生生物的自然产卵场、索饵场、越冬场和洄游通道的新增河道取水的污染类建设项目</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项目取水主要为市政供水，</w:t>
                  </w:r>
                  <w:r>
                    <w:rPr>
                      <w:rFonts w:cs="Times New Roman" w:hint="eastAsia"/>
                      <w:color w:val="auto"/>
                      <w:szCs w:val="21"/>
                      <w:lang w:val="en-US" w:eastAsia="zh-CN"/>
                    </w:rPr>
                    <w:t>不</w:t>
                  </w:r>
                  <w:r>
                    <w:rPr>
                      <w:rFonts w:ascii="Times New Roman" w:eastAsia="宋体" w:cs="Times New Roman" w:hAnsi="Times New Roman" w:hint="eastAsia"/>
                      <w:color w:val="auto"/>
                      <w:szCs w:val="21"/>
                    </w:rPr>
                    <w:t>设置取水口</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color w:val="auto"/>
                      <w:szCs w:val="21"/>
                    </w:rPr>
                    <w:t>否</w:t>
                  </w:r>
                </w:p>
              </w:tc>
            </w:tr>
            <w:tr>
              <w:trPr>
                <w:trHeight w:val="340"/>
              </w:trPr>
              <w:tc>
                <w:tcPr>
                  <w:tcW w:w="56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color w:val="auto"/>
                      <w:szCs w:val="21"/>
                    </w:rPr>
                    <w:t>海洋</w:t>
                  </w:r>
                </w:p>
              </w:tc>
              <w:tc>
                <w:tcPr>
                  <w:tcW w:w="1879"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直接向海排放污染物的海洋工程建设项目</w:t>
                  </w:r>
                </w:p>
              </w:tc>
              <w:tc>
                <w:tcPr>
                  <w:tcW w:w="1826"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hint="eastAsia"/>
                      <w:color w:val="auto"/>
                      <w:szCs w:val="21"/>
                    </w:rPr>
                    <w:t>项目不属于直接向海排放污染物的海洋工程建设项目</w:t>
                  </w:r>
                </w:p>
              </w:tc>
              <w:tc>
                <w:tcPr>
                  <w:tcW w:w="732" w:type="pct"/>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宋体" w:cs="Times New Roman" w:hAnsi="Times New Roman"/>
                      <w:color w:val="auto"/>
                      <w:szCs w:val="21"/>
                    </w:rPr>
                  </w:pPr>
                  <w:r>
                    <w:rPr>
                      <w:rFonts w:ascii="Times New Roman" w:eastAsia="宋体" w:cs="Times New Roman" w:hAnsi="Times New Roman"/>
                      <w:color w:val="auto"/>
                      <w:szCs w:val="21"/>
                    </w:rPr>
                    <w:t>否</w:t>
                  </w:r>
                </w:p>
              </w:tc>
            </w:tr>
          </w:tbl>
          <w:p>
            <w:pPr>
              <w:widowControl/>
              <w:spacing w:line="360" w:lineRule="auto"/>
              <w:ind w:firstLineChars="200" w:firstLine="480"/>
              <w:rPr>
                <w:rFonts w:hint="eastAsia"/>
                <w:color w:val="auto"/>
                <w:kern w:val="0"/>
                <w:sz w:val="24"/>
              </w:rPr>
            </w:pPr>
            <w:r>
              <w:rPr>
                <w:rFonts w:hint="eastAsia"/>
                <w:color w:val="auto"/>
                <w:kern w:val="0"/>
                <w:sz w:val="24"/>
                <w:u w:val="none"/>
                <w:lang w:eastAsia="zh-CN"/>
              </w:rPr>
              <w:t>综上所述，本项目无须设置专项评价。</w:t>
            </w:r>
          </w:p>
        </w:tc>
      </w:tr>
      <w:tr>
        <w:trPr>
          <w:trHeight w:val="439"/>
        </w:trPr>
        <w:tc>
          <w:tcPr>
            <w:tcW w:w="544" w:type="pct"/>
            <w:gridSpan w:val="2"/>
            <w:tcMar>
              <w:left w:w="108" w:type="dxa"/>
            </w:tcMar>
            <w:vAlign w:val="center"/>
          </w:tcPr>
          <w:p>
            <w:pPr>
              <w:autoSpaceDE w:val="0"/>
              <w:autoSpaceDN w:val="0"/>
              <w:adjustRightInd w:val="0"/>
              <w:snapToGrid w:val="0"/>
              <w:jc w:val="center"/>
              <w:rPr>
                <w:rFonts w:hint="eastAsia"/>
                <w:color w:val="auto"/>
                <w:kern w:val="0"/>
                <w:sz w:val="24"/>
              </w:rPr>
            </w:pPr>
            <w:r>
              <w:rPr>
                <w:rFonts w:hint="eastAsia"/>
                <w:color w:val="auto"/>
                <w:sz w:val="24"/>
              </w:rPr>
              <w:t>规划情况</w:t>
            </w:r>
          </w:p>
        </w:tc>
        <w:tc>
          <w:tcPr>
            <w:tcW w:w="4455" w:type="pct"/>
            <w:gridSpan w:val="4"/>
            <w:tcMar>
              <w:left w:w="108" w:type="dxa"/>
            </w:tcMar>
            <w:vAlign w:val="center"/>
          </w:tcPr>
          <w:p>
            <w:pPr>
              <w:widowControl/>
              <w:spacing w:line="360" w:lineRule="auto"/>
              <w:ind w:firstLineChars="200" w:firstLine="480"/>
              <w:rPr>
                <w:rFonts w:eastAsia="宋体" w:hint="eastAsia"/>
                <w:color w:val="auto"/>
                <w:kern w:val="0"/>
                <w:sz w:val="24"/>
                <w:lang w:eastAsia="zh-CN"/>
              </w:rPr>
            </w:pPr>
            <w:r>
              <w:rPr>
                <w:rFonts w:hint="eastAsia"/>
                <w:color w:val="auto"/>
                <w:kern w:val="0"/>
                <w:sz w:val="24"/>
                <w:u w:val="none"/>
                <w:lang w:eastAsia="zh-CN"/>
              </w:rPr>
              <w:t>2023年3月，桃源高新区管委会重新编制《桃源高新区技术产业开发区控制性详细规划》。</w:t>
            </w:r>
          </w:p>
        </w:tc>
      </w:tr>
      <w:tr>
        <w:trPr>
          <w:trHeight w:val="531"/>
        </w:trPr>
        <w:tc>
          <w:tcPr>
            <w:tcW w:w="544" w:type="pct"/>
            <w:gridSpan w:val="2"/>
            <w:tcMar>
              <w:left w:w="108" w:type="dxa"/>
            </w:tcMar>
            <w:vAlign w:val="center"/>
          </w:tcPr>
          <w:p>
            <w:pPr>
              <w:adjustRightInd w:val="0"/>
              <w:snapToGrid w:val="0"/>
              <w:spacing w:line="360" w:lineRule="auto"/>
              <w:jc w:val="center"/>
              <w:rPr>
                <w:rFonts w:hint="eastAsia"/>
                <w:color w:val="auto"/>
                <w:kern w:val="0"/>
                <w:sz w:val="24"/>
              </w:rPr>
            </w:pPr>
            <w:r>
              <w:rPr>
                <w:rFonts w:hint="eastAsia"/>
                <w:color w:val="auto"/>
                <w:sz w:val="24"/>
              </w:rPr>
              <w:t>规划环境影响评价情况</w:t>
            </w:r>
          </w:p>
        </w:tc>
        <w:tc>
          <w:tcPr>
            <w:tcW w:w="4455" w:type="pct"/>
            <w:gridSpan w:val="4"/>
            <w:tcMar>
              <w:left w:w="108" w:type="dxa"/>
            </w:tcMar>
            <w:vAlign w:val="center"/>
          </w:tcPr>
          <w:p>
            <w:pPr>
              <w:widowControl/>
              <w:spacing w:line="360" w:lineRule="auto"/>
              <w:ind w:firstLineChars="200" w:firstLine="480"/>
              <w:rPr>
                <w:rFonts w:hint="eastAsia"/>
                <w:color w:val="auto"/>
                <w:kern w:val="0"/>
                <w:sz w:val="24"/>
                <w:lang w:eastAsia="zh-CN"/>
              </w:rPr>
            </w:pPr>
            <w:r>
              <w:rPr>
                <w:rFonts w:hint="eastAsia"/>
                <w:color w:val="auto"/>
                <w:kern w:val="0"/>
                <w:sz w:val="24"/>
                <w:u w:val="none"/>
                <w:lang w:val="en-US" w:eastAsia="zh-CN"/>
              </w:rPr>
              <w:t>2023年委托</w:t>
            </w:r>
            <w:r>
              <w:rPr>
                <w:rFonts w:hint="eastAsia"/>
                <w:color w:val="auto"/>
                <w:kern w:val="0"/>
                <w:sz w:val="24"/>
                <w:u w:val="none"/>
              </w:rPr>
              <w:t>湖南龙舞环境咨询有限公司</w:t>
            </w:r>
            <w:r>
              <w:rPr>
                <w:rFonts w:hint="eastAsia"/>
                <w:color w:val="auto"/>
                <w:kern w:val="0"/>
                <w:sz w:val="24"/>
                <w:u w:val="none"/>
                <w:lang w:val="en-US" w:eastAsia="zh-CN"/>
              </w:rPr>
              <w:t>编制</w:t>
            </w:r>
            <w:r>
              <w:rPr>
                <w:rFonts w:hint="eastAsia"/>
                <w:color w:val="auto"/>
                <w:kern w:val="0"/>
                <w:sz w:val="24"/>
                <w:u w:val="none"/>
                <w:lang w:eastAsia="zh-CN"/>
              </w:rPr>
              <w:t>《桃源高新技术产业开发区规划环境影响报告书》，</w:t>
            </w:r>
            <w:r>
              <w:rPr>
                <w:rFonts w:hint="eastAsia"/>
                <w:color w:val="auto"/>
                <w:kern w:val="0"/>
                <w:sz w:val="24"/>
                <w:u w:val="none"/>
                <w:lang w:val="en-US" w:eastAsia="zh-CN"/>
              </w:rPr>
              <w:t>2024年1月15日取得</w:t>
            </w:r>
            <w:r>
              <w:rPr>
                <w:rFonts w:hint="eastAsia"/>
                <w:color w:val="auto"/>
                <w:kern w:val="0"/>
                <w:sz w:val="24"/>
                <w:u w:val="none"/>
              </w:rPr>
              <w:t>湖南省生态环境厅关于《桃源高新技术产业开发区规划环境影响报告书》审查意见的函</w:t>
            </w:r>
            <w:r>
              <w:rPr>
                <w:rFonts w:hint="eastAsia"/>
                <w:color w:val="auto"/>
                <w:kern w:val="0"/>
                <w:sz w:val="24"/>
                <w:u w:val="none"/>
                <w:lang w:eastAsia="zh-CN"/>
              </w:rPr>
              <w:t>（湘环评函〔2024〕8号）。</w:t>
            </w:r>
          </w:p>
        </w:tc>
      </w:tr>
      <w:tr>
        <w:trPr>
          <w:trHeight w:val="755"/>
        </w:trPr>
        <w:tc>
          <w:tcPr>
            <w:tcW w:w="544" w:type="pct"/>
            <w:gridSpan w:val="2"/>
            <w:tcMar>
              <w:left w:w="108" w:type="dxa"/>
            </w:tcMar>
            <w:vAlign w:val="center"/>
          </w:tcPr>
          <w:p>
            <w:pPr>
              <w:autoSpaceDE w:val="0"/>
              <w:autoSpaceDN w:val="0"/>
              <w:adjustRightInd w:val="0"/>
              <w:snapToGrid w:val="0"/>
              <w:spacing w:line="360" w:lineRule="auto"/>
              <w:jc w:val="center"/>
              <w:rPr>
                <w:rFonts w:hint="eastAsia"/>
                <w:color w:val="FF0000"/>
                <w:kern w:val="0"/>
                <w:sz w:val="24"/>
              </w:rPr>
            </w:pPr>
            <w:r>
              <w:rPr>
                <w:rFonts w:hint="eastAsia"/>
                <w:color w:val="auto"/>
                <w:kern w:val="0"/>
                <w:sz w:val="24"/>
              </w:rPr>
              <w:t>规划及规划环境影响评价符合性分析</w:t>
            </w:r>
          </w:p>
        </w:tc>
        <w:tc>
          <w:tcPr>
            <w:tcW w:w="4455" w:type="pct"/>
            <w:gridSpan w:val="4"/>
            <w:tcMar>
              <w:left w:w="108"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Chars="200" w:firstLine="480"/>
              <w:textAlignment w:val="auto"/>
              <w:rPr>
                <w:b/>
                <w:bCs/>
                <w:color w:val="auto"/>
                <w:sz w:val="24"/>
                <w:u w:val="none"/>
              </w:rPr>
            </w:pPr>
            <w:r>
              <w:rPr>
                <w:rFonts w:hint="eastAsia"/>
                <w:b/>
                <w:bCs/>
                <w:color w:val="auto"/>
                <w:sz w:val="24"/>
                <w:u w:val="none"/>
                <w:lang w:val="en-US" w:eastAsia="zh-CN"/>
              </w:rPr>
              <w:t>（一）</w:t>
            </w:r>
            <w:r>
              <w:rPr>
                <w:b/>
                <w:bCs/>
                <w:color w:val="auto"/>
                <w:sz w:val="24"/>
                <w:u w:val="none"/>
              </w:rPr>
              <w:t>与</w:t>
            </w:r>
            <w:r>
              <w:rPr>
                <w:rFonts w:hint="eastAsia"/>
                <w:b/>
                <w:bCs/>
                <w:color w:val="auto"/>
                <w:sz w:val="24"/>
                <w:u w:val="none"/>
                <w:lang w:eastAsia="zh-CN"/>
              </w:rPr>
              <w:t>漳江工业园</w:t>
            </w:r>
            <w:r>
              <w:rPr>
                <w:b/>
                <w:bCs/>
                <w:color w:val="auto"/>
                <w:sz w:val="24"/>
                <w:u w:val="none"/>
              </w:rPr>
              <w:t>相符性分析</w:t>
            </w:r>
          </w:p>
          <w:p>
            <w:pPr>
              <w:spacing w:line="312" w:lineRule="auto"/>
              <w:ind w:firstLineChars="200" w:firstLine="480"/>
              <w:rPr>
                <w:color w:val="auto"/>
                <w:sz w:val="24"/>
                <w:u w:val="none"/>
              </w:rPr>
            </w:pPr>
            <w:r>
              <w:rPr>
                <w:rFonts w:hint="eastAsia"/>
                <w:color w:val="auto"/>
                <w:sz w:val="24"/>
                <w:u w:val="none"/>
              </w:rPr>
              <w:t>①</w:t>
            </w:r>
            <w:r>
              <w:rPr>
                <w:color w:val="auto"/>
                <w:sz w:val="24"/>
                <w:u w:val="none"/>
              </w:rPr>
              <w:t>与</w:t>
            </w:r>
            <w:r>
              <w:rPr>
                <w:rFonts w:hint="eastAsia"/>
                <w:color w:val="auto"/>
                <w:sz w:val="24"/>
                <w:u w:val="none"/>
                <w:lang w:eastAsia="zh-CN"/>
              </w:rPr>
              <w:t>漳江工业园</w:t>
            </w:r>
            <w:r>
              <w:rPr>
                <w:color w:val="auto"/>
                <w:sz w:val="24"/>
                <w:u w:val="none"/>
              </w:rPr>
              <w:t>产业定位相符性分析</w:t>
            </w:r>
          </w:p>
          <w:p>
            <w:pPr>
              <w:pStyle w:val="60"/>
              <w:spacing w:after="0" w:line="312" w:lineRule="auto"/>
              <w:ind w:firstLineChars="200" w:firstLine="480"/>
              <w:rPr>
                <w:rFonts w:hint="eastAsia"/>
                <w:color w:val="auto"/>
                <w:szCs w:val="24"/>
                <w:u w:val="none"/>
              </w:rPr>
            </w:pPr>
            <w:r>
              <w:rPr>
                <w:rFonts w:hint="eastAsia"/>
                <w:color w:val="auto"/>
                <w:szCs w:val="24"/>
                <w:u w:val="none"/>
              </w:rPr>
              <w:t>漳江片区主要规划发展电子信息及新能源产业、绿色食品加工业。</w:t>
            </w:r>
          </w:p>
          <w:p>
            <w:pPr>
              <w:pStyle w:val="60"/>
              <w:spacing w:after="0" w:line="312" w:lineRule="auto"/>
              <w:ind w:firstLineChars="200" w:firstLine="480"/>
              <w:rPr>
                <w:rFonts w:hint="eastAsia"/>
                <w:color w:val="auto"/>
                <w:szCs w:val="24"/>
                <w:u w:val="none"/>
              </w:rPr>
            </w:pPr>
            <w:r>
              <w:rPr>
                <w:rFonts w:hint="eastAsia"/>
                <w:color w:val="auto"/>
                <w:szCs w:val="24"/>
                <w:u w:val="none"/>
              </w:rPr>
              <w:t>规划充分利用延溪河的滨水生态要素，结合漳江北路构筑片区空间骨架，各功能片区与环境有机结合，形成自然、生态的组团式格局，空间结构概括为</w:t>
            </w:r>
            <w:r>
              <w:rPr>
                <w:rFonts w:hint="eastAsia"/>
                <w:color w:val="auto"/>
                <w:szCs w:val="24"/>
                <w:u w:val="none"/>
                <w:lang w:eastAsia="zh-CN"/>
              </w:rPr>
              <w:t>：</w:t>
            </w:r>
            <w:r>
              <w:rPr>
                <w:rFonts w:hint="eastAsia"/>
                <w:color w:val="auto"/>
                <w:szCs w:val="24"/>
                <w:u w:val="none"/>
              </w:rPr>
              <w:t>“一轴、一心、三区”。</w:t>
            </w:r>
          </w:p>
          <w:p>
            <w:pPr>
              <w:pStyle w:val="60"/>
              <w:spacing w:after="0" w:line="312" w:lineRule="auto"/>
              <w:ind w:firstLineChars="200" w:firstLine="480"/>
              <w:rPr>
                <w:rFonts w:hint="eastAsia"/>
                <w:color w:val="auto"/>
                <w:szCs w:val="24"/>
                <w:u w:val="none"/>
              </w:rPr>
            </w:pPr>
            <w:r>
              <w:rPr>
                <w:rFonts w:hint="eastAsia"/>
                <w:color w:val="auto"/>
                <w:szCs w:val="24"/>
                <w:u w:val="none"/>
              </w:rPr>
              <w:t>一轴：即漳江综合服务轴线。沿漳江北路布置商业、商贸、行政办公等配套服务功能。</w:t>
            </w:r>
          </w:p>
          <w:p>
            <w:pPr>
              <w:pStyle w:val="60"/>
              <w:spacing w:after="0" w:line="312" w:lineRule="auto"/>
              <w:ind w:firstLineChars="200" w:firstLine="480"/>
              <w:rPr>
                <w:rFonts w:hint="eastAsia"/>
                <w:color w:val="auto"/>
                <w:szCs w:val="24"/>
                <w:u w:val="none"/>
              </w:rPr>
            </w:pPr>
            <w:r>
              <w:rPr>
                <w:rFonts w:hint="eastAsia"/>
                <w:color w:val="auto"/>
                <w:szCs w:val="24"/>
                <w:u w:val="none"/>
              </w:rPr>
              <w:t>一心：即商业商贸中心。以大型家居装饰城、集贸市场等为依托形成集娱乐购物、餐饮、精品零售等为一体的县级商业商贸中心。</w:t>
            </w:r>
          </w:p>
          <w:p>
            <w:pPr>
              <w:pStyle w:val="60"/>
              <w:spacing w:after="0" w:line="312" w:lineRule="auto"/>
              <w:ind w:firstLineChars="200" w:firstLine="480"/>
              <w:rPr>
                <w:color w:val="auto"/>
                <w:szCs w:val="24"/>
                <w:u w:val="none"/>
              </w:rPr>
            </w:pPr>
            <w:r>
              <w:rPr>
                <w:rFonts w:hint="eastAsia"/>
                <w:color w:val="auto"/>
                <w:szCs w:val="24"/>
                <w:u w:val="none"/>
              </w:rPr>
              <w:t>三区</w:t>
            </w:r>
            <w:r>
              <w:rPr>
                <w:rFonts w:hint="eastAsia"/>
                <w:color w:val="auto"/>
                <w:szCs w:val="24"/>
                <w:u w:val="none"/>
                <w:lang w:eastAsia="zh-CN"/>
              </w:rPr>
              <w:t>：</w:t>
            </w:r>
            <w:r>
              <w:rPr>
                <w:rFonts w:hint="eastAsia"/>
                <w:color w:val="auto"/>
                <w:szCs w:val="24"/>
                <w:u w:val="none"/>
              </w:rPr>
              <w:t>即漳江西部产业区、漳江东部产业区、漳江南部综</w:t>
            </w:r>
            <w:r>
              <w:rPr>
                <w:rFonts w:hint="eastAsia"/>
                <w:color w:val="auto"/>
                <w:szCs w:val="24"/>
                <w:u w:val="none"/>
                <w:lang w:eastAsia="zh-CN"/>
              </w:rPr>
              <w:t>合区。</w:t>
            </w:r>
          </w:p>
          <w:p>
            <w:pPr>
              <w:pStyle w:val="60"/>
              <w:spacing w:after="0" w:line="312" w:lineRule="auto"/>
              <w:ind w:firstLineChars="200" w:firstLine="480"/>
              <w:rPr>
                <w:color w:val="auto"/>
                <w:szCs w:val="24"/>
                <w:u w:val="none"/>
              </w:rPr>
            </w:pPr>
            <w:r>
              <w:rPr>
                <w:color w:val="auto"/>
                <w:szCs w:val="24"/>
                <w:u w:val="none"/>
              </w:rPr>
              <w:t>本项目属于</w:t>
            </w:r>
            <w:r>
              <w:rPr>
                <w:rFonts w:cs="宋体" w:hint="eastAsia"/>
                <w:color w:val="auto"/>
                <w:sz w:val="24"/>
              </w:rPr>
              <w:t>食用植物油加工</w:t>
            </w:r>
            <w:r>
              <w:rPr>
                <w:rFonts w:cs="宋体" w:hint="eastAsia"/>
                <w:color w:val="auto"/>
                <w:sz w:val="24"/>
                <w:lang w:val="en-US" w:eastAsia="zh-CN"/>
              </w:rPr>
              <w:t>项目</w:t>
            </w:r>
            <w:r>
              <w:rPr>
                <w:color w:val="auto"/>
                <w:szCs w:val="24"/>
                <w:u w:val="none"/>
              </w:rPr>
              <w:t>，</w:t>
            </w:r>
            <w:r>
              <w:rPr>
                <w:rFonts w:hint="eastAsia"/>
                <w:color w:val="auto"/>
                <w:szCs w:val="24"/>
                <w:u w:val="none"/>
              </w:rPr>
              <w:t>主要产品为</w:t>
            </w:r>
            <w:r>
              <w:rPr>
                <w:rFonts w:hint="eastAsia"/>
                <w:color w:val="auto"/>
                <w:szCs w:val="24"/>
                <w:u w:val="none"/>
                <w:lang w:val="en-US" w:eastAsia="zh-CN"/>
              </w:rPr>
              <w:t>茶油</w:t>
            </w:r>
            <w:r>
              <w:rPr>
                <w:rFonts w:hint="eastAsia"/>
                <w:color w:val="auto"/>
                <w:szCs w:val="24"/>
                <w:u w:val="none"/>
              </w:rPr>
              <w:t>，主要工艺为</w:t>
            </w:r>
            <w:r>
              <w:rPr>
                <w:rFonts w:hint="eastAsia"/>
                <w:color w:val="auto"/>
                <w:szCs w:val="24"/>
                <w:u w:val="none"/>
                <w:lang w:val="en-US" w:eastAsia="zh-CN"/>
              </w:rPr>
              <w:t>冷榨、精炼等工艺，废气</w:t>
            </w:r>
            <w:r>
              <w:rPr>
                <w:rFonts w:hint="eastAsia"/>
                <w:color w:val="auto"/>
                <w:szCs w:val="24"/>
                <w:u w:val="none"/>
              </w:rPr>
              <w:t>达标后排放，使用能源</w:t>
            </w:r>
            <w:r>
              <w:rPr>
                <w:rFonts w:hint="eastAsia"/>
                <w:color w:val="auto"/>
                <w:szCs w:val="24"/>
                <w:u w:val="none"/>
                <w:lang w:val="en-US" w:eastAsia="zh-CN"/>
              </w:rPr>
              <w:t>为</w:t>
            </w:r>
            <w:r>
              <w:rPr>
                <w:rFonts w:hint="eastAsia"/>
                <w:color w:val="auto"/>
                <w:szCs w:val="24"/>
                <w:u w:val="none"/>
              </w:rPr>
              <w:t>电能，</w:t>
            </w:r>
            <w:r>
              <w:rPr>
                <w:color w:val="auto"/>
                <w:szCs w:val="24"/>
                <w:u w:val="none"/>
              </w:rPr>
              <w:t>符合</w:t>
            </w:r>
            <w:r>
              <w:rPr>
                <w:rFonts w:hint="eastAsia"/>
                <w:color w:val="auto"/>
                <w:szCs w:val="24"/>
                <w:u w:val="none"/>
                <w:lang w:eastAsia="zh-CN"/>
              </w:rPr>
              <w:t>漳江工业园</w:t>
            </w:r>
            <w:r>
              <w:rPr>
                <w:rFonts w:hint="eastAsia"/>
                <w:color w:val="auto"/>
                <w:szCs w:val="24"/>
                <w:u w:val="none"/>
              </w:rPr>
              <w:t>绿色食品加工业</w:t>
            </w:r>
            <w:r>
              <w:rPr>
                <w:rFonts w:hint="eastAsia"/>
                <w:color w:val="auto"/>
                <w:szCs w:val="24"/>
                <w:u w:val="none"/>
                <w:lang w:val="en-US" w:eastAsia="zh-CN"/>
              </w:rPr>
              <w:t>的主要</w:t>
            </w:r>
            <w:r>
              <w:rPr>
                <w:color w:val="auto"/>
                <w:szCs w:val="24"/>
                <w:u w:val="none"/>
              </w:rPr>
              <w:t>产业定位。</w:t>
            </w:r>
          </w:p>
          <w:p>
            <w:pPr>
              <w:pStyle w:val="60"/>
              <w:spacing w:after="0" w:line="312" w:lineRule="auto"/>
              <w:ind w:firstLineChars="200" w:firstLine="480"/>
              <w:rPr>
                <w:color w:val="auto"/>
                <w:szCs w:val="24"/>
                <w:u w:val="none"/>
              </w:rPr>
            </w:pPr>
            <w:r>
              <w:rPr>
                <w:rFonts w:hint="eastAsia"/>
                <w:color w:val="auto"/>
                <w:szCs w:val="24"/>
                <w:u w:val="none"/>
              </w:rPr>
              <w:t>②</w:t>
            </w:r>
            <w:r>
              <w:rPr>
                <w:color w:val="auto"/>
                <w:szCs w:val="24"/>
                <w:u w:val="none"/>
              </w:rPr>
              <w:t>与园区</w:t>
            </w:r>
            <w:r>
              <w:rPr>
                <w:rFonts w:hint="eastAsia"/>
                <w:color w:val="auto"/>
                <w:szCs w:val="24"/>
                <w:u w:val="none"/>
              </w:rPr>
              <w:t>环境准入行业清单</w:t>
            </w:r>
            <w:r>
              <w:rPr>
                <w:color w:val="auto"/>
                <w:szCs w:val="24"/>
                <w:u w:val="none"/>
              </w:rPr>
              <w:t>相符性分析</w:t>
            </w:r>
          </w:p>
          <w:p>
            <w:pPr>
              <w:spacing w:line="312" w:lineRule="auto"/>
              <w:ind w:firstLineChars="200" w:firstLine="480"/>
              <w:rPr>
                <w:rFonts w:hint="eastAsia"/>
                <w:color w:val="auto"/>
                <w:sz w:val="24"/>
                <w:u w:val="none"/>
              </w:rPr>
            </w:pPr>
            <w:r>
              <w:rPr>
                <w:rFonts w:hint="eastAsia"/>
                <w:color w:val="auto"/>
                <w:sz w:val="24"/>
                <w:u w:val="none"/>
              </w:rPr>
              <w:t>规划桃源高新区形成“一主（电子信息及新能源）、一特（智能制造）”的产业格局。“一主”，即以电子信息及新能源为主导产业，“一特”智能制造产业（装备制造）。集聚发展以再生铝精深加工为代表的有色金属新材料产业，以富硒农副产品加工为代表的绿色食品加工业。</w:t>
            </w:r>
          </w:p>
          <w:p>
            <w:pPr>
              <w:spacing w:line="312" w:lineRule="auto"/>
              <w:ind w:firstLineChars="200" w:firstLine="480"/>
              <w:rPr>
                <w:rFonts w:hint="eastAsia"/>
                <w:color w:val="auto"/>
                <w:sz w:val="24"/>
                <w:u w:val="none"/>
              </w:rPr>
            </w:pPr>
            <w:r>
              <w:rPr>
                <w:rFonts w:hint="eastAsia"/>
                <w:color w:val="auto"/>
                <w:sz w:val="24"/>
                <w:u w:val="none"/>
              </w:rPr>
              <w:t>园区鼓励类行业的制定以《国民经济行业分类》</w:t>
            </w:r>
            <w:r>
              <w:rPr>
                <w:rFonts w:hint="eastAsia"/>
                <w:color w:val="auto"/>
                <w:sz w:val="24"/>
                <w:u w:val="none"/>
                <w:lang w:eastAsia="zh-CN"/>
              </w:rPr>
              <w:t>（</w:t>
            </w:r>
            <w:r>
              <w:rPr>
                <w:rFonts w:hint="eastAsia"/>
                <w:color w:val="auto"/>
                <w:sz w:val="24"/>
                <w:u w:val="none"/>
              </w:rPr>
              <w:t>GB/T4754-2017</w:t>
            </w:r>
            <w:r>
              <w:rPr>
                <w:rFonts w:hint="eastAsia"/>
                <w:color w:val="auto"/>
                <w:sz w:val="24"/>
                <w:u w:val="none"/>
                <w:lang w:eastAsia="zh-CN"/>
              </w:rPr>
              <w:t>）</w:t>
            </w:r>
            <w:r>
              <w:rPr>
                <w:rFonts w:hint="eastAsia"/>
                <w:color w:val="auto"/>
                <w:sz w:val="24"/>
                <w:u w:val="none"/>
              </w:rPr>
              <w:t>为依据，参考</w:t>
            </w:r>
            <w:r>
              <w:rPr>
                <w:rFonts w:hint="eastAsia"/>
                <w:color w:val="auto"/>
                <w:sz w:val="24"/>
                <w:u w:val="none"/>
                <w:lang w:eastAsia="zh-CN"/>
              </w:rPr>
              <w:t>国家发展改革委</w:t>
            </w:r>
            <w:r>
              <w:rPr>
                <w:rFonts w:hint="eastAsia"/>
                <w:color w:val="auto"/>
                <w:sz w:val="24"/>
                <w:u w:val="none"/>
              </w:rPr>
              <w:t>《产业调整指导目录（2021修订本）》中鼓励类产业制定。</w:t>
            </w:r>
          </w:p>
          <w:p>
            <w:pPr>
              <w:spacing w:line="312" w:lineRule="auto"/>
              <w:ind w:firstLineChars="200" w:firstLine="480"/>
              <w:rPr>
                <w:rFonts w:hint="eastAsia"/>
                <w:color w:val="auto"/>
                <w:sz w:val="24"/>
                <w:u w:val="none"/>
              </w:rPr>
            </w:pPr>
            <w:r>
              <w:rPr>
                <w:rFonts w:hint="eastAsia"/>
                <w:color w:val="auto"/>
                <w:sz w:val="24"/>
                <w:u w:val="none"/>
              </w:rPr>
              <w:t>环境准入负面清单主要来源于：</w:t>
            </w:r>
          </w:p>
          <w:p>
            <w:pPr>
              <w:spacing w:line="312" w:lineRule="auto"/>
              <w:ind w:firstLineChars="200" w:firstLine="480"/>
              <w:rPr>
                <w:rFonts w:hint="eastAsia"/>
                <w:color w:val="auto"/>
                <w:sz w:val="24"/>
                <w:u w:val="none"/>
              </w:rPr>
            </w:pPr>
            <w:r>
              <w:rPr>
                <w:rFonts w:hint="eastAsia"/>
                <w:color w:val="auto"/>
                <w:sz w:val="24"/>
                <w:u w:val="none"/>
              </w:rPr>
              <w:t>1、《产业结构调整指导目录（202</w:t>
            </w:r>
            <w:r>
              <w:rPr>
                <w:rFonts w:hint="eastAsia"/>
                <w:color w:val="auto"/>
                <w:sz w:val="24"/>
                <w:u w:val="none"/>
                <w:lang w:val="en-US" w:eastAsia="zh-CN"/>
              </w:rPr>
              <w:t>4</w:t>
            </w:r>
            <w:r>
              <w:rPr>
                <w:rFonts w:hint="eastAsia"/>
                <w:color w:val="auto"/>
                <w:sz w:val="24"/>
                <w:u w:val="none"/>
              </w:rPr>
              <w:t>本）》中的禁止类。</w:t>
            </w:r>
          </w:p>
          <w:p>
            <w:pPr>
              <w:spacing w:line="312" w:lineRule="auto"/>
              <w:ind w:firstLineChars="200" w:firstLine="480"/>
              <w:rPr>
                <w:rFonts w:hint="eastAsia"/>
                <w:color w:val="auto"/>
                <w:sz w:val="24"/>
                <w:u w:val="none"/>
              </w:rPr>
            </w:pPr>
            <w:r>
              <w:rPr>
                <w:rFonts w:hint="eastAsia"/>
                <w:color w:val="auto"/>
                <w:sz w:val="24"/>
                <w:u w:val="none"/>
              </w:rPr>
              <w:t>2、《环境保护综合名录（2021年版）》中的“高污染、高环境风险”产品；</w:t>
            </w:r>
          </w:p>
          <w:p>
            <w:pPr>
              <w:spacing w:line="312" w:lineRule="auto"/>
              <w:ind w:firstLineChars="200" w:firstLine="480"/>
              <w:rPr>
                <w:rFonts w:hint="eastAsia"/>
                <w:color w:val="auto"/>
                <w:sz w:val="24"/>
                <w:u w:val="none"/>
              </w:rPr>
            </w:pPr>
            <w:r>
              <w:rPr>
                <w:rFonts w:hint="eastAsia"/>
                <w:color w:val="auto"/>
                <w:sz w:val="24"/>
                <w:u w:val="none"/>
              </w:rPr>
              <w:t>3、《湖南省“两高”项目管理名录》（湘发改环资【2021】968号）中的“高耗能、高排放”项目。</w:t>
            </w:r>
          </w:p>
          <w:p>
            <w:pPr>
              <w:spacing w:line="312" w:lineRule="auto"/>
              <w:ind w:firstLineChars="200" w:firstLine="480"/>
              <w:rPr>
                <w:rFonts w:hint="eastAsia"/>
                <w:color w:val="auto"/>
                <w:sz w:val="24"/>
                <w:u w:val="none"/>
              </w:rPr>
            </w:pPr>
            <w:r>
              <w:rPr>
                <w:rFonts w:hint="eastAsia"/>
                <w:color w:val="auto"/>
                <w:sz w:val="24"/>
                <w:u w:val="none"/>
              </w:rPr>
              <w:t>4、其他规划、法律法规明确禁止的项目。</w:t>
            </w:r>
          </w:p>
          <w:p>
            <w:pPr>
              <w:spacing w:line="312" w:lineRule="auto"/>
              <w:ind w:firstLineChars="200" w:firstLine="480"/>
              <w:rPr>
                <w:color w:val="auto"/>
                <w:sz w:val="24"/>
                <w:u w:val="none"/>
              </w:rPr>
            </w:pPr>
            <w:r>
              <w:rPr>
                <w:rFonts w:hint="eastAsia"/>
                <w:color w:val="auto"/>
                <w:sz w:val="24"/>
                <w:u w:val="none"/>
              </w:rPr>
              <w:t>桃源高新区环境行业准入清单，见下表</w:t>
            </w:r>
            <w:r>
              <w:rPr>
                <w:color w:val="auto"/>
                <w:sz w:val="24"/>
                <w:u w:val="none"/>
              </w:rPr>
              <w:t>。</w:t>
            </w:r>
          </w:p>
          <w:p>
            <w:pPr>
              <w:adjustRightInd w:val="0"/>
              <w:snapToGrid w:val="0"/>
              <w:jc w:val="center"/>
              <w:rPr>
                <w:color w:val="auto"/>
              </w:rPr>
            </w:pPr>
            <w:r>
              <w:rPr>
                <w:b/>
                <w:bCs/>
                <w:color w:val="auto"/>
              </w:rPr>
              <w:t>表</w:t>
            </w:r>
            <w:r>
              <w:rPr>
                <w:rFonts w:hint="eastAsia"/>
                <w:b/>
                <w:bCs/>
                <w:color w:val="auto"/>
              </w:rPr>
              <w:t>1-2</w:t>
            </w:r>
            <w:r>
              <w:rPr>
                <w:b/>
                <w:bCs/>
                <w:color w:val="auto"/>
              </w:rPr>
              <w:t xml:space="preserve">  </w:t>
            </w:r>
            <w:r>
              <w:rPr>
                <w:rFonts w:hint="eastAsia"/>
                <w:b/>
                <w:bCs/>
                <w:color w:val="auto"/>
                <w:lang w:eastAsia="zh-CN"/>
              </w:rPr>
              <w:t>漳江工业园</w:t>
            </w:r>
            <w:r>
              <w:rPr>
                <w:b/>
                <w:bCs/>
                <w:color w:val="auto"/>
              </w:rPr>
              <w:t>准入与限制行业类型一览表</w:t>
            </w:r>
          </w:p>
          <w:tbl>
            <w:tblPr>
              <w:jc w:val="cente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771"/>
              <w:gridCol w:w="3502"/>
              <w:gridCol w:w="3913"/>
            </w:tblGrid>
            <w:tr>
              <w:trPr>
                <w:trHeight w:val="454"/>
              </w:trPr>
              <w:tc>
                <w:tcPr>
                  <w:tcW w:w="471" w:type="pct"/>
                  <w:vAlign w:val="center"/>
                </w:tcPr>
                <w:p>
                  <w:pPr>
                    <w:spacing w:before="100" w:beforeAutospacing="1" w:after="100" w:afterAutospacing="1"/>
                    <w:jc w:val="center"/>
                    <w:rPr>
                      <w:b/>
                      <w:bCs/>
                      <w:color w:val="auto"/>
                      <w:u w:val="none"/>
                    </w:rPr>
                  </w:pPr>
                  <w:r>
                    <w:rPr>
                      <w:b/>
                      <w:bCs/>
                      <w:color w:val="auto"/>
                      <w:u w:val="none"/>
                    </w:rPr>
                    <w:t>类型</w:t>
                  </w:r>
                </w:p>
              </w:tc>
              <w:tc>
                <w:tcPr>
                  <w:tcW w:w="2138" w:type="pct"/>
                  <w:vAlign w:val="center"/>
                </w:tcPr>
                <w:p>
                  <w:pPr>
                    <w:spacing w:before="100" w:beforeAutospacing="1" w:after="100" w:afterAutospacing="1"/>
                    <w:jc w:val="center"/>
                    <w:rPr>
                      <w:b/>
                      <w:bCs/>
                      <w:color w:val="auto"/>
                      <w:u w:val="none"/>
                    </w:rPr>
                  </w:pPr>
                  <w:r>
                    <w:rPr>
                      <w:b/>
                      <w:bCs/>
                      <w:color w:val="auto"/>
                      <w:u w:val="none"/>
                    </w:rPr>
                    <w:t>行业类别</w:t>
                  </w:r>
                </w:p>
              </w:tc>
              <w:tc>
                <w:tcPr>
                  <w:tcW w:w="2389" w:type="pct"/>
                  <w:vAlign w:val="center"/>
                </w:tcPr>
                <w:p>
                  <w:pPr>
                    <w:spacing w:before="100" w:beforeAutospacing="1" w:after="100" w:afterAutospacing="1"/>
                    <w:jc w:val="center"/>
                    <w:rPr>
                      <w:rFonts w:eastAsia="宋体"/>
                      <w:b/>
                      <w:bCs/>
                      <w:color w:val="auto"/>
                      <w:u w:val="none"/>
                      <w:lang w:val="en-US" w:eastAsia="zh-CN"/>
                    </w:rPr>
                  </w:pPr>
                  <w:r>
                    <w:rPr>
                      <w:rFonts w:hint="eastAsia"/>
                      <w:b/>
                      <w:bCs/>
                      <w:color w:val="auto"/>
                      <w:u w:val="none"/>
                      <w:lang w:val="en-US" w:eastAsia="zh-CN"/>
                    </w:rPr>
                    <w:t>项目情况</w:t>
                  </w:r>
                </w:p>
              </w:tc>
            </w:tr>
            <w:tr>
              <w:trPr>
                <w:trHeight w:val="454"/>
              </w:trPr>
              <w:tc>
                <w:tcPr>
                  <w:tcW w:w="471" w:type="pct"/>
                  <w:shd w:val="clear" w:color="auto" w:fill="auto"/>
                  <w:vAlign w:val="center"/>
                </w:tcPr>
                <w:p>
                  <w:pPr>
                    <w:spacing w:before="100" w:beforeAutospacing="1" w:after="100" w:afterAutospacing="1"/>
                    <w:jc w:val="center"/>
                    <w:rPr>
                      <w:color w:val="auto"/>
                      <w:u w:val="none"/>
                      <w:lang w:val="en-US" w:eastAsia="zh-CN"/>
                    </w:rPr>
                  </w:pPr>
                  <w:r>
                    <w:rPr>
                      <w:color w:val="auto"/>
                      <w:u w:val="none"/>
                    </w:rPr>
                    <w:t>产业定位</w:t>
                  </w:r>
                </w:p>
              </w:tc>
              <w:tc>
                <w:tcPr>
                  <w:tcW w:w="2138" w:type="pct"/>
                  <w:vAlign w:val="center"/>
                </w:tcPr>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电子信息及新能源产业主要包括：C382输配电及控制设备制造；C384电池制造；C392通信设备制造；C397电子器件制造；C398电子元件及电子专用材料制造。</w:t>
                  </w:r>
                </w:p>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绿色食品加工产业主要包括：C13农副食品加工业；C14食品制造业；C15酒、饮料和精制茶制造业；</w:t>
                  </w:r>
                </w:p>
              </w:tc>
              <w:tc>
                <w:tcPr>
                  <w:tcW w:w="2389" w:type="pct"/>
                  <w:vAlign w:val="center"/>
                </w:tcPr>
                <w:p>
                  <w:pPr>
                    <w:spacing w:before="100" w:beforeAutospacing="1" w:after="100" w:afterAutospacing="1"/>
                    <w:jc w:val="center"/>
                    <w:rPr>
                      <w:rFonts w:eastAsia="宋体"/>
                      <w:color w:val="auto"/>
                      <w:u w:val="none"/>
                      <w:lang w:val="en-US" w:eastAsia="zh-CN"/>
                    </w:rPr>
                  </w:pPr>
                  <w:r>
                    <w:rPr>
                      <w:rFonts w:hint="eastAsia"/>
                      <w:color w:val="auto"/>
                      <w:u w:val="none"/>
                      <w:lang w:val="en-US" w:eastAsia="zh-CN"/>
                    </w:rPr>
                    <w:t>项目属于食用植物油加工项目，属于其主导产业</w:t>
                  </w:r>
                </w:p>
              </w:tc>
            </w:tr>
            <w:tr>
              <w:trPr>
                <w:trHeight w:val="454"/>
              </w:trPr>
              <w:tc>
                <w:tcPr>
                  <w:tcW w:w="471" w:type="pct"/>
                  <w:shd w:val="clear" w:color="auto" w:fill="auto"/>
                  <w:vAlign w:val="center"/>
                </w:tcPr>
                <w:p>
                  <w:pPr>
                    <w:spacing w:before="100" w:beforeAutospacing="1" w:after="100" w:afterAutospacing="1"/>
                    <w:jc w:val="center"/>
                    <w:rPr>
                      <w:color w:val="auto"/>
                      <w:u w:val="none"/>
                      <w:lang w:val="en-US" w:eastAsia="zh-CN"/>
                    </w:rPr>
                  </w:pPr>
                  <w:r>
                    <w:rPr>
                      <w:color w:val="auto"/>
                      <w:u w:val="none"/>
                    </w:rPr>
                    <w:t>禁止类</w:t>
                  </w:r>
                </w:p>
              </w:tc>
              <w:tc>
                <w:tcPr>
                  <w:tcW w:w="2138" w:type="pct"/>
                  <w:vAlign w:val="center"/>
                </w:tcPr>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C3843铅蓄电池制造；涉及电镀工艺废水排放的电子器件制造。</w:t>
                  </w:r>
                </w:p>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属于《产业结构调整指导目录（最新版）》禁止类工艺和设备。</w:t>
                  </w:r>
                </w:p>
              </w:tc>
              <w:tc>
                <w:tcPr>
                  <w:tcW w:w="2389" w:type="pct"/>
                  <w:vAlign w:val="center"/>
                </w:tcPr>
                <w:p>
                  <w:pPr>
                    <w:spacing w:before="100" w:beforeAutospacing="1" w:after="100" w:afterAutospacing="1"/>
                    <w:jc w:val="center"/>
                    <w:rPr>
                      <w:rFonts w:eastAsia="宋体"/>
                      <w:color w:val="auto"/>
                      <w:u w:val="none"/>
                      <w:lang w:val="en-US" w:eastAsia="zh-CN"/>
                    </w:rPr>
                  </w:pPr>
                  <w:r>
                    <w:rPr>
                      <w:rFonts w:hint="eastAsia"/>
                      <w:color w:val="auto"/>
                      <w:u w:val="none"/>
                      <w:lang w:val="en-US" w:eastAsia="zh-CN"/>
                    </w:rPr>
                    <w:t>项目属于食用植物油加工项目，属于</w:t>
                  </w:r>
                  <w:r>
                    <w:rPr>
                      <w:rFonts w:ascii="Times New Roman" w:eastAsia="宋体" w:cs="Times New Roman" w:hAnsi="Times New Roman" w:hint="eastAsia"/>
                      <w:color w:val="auto"/>
                      <w:szCs w:val="21"/>
                      <w:u w:val="none"/>
                    </w:rPr>
                    <w:t>《产业结构调整指导目录（</w:t>
                  </w:r>
                  <w:r>
                    <w:rPr>
                      <w:rFonts w:cs="Times New Roman" w:hint="eastAsia"/>
                      <w:color w:val="auto"/>
                      <w:szCs w:val="21"/>
                      <w:u w:val="none"/>
                      <w:lang w:val="en-US" w:eastAsia="zh-CN"/>
                    </w:rPr>
                    <w:t>2024年本</w:t>
                  </w:r>
                  <w:r>
                    <w:rPr>
                      <w:rFonts w:ascii="Times New Roman" w:eastAsia="宋体" w:cs="Times New Roman" w:hAnsi="Times New Roman" w:hint="eastAsia"/>
                      <w:color w:val="auto"/>
                      <w:szCs w:val="21"/>
                      <w:u w:val="none"/>
                    </w:rPr>
                    <w:t>）》</w:t>
                  </w:r>
                  <w:r>
                    <w:rPr>
                      <w:rFonts w:ascii="Times New Roman" w:eastAsia="宋体" w:cs="Times New Roman" w:hAnsi="Times New Roman" w:hint="eastAsia"/>
                      <w:color w:val="auto"/>
                      <w:szCs w:val="21"/>
                      <w:u w:val="none"/>
                      <w:lang w:val="en-US" w:eastAsia="zh-CN"/>
                    </w:rPr>
                    <w:t>鼓励类“十九、轻工 油茶籽、核桃等木本油料和胡麻、芝麻、葵花籽、牡丹籽等小品种油料加工生产线以及利用超临界二氧化碳萃取工艺技术生产植物油”</w:t>
                  </w:r>
                </w:p>
              </w:tc>
            </w:tr>
            <w:tr>
              <w:trPr>
                <w:trHeight w:val="454"/>
              </w:trPr>
              <w:tc>
                <w:tcPr>
                  <w:tcW w:w="471" w:type="pct"/>
                  <w:shd w:val="clear" w:color="auto" w:fill="auto"/>
                  <w:vAlign w:val="center"/>
                </w:tcPr>
                <w:p>
                  <w:pPr>
                    <w:spacing w:before="100" w:beforeAutospacing="1" w:after="100" w:afterAutospacing="1"/>
                    <w:jc w:val="center"/>
                    <w:rPr>
                      <w:color w:val="auto"/>
                      <w:u w:val="none"/>
                      <w:lang w:val="en-US" w:eastAsia="zh-CN"/>
                    </w:rPr>
                  </w:pPr>
                  <w:r>
                    <w:rPr>
                      <w:color w:val="auto"/>
                      <w:u w:val="none"/>
                    </w:rPr>
                    <w:t>限制类</w:t>
                  </w:r>
                </w:p>
              </w:tc>
              <w:tc>
                <w:tcPr>
                  <w:tcW w:w="2138" w:type="pct"/>
                  <w:vAlign w:val="center"/>
                </w:tcPr>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1）限制新建、改建、扩建使用非低（无）VOCs原辅材料的项目</w:t>
                  </w:r>
                  <w:r>
                    <w:rPr>
                      <w:rFonts w:ascii="Times New Roman" w:eastAsia="宋体" w:cs="Times New Roman" w:hAnsi="Times New Roman" w:hint="eastAsia"/>
                      <w:color w:val="auto"/>
                      <w:szCs w:val="21"/>
                      <w:u w:val="none"/>
                    </w:rPr>
                    <w:fldChar w:fldCharType="begin"/>
                  </w:r>
                  <w:r>
                    <w:rPr>
                      <w:rFonts w:ascii="Times New Roman" w:eastAsia="宋体" w:cs="Times New Roman" w:hAnsi="Times New Roman" w:hint="eastAsia"/>
                      <w:color w:val="auto"/>
                      <w:szCs w:val="21"/>
                      <w:u w:val="none"/>
                    </w:rPr>
                    <w:instrText xml:space="preserve"> = 1 \* GB3 </w:instrText>
                  </w:r>
                  <w:r>
                    <w:rPr>
                      <w:rFonts w:ascii="Times New Roman" w:eastAsia="宋体" w:cs="Times New Roman" w:hAnsi="Times New Roman" w:hint="eastAsia"/>
                      <w:color w:val="auto"/>
                      <w:szCs w:val="21"/>
                      <w:u w:val="none"/>
                    </w:rPr>
                    <w:fldChar w:fldCharType="separate"/>
                  </w:r>
                  <w:r>
                    <w:rPr>
                      <w:rFonts w:ascii="Times New Roman" w:eastAsia="宋体" w:cs="Times New Roman" w:hAnsi="Times New Roman" w:hint="eastAsia"/>
                      <w:color w:val="auto"/>
                      <w:szCs w:val="21"/>
                      <w:u w:val="none"/>
                    </w:rPr>
                    <w:t>①</w:t>
                  </w:r>
                  <w:r>
                    <w:rPr>
                      <w:rFonts w:ascii="Times New Roman" w:eastAsia="宋体" w:cs="Times New Roman" w:hAnsi="Times New Roman" w:hint="eastAsia"/>
                      <w:color w:val="auto"/>
                      <w:szCs w:val="21"/>
                      <w:u w:val="none"/>
                    </w:rPr>
                    <w:fldChar w:fldCharType="end"/>
                  </w:r>
                  <w:r>
                    <w:rPr>
                      <w:rFonts w:ascii="Times New Roman" w:eastAsia="宋体" w:cs="Times New Roman" w:hAnsi="Times New Roman" w:hint="eastAsia"/>
                      <w:color w:val="auto"/>
                      <w:szCs w:val="21"/>
                      <w:u w:val="none"/>
                    </w:rPr>
                    <w:t>。</w:t>
                  </w:r>
                </w:p>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2）属于《产业结构调整指导目录（最新版）》限制类工艺和设备。</w:t>
                  </w:r>
                </w:p>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3）C134制糖业、C135屠宰及肉类加工。</w:t>
                  </w:r>
                </w:p>
              </w:tc>
              <w:tc>
                <w:tcPr>
                  <w:tcW w:w="2389" w:type="pct"/>
                  <w:vAlign w:val="center"/>
                </w:tcPr>
                <w:p>
                  <w:pPr>
                    <w:spacing w:before="100" w:beforeAutospacing="1" w:after="100" w:afterAutospacing="1"/>
                    <w:jc w:val="center"/>
                    <w:rPr>
                      <w:rFonts w:eastAsia="宋体"/>
                      <w:color w:val="auto"/>
                      <w:u w:val="none"/>
                      <w:lang w:val="en-US" w:eastAsia="zh-CN"/>
                    </w:rPr>
                  </w:pPr>
                  <w:r>
                    <w:rPr>
                      <w:rFonts w:hint="eastAsia"/>
                      <w:color w:val="auto"/>
                      <w:u w:val="none"/>
                      <w:lang w:val="en-US" w:eastAsia="zh-CN"/>
                    </w:rPr>
                    <w:t>项目属于食用植物油加工项目</w:t>
                  </w:r>
                  <w:r>
                    <w:rPr>
                      <w:rFonts w:cs="Times New Roman" w:hint="eastAsia"/>
                      <w:color w:val="auto"/>
                      <w:szCs w:val="21"/>
                      <w:u w:val="none"/>
                      <w:lang w:eastAsia="zh-CN"/>
                    </w:rPr>
                    <w:t>，</w:t>
                  </w:r>
                  <w:r>
                    <w:rPr>
                      <w:rFonts w:cs="Times New Roman" w:hint="eastAsia"/>
                      <w:color w:val="auto"/>
                      <w:szCs w:val="21"/>
                      <w:u w:val="none"/>
                      <w:lang w:val="en-US" w:eastAsia="zh-CN"/>
                    </w:rPr>
                    <w:t>不属于C134制糖业、C135屠宰及肉类加工，因此不属于限制类</w:t>
                  </w:r>
                </w:p>
              </w:tc>
            </w:tr>
          </w:tbl>
          <w:p>
            <w:pPr>
              <w:pStyle w:val="60"/>
              <w:spacing w:after="0" w:line="312" w:lineRule="auto"/>
              <w:ind w:firstLineChars="200" w:firstLine="480"/>
              <w:rPr>
                <w:color w:val="FF0000"/>
                <w:u w:val="single"/>
              </w:rPr>
            </w:pPr>
            <w:r>
              <w:rPr>
                <w:color w:val="auto"/>
                <w:szCs w:val="24"/>
                <w:u w:val="none"/>
              </w:rPr>
              <w:t>本项目属于</w:t>
            </w:r>
            <w:r>
              <w:rPr>
                <w:rFonts w:cs="宋体" w:hint="eastAsia"/>
                <w:color w:val="auto"/>
                <w:sz w:val="24"/>
              </w:rPr>
              <w:t>食用植物油加工</w:t>
            </w:r>
            <w:r>
              <w:rPr>
                <w:rFonts w:cs="宋体" w:hint="eastAsia"/>
                <w:color w:val="auto"/>
                <w:sz w:val="24"/>
                <w:lang w:val="en-US" w:eastAsia="zh-CN"/>
              </w:rPr>
              <w:t>项目</w:t>
            </w:r>
            <w:r>
              <w:rPr>
                <w:color w:val="auto"/>
                <w:szCs w:val="24"/>
                <w:u w:val="none"/>
              </w:rPr>
              <w:t>，</w:t>
            </w:r>
            <w:r>
              <w:rPr>
                <w:rFonts w:hint="eastAsia"/>
                <w:color w:val="auto"/>
                <w:szCs w:val="24"/>
                <w:u w:val="none"/>
              </w:rPr>
              <w:t>主要产品为</w:t>
            </w:r>
            <w:r>
              <w:rPr>
                <w:rFonts w:hint="eastAsia"/>
                <w:color w:val="auto"/>
                <w:szCs w:val="24"/>
                <w:u w:val="none"/>
                <w:lang w:val="en-US" w:eastAsia="zh-CN"/>
              </w:rPr>
              <w:t>茶油</w:t>
            </w:r>
            <w:r>
              <w:rPr>
                <w:rFonts w:hint="eastAsia"/>
                <w:color w:val="auto"/>
                <w:szCs w:val="24"/>
                <w:u w:val="none"/>
              </w:rPr>
              <w:t>，主要工艺为</w:t>
            </w:r>
            <w:r>
              <w:rPr>
                <w:rFonts w:hint="eastAsia"/>
                <w:color w:val="auto"/>
                <w:szCs w:val="24"/>
                <w:u w:val="none"/>
                <w:lang w:val="en-US" w:eastAsia="zh-CN"/>
              </w:rPr>
              <w:t>冷榨、精炼等工艺，废气</w:t>
            </w:r>
            <w:r>
              <w:rPr>
                <w:rFonts w:hint="eastAsia"/>
                <w:color w:val="auto"/>
                <w:szCs w:val="24"/>
                <w:u w:val="none"/>
              </w:rPr>
              <w:t>达标后排放，使用能源</w:t>
            </w:r>
            <w:r>
              <w:rPr>
                <w:rFonts w:hint="eastAsia"/>
                <w:color w:val="auto"/>
                <w:szCs w:val="24"/>
                <w:u w:val="none"/>
                <w:lang w:val="en-US" w:eastAsia="zh-CN"/>
              </w:rPr>
              <w:t>为</w:t>
            </w:r>
            <w:r>
              <w:rPr>
                <w:rFonts w:hint="eastAsia"/>
                <w:color w:val="auto"/>
                <w:szCs w:val="24"/>
                <w:u w:val="none"/>
              </w:rPr>
              <w:t>电能，</w:t>
            </w:r>
            <w:r>
              <w:rPr>
                <w:color w:val="auto"/>
                <w:szCs w:val="24"/>
                <w:u w:val="none"/>
              </w:rPr>
              <w:t>符合</w:t>
            </w:r>
            <w:r>
              <w:rPr>
                <w:rFonts w:hint="eastAsia"/>
                <w:color w:val="auto"/>
                <w:szCs w:val="24"/>
                <w:u w:val="none"/>
                <w:lang w:eastAsia="zh-CN"/>
              </w:rPr>
              <w:t>漳江工业园</w:t>
            </w:r>
            <w:r>
              <w:rPr>
                <w:rFonts w:hint="eastAsia"/>
                <w:color w:val="auto"/>
                <w:szCs w:val="24"/>
                <w:u w:val="none"/>
              </w:rPr>
              <w:t>绿色食品加工业</w:t>
            </w:r>
            <w:r>
              <w:rPr>
                <w:rFonts w:hint="eastAsia"/>
                <w:color w:val="auto"/>
                <w:szCs w:val="24"/>
                <w:u w:val="none"/>
                <w:lang w:val="en-US" w:eastAsia="zh-CN"/>
              </w:rPr>
              <w:t>的主要</w:t>
            </w:r>
            <w:r>
              <w:rPr>
                <w:color w:val="auto"/>
                <w:szCs w:val="24"/>
                <w:u w:val="none"/>
              </w:rPr>
              <w:t>产业定位</w:t>
            </w:r>
            <w:r>
              <w:rPr>
                <w:color w:val="auto"/>
                <w:u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Chars="200" w:firstLine="480"/>
              <w:textAlignment w:val="auto"/>
              <w:rPr>
                <w:rFonts w:ascii="Times New Roman" w:hAnsi="Times New Roman"/>
                <w:b/>
                <w:bCs/>
                <w:color w:val="auto"/>
                <w:sz w:val="24"/>
              </w:rPr>
            </w:pPr>
            <w:r>
              <w:rPr>
                <w:rFonts w:hint="eastAsia"/>
                <w:b/>
                <w:bCs/>
                <w:color w:val="auto"/>
                <w:sz w:val="24"/>
                <w:lang w:eastAsia="zh-CN"/>
              </w:rPr>
              <w:t>（</w:t>
            </w:r>
            <w:r>
              <w:rPr>
                <w:rFonts w:hint="eastAsia"/>
                <w:b/>
                <w:bCs/>
                <w:color w:val="auto"/>
                <w:sz w:val="24"/>
                <w:lang w:val="en-US" w:eastAsia="zh-CN"/>
              </w:rPr>
              <w:t>二</w:t>
            </w:r>
            <w:r>
              <w:rPr>
                <w:rFonts w:hint="eastAsia"/>
                <w:b/>
                <w:bCs/>
                <w:color w:val="auto"/>
                <w:sz w:val="24"/>
                <w:lang w:eastAsia="zh-CN"/>
              </w:rPr>
              <w:t>）</w:t>
            </w:r>
            <w:r>
              <w:rPr>
                <w:rFonts w:ascii="Times New Roman" w:hAnsi="Times New Roman"/>
                <w:b/>
                <w:bCs/>
                <w:color w:val="auto"/>
                <w:sz w:val="24"/>
              </w:rPr>
              <w:t>与</w:t>
            </w:r>
            <w:r>
              <w:rPr>
                <w:rFonts w:hint="eastAsia"/>
                <w:b/>
                <w:bCs/>
                <w:color w:val="auto"/>
                <w:sz w:val="24"/>
                <w:lang w:val="en-US" w:eastAsia="zh-CN"/>
              </w:rPr>
              <w:t>规划</w:t>
            </w:r>
            <w:r>
              <w:rPr>
                <w:rFonts w:ascii="Times New Roman" w:hAnsi="Times New Roman"/>
                <w:b/>
                <w:bCs/>
                <w:color w:val="auto"/>
                <w:sz w:val="24"/>
              </w:rPr>
              <w:t>环评批复的符合性分析</w:t>
            </w:r>
          </w:p>
          <w:p>
            <w:pPr>
              <w:pStyle w:val="15"/>
              <w:spacing w:line="360" w:lineRule="auto"/>
              <w:ind w:firstLineChars="200" w:firstLine="480"/>
              <w:jc w:val="both"/>
              <w:rPr>
                <w:rFonts w:ascii="Times New Roman" w:eastAsia="宋体" w:hAnsi="Times New Roman"/>
                <w:color w:val="auto"/>
                <w:sz w:val="24"/>
                <w:szCs w:val="24"/>
              </w:rPr>
            </w:pPr>
            <w:r>
              <w:rPr>
                <w:rFonts w:ascii="Times New Roman" w:eastAsia="宋体" w:hAnsi="Times New Roman"/>
                <w:color w:val="auto"/>
                <w:sz w:val="24"/>
                <w:szCs w:val="24"/>
              </w:rPr>
              <w:t>本项目与</w:t>
            </w:r>
            <w:r>
              <w:rPr>
                <w:rFonts w:ascii="Times New Roman" w:hAnsi="Times New Roman" w:hint="eastAsia"/>
                <w:color w:val="auto"/>
                <w:sz w:val="24"/>
                <w:szCs w:val="24"/>
                <w:lang w:val="en-US" w:eastAsia="zh-CN"/>
              </w:rPr>
              <w:t>规划</w:t>
            </w:r>
            <w:r>
              <w:rPr>
                <w:rFonts w:ascii="Times New Roman" w:eastAsia="宋体" w:hAnsi="Times New Roman"/>
                <w:color w:val="auto"/>
                <w:sz w:val="24"/>
                <w:szCs w:val="24"/>
              </w:rPr>
              <w:t>环评及批复的相符性分析见下表。</w:t>
            </w:r>
          </w:p>
          <w:p>
            <w:pPr>
              <w:widowControl/>
              <w:wordWrap w:val="0"/>
              <w:jc w:val="center"/>
              <w:rPr>
                <w:rFonts w:ascii="Times New Roman" w:hAnsi="Times New Roman" w:hint="eastAsia"/>
                <w:b/>
                <w:bCs/>
                <w:color w:val="auto"/>
                <w:kern w:val="0"/>
                <w:szCs w:val="21"/>
              </w:rPr>
            </w:pPr>
            <w:r>
              <w:rPr>
                <w:rFonts w:ascii="Times New Roman" w:hAnsi="Times New Roman" w:hint="eastAsia"/>
                <w:b/>
                <w:bCs/>
                <w:color w:val="auto"/>
                <w:kern w:val="0"/>
                <w:szCs w:val="21"/>
              </w:rPr>
              <w:t>表1-3  环评及批复符合性分析对照一览表</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117"/>
              <w:gridCol w:w="4768"/>
              <w:gridCol w:w="1453"/>
              <w:gridCol w:w="848"/>
            </w:tblGrid>
            <w:tr>
              <w:trPr>
                <w:trHeight w:val="340"/>
              </w:trPr>
              <w:tc>
                <w:tcPr>
                  <w:tcW w:w="3593" w:type="pct"/>
                  <w:gridSpan w:val="2"/>
                  <w:vAlign w:val="center"/>
                </w:tcPr>
                <w:p>
                  <w:pPr>
                    <w:jc w:val="center"/>
                    <w:rPr>
                      <w:rFonts w:ascii="Times New Roman" w:eastAsia="宋体" w:cs="Times New Roman" w:hAnsi="Times New Roman" w:hint="eastAsia"/>
                      <w:b/>
                      <w:bCs/>
                      <w:color w:val="auto"/>
                      <w:szCs w:val="21"/>
                      <w:u w:val="none"/>
                    </w:rPr>
                  </w:pPr>
                  <w:r>
                    <w:rPr>
                      <w:rFonts w:ascii="Times New Roman" w:eastAsia="宋体" w:cs="Times New Roman" w:hAnsi="Times New Roman" w:hint="eastAsia"/>
                      <w:b/>
                      <w:bCs/>
                      <w:color w:val="auto"/>
                      <w:szCs w:val="21"/>
                      <w:u w:val="none"/>
                    </w:rPr>
                    <w:t>环评及批复要求</w:t>
                  </w:r>
                </w:p>
              </w:tc>
              <w:tc>
                <w:tcPr>
                  <w:tcW w:w="887" w:type="pct"/>
                  <w:vAlign w:val="center"/>
                </w:tcPr>
                <w:p>
                  <w:pPr>
                    <w:jc w:val="center"/>
                    <w:rPr>
                      <w:rFonts w:ascii="Times New Roman" w:eastAsia="宋体" w:cs="Times New Roman" w:hAnsi="Times New Roman" w:hint="eastAsia"/>
                      <w:b/>
                      <w:bCs/>
                      <w:color w:val="auto"/>
                      <w:szCs w:val="21"/>
                      <w:u w:val="none"/>
                    </w:rPr>
                  </w:pPr>
                  <w:r>
                    <w:rPr>
                      <w:rFonts w:ascii="Times New Roman" w:eastAsia="宋体" w:cs="Times New Roman" w:hAnsi="Times New Roman" w:hint="eastAsia"/>
                      <w:b/>
                      <w:bCs/>
                      <w:color w:val="auto"/>
                      <w:szCs w:val="21"/>
                      <w:u w:val="none"/>
                    </w:rPr>
                    <w:t>本项目情况</w:t>
                  </w:r>
                </w:p>
              </w:tc>
              <w:tc>
                <w:tcPr>
                  <w:tcW w:w="518" w:type="pct"/>
                  <w:vAlign w:val="center"/>
                </w:tcPr>
                <w:p>
                  <w:pPr>
                    <w:jc w:val="center"/>
                    <w:rPr>
                      <w:rFonts w:ascii="Times New Roman" w:eastAsia="宋体" w:cs="Times New Roman" w:hAnsi="Times New Roman" w:hint="eastAsia"/>
                      <w:b/>
                      <w:bCs/>
                      <w:color w:val="auto"/>
                      <w:szCs w:val="21"/>
                      <w:u w:val="none"/>
                    </w:rPr>
                  </w:pPr>
                  <w:r>
                    <w:rPr>
                      <w:rFonts w:ascii="Times New Roman" w:eastAsia="宋体" w:cs="Times New Roman" w:hAnsi="Times New Roman" w:hint="eastAsia"/>
                      <w:b/>
                      <w:bCs/>
                      <w:color w:val="auto"/>
                      <w:szCs w:val="21"/>
                      <w:u w:val="none"/>
                    </w:rPr>
                    <w:t>符合性结论</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w:t>
                  </w:r>
                  <w:r>
                    <w:rPr>
                      <w:rFonts w:cs="Times New Roman" w:hint="eastAsia"/>
                      <w:color w:val="auto"/>
                      <w:szCs w:val="21"/>
                      <w:u w:val="none"/>
                      <w:lang w:val="en-US" w:eastAsia="zh-CN"/>
                    </w:rPr>
                    <w:t>一</w:t>
                  </w:r>
                  <w:r>
                    <w:rPr>
                      <w:rFonts w:cs="Times New Roman" w:hint="eastAsia"/>
                      <w:color w:val="auto"/>
                      <w:szCs w:val="21"/>
                      <w:u w:val="none"/>
                      <w:lang w:eastAsia="zh-CN"/>
                    </w:rPr>
                    <w:t>）</w:t>
                  </w:r>
                  <w:r>
                    <w:rPr>
                      <w:rFonts w:ascii="Times New Roman" w:eastAsia="宋体" w:cs="Times New Roman" w:hAnsi="Times New Roman" w:hint="eastAsia"/>
                      <w:color w:val="auto"/>
                      <w:szCs w:val="21"/>
                      <w:u w:val="none"/>
                    </w:rPr>
                    <w:t>坚持依规开发，优化空间功能布局。</w:t>
                  </w:r>
                </w:p>
              </w:tc>
              <w:tc>
                <w:tcPr>
                  <w:tcW w:w="2910" w:type="pct"/>
                  <w:vAlign w:val="center"/>
                </w:tcPr>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园区在产业规划布局和开发建设过程中应注重提升环境相容性，通过合理空间布局，减少园区企业对外环境影响。</w:t>
                  </w:r>
                </w:p>
              </w:tc>
              <w:tc>
                <w:tcPr>
                  <w:tcW w:w="887"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本项目不涉及</w:t>
                  </w:r>
                </w:p>
              </w:tc>
              <w:tc>
                <w:tcPr>
                  <w:tcW w:w="518" w:type="pct"/>
                  <w:vAlign w:val="center"/>
                </w:tcPr>
                <w:p>
                  <w:pPr>
                    <w:jc w:val="center"/>
                    <w:rPr>
                      <w:rFonts w:ascii="Times New Roman" w:eastAsia="宋体" w:cs="Times New Roman" w:hAnsi="Times New Roman" w:hint="eastAsia"/>
                      <w:color w:val="auto"/>
                      <w:szCs w:val="21"/>
                      <w:u w:val="none"/>
                      <w:lang w:eastAsia="zh-CN"/>
                    </w:rPr>
                  </w:pPr>
                  <w:r>
                    <w:rPr>
                      <w:rFonts w:cs="Times New Roman" w:hint="eastAsia"/>
                      <w:color w:val="auto"/>
                      <w:szCs w:val="21"/>
                      <w:u w:val="none"/>
                      <w:lang w:val="en-US" w:eastAsia="zh-CN"/>
                    </w:rPr>
                    <w:t>/</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w:t>
                  </w:r>
                  <w:r>
                    <w:rPr>
                      <w:rFonts w:ascii="Times New Roman" w:eastAsia="宋体" w:cs="Times New Roman" w:hAnsi="Times New Roman" w:hint="eastAsia"/>
                      <w:color w:val="auto"/>
                      <w:szCs w:val="21"/>
                      <w:u w:val="none"/>
                    </w:rPr>
                    <w:t>二</w:t>
                  </w:r>
                  <w:r>
                    <w:rPr>
                      <w:rFonts w:cs="Times New Roman" w:hint="eastAsia"/>
                      <w:color w:val="auto"/>
                      <w:szCs w:val="21"/>
                      <w:u w:val="none"/>
                      <w:lang w:eastAsia="zh-CN"/>
                    </w:rPr>
                    <w:t>）</w:t>
                  </w:r>
                  <w:r>
                    <w:rPr>
                      <w:rFonts w:ascii="Times New Roman" w:eastAsia="宋体" w:cs="Times New Roman" w:hAnsi="Times New Roman" w:hint="eastAsia"/>
                      <w:color w:val="auto"/>
                      <w:szCs w:val="21"/>
                      <w:u w:val="none"/>
                    </w:rPr>
                    <w:t>严格环境准入，优化园区产业结构。</w:t>
                  </w:r>
                </w:p>
              </w:tc>
              <w:tc>
                <w:tcPr>
                  <w:tcW w:w="2910" w:type="pct"/>
                  <w:vAlign w:val="center"/>
                </w:tcPr>
                <w:p>
                  <w:pPr>
                    <w:jc w:val="both"/>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园区后续产业引进应符合《报告书》提出的环境准入要求，执行各片区的产业定位和生态环境准入清单。涉及锂电池及相关材料制造的电子信息、新能源项目应遵守国、省关于相关产业的准入和布局的政策要求。从沅水流域位置来看，陬市片区位于常德市城区上游，该片区应限制以重金属为特征污染物的废水排放项目。盘塘片区目前污水处理设施规模为400吨/天，应限制废水排放量大及废水污染物成分复杂的项目入园。</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hint="eastAsia"/>
                      <w:color w:val="auto"/>
                      <w:u w:val="none"/>
                      <w:lang w:val="en-US" w:eastAsia="zh-CN"/>
                    </w:rPr>
                    <w:t>项目属于食用植物油加工项目，不属于重金属和废水排放量大的企业</w:t>
                  </w:r>
                </w:p>
              </w:tc>
              <w:tc>
                <w:tcPr>
                  <w:tcW w:w="518"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符合</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（三）落实管控措施，加强园区排污管理。</w:t>
                  </w:r>
                </w:p>
              </w:tc>
              <w:tc>
                <w:tcPr>
                  <w:tcW w:w="2910" w:type="pct"/>
                  <w:vAlign w:val="center"/>
                </w:tcPr>
                <w:p>
                  <w:pPr>
                    <w:jc w:val="both"/>
                    <w:rPr>
                      <w:rFonts w:cs="Times New Roman" w:hint="eastAsia"/>
                      <w:color w:val="auto"/>
                      <w:szCs w:val="21"/>
                      <w:u w:val="none"/>
                      <w:lang w:eastAsia="zh-CN"/>
                    </w:rPr>
                  </w:pPr>
                  <w:r>
                    <w:rPr>
                      <w:rFonts w:cs="Times New Roman" w:hint="eastAsia"/>
                      <w:color w:val="auto"/>
                      <w:szCs w:val="21"/>
                      <w:u w:val="none"/>
                      <w:lang w:eastAsia="zh-CN"/>
                    </w:rPr>
                    <w:t>完善各片区污水管网建设，实施雨污分流，污污分流，确保园区各片区生产生活废水应收尽收，集中纳入污水处理设施处理，园区不得超过污水处理厂的处理能力和排污口审批所规定的废水排放量引进项目。加快完成陬市镇污水处理厂提标改造，改造工程应针对片区规划产业的特征污染物因子做好设计。加强完善陬市片区区块二、区块六的水污染防治设施，其建成运行前，相关区块应限制引进废水排放企业。提高园区清洁能源使用效率，减少废气污染物排放，督促企业对废气无组织排放加强控制，对重点排放的企业予以严格监管，确保其处理设施稳妥、持续有效运行。建立园区固废规范化管理体系，做好工业固体废物和生活垃圾的分类收集、转运、综合利用和无害化处理。对危险废物应严格按照国家有关规定综合利用或妥善处置，对危险废物产生企业和经营单位，应强化日常环境监管。对于土壤重点监管企业，应严格落实地下水和土壤污染防控措施。落实排污许可制度和污染物排放总量控制，督促入园企业按要求完成竣工环境保护验收工作，推动入园企业开展清洁生产审核。园区应落实第三方环境治理工作相关政策要求，强化对重点产排污企业的监管与服务。</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cs="Times New Roman" w:hint="eastAsia"/>
                      <w:color w:val="auto"/>
                      <w:szCs w:val="21"/>
                      <w:u w:val="none"/>
                      <w:lang w:val="en-US" w:eastAsia="zh-CN"/>
                    </w:rPr>
                    <w:t>项目废水，按要求排入污水处理厂处理，项目废气通过排气筒排放</w:t>
                  </w:r>
                </w:p>
              </w:tc>
              <w:tc>
                <w:tcPr>
                  <w:tcW w:w="518"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符合</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（四）完善监测体系，监控环境质量变化状况。</w:t>
                  </w:r>
                </w:p>
              </w:tc>
              <w:tc>
                <w:tcPr>
                  <w:tcW w:w="2910" w:type="pct"/>
                  <w:vAlign w:val="center"/>
                </w:tcPr>
                <w:p>
                  <w:pPr>
                    <w:jc w:val="both"/>
                    <w:rPr>
                      <w:rFonts w:cs="Times New Roman" w:hint="eastAsia"/>
                      <w:color w:val="auto"/>
                      <w:szCs w:val="21"/>
                      <w:u w:val="none"/>
                      <w:lang w:eastAsia="zh-CN"/>
                    </w:rPr>
                  </w:pPr>
                  <w:r>
                    <w:rPr>
                      <w:rFonts w:cs="Times New Roman" w:hint="eastAsia"/>
                      <w:color w:val="auto"/>
                      <w:szCs w:val="21"/>
                      <w:u w:val="none"/>
                      <w:lang w:eastAsia="zh-CN"/>
                    </w:rPr>
                    <w:t>园区应严格落实规划环评提出的监测方案，建立健全区域环境要素的监控体系。加强对园区重点排放单位的监督性监测，杜绝因环保设施不正常运行而造成的超标排放情况。</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cs="Times New Roman" w:hint="eastAsia"/>
                      <w:color w:val="auto"/>
                      <w:szCs w:val="21"/>
                      <w:u w:val="none"/>
                      <w:lang w:val="en-US" w:eastAsia="zh-CN"/>
                    </w:rPr>
                    <w:t>项目不涉及</w:t>
                  </w:r>
                </w:p>
              </w:tc>
              <w:tc>
                <w:tcPr>
                  <w:tcW w:w="518" w:type="pct"/>
                  <w:vAlign w:val="center"/>
                </w:tcPr>
                <w:p>
                  <w:pPr>
                    <w:jc w:val="center"/>
                    <w:rPr>
                      <w:rFonts w:ascii="Times New Roman" w:eastAsia="宋体" w:cs="Times New Roman" w:hAnsi="Times New Roman" w:hint="eastAsia"/>
                      <w:color w:val="auto"/>
                      <w:szCs w:val="21"/>
                      <w:u w:val="none"/>
                      <w:lang w:eastAsia="zh-CN"/>
                    </w:rPr>
                  </w:pPr>
                  <w:r>
                    <w:rPr>
                      <w:rFonts w:cs="Times New Roman" w:hint="eastAsia"/>
                      <w:color w:val="auto"/>
                      <w:szCs w:val="21"/>
                      <w:u w:val="none"/>
                      <w:lang w:val="en-US" w:eastAsia="zh-CN"/>
                    </w:rPr>
                    <w:t>/</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（五）强化风险管控，严防园区环境事故。</w:t>
                  </w:r>
                </w:p>
              </w:tc>
              <w:tc>
                <w:tcPr>
                  <w:tcW w:w="2910" w:type="pct"/>
                  <w:vAlign w:val="center"/>
                </w:tcPr>
                <w:p>
                  <w:pPr>
                    <w:jc w:val="both"/>
                    <w:rPr>
                      <w:rFonts w:cs="Times New Roman" w:hint="eastAsia"/>
                      <w:color w:val="auto"/>
                      <w:szCs w:val="21"/>
                      <w:u w:val="none"/>
                      <w:lang w:eastAsia="zh-CN"/>
                    </w:rPr>
                  </w:pPr>
                  <w:r>
                    <w:rPr>
                      <w:rFonts w:cs="Times New Roman" w:hint="eastAsia"/>
                      <w:color w:val="auto"/>
                      <w:szCs w:val="21"/>
                      <w:u w:val="none"/>
                      <w:lang w:eastAsia="zh-CN"/>
                    </w:rPr>
                    <w:t>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cs="Times New Roman" w:hint="eastAsia"/>
                      <w:color w:val="auto"/>
                      <w:szCs w:val="21"/>
                      <w:u w:val="none"/>
                      <w:lang w:val="en-US" w:eastAsia="zh-CN"/>
                    </w:rPr>
                    <w:t>按要求执行</w:t>
                  </w:r>
                </w:p>
              </w:tc>
              <w:tc>
                <w:tcPr>
                  <w:tcW w:w="518"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符合</w:t>
                  </w:r>
                </w:p>
              </w:tc>
            </w:tr>
            <w:tr>
              <w:trPr>
                <w:trHeight w:val="340"/>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（六）做好周边控规，落实搬迁安置计划。</w:t>
                  </w:r>
                </w:p>
              </w:tc>
              <w:tc>
                <w:tcPr>
                  <w:tcW w:w="2910" w:type="pct"/>
                  <w:vAlign w:val="center"/>
                </w:tcPr>
                <w:p>
                  <w:pPr>
                    <w:jc w:val="both"/>
                    <w:rPr>
                      <w:rFonts w:cs="Times New Roman" w:hint="eastAsia"/>
                      <w:color w:val="auto"/>
                      <w:szCs w:val="21"/>
                      <w:u w:val="none"/>
                      <w:lang w:eastAsia="zh-CN"/>
                    </w:rPr>
                  </w:pPr>
                  <w:r>
                    <w:rPr>
                      <w:rFonts w:cs="Times New Roman" w:hint="eastAsia"/>
                      <w:color w:val="auto"/>
                      <w:szCs w:val="21"/>
                      <w:u w:val="none"/>
                      <w:lang w:eastAsia="zh-CN"/>
                    </w:rPr>
                    <w:t>严格做好控规，杜绝在规划的工业用地上新增环境敏感目标。与地方政府做好协调，对于园区周边新建集中居住区、学校、医院的，应尽量远离工业集中的区域布局，为园区工业的合规发展预留空间，对于具体项目环评设置防护距离和提出搬迁要求的，要确保予以落实。</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cs="Times New Roman" w:hint="eastAsia"/>
                      <w:color w:val="auto"/>
                      <w:szCs w:val="21"/>
                      <w:u w:val="none"/>
                      <w:lang w:val="en-US" w:eastAsia="zh-CN"/>
                    </w:rPr>
                    <w:t>项目建设于漳江工业园，属于工业用地，且不新增建设用地</w:t>
                  </w:r>
                </w:p>
              </w:tc>
              <w:tc>
                <w:tcPr>
                  <w:tcW w:w="518"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符合</w:t>
                  </w:r>
                </w:p>
              </w:tc>
            </w:tr>
            <w:tr>
              <w:trPr>
                <w:trHeight w:val="1981"/>
              </w:trPr>
              <w:tc>
                <w:tcPr>
                  <w:tcW w:w="682" w:type="pct"/>
                  <w:vAlign w:val="center"/>
                </w:tcPr>
                <w:p>
                  <w:pPr>
                    <w:jc w:val="both"/>
                    <w:rPr>
                      <w:rFonts w:ascii="Times New Roman" w:eastAsia="宋体" w:cs="Times New Roman" w:hAnsi="Times New Roman" w:hint="eastAsia"/>
                      <w:color w:val="auto"/>
                      <w:szCs w:val="21"/>
                      <w:u w:val="none"/>
                    </w:rPr>
                  </w:pPr>
                  <w:r>
                    <w:rPr>
                      <w:rFonts w:cs="Times New Roman" w:hint="eastAsia"/>
                      <w:color w:val="auto"/>
                      <w:szCs w:val="21"/>
                      <w:u w:val="none"/>
                      <w:lang w:eastAsia="zh-CN"/>
                    </w:rPr>
                    <w:t>（七）做好园区建设期生态保护和水土保持。</w:t>
                  </w:r>
                </w:p>
              </w:tc>
              <w:tc>
                <w:tcPr>
                  <w:tcW w:w="2910" w:type="pct"/>
                  <w:vAlign w:val="center"/>
                </w:tcPr>
                <w:p>
                  <w:pPr>
                    <w:jc w:val="both"/>
                    <w:rPr>
                      <w:rFonts w:cs="Times New Roman" w:hint="eastAsia"/>
                      <w:color w:val="auto"/>
                      <w:szCs w:val="21"/>
                      <w:u w:val="none"/>
                      <w:lang w:eastAsia="zh-CN"/>
                    </w:rPr>
                  </w:pPr>
                  <w:r>
                    <w:rPr>
                      <w:rFonts w:cs="Times New Roman" w:hint="eastAsia"/>
                      <w:color w:val="auto"/>
                      <w:szCs w:val="21"/>
                      <w:u w:val="none"/>
                      <w:lang w:eastAsia="zh-CN"/>
                    </w:rPr>
                    <w:t>尽可能保留自然水体，施工期对土石方开挖、堆存及回填要实施围挡、护坡等措施，裸露地及时恢复植被，防止水土流失，杜绝后续施工建设对地表水体的污染。</w:t>
                  </w:r>
                </w:p>
              </w:tc>
              <w:tc>
                <w:tcPr>
                  <w:tcW w:w="887" w:type="pct"/>
                  <w:vAlign w:val="center"/>
                </w:tcPr>
                <w:p>
                  <w:pPr>
                    <w:jc w:val="center"/>
                    <w:rPr>
                      <w:rFonts w:ascii="Times New Roman" w:eastAsia="宋体" w:cs="Times New Roman" w:hAnsi="Times New Roman"/>
                      <w:color w:val="auto"/>
                      <w:szCs w:val="21"/>
                      <w:u w:val="none"/>
                      <w:lang w:val="en-US" w:eastAsia="zh-CN"/>
                    </w:rPr>
                  </w:pPr>
                  <w:r>
                    <w:rPr>
                      <w:rFonts w:cs="Times New Roman" w:hint="eastAsia"/>
                      <w:color w:val="auto"/>
                      <w:szCs w:val="21"/>
                      <w:u w:val="none"/>
                      <w:lang w:val="en-US" w:eastAsia="zh-CN"/>
                    </w:rPr>
                    <w:t>按要求执行</w:t>
                  </w:r>
                </w:p>
              </w:tc>
              <w:tc>
                <w:tcPr>
                  <w:tcW w:w="518" w:type="pct"/>
                  <w:vAlign w:val="center"/>
                </w:tcPr>
                <w:p>
                  <w:pPr>
                    <w:jc w:val="center"/>
                    <w:rPr>
                      <w:rFonts w:ascii="Times New Roman" w:eastAsia="宋体" w:cs="Times New Roman" w:hAnsi="Times New Roman" w:hint="eastAsia"/>
                      <w:color w:val="auto"/>
                      <w:szCs w:val="21"/>
                      <w:u w:val="none"/>
                    </w:rPr>
                  </w:pPr>
                  <w:r>
                    <w:rPr>
                      <w:rFonts w:ascii="Times New Roman" w:eastAsia="宋体" w:cs="Times New Roman" w:hAnsi="Times New Roman" w:hint="eastAsia"/>
                      <w:color w:val="auto"/>
                      <w:szCs w:val="21"/>
                      <w:u w:val="none"/>
                    </w:rPr>
                    <w:t>符合</w:t>
                  </w:r>
                </w:p>
              </w:tc>
            </w:tr>
          </w:tbl>
          <w:p>
            <w:pPr>
              <w:autoSpaceDE w:val="0"/>
              <w:autoSpaceDN w:val="0"/>
              <w:adjustRightInd w:val="0"/>
              <w:snapToGrid w:val="0"/>
              <w:jc w:val="both"/>
              <w:rPr>
                <w:rFonts w:hint="eastAsia"/>
                <w:color w:val="FF0000"/>
                <w:kern w:val="0"/>
                <w:sz w:val="24"/>
                <w:lang w:eastAsia="zh-CN"/>
              </w:rPr>
            </w:pPr>
          </w:p>
        </w:tc>
      </w:tr>
      <w:tr>
        <w:trPr>
          <w:trHeight w:val="454"/>
        </w:trPr>
        <w:tc>
          <w:tcPr>
            <w:tcW w:w="259" w:type="pct"/>
            <w:tcMar>
              <w:left w:w="108" w:type="dxa"/>
            </w:tcMar>
            <w:vAlign w:val="center"/>
          </w:tcPr>
          <w:p>
            <w:pPr>
              <w:autoSpaceDE w:val="0"/>
              <w:autoSpaceDN w:val="0"/>
              <w:adjustRightInd w:val="0"/>
              <w:snapToGrid w:val="0"/>
              <w:spacing w:line="360" w:lineRule="auto"/>
              <w:jc w:val="center"/>
              <w:rPr>
                <w:rFonts w:hint="eastAsia"/>
                <w:color w:val="FF0000"/>
                <w:kern w:val="0"/>
                <w:sz w:val="24"/>
              </w:rPr>
            </w:pPr>
            <w:r>
              <w:rPr>
                <w:rFonts w:hint="eastAsia"/>
                <w:color w:val="auto"/>
                <w:kern w:val="0"/>
                <w:sz w:val="24"/>
              </w:rPr>
              <w:t>其他符合性分析</w:t>
            </w:r>
          </w:p>
        </w:tc>
        <w:tc>
          <w:tcPr>
            <w:tcW w:w="4740" w:type="pct"/>
            <w:gridSpan w:val="5"/>
            <w:tcMar>
              <w:left w:w="108" w:type="dxa"/>
            </w:tcMar>
            <w:vAlign w:val="center"/>
          </w:tcPr>
          <w:p>
            <w:pPr>
              <w:widowControl/>
              <w:spacing w:line="360" w:lineRule="auto"/>
              <w:ind w:firstLineChars="200" w:firstLine="480"/>
              <w:rPr>
                <w:rFonts w:ascii="Times New Roman" w:eastAsia="宋体" w:cs="Times New Roman" w:hAnsi="Times New Roman" w:hint="eastAsia"/>
                <w:b/>
                <w:bCs/>
                <w:color w:val="auto"/>
                <w:kern w:val="0"/>
                <w:sz w:val="24"/>
                <w:lang w:val="en-US" w:eastAsia="zh-CN"/>
              </w:rPr>
            </w:pPr>
            <w:r>
              <w:rPr>
                <w:rFonts w:ascii="Times New Roman" w:eastAsia="宋体" w:cs="Times New Roman" w:hAnsi="Times New Roman" w:hint="eastAsia"/>
                <w:b/>
                <w:bCs/>
                <w:color w:val="auto"/>
                <w:kern w:val="0"/>
                <w:sz w:val="24"/>
                <w:lang w:val="en-US" w:eastAsia="zh-CN"/>
              </w:rPr>
              <w:t>（一）产业政策符合性分析</w:t>
            </w:r>
          </w:p>
          <w:p>
            <w:pPr>
              <w:widowControl/>
              <w:spacing w:line="360" w:lineRule="auto"/>
              <w:ind w:firstLineChars="200" w:firstLine="480"/>
              <w:rPr>
                <w:color w:val="auto"/>
                <w:kern w:val="0"/>
                <w:sz w:val="24"/>
              </w:rPr>
            </w:pPr>
            <w:r>
              <w:rPr>
                <w:rFonts w:ascii="Times New Roman" w:eastAsia="宋体" w:cs="Times New Roman" w:hAnsi="Times New Roman" w:hint="eastAsia"/>
                <w:color w:val="auto"/>
                <w:kern w:val="0"/>
                <w:sz w:val="24"/>
              </w:rPr>
              <w:t>根据《产业结构调整指导目录（20</w:t>
            </w:r>
            <w:r>
              <w:rPr>
                <w:rFonts w:ascii="Times New Roman" w:eastAsia="宋体" w:cs="Times New Roman" w:hAnsi="Times New Roman" w:hint="eastAsia"/>
                <w:color w:val="auto"/>
                <w:kern w:val="0"/>
                <w:sz w:val="24"/>
                <w:lang w:val="en-US" w:eastAsia="zh-CN"/>
              </w:rPr>
              <w:t>24</w:t>
            </w:r>
            <w:r>
              <w:rPr>
                <w:rFonts w:ascii="Times New Roman" w:eastAsia="宋体" w:cs="Times New Roman" w:hAnsi="Times New Roman" w:hint="eastAsia"/>
                <w:color w:val="auto"/>
                <w:kern w:val="0"/>
                <w:sz w:val="24"/>
              </w:rPr>
              <w:t>年本）》，本项目属于第一类鼓励类中“十九、轻工</w:t>
            </w:r>
            <w:r>
              <w:rPr>
                <w:rFonts w:ascii="Times New Roman" w:eastAsia="宋体" w:cs="Times New Roman" w:hAnsi="Times New Roman" w:hint="eastAsia"/>
                <w:color w:val="auto"/>
                <w:kern w:val="0"/>
                <w:sz w:val="24"/>
                <w:lang w:val="en-US" w:eastAsia="zh-CN"/>
              </w:rPr>
              <w:t xml:space="preserve"> </w:t>
            </w:r>
            <w:r>
              <w:rPr>
                <w:rFonts w:ascii="Times New Roman" w:eastAsia="宋体" w:cs="Times New Roman" w:hAnsi="Times New Roman" w:hint="eastAsia"/>
                <w:color w:val="auto"/>
                <w:kern w:val="0"/>
                <w:sz w:val="24"/>
              </w:rPr>
              <w:t>22．</w:t>
            </w:r>
            <w:r>
              <w:rPr>
                <w:rFonts w:ascii="Times New Roman" w:eastAsia="宋体" w:cs="Times New Roman" w:hAnsi="Times New Roman" w:hint="eastAsia"/>
                <w:color w:val="auto"/>
                <w:kern w:val="0"/>
                <w:sz w:val="24"/>
                <w:lang w:val="en-US" w:eastAsia="zh-CN"/>
              </w:rPr>
              <w:t>.......</w:t>
            </w:r>
            <w:r>
              <w:rPr>
                <w:rFonts w:ascii="Times New Roman" w:eastAsia="宋体" w:cs="Times New Roman" w:hAnsi="Times New Roman" w:hint="eastAsia"/>
                <w:color w:val="auto"/>
                <w:kern w:val="0"/>
                <w:sz w:val="24"/>
              </w:rPr>
              <w:t>油茶籽、核桃等木本油料和胡麻、芝麻、葵花籽、牡丹籽等小品种油料加工生产线以及利用超临界二氧化碳萃取工艺技术生产植物油”项目</w:t>
            </w:r>
            <w:r>
              <w:rPr>
                <w:rFonts w:hint="eastAsia"/>
                <w:color w:val="auto"/>
                <w:kern w:val="0"/>
                <w:sz w:val="24"/>
              </w:rPr>
              <w:t>。属于鼓励类项目，因此，本项目建设符合国家及地方的产业政策</w:t>
            </w:r>
            <w:r>
              <w:rPr>
                <w:color w:val="auto"/>
                <w:kern w:val="0"/>
                <w:sz w:val="24"/>
              </w:rPr>
              <w:t>。</w:t>
            </w:r>
          </w:p>
          <w:p>
            <w:pPr>
              <w:widowControl/>
              <w:spacing w:line="360" w:lineRule="auto"/>
              <w:ind w:firstLineChars="200" w:firstLine="480"/>
              <w:rPr>
                <w:b/>
                <w:bCs/>
                <w:color w:val="auto"/>
                <w:kern w:val="0"/>
                <w:sz w:val="24"/>
                <w:lang w:val="en-US"/>
              </w:rPr>
            </w:pPr>
            <w:r>
              <w:rPr>
                <w:rFonts w:ascii="Times New Roman" w:eastAsia="宋体" w:cs="Times New Roman" w:hAnsi="Times New Roman" w:hint="eastAsia"/>
                <w:b/>
                <w:bCs/>
                <w:color w:val="auto"/>
                <w:kern w:val="0"/>
                <w:sz w:val="24"/>
                <w:lang w:val="en-US" w:eastAsia="zh-CN"/>
              </w:rPr>
              <w:t>（二）</w:t>
            </w:r>
            <w:r>
              <w:rPr>
                <w:b/>
                <w:bCs/>
                <w:color w:val="auto"/>
                <w:kern w:val="0"/>
                <w:sz w:val="24"/>
                <w:lang w:val="en-US"/>
              </w:rPr>
              <w:t>项目“三线一单”符合性分析</w:t>
            </w:r>
          </w:p>
          <w:p>
            <w:pPr>
              <w:spacing w:line="360" w:lineRule="auto"/>
              <w:ind w:firstLineChars="200" w:firstLine="480"/>
              <w:rPr>
                <w:color w:val="auto"/>
                <w:sz w:val="24"/>
                <w:lang w:val="en-US"/>
              </w:rPr>
            </w:pPr>
            <w:r>
              <w:rPr>
                <w:color w:val="auto"/>
                <w:sz w:val="24"/>
                <w:lang w:val="en-US"/>
              </w:rPr>
              <w:t>（1）生态红线区域保护规划的相符性</w:t>
            </w:r>
          </w:p>
          <w:p>
            <w:pPr>
              <w:adjustRightInd w:val="0"/>
              <w:snapToGrid w:val="0"/>
              <w:spacing w:line="360" w:lineRule="auto"/>
              <w:ind w:firstLineChars="200" w:firstLine="480"/>
              <w:rPr>
                <w:color w:val="auto"/>
                <w:sz w:val="24"/>
                <w:lang w:val="en-US"/>
              </w:rPr>
            </w:pPr>
            <w:r>
              <w:rPr>
                <w:color w:val="auto"/>
                <w:sz w:val="24"/>
                <w:lang w:val="en-US"/>
              </w:rPr>
              <w:t>本项目</w:t>
            </w:r>
            <w:r>
              <w:rPr>
                <w:rFonts w:hint="eastAsia"/>
                <w:color w:val="auto"/>
                <w:sz w:val="24"/>
                <w:lang w:val="en-US" w:eastAsia="zh-CN"/>
              </w:rPr>
              <w:t>位于</w:t>
            </w:r>
            <w:r>
              <w:rPr>
                <w:color w:val="auto"/>
                <w:sz w:val="24"/>
                <w:lang w:val="en-US" w:eastAsia="zh-CN"/>
              </w:rPr>
              <w:t>桃源高新技术产业开发区（桃源县工业集中区）</w:t>
            </w:r>
            <w:r>
              <w:rPr>
                <w:color w:val="auto"/>
                <w:sz w:val="24"/>
                <w:lang w:val="en-US"/>
              </w:rPr>
              <w:t>，不在自然保护区、风景名胜区、饮用水水源保护区、森林公园、地质公园等重要生态功能区、生态敏感区和脆弱区以及其他要求禁止建设的环境敏感区内，符合生态保护红线的划定原则。</w:t>
            </w:r>
          </w:p>
          <w:p>
            <w:pPr>
              <w:spacing w:line="360" w:lineRule="auto"/>
              <w:ind w:firstLineChars="200" w:firstLine="480"/>
              <w:rPr>
                <w:color w:val="auto"/>
                <w:sz w:val="24"/>
                <w:lang w:val="en-US"/>
              </w:rPr>
            </w:pPr>
            <w:r>
              <w:rPr>
                <w:color w:val="auto"/>
                <w:sz w:val="24"/>
                <w:lang w:val="en-US"/>
              </w:rPr>
              <w:t>（2）环境质量底线相符性</w:t>
            </w:r>
          </w:p>
          <w:p>
            <w:pPr>
              <w:adjustRightInd w:val="0"/>
              <w:snapToGrid w:val="0"/>
              <w:spacing w:line="360" w:lineRule="auto"/>
              <w:ind w:firstLineChars="200" w:firstLine="480"/>
              <w:rPr>
                <w:color w:val="auto"/>
                <w:sz w:val="24"/>
                <w:lang w:val="en-US"/>
              </w:rPr>
            </w:pPr>
            <w:r>
              <w:rPr>
                <w:color w:val="auto"/>
                <w:sz w:val="24"/>
                <w:lang w:val="en-US"/>
              </w:rPr>
              <w:t>由环境现状调查可知，建设项目所在区域环境空气达标；地表水环境、声环境等均满足相应的功能区划要求，具有一定的环境承载力。根据预测分析，本项目的建设不会改变区域环境功能属性，项目的建设符合环境质量底线要求。</w:t>
            </w:r>
          </w:p>
          <w:p>
            <w:pPr>
              <w:adjustRightInd w:val="0"/>
              <w:snapToGrid w:val="0"/>
              <w:spacing w:line="360" w:lineRule="auto"/>
              <w:ind w:firstLineChars="200" w:firstLine="480"/>
              <w:rPr>
                <w:color w:val="auto"/>
                <w:sz w:val="24"/>
                <w:lang w:val="en-US"/>
              </w:rPr>
            </w:pPr>
            <w:r>
              <w:rPr>
                <w:color w:val="auto"/>
                <w:sz w:val="24"/>
                <w:lang w:val="en-US"/>
              </w:rPr>
              <w:t>（3）资源利用上线相符性</w:t>
            </w:r>
          </w:p>
          <w:p>
            <w:pPr>
              <w:adjustRightInd w:val="0"/>
              <w:snapToGrid w:val="0"/>
              <w:spacing w:line="360" w:lineRule="auto"/>
              <w:ind w:firstLineChars="200" w:firstLine="480"/>
              <w:rPr>
                <w:color w:val="auto"/>
                <w:sz w:val="24"/>
                <w:lang w:val="en-US"/>
              </w:rPr>
            </w:pPr>
            <w:r>
              <w:rPr>
                <w:color w:val="auto"/>
                <w:sz w:val="24"/>
                <w:lang w:val="en-US"/>
              </w:rPr>
              <w:t>本项目所使用的能源主要为电能；本项目选用了高效、先进的设备，自动化程度较高，提高了生产效率，减少了产品的损耗率，减少了原料的用量和废料的产生量，减少了物流运输次数和运输量，节省了能源。综上，本项目的建设符合资源利用上线的要求。</w:t>
            </w:r>
          </w:p>
          <w:p>
            <w:pPr>
              <w:autoSpaceDE w:val="0"/>
              <w:autoSpaceDN w:val="0"/>
              <w:adjustRightInd w:val="0"/>
              <w:spacing w:line="360" w:lineRule="auto"/>
              <w:ind w:firstLineChars="200" w:firstLine="480"/>
              <w:rPr>
                <w:color w:val="auto"/>
                <w:kern w:val="0"/>
                <w:sz w:val="24"/>
                <w:lang w:val="en-US"/>
              </w:rPr>
            </w:pPr>
            <w:r>
              <w:rPr>
                <w:color w:val="auto"/>
                <w:kern w:val="0"/>
                <w:sz w:val="24"/>
                <w:lang w:val="en-US"/>
              </w:rPr>
              <w:t>（4）环境准入负面清单相符性</w:t>
            </w:r>
          </w:p>
          <w:p>
            <w:pPr>
              <w:widowControl/>
              <w:spacing w:line="360" w:lineRule="auto"/>
              <w:ind w:firstLineChars="200" w:firstLine="480"/>
              <w:rPr>
                <w:b/>
                <w:bCs/>
                <w:color w:val="auto"/>
                <w:kern w:val="0"/>
                <w:sz w:val="24"/>
                <w:lang w:val="en-US" w:eastAsia="zh-CN"/>
              </w:rPr>
            </w:pPr>
            <w:r>
              <w:rPr>
                <w:rFonts w:ascii="Times New Roman" w:hAnsi="Times New Roman" w:hint="eastAsia"/>
                <w:bCs/>
                <w:snapToGrid w:val="0"/>
                <w:color w:val="auto"/>
                <w:sz w:val="24"/>
                <w:lang w:val="en-US" w:eastAsia="zh-CN"/>
              </w:rPr>
              <w:t>见下文《湖南省生态环境分区管控总体管控要求暨省级以上产业园区生态环境准入清单（2023版）》</w:t>
            </w:r>
            <w:r>
              <w:rPr>
                <w:rFonts w:ascii="宋体" w:cs="宋体" w:hAnsi="宋体"/>
                <w:color w:val="auto"/>
                <w:sz w:val="24"/>
                <w:lang w:val="en-US"/>
              </w:rPr>
              <w:t>。</w:t>
            </w:r>
          </w:p>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rFonts w:ascii="宋体" w:eastAsia="宋体" w:cs="宋体" w:hAnsi="宋体"/>
                <w:b/>
                <w:bCs/>
                <w:color w:val="auto"/>
                <w:sz w:val="24"/>
                <w:szCs w:val="24"/>
              </w:rPr>
            </w:pPr>
            <w:r>
              <w:rPr>
                <w:rFonts w:ascii="Times New Roman" w:cs="Times New Roman" w:hAnsi="Times New Roman" w:hint="eastAsia"/>
                <w:b/>
                <w:bCs/>
                <w:color w:val="auto"/>
                <w:kern w:val="0"/>
                <w:sz w:val="24"/>
                <w:lang w:eastAsia="zh-CN"/>
              </w:rPr>
              <w:t>（三）</w:t>
            </w:r>
            <w:r>
              <w:rPr>
                <w:rFonts w:ascii="宋体" w:eastAsia="宋体" w:cs="宋体" w:hAnsi="宋体" w:hint="eastAsia"/>
                <w:b/>
                <w:bCs/>
                <w:color w:val="auto"/>
                <w:sz w:val="24"/>
                <w:szCs w:val="24"/>
              </w:rPr>
              <w:t>与《湖南省生态环境分区管控总体管控要求暨省级以上产业园区生态环境准入清单（2023版）》的相符性分析</w:t>
            </w:r>
          </w:p>
          <w:p>
            <w:pPr>
              <w:adjustRightInd w:val="0"/>
              <w:snapToGrid w:val="0"/>
              <w:spacing w:line="360" w:lineRule="auto"/>
              <w:ind w:firstLineChars="200" w:firstLine="480"/>
              <w:rPr>
                <w:rFonts w:ascii="Times New Roman" w:eastAsia="宋体" w:cs="Times New Roman" w:hAnsi="Times New Roman" w:hint="eastAsia"/>
                <w:color w:val="auto"/>
                <w:sz w:val="24"/>
                <w:lang w:val="en-US"/>
              </w:rPr>
            </w:pPr>
            <w:r>
              <w:rPr>
                <w:rFonts w:ascii="Times New Roman" w:eastAsia="宋体" w:cs="Times New Roman" w:hAnsi="Times New Roman"/>
                <w:color w:val="auto"/>
                <w:sz w:val="24"/>
                <w:lang w:val="en-US"/>
              </w:rPr>
              <w:t>对照与《湖南省生态环境分区管控总体管控要求暨省级以上产业园区生态环境准入清单（2023版）》符合性分析，根据《桃源高新技术产业开发区规划环境影响报告书》9.2.4.1 生态环境准入清单更新建议，项目符合桃源高新技术产业开发区更新后的生态环境准入清单的要求。</w:t>
            </w:r>
          </w:p>
          <w:p>
            <w:pPr>
              <w:pStyle w:val="36"/>
              <w:spacing w:beforeLines="50" w:before="120" w:line="360" w:lineRule="auto"/>
              <w:jc w:val="center"/>
              <w:rPr>
                <w:rFonts w:ascii="Times New Roman" w:cs="Times New Roman" w:hAnsi="Times New Roman" w:hint="eastAsia"/>
                <w:b/>
                <w:bCs/>
                <w:color w:val="auto"/>
                <w:sz w:val="21"/>
                <w:szCs w:val="21"/>
                <w:u w:val="none"/>
              </w:rPr>
            </w:pPr>
            <w:r>
              <w:rPr>
                <w:rFonts w:ascii="Times New Roman" w:cs="Times New Roman" w:hAnsi="Times New Roman" w:hint="eastAsia"/>
                <w:b/>
                <w:bCs/>
                <w:color w:val="auto"/>
                <w:sz w:val="21"/>
                <w:szCs w:val="21"/>
                <w:u w:val="none"/>
              </w:rPr>
              <w:t>表1-4  项目与生态环境准入清单符合性分析</w:t>
            </w:r>
          </w:p>
          <w:tbl>
            <w:tblPr>
              <w:jc w:val="cente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873"/>
              <w:gridCol w:w="5923"/>
              <w:gridCol w:w="1410"/>
              <w:gridCol w:w="518"/>
            </w:tblGrid>
            <w:tr>
              <w:trPr>
                <w:trHeight w:val="340"/>
              </w:trPr>
              <w:tc>
                <w:tcPr>
                  <w:tcW w:w="500" w:type="pct"/>
                  <w:vAlign w:val="center"/>
                </w:tcPr>
                <w:p>
                  <w:pPr>
                    <w:pStyle w:val="61"/>
                    <w:rPr>
                      <w:b/>
                      <w:bCs/>
                      <w:color w:val="auto"/>
                      <w:szCs w:val="21"/>
                      <w:u w:val="none"/>
                      <w:lang w:val="en-US"/>
                    </w:rPr>
                  </w:pPr>
                  <w:r>
                    <w:rPr>
                      <w:b/>
                      <w:bCs/>
                      <w:color w:val="auto"/>
                      <w:szCs w:val="21"/>
                      <w:u w:val="none"/>
                      <w:lang w:val="en-US"/>
                    </w:rPr>
                    <w:t>管控维度</w:t>
                  </w:r>
                </w:p>
              </w:tc>
              <w:tc>
                <w:tcPr>
                  <w:tcW w:w="3393" w:type="pct"/>
                  <w:vAlign w:val="center"/>
                </w:tcPr>
                <w:p>
                  <w:pPr>
                    <w:pStyle w:val="61"/>
                    <w:rPr>
                      <w:b/>
                      <w:bCs/>
                      <w:color w:val="auto"/>
                      <w:szCs w:val="21"/>
                      <w:u w:val="none"/>
                      <w:lang w:val="en-US"/>
                    </w:rPr>
                  </w:pPr>
                  <w:r>
                    <w:rPr>
                      <w:b/>
                      <w:bCs/>
                      <w:color w:val="auto"/>
                      <w:szCs w:val="21"/>
                      <w:u w:val="none"/>
                      <w:lang w:val="en-US"/>
                    </w:rPr>
                    <w:t>文件要求</w:t>
                  </w:r>
                </w:p>
              </w:tc>
              <w:tc>
                <w:tcPr>
                  <w:tcW w:w="808" w:type="pct"/>
                  <w:vAlign w:val="center"/>
                </w:tcPr>
                <w:p>
                  <w:pPr>
                    <w:pStyle w:val="61"/>
                    <w:rPr>
                      <w:b/>
                      <w:bCs/>
                      <w:color w:val="auto"/>
                      <w:szCs w:val="21"/>
                      <w:u w:val="none"/>
                      <w:lang w:val="en-US"/>
                    </w:rPr>
                  </w:pPr>
                  <w:r>
                    <w:rPr>
                      <w:b/>
                      <w:bCs/>
                      <w:color w:val="auto"/>
                      <w:szCs w:val="21"/>
                      <w:u w:val="none"/>
                      <w:lang w:val="en-US"/>
                    </w:rPr>
                    <w:t>本项目</w:t>
                  </w:r>
                </w:p>
              </w:tc>
              <w:tc>
                <w:tcPr>
                  <w:tcW w:w="297" w:type="pct"/>
                  <w:vAlign w:val="center"/>
                </w:tcPr>
                <w:p>
                  <w:pPr>
                    <w:pStyle w:val="61"/>
                    <w:rPr>
                      <w:b/>
                      <w:bCs/>
                      <w:color w:val="auto"/>
                      <w:szCs w:val="21"/>
                      <w:u w:val="none"/>
                      <w:lang w:val="en-US"/>
                    </w:rPr>
                  </w:pPr>
                  <w:r>
                    <w:rPr>
                      <w:b/>
                      <w:bCs/>
                      <w:color w:val="auto"/>
                      <w:szCs w:val="21"/>
                      <w:u w:val="none"/>
                      <w:lang w:val="en-US"/>
                    </w:rPr>
                    <w:t>符合性</w:t>
                  </w:r>
                </w:p>
              </w:tc>
            </w:tr>
            <w:tr>
              <w:trPr>
                <w:trHeight w:val="340"/>
              </w:trPr>
              <w:tc>
                <w:tcPr>
                  <w:tcW w:w="500" w:type="pct"/>
                  <w:vAlign w:val="center"/>
                </w:tcPr>
                <w:p>
                  <w:pPr>
                    <w:pStyle w:val="61"/>
                    <w:jc w:val="center"/>
                    <w:rPr>
                      <w:color w:val="auto"/>
                      <w:szCs w:val="21"/>
                      <w:u w:val="none"/>
                      <w:lang w:val="en-US"/>
                    </w:rPr>
                  </w:pPr>
                  <w:r>
                    <w:rPr>
                      <w:color w:val="auto"/>
                      <w:szCs w:val="21"/>
                      <w:u w:val="none"/>
                      <w:lang w:val="en-US"/>
                    </w:rPr>
                    <w:t>空间布局约束</w:t>
                  </w:r>
                </w:p>
              </w:tc>
              <w:tc>
                <w:tcPr>
                  <w:tcW w:w="3393" w:type="pct"/>
                  <w:vAlign w:val="center"/>
                </w:tcPr>
                <w:p>
                  <w:pPr>
                    <w:pStyle w:val="61"/>
                    <w:jc w:val="left"/>
                    <w:rPr>
                      <w:color w:val="auto"/>
                      <w:szCs w:val="21"/>
                      <w:u w:val="none"/>
                      <w:lang w:val="en-US"/>
                    </w:rPr>
                  </w:pPr>
                  <w:r>
                    <w:rPr>
                      <w:color w:val="auto"/>
                      <w:szCs w:val="21"/>
                      <w:u w:val="none"/>
                      <w:lang w:val="en-US"/>
                    </w:rPr>
                    <w:t>(1.1)区块一(创元工业园):限制废水排放量大及废水污染物成分复杂的项目入园。</w:t>
                  </w:r>
                </w:p>
                <w:p>
                  <w:pPr>
                    <w:pStyle w:val="61"/>
                    <w:jc w:val="left"/>
                    <w:rPr>
                      <w:color w:val="auto"/>
                      <w:szCs w:val="21"/>
                      <w:u w:val="none"/>
                      <w:lang w:val="en-US"/>
                    </w:rPr>
                  </w:pPr>
                  <w:r>
                    <w:rPr>
                      <w:color w:val="auto"/>
                      <w:szCs w:val="21"/>
                      <w:u w:val="none"/>
                      <w:lang w:val="en-US"/>
                    </w:rPr>
                    <w:t>(12)区块二、区块三、区块四、区块五、区块六(陬市工业园):限制引进以重金属为特征污染物的废水排放项目。</w:t>
                  </w:r>
                </w:p>
                <w:p>
                  <w:pPr>
                    <w:pStyle w:val="61"/>
                    <w:jc w:val="left"/>
                    <w:rPr>
                      <w:color w:val="auto"/>
                      <w:szCs w:val="21"/>
                      <w:u w:val="none"/>
                      <w:lang w:val="en-US"/>
                    </w:rPr>
                  </w:pPr>
                  <w:r>
                    <w:rPr>
                      <w:color w:val="auto"/>
                      <w:szCs w:val="21"/>
                      <w:u w:val="none"/>
                      <w:lang w:val="en-US"/>
                    </w:rPr>
                    <w:t>(1.3)区块七(漳江创业园):限制重气型污染源项目准入。禁止新建印染生产项目，不得引进线路板制造项目。</w:t>
                  </w:r>
                </w:p>
                <w:p>
                  <w:pPr>
                    <w:pStyle w:val="61"/>
                    <w:jc w:val="left"/>
                    <w:rPr>
                      <w:color w:val="auto"/>
                      <w:szCs w:val="21"/>
                      <w:u w:val="none"/>
                      <w:lang w:val="en-US"/>
                    </w:rPr>
                  </w:pPr>
                  <w:r>
                    <w:rPr>
                      <w:color w:val="auto"/>
                      <w:szCs w:val="21"/>
                      <w:u w:val="none"/>
                      <w:lang w:val="en-US"/>
                    </w:rPr>
                    <w:t>(1</w:t>
                  </w:r>
                  <w:r>
                    <w:rPr>
                      <w:rFonts w:hint="eastAsia"/>
                      <w:color w:val="auto"/>
                      <w:szCs w:val="21"/>
                      <w:u w:val="none"/>
                      <w:lang w:val="en-US" w:eastAsia="zh-CN"/>
                    </w:rPr>
                    <w:t>.</w:t>
                  </w:r>
                  <w:r>
                    <w:rPr>
                      <w:color w:val="auto"/>
                      <w:szCs w:val="21"/>
                      <w:u w:val="none"/>
                      <w:lang w:val="en-US"/>
                    </w:rPr>
                    <w:t>4)高新区不得超过污水处理厂的处理能力和排污口审批所规定的废水排放量引进项目。加强完善陬市片区区块二、区块六的水污染防治设施，其建成运行前，相关区块应限制引进废水排放企业。园区周边新建集中居住区、学校、医院的，应尽量远离工业集中的区域布局。</w:t>
                  </w:r>
                </w:p>
              </w:tc>
              <w:tc>
                <w:tcPr>
                  <w:tcW w:w="808" w:type="pct"/>
                  <w:vAlign w:val="center"/>
                </w:tcPr>
                <w:p>
                  <w:pPr>
                    <w:pStyle w:val="61"/>
                    <w:jc w:val="both"/>
                    <w:rPr>
                      <w:color w:val="auto"/>
                      <w:szCs w:val="21"/>
                      <w:u w:val="none"/>
                      <w:lang w:val="en-US"/>
                    </w:rPr>
                  </w:pPr>
                  <w:r>
                    <w:rPr>
                      <w:color w:val="auto"/>
                      <w:szCs w:val="21"/>
                      <w:u w:val="none"/>
                      <w:lang w:val="en-US"/>
                    </w:rPr>
                    <w:t>本项目</w:t>
                  </w:r>
                  <w:r>
                    <w:rPr>
                      <w:color w:val="auto"/>
                      <w:szCs w:val="21"/>
                      <w:u w:val="none"/>
                      <w:lang w:val="en-US" w:eastAsia="zh-CN"/>
                    </w:rPr>
                    <w:t>位于漳江片区属于</w:t>
                  </w:r>
                  <w:r>
                    <w:rPr>
                      <w:rFonts w:hint="eastAsia"/>
                      <w:color w:val="auto"/>
                      <w:u w:val="none"/>
                      <w:lang w:val="en-US" w:eastAsia="zh-CN"/>
                    </w:rPr>
                    <w:t>食用植物油加工项目</w:t>
                  </w:r>
                  <w:r>
                    <w:rPr>
                      <w:color w:val="auto"/>
                      <w:szCs w:val="21"/>
                      <w:u w:val="none"/>
                      <w:lang w:val="en-US"/>
                    </w:rPr>
                    <w:t>不属于限制重气型污染源项目，故不属于限制入园类企业。</w:t>
                  </w:r>
                </w:p>
              </w:tc>
              <w:tc>
                <w:tcPr>
                  <w:tcW w:w="297" w:type="pct"/>
                  <w:vAlign w:val="center"/>
                </w:tcPr>
                <w:p>
                  <w:pPr>
                    <w:pStyle w:val="61"/>
                    <w:rPr>
                      <w:color w:val="auto"/>
                      <w:szCs w:val="21"/>
                      <w:u w:val="none"/>
                      <w:lang w:val="en-US"/>
                    </w:rPr>
                  </w:pPr>
                  <w:r>
                    <w:rPr>
                      <w:color w:val="auto"/>
                      <w:szCs w:val="21"/>
                      <w:u w:val="none"/>
                      <w:lang w:val="en-US"/>
                    </w:rPr>
                    <w:t>符合要求</w:t>
                  </w:r>
                </w:p>
              </w:tc>
            </w:tr>
            <w:tr>
              <w:trPr>
                <w:trHeight w:val="340"/>
              </w:trPr>
              <w:tc>
                <w:tcPr>
                  <w:tcW w:w="500" w:type="pct"/>
                  <w:vAlign w:val="center"/>
                </w:tcPr>
                <w:p>
                  <w:pPr>
                    <w:pStyle w:val="61"/>
                    <w:jc w:val="center"/>
                    <w:rPr>
                      <w:color w:val="auto"/>
                      <w:szCs w:val="21"/>
                      <w:u w:val="none"/>
                      <w:lang w:val="en-US"/>
                    </w:rPr>
                  </w:pPr>
                  <w:r>
                    <w:rPr>
                      <w:color w:val="auto"/>
                      <w:szCs w:val="21"/>
                      <w:u w:val="none"/>
                      <w:lang w:val="en-US"/>
                    </w:rPr>
                    <w:t>污染物排放管控</w:t>
                  </w:r>
                </w:p>
              </w:tc>
              <w:tc>
                <w:tcPr>
                  <w:tcW w:w="3393" w:type="pct"/>
                </w:tcPr>
                <w:p>
                  <w:pPr>
                    <w:pStyle w:val="61"/>
                    <w:jc w:val="both"/>
                    <w:rPr>
                      <w:color w:val="auto"/>
                      <w:szCs w:val="21"/>
                      <w:u w:val="none"/>
                      <w:lang w:val="en-US"/>
                    </w:rPr>
                  </w:pPr>
                  <w:r>
                    <w:rPr>
                      <w:color w:val="auto"/>
                      <w:szCs w:val="21"/>
                      <w:u w:val="none"/>
                      <w:lang w:val="en-US"/>
                    </w:rPr>
                    <w:t>(2.1)废水：</w:t>
                  </w:r>
                </w:p>
                <w:p>
                  <w:pPr>
                    <w:pStyle w:val="61"/>
                    <w:jc w:val="both"/>
                    <w:rPr>
                      <w:color w:val="auto"/>
                      <w:szCs w:val="21"/>
                      <w:u w:val="none"/>
                      <w:lang w:val="en-US"/>
                    </w:rPr>
                  </w:pPr>
                  <w:r>
                    <w:rPr>
                      <w:color w:val="auto"/>
                      <w:szCs w:val="21"/>
                      <w:u w:val="none"/>
                      <w:lang w:val="en-US"/>
                    </w:rPr>
                    <w:t>区块一至区块七：完善各片区污水管网建设，实施雨污分流，污污分流，确保高新区各片区生产生活废水应收尽收，集中纳入污水处理设施处理。</w:t>
                  </w:r>
                </w:p>
                <w:p>
                  <w:pPr>
                    <w:pStyle w:val="61"/>
                    <w:jc w:val="both"/>
                    <w:rPr>
                      <w:color w:val="auto"/>
                      <w:szCs w:val="21"/>
                      <w:u w:val="none"/>
                      <w:lang w:val="en-US"/>
                    </w:rPr>
                  </w:pPr>
                  <w:r>
                    <w:rPr>
                      <w:color w:val="auto"/>
                      <w:szCs w:val="21"/>
                      <w:u w:val="none"/>
                      <w:lang w:val="en-US"/>
                    </w:rPr>
                    <w:t>区块一(创元工业园)</w:t>
                  </w:r>
                  <w:r>
                    <w:rPr>
                      <w:rFonts w:hint="eastAsia"/>
                      <w:color w:val="auto"/>
                      <w:szCs w:val="21"/>
                      <w:u w:val="none"/>
                      <w:lang w:val="en-US" w:eastAsia="zh-CN"/>
                    </w:rPr>
                    <w:t>：</w:t>
                  </w:r>
                  <w:r>
                    <w:rPr>
                      <w:color w:val="auto"/>
                      <w:szCs w:val="21"/>
                      <w:u w:val="none"/>
                      <w:lang w:val="en-US"/>
                    </w:rPr>
                    <w:t>通过创元污水处理厂处理达标后排入花树桥溪后经马陬河排入沅江。雨水经花树桥溪最终排入马陬河。</w:t>
                  </w:r>
                </w:p>
                <w:p>
                  <w:pPr>
                    <w:pStyle w:val="61"/>
                    <w:jc w:val="both"/>
                    <w:rPr>
                      <w:color w:val="auto"/>
                      <w:szCs w:val="21"/>
                      <w:u w:val="none"/>
                      <w:lang w:val="en-US"/>
                    </w:rPr>
                  </w:pPr>
                  <w:r>
                    <w:rPr>
                      <w:color w:val="auto"/>
                      <w:szCs w:val="21"/>
                      <w:u w:val="none"/>
                      <w:lang w:val="en-US"/>
                    </w:rPr>
                    <w:t>区块二、区块三、区块四、区块五、区块六(陬市工业园):陬市工业园污水进入陬市污水处理厂，其尾水经陬溪河排入沅江。在区域排水管网连通及污水处理厂整改提标工作未完成前，限制引进和建设涉废水排放的企业。雨水根据地势条件排入陬溪河，最终排入沅江，</w:t>
                  </w:r>
                </w:p>
                <w:p>
                  <w:pPr>
                    <w:pStyle w:val="61"/>
                    <w:jc w:val="both"/>
                    <w:rPr>
                      <w:color w:val="auto"/>
                      <w:szCs w:val="21"/>
                      <w:u w:val="none"/>
                      <w:lang w:val="en-US"/>
                    </w:rPr>
                  </w:pPr>
                  <w:r>
                    <w:rPr>
                      <w:color w:val="auto"/>
                      <w:szCs w:val="21"/>
                      <w:u w:val="none"/>
                      <w:lang w:val="en-US"/>
                    </w:rPr>
                    <w:t>区块七(漳江创业园):漳江创业园污水进入桃源第二污水处理厂，处理达标后排入胜利渠再进入沅江；漳江创业园内雨水排入胜利渠，最终排入延溪河。</w:t>
                  </w:r>
                </w:p>
                <w:p>
                  <w:pPr>
                    <w:pStyle w:val="61"/>
                    <w:jc w:val="both"/>
                    <w:rPr>
                      <w:color w:val="auto"/>
                      <w:szCs w:val="21"/>
                      <w:u w:val="none"/>
                      <w:lang w:val="en-US"/>
                    </w:rPr>
                  </w:pPr>
                  <w:r>
                    <w:rPr>
                      <w:color w:val="auto"/>
                      <w:szCs w:val="21"/>
                      <w:u w:val="none"/>
                      <w:lang w:val="en-US"/>
                    </w:rPr>
                    <w:t>(2.2)废气</w:t>
                  </w:r>
                </w:p>
                <w:p>
                  <w:pPr>
                    <w:pStyle w:val="61"/>
                    <w:jc w:val="both"/>
                    <w:rPr>
                      <w:color w:val="auto"/>
                      <w:szCs w:val="21"/>
                      <w:u w:val="none"/>
                      <w:lang w:val="en-US"/>
                    </w:rPr>
                  </w:pPr>
                  <w:r>
                    <w:rPr>
                      <w:color w:val="auto"/>
                      <w:szCs w:val="21"/>
                      <w:u w:val="none"/>
                      <w:lang w:val="en-US"/>
                    </w:rPr>
                    <w:t>(2.2.1)提高高新区清洁能源使用效率，减少废气污染物排放，督促企业对废气无组织排放加强控制，对重点排放的企业予以严格监管，确保其处理设施稳妥、持续有效运行。</w:t>
                  </w:r>
                </w:p>
                <w:p>
                  <w:pPr>
                    <w:pStyle w:val="61"/>
                    <w:jc w:val="both"/>
                    <w:rPr>
                      <w:color w:val="auto"/>
                      <w:szCs w:val="21"/>
                      <w:u w:val="none"/>
                      <w:lang w:val="en-US"/>
                    </w:rPr>
                  </w:pPr>
                  <w:r>
                    <w:rPr>
                      <w:color w:val="auto"/>
                      <w:szCs w:val="21"/>
                      <w:u w:val="none"/>
                      <w:lang w:val="en-US"/>
                    </w:rPr>
                    <w:t>(2.2.2)强化源头管控和末端治理，实施企业VOCs原料替代、排放全过程控制，加快推进工业涂装等行业企业VOCs治理，加强工业机械制造产业链VOCs治理，实行重点排放源排放浓度与去除效率双重控制。加大锅炉、炉窑氮氧化物减排力度，完善臭氧和VOCs监测体系。</w:t>
                  </w:r>
                </w:p>
                <w:p>
                  <w:pPr>
                    <w:pStyle w:val="61"/>
                    <w:jc w:val="both"/>
                    <w:rPr>
                      <w:color w:val="auto"/>
                      <w:szCs w:val="21"/>
                      <w:u w:val="none"/>
                      <w:lang w:val="en-US"/>
                    </w:rPr>
                  </w:pPr>
                  <w:r>
                    <w:rPr>
                      <w:color w:val="auto"/>
                      <w:szCs w:val="21"/>
                      <w:u w:val="none"/>
                      <w:lang w:val="en-US"/>
                    </w:rPr>
                    <w:t>(2.3)高新区内纺织、食品等行业及涉锅炉大气污染物排放应满足《湖南省生态环境厅关于执行污染物特别排放限值(第一批)的公告》中的要求。</w:t>
                  </w:r>
                </w:p>
                <w:p>
                  <w:pPr>
                    <w:pStyle w:val="61"/>
                    <w:jc w:val="both"/>
                    <w:rPr>
                      <w:color w:val="auto"/>
                      <w:szCs w:val="21"/>
                      <w:u w:val="none"/>
                      <w:lang w:val="en-US"/>
                    </w:rPr>
                  </w:pPr>
                  <w:r>
                    <w:rPr>
                      <w:color w:val="auto"/>
                      <w:szCs w:val="21"/>
                      <w:u w:val="none"/>
                      <w:lang w:val="en-US"/>
                    </w:rPr>
                    <w:t>(2.4)固废：建立高新区固废规范化管理体系，做好工业固体废物和生活垃圾的分类收集、转运、综合利用和无害化处理。对危险废物应严格按照国家有关规定综合利用或妥善处置，对危险废物产生企业和经营单位，应强化日常环境监管。</w:t>
                  </w:r>
                </w:p>
                <w:p>
                  <w:pPr>
                    <w:pStyle w:val="61"/>
                    <w:jc w:val="both"/>
                    <w:rPr>
                      <w:color w:val="auto"/>
                      <w:szCs w:val="21"/>
                      <w:u w:val="none"/>
                      <w:lang w:val="en-US"/>
                    </w:rPr>
                  </w:pPr>
                  <w:r>
                    <w:rPr>
                      <w:color w:val="auto"/>
                      <w:szCs w:val="21"/>
                      <w:u w:val="none"/>
                      <w:lang w:val="en-US"/>
                    </w:rPr>
                    <w:t>(2.5)高新区要落实排污许可制度和污染物排放总量控制，督促入园企业按要求完成竣工环境保护验收工作，推动入园企业开展清洁生产审核，强化对重点产排污企业的监管与服务。</w:t>
                  </w:r>
                </w:p>
              </w:tc>
              <w:tc>
                <w:tcPr>
                  <w:tcW w:w="808" w:type="pct"/>
                  <w:vAlign w:val="center"/>
                </w:tcPr>
                <w:p>
                  <w:pPr>
                    <w:pStyle w:val="61"/>
                    <w:jc w:val="both"/>
                    <w:rPr>
                      <w:color w:val="auto"/>
                      <w:szCs w:val="21"/>
                      <w:u w:val="none"/>
                      <w:lang w:val="en-US"/>
                    </w:rPr>
                  </w:pPr>
                  <w:r>
                    <w:rPr>
                      <w:color w:val="auto"/>
                      <w:szCs w:val="21"/>
                      <w:u w:val="none"/>
                      <w:lang w:val="en-US"/>
                    </w:rPr>
                    <w:t>（2.1）本项目生活污水经化粪池预处理达标后</w:t>
                  </w:r>
                  <w:r>
                    <w:rPr>
                      <w:color w:val="auto"/>
                      <w:szCs w:val="21"/>
                      <w:u w:val="none"/>
                      <w:lang w:val="en-US" w:eastAsia="zh-CN"/>
                    </w:rPr>
                    <w:t>排入园区管网。</w:t>
                  </w:r>
                </w:p>
                <w:p>
                  <w:pPr>
                    <w:pStyle w:val="61"/>
                    <w:jc w:val="both"/>
                    <w:rPr>
                      <w:color w:val="auto"/>
                      <w:szCs w:val="21"/>
                      <w:u w:val="none"/>
                      <w:lang w:val="en-US"/>
                    </w:rPr>
                  </w:pPr>
                  <w:r>
                    <w:rPr>
                      <w:color w:val="auto"/>
                      <w:szCs w:val="21"/>
                      <w:u w:val="none"/>
                      <w:lang w:val="en-US"/>
                    </w:rPr>
                    <w:t>（2.2）本项目各类生产废气均采取有效收集与处置措施，经采取本评价要求的环保措施后均可实现达标排放。</w:t>
                  </w:r>
                </w:p>
                <w:p>
                  <w:pPr>
                    <w:pStyle w:val="61"/>
                    <w:jc w:val="both"/>
                    <w:rPr>
                      <w:color w:val="auto"/>
                      <w:szCs w:val="21"/>
                      <w:u w:val="none"/>
                      <w:lang w:val="en-US"/>
                    </w:rPr>
                  </w:pPr>
                  <w:r>
                    <w:rPr>
                      <w:color w:val="auto"/>
                      <w:szCs w:val="21"/>
                      <w:u w:val="none"/>
                      <w:lang w:val="en-US"/>
                    </w:rPr>
                    <w:t>（2.3）</w:t>
                  </w:r>
                  <w:r>
                    <w:rPr>
                      <w:color w:val="auto"/>
                      <w:szCs w:val="21"/>
                      <w:u w:val="none"/>
                      <w:lang w:val="en-US" w:eastAsia="zh-CN"/>
                    </w:rPr>
                    <w:t>项目不涉及锅炉</w:t>
                  </w:r>
                  <w:r>
                    <w:rPr>
                      <w:color w:val="auto"/>
                      <w:szCs w:val="21"/>
                      <w:u w:val="none"/>
                      <w:lang w:val="en-US"/>
                    </w:rPr>
                    <w:t>。</w:t>
                  </w:r>
                </w:p>
                <w:p>
                  <w:pPr>
                    <w:pStyle w:val="61"/>
                    <w:jc w:val="both"/>
                    <w:rPr>
                      <w:color w:val="0000FF"/>
                      <w:szCs w:val="21"/>
                      <w:u w:val="none"/>
                      <w:lang w:val="en-US"/>
                    </w:rPr>
                  </w:pPr>
                  <w:r>
                    <w:rPr>
                      <w:color w:val="auto"/>
                      <w:szCs w:val="21"/>
                      <w:u w:val="none"/>
                      <w:lang w:val="en-US"/>
                    </w:rPr>
                    <w:t>（2.4）本项目产生的各类固体废物均能得到妥善处置。</w:t>
                  </w:r>
                </w:p>
              </w:tc>
              <w:tc>
                <w:tcPr>
                  <w:tcW w:w="297" w:type="pct"/>
                  <w:vAlign w:val="center"/>
                </w:tcPr>
                <w:p>
                  <w:pPr>
                    <w:pStyle w:val="61"/>
                    <w:rPr>
                      <w:color w:val="0000FF"/>
                      <w:szCs w:val="21"/>
                      <w:u w:val="none"/>
                      <w:lang w:val="en-US"/>
                    </w:rPr>
                  </w:pPr>
                  <w:r>
                    <w:rPr>
                      <w:color w:val="auto"/>
                      <w:szCs w:val="21"/>
                      <w:u w:val="none"/>
                      <w:lang w:val="en-US"/>
                    </w:rPr>
                    <w:t>符合要求</w:t>
                  </w:r>
                </w:p>
              </w:tc>
            </w:tr>
            <w:tr>
              <w:trPr>
                <w:trHeight w:val="340"/>
              </w:trPr>
              <w:tc>
                <w:tcPr>
                  <w:tcW w:w="500" w:type="pct"/>
                  <w:vAlign w:val="center"/>
                </w:tcPr>
                <w:p>
                  <w:pPr>
                    <w:pStyle w:val="61"/>
                    <w:jc w:val="center"/>
                    <w:rPr>
                      <w:color w:val="auto"/>
                      <w:szCs w:val="21"/>
                      <w:u w:val="none"/>
                      <w:lang w:val="en-US"/>
                    </w:rPr>
                  </w:pPr>
                  <w:r>
                    <w:rPr>
                      <w:color w:val="auto"/>
                      <w:szCs w:val="21"/>
                      <w:u w:val="none"/>
                      <w:lang w:val="en-US"/>
                    </w:rPr>
                    <w:t>环境风险防控</w:t>
                  </w:r>
                </w:p>
              </w:tc>
              <w:tc>
                <w:tcPr>
                  <w:tcW w:w="3393" w:type="pct"/>
                </w:tcPr>
                <w:p>
                  <w:pPr>
                    <w:pStyle w:val="61"/>
                    <w:jc w:val="both"/>
                    <w:rPr>
                      <w:color w:val="auto"/>
                      <w:szCs w:val="21"/>
                      <w:u w:val="none"/>
                      <w:lang w:val="en-US"/>
                    </w:rPr>
                  </w:pPr>
                  <w:r>
                    <w:rPr>
                      <w:color w:val="auto"/>
                      <w:szCs w:val="21"/>
                      <w:u w:val="none"/>
                      <w:lang w:val="en-US"/>
                    </w:rPr>
                    <w:t>(3.1)高新区应健全环境风险防控体系，严格落实开发区突发环境事件应急预案提出的各项环境风险防范措施，严防环境风险事故发生。</w:t>
                  </w:r>
                </w:p>
                <w:p>
                  <w:pPr>
                    <w:pStyle w:val="61"/>
                    <w:jc w:val="both"/>
                    <w:rPr>
                      <w:color w:val="auto"/>
                      <w:szCs w:val="21"/>
                      <w:u w:val="none"/>
                      <w:lang w:val="en-US"/>
                    </w:rPr>
                  </w:pPr>
                  <w:r>
                    <w:rPr>
                      <w:color w:val="auto"/>
                      <w:szCs w:val="21"/>
                      <w:u w:val="none"/>
                      <w:lang w:val="en-US"/>
                    </w:rPr>
                    <w:t>(3.2)高新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61"/>
                    <w:jc w:val="both"/>
                    <w:rPr>
                      <w:color w:val="auto"/>
                      <w:szCs w:val="21"/>
                      <w:u w:val="none"/>
                      <w:lang w:val="en-US"/>
                    </w:rPr>
                  </w:pPr>
                  <w:r>
                    <w:rPr>
                      <w:color w:val="auto"/>
                      <w:szCs w:val="21"/>
                      <w:u w:val="none"/>
                      <w:lang w:val="en-US"/>
                    </w:rPr>
                    <w:t>(3.3)对于土壤重点监管企业，应严格落实土壤污染防控措施。持续开展重点行业企业用地调查和典型行业周边土壤环境调查，对列入优先监管清单的地块，开展土壤污染调查和风险评估，按要求采取风险防控措施。</w:t>
                  </w:r>
                </w:p>
                <w:p>
                  <w:pPr>
                    <w:pStyle w:val="61"/>
                    <w:jc w:val="both"/>
                    <w:rPr>
                      <w:color w:val="auto"/>
                      <w:szCs w:val="21"/>
                      <w:u w:val="none"/>
                      <w:lang w:val="en-US"/>
                    </w:rPr>
                  </w:pPr>
                  <w:r>
                    <w:rPr>
                      <w:color w:val="auto"/>
                      <w:szCs w:val="21"/>
                      <w:u w:val="none"/>
                      <w:lang w:val="en-US"/>
                    </w:rPr>
                    <w:t>(3.4)建立健全高新区环境风险管理工作长效机制。落实环境风险防控措施，加强应急救援队伍、装备和设施建设，储备必要的应急物资，有计划地组织应急培训和演练。</w:t>
                  </w:r>
                </w:p>
              </w:tc>
              <w:tc>
                <w:tcPr>
                  <w:tcW w:w="808" w:type="pct"/>
                  <w:vAlign w:val="center"/>
                </w:tcPr>
                <w:p>
                  <w:pPr>
                    <w:pStyle w:val="61"/>
                    <w:rPr>
                      <w:color w:val="auto"/>
                      <w:szCs w:val="21"/>
                      <w:u w:val="none"/>
                      <w:lang w:val="en-US"/>
                    </w:rPr>
                  </w:pPr>
                  <w:r>
                    <w:rPr>
                      <w:color w:val="auto"/>
                      <w:szCs w:val="21"/>
                      <w:u w:val="none"/>
                      <w:lang w:val="en-US"/>
                    </w:rPr>
                    <w:t>严格执行</w:t>
                  </w:r>
                </w:p>
              </w:tc>
              <w:tc>
                <w:tcPr>
                  <w:tcW w:w="297" w:type="pct"/>
                  <w:vAlign w:val="center"/>
                </w:tcPr>
                <w:p>
                  <w:pPr>
                    <w:pStyle w:val="61"/>
                    <w:rPr>
                      <w:color w:val="auto"/>
                      <w:szCs w:val="21"/>
                      <w:u w:val="none"/>
                      <w:lang w:val="en-US"/>
                    </w:rPr>
                  </w:pPr>
                  <w:r>
                    <w:rPr>
                      <w:color w:val="auto"/>
                      <w:szCs w:val="21"/>
                      <w:u w:val="none"/>
                      <w:lang w:val="en-US"/>
                    </w:rPr>
                    <w:t>符合要求</w:t>
                  </w:r>
                </w:p>
              </w:tc>
            </w:tr>
            <w:tr>
              <w:trPr>
                <w:trHeight w:val="340"/>
              </w:trPr>
              <w:tc>
                <w:tcPr>
                  <w:tcW w:w="500" w:type="pct"/>
                  <w:vAlign w:val="center"/>
                </w:tcPr>
                <w:p>
                  <w:pPr>
                    <w:pStyle w:val="61"/>
                    <w:jc w:val="center"/>
                    <w:rPr>
                      <w:color w:val="auto"/>
                      <w:szCs w:val="21"/>
                      <w:u w:val="none"/>
                      <w:lang w:val="en-US"/>
                    </w:rPr>
                  </w:pPr>
                  <w:r>
                    <w:rPr>
                      <w:color w:val="auto"/>
                      <w:szCs w:val="21"/>
                      <w:u w:val="none"/>
                      <w:lang w:val="en-US"/>
                    </w:rPr>
                    <w:t>资源开发效率要求</w:t>
                  </w:r>
                </w:p>
              </w:tc>
              <w:tc>
                <w:tcPr>
                  <w:tcW w:w="3393" w:type="pct"/>
                </w:tcPr>
                <w:p>
                  <w:pPr>
                    <w:pStyle w:val="61"/>
                    <w:jc w:val="both"/>
                    <w:rPr>
                      <w:color w:val="auto"/>
                      <w:szCs w:val="21"/>
                      <w:u w:val="none"/>
                      <w:lang w:val="en-US"/>
                    </w:rPr>
                  </w:pPr>
                  <w:r>
                    <w:rPr>
                      <w:color w:val="auto"/>
                      <w:szCs w:val="21"/>
                      <w:u w:val="none"/>
                      <w:lang w:val="en-US"/>
                    </w:rPr>
                    <w:t>(4.1)能源</w:t>
                  </w:r>
                </w:p>
                <w:p>
                  <w:pPr>
                    <w:pStyle w:val="61"/>
                    <w:jc w:val="both"/>
                    <w:rPr>
                      <w:color w:val="auto"/>
                      <w:szCs w:val="21"/>
                      <w:u w:val="none"/>
                      <w:lang w:val="en-US"/>
                    </w:rPr>
                  </w:pPr>
                  <w:r>
                    <w:rPr>
                      <w:color w:val="auto"/>
                      <w:szCs w:val="21"/>
                      <w:u w:val="none"/>
                      <w:lang w:val="en-US"/>
                    </w:rPr>
                    <w:t>(4.1.1)在禁燃区内禁止销售、燃用高污染燃料；禁止新建、扩建燃用高污染燃料的锅炉、炉窑、工业及经营用炉灶等燃烧设施；在城市集中供热管网覆盖地区严禁新建、扩建分散燃煤供热锅炉，停止燃用高污染燃料、拆除已建成的不能达标排放的燃煤供热锅炉。加大清洁能源的推广，加快天然气、集中供热等相关基础设施的建设。</w:t>
                  </w:r>
                </w:p>
                <w:p>
                  <w:pPr>
                    <w:pStyle w:val="61"/>
                    <w:jc w:val="both"/>
                    <w:rPr>
                      <w:color w:val="auto"/>
                      <w:szCs w:val="21"/>
                      <w:u w:val="none"/>
                      <w:lang w:val="en-US"/>
                    </w:rPr>
                  </w:pPr>
                  <w:r>
                    <w:rPr>
                      <w:color w:val="auto"/>
                      <w:szCs w:val="21"/>
                      <w:u w:val="none"/>
                      <w:lang w:val="en-US"/>
                    </w:rPr>
                    <w:t>(4.1.2)2025年，综合能源消费量预测为29.89万吨标煤(当量值),单位GDP能耗预测值为0.285标煤/万元(等价值)。区域十四五期间综合能源消费增量为8.81万吨标煤(当量值),单位GDP能耗下降13%。煤炭消费总量为0万吨，增量控制在0万吨。</w:t>
                  </w:r>
                </w:p>
                <w:p>
                  <w:pPr>
                    <w:pStyle w:val="61"/>
                    <w:jc w:val="both"/>
                    <w:rPr>
                      <w:color w:val="auto"/>
                      <w:szCs w:val="21"/>
                      <w:u w:val="none"/>
                      <w:lang w:val="en-US"/>
                    </w:rPr>
                  </w:pPr>
                  <w:r>
                    <w:rPr>
                      <w:color w:val="auto"/>
                      <w:szCs w:val="21"/>
                      <w:u w:val="none"/>
                      <w:lang w:val="en-US"/>
                    </w:rPr>
                    <w:t>(4.2)水资源：严格按照用水定额核定取用水量，进一步加强计划用水管理，强化行业和产品用水强度控制。到2025年，高新区指标应符合相应行政区域的管控要求，桃源县水资源开发利用控制红线达到5.59亿立方米，万元国内生产总值用水量、万元工业增加值用水量分别比2020年降低17.4%和14.57%。</w:t>
                  </w:r>
                </w:p>
                <w:p>
                  <w:pPr>
                    <w:pStyle w:val="61"/>
                    <w:jc w:val="both"/>
                    <w:rPr>
                      <w:color w:val="auto"/>
                      <w:szCs w:val="21"/>
                      <w:u w:val="none"/>
                      <w:lang w:val="en-US"/>
                    </w:rPr>
                  </w:pPr>
                  <w:r>
                    <w:rPr>
                      <w:color w:val="auto"/>
                      <w:szCs w:val="21"/>
                      <w:u w:val="none"/>
                      <w:lang w:val="en-US"/>
                    </w:rPr>
                    <w:t>(4.3)土地资源：促进高新区土地高质量利用。在详细规划编制、用地预审与选址、用地报批、土地出让、规划许可竣工验收等环节，全面推行工业项目建设用地引导指标和工业项目供地负面清单管理，高新区工业用地固定资产投入强度达到260万元/亩，工业用地地均税收达到13万元/亩。</w:t>
                  </w:r>
                </w:p>
              </w:tc>
              <w:tc>
                <w:tcPr>
                  <w:tcW w:w="808" w:type="pct"/>
                  <w:vAlign w:val="center"/>
                </w:tcPr>
                <w:p>
                  <w:pPr>
                    <w:pStyle w:val="61"/>
                    <w:rPr>
                      <w:color w:val="auto"/>
                      <w:szCs w:val="21"/>
                      <w:u w:val="none"/>
                      <w:lang w:val="en-US"/>
                    </w:rPr>
                  </w:pPr>
                  <w:r>
                    <w:rPr>
                      <w:color w:val="auto"/>
                      <w:szCs w:val="21"/>
                      <w:u w:val="none"/>
                      <w:lang w:val="en-US"/>
                    </w:rPr>
                    <w:t>严格执行</w:t>
                  </w:r>
                </w:p>
              </w:tc>
              <w:tc>
                <w:tcPr>
                  <w:tcW w:w="297" w:type="pct"/>
                  <w:vAlign w:val="center"/>
                </w:tcPr>
                <w:p>
                  <w:pPr>
                    <w:pStyle w:val="61"/>
                    <w:rPr>
                      <w:color w:val="auto"/>
                      <w:szCs w:val="21"/>
                      <w:u w:val="none"/>
                      <w:lang w:val="en-US"/>
                    </w:rPr>
                  </w:pPr>
                  <w:r>
                    <w:rPr>
                      <w:color w:val="auto"/>
                      <w:szCs w:val="21"/>
                      <w:u w:val="none"/>
                      <w:lang w:val="en-US"/>
                    </w:rPr>
                    <w:t>符合要求</w:t>
                  </w:r>
                </w:p>
              </w:tc>
            </w:tr>
          </w:tbl>
          <w:p>
            <w:pPr>
              <w:spacing w:line="360" w:lineRule="auto"/>
              <w:ind w:firstLineChars="200" w:firstLine="480"/>
              <w:rPr>
                <w:rFonts w:ascii="Times New Roman" w:cs="Times New Roman" w:hAnsi="Times New Roman" w:hint="eastAsia"/>
                <w:b/>
                <w:bCs/>
                <w:color w:val="auto"/>
                <w:sz w:val="21"/>
                <w:szCs w:val="21"/>
                <w:u w:val="none"/>
              </w:rPr>
            </w:pPr>
            <w:r>
              <w:rPr>
                <w:rFonts w:ascii="Times New Roman" w:hAnsi="Times New Roman"/>
                <w:color w:val="auto"/>
                <w:kern w:val="0"/>
                <w:sz w:val="24"/>
                <w:u w:val="none"/>
                <w:lang w:val="en-US"/>
              </w:rPr>
              <w:t>综上，项目经过与“三线一单”进行对照，项目不在生态保护红线内、未超出环境质量底线及资源利用上线、未列入生态</w:t>
            </w:r>
            <w:r>
              <w:rPr>
                <w:rFonts w:hint="eastAsia"/>
                <w:color w:val="auto"/>
                <w:kern w:val="0"/>
                <w:sz w:val="24"/>
                <w:u w:val="none"/>
                <w:lang w:val="en-US" w:eastAsia="zh-CN"/>
              </w:rPr>
              <w:t>环境</w:t>
            </w:r>
            <w:r>
              <w:rPr>
                <w:rFonts w:ascii="Times New Roman" w:hAnsi="Times New Roman"/>
                <w:color w:val="auto"/>
                <w:kern w:val="0"/>
                <w:sz w:val="24"/>
                <w:u w:val="none"/>
                <w:lang w:val="en-US"/>
              </w:rPr>
              <w:t>准入清单内。</w:t>
            </w:r>
          </w:p>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rFonts w:ascii="Times New Roman" w:eastAsia="宋体" w:cs="Times New Roman" w:hAnsi="Times New Roman" w:hint="eastAsia"/>
                <w:b/>
                <w:bCs/>
                <w:color w:val="auto"/>
                <w:kern w:val="0"/>
                <w:sz w:val="24"/>
                <w:lang w:eastAsia="zh-CN"/>
              </w:rPr>
            </w:pPr>
            <w:r>
              <w:rPr>
                <w:rFonts w:ascii="Times New Roman" w:eastAsia="宋体" w:cs="Times New Roman" w:hAnsi="Times New Roman" w:hint="eastAsia"/>
                <w:b/>
                <w:bCs/>
                <w:color w:val="auto"/>
                <w:kern w:val="0"/>
                <w:sz w:val="24"/>
                <w:lang w:eastAsia="zh-CN"/>
              </w:rPr>
              <w:t>（四）选址合理性分析</w:t>
            </w:r>
          </w:p>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rFonts w:ascii="Times New Roman" w:eastAsia="宋体" w:cs="Times New Roman" w:hAnsi="Times New Roman"/>
                <w:color w:val="auto"/>
                <w:spacing w:val="0"/>
                <w:kern w:val="0"/>
                <w:sz w:val="24"/>
                <w:szCs w:val="24"/>
                <w:u w:val="none"/>
                <w:lang w:val="en-US" w:eastAsia="zh-CN"/>
              </w:rPr>
            </w:pPr>
            <w:r>
              <w:rPr>
                <w:rFonts w:ascii="Times New Roman" w:eastAsia="宋体" w:cs="Times New Roman" w:hAnsi="Times New Roman" w:hint="eastAsia"/>
                <w:b w:val="0"/>
                <w:bCs w:val="0"/>
                <w:color w:val="auto"/>
                <w:kern w:val="0"/>
                <w:sz w:val="24"/>
                <w:lang w:val="en-US" w:eastAsia="zh-CN"/>
              </w:rPr>
              <w:t>本项目位于湖南省常德市桃源县工业集中区湖南宝特瑞能新能源有限责任公司，标准化</w:t>
            </w:r>
            <w:r>
              <w:rPr>
                <w:rFonts w:ascii="Times New Roman" w:eastAsia="宋体" w:cs="Times New Roman" w:hAnsi="Times New Roman" w:hint="eastAsia"/>
                <w:color w:val="auto"/>
                <w:spacing w:val="0"/>
                <w:kern w:val="0"/>
                <w:sz w:val="24"/>
                <w:szCs w:val="24"/>
                <w:u w:val="none"/>
                <w:lang w:val="en-US" w:eastAsia="zh-CN"/>
              </w:rPr>
              <w:t>厂房第3栋第1层，详见附图1；属于工业园工业用地。因此本项目选址合理。</w:t>
            </w:r>
          </w:p>
          <w:p>
            <w:pPr>
              <w:pStyle w:val="15"/>
              <w:ind w:left="0" w:firstLine="0"/>
              <w:jc w:val="center"/>
              <w:rPr>
                <w:color w:val="FF0000"/>
                <w:lang w:val="en-US" w:eastAsia="zh-CN"/>
              </w:rPr>
            </w:pPr>
          </w:p>
        </w:tc>
      </w:tr>
    </w:tbl>
    <w:p>
      <w:pPr>
        <w:spacing w:line="360" w:lineRule="auto"/>
        <w:rPr>
          <w:rFonts w:eastAsia="黑体"/>
          <w:color w:val="0000FF"/>
          <w:sz w:val="30"/>
        </w:rPr>
        <w:sectPr>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start="1"/>
          <w:cols w:num="1" w:space="0"/>
          <w:rtlGutter/>
          <w:docGrid w:linePitch="312" w:charSpace="0"/>
        </w:sectPr>
      </w:pPr>
    </w:p>
    <w:p>
      <w:pPr>
        <w:spacing w:line="360" w:lineRule="auto"/>
        <w:jc w:val="center"/>
        <w:outlineLvl w:val="0"/>
        <w:rPr>
          <w:rFonts w:hint="eastAsia"/>
          <w:b/>
          <w:bCs/>
          <w:color w:val="auto"/>
          <w:sz w:val="32"/>
          <w:szCs w:val="32"/>
        </w:rPr>
      </w:pPr>
      <w:bookmarkStart w:id="8" w:name="_Toc13009"/>
      <w:bookmarkStart w:id="9" w:name="_Toc4069"/>
      <w:bookmarkStart w:id="10" w:name="_Toc18159"/>
      <w:r>
        <w:rPr>
          <w:rFonts w:hint="eastAsia"/>
          <w:b/>
          <w:bCs/>
          <w:color w:val="auto"/>
          <w:sz w:val="32"/>
          <w:szCs w:val="32"/>
        </w:rPr>
        <w:t>二、建设项目工程分析</w:t>
      </w:r>
      <w:bookmarkEnd w:id="8"/>
      <w:bookmarkEnd w:id="9"/>
      <w:bookmarkEnd w:id="10"/>
    </w:p>
    <w:tbl>
      <w:tblPr>
        <w:jc w:val="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83"/>
        <w:gridCol w:w="1032"/>
        <w:gridCol w:w="8223"/>
      </w:tblGrid>
      <w:tr>
        <w:trPr>
          <w:trHeight w:val="90"/>
        </w:trPr>
        <w:tc>
          <w:tcPr>
            <w:tcW w:w="248" w:type="pct"/>
            <w:vAlign w:val="center"/>
          </w:tcPr>
          <w:p>
            <w:pPr>
              <w:pStyle w:val="29"/>
              <w:adjustRightInd w:val="0"/>
              <w:snapToGrid w:val="0"/>
              <w:spacing w:before="0" w:beforeAutospacing="0" w:after="0" w:afterAutospacing="0"/>
              <w:jc w:val="center"/>
              <w:rPr>
                <w:rFonts w:ascii="Times New Roman" w:hAnsi="Times New Roman"/>
                <w:color w:val="0000FF"/>
                <w:szCs w:val="24"/>
              </w:rPr>
            </w:pPr>
            <w:r>
              <w:rPr>
                <w:rFonts w:ascii="Times New Roman" w:hAnsi="Times New Roman"/>
                <w:color w:val="auto"/>
                <w:szCs w:val="24"/>
              </w:rPr>
              <w:t>建设内容</w:t>
            </w:r>
          </w:p>
        </w:tc>
        <w:tc>
          <w:tcPr>
            <w:tcW w:w="4751" w:type="pct"/>
            <w:gridSpan w:val="2"/>
          </w:tcPr>
          <w:p>
            <w:pPr>
              <w:spacing w:line="360" w:lineRule="auto"/>
              <w:ind w:firstLineChars="200" w:firstLine="480"/>
              <w:rPr>
                <w:b/>
                <w:bCs/>
                <w:color w:val="auto"/>
                <w:sz w:val="24"/>
              </w:rPr>
            </w:pPr>
            <w:r>
              <w:rPr>
                <w:b/>
                <w:bCs/>
                <w:color w:val="auto"/>
                <w:sz w:val="24"/>
              </w:rPr>
              <w:t>（一）项目由来</w:t>
            </w:r>
          </w:p>
          <w:p>
            <w:pPr>
              <w:pStyle w:val="2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firstLine="420"/>
              <w:jc w:val="both"/>
              <w:textAlignment w:val="auto"/>
              <w:rPr>
                <w:rFonts w:ascii="Times New Roman" w:eastAsia="宋体" w:cs="Times New Roman" w:hAnsi="Times New Roman" w:hint="eastAsia"/>
                <w:color w:val="auto"/>
                <w:kern w:val="2"/>
                <w:sz w:val="24"/>
                <w:szCs w:val="24"/>
                <w:u w:val="none"/>
                <w:lang w:val="zh-CN" w:eastAsia="zh-CN" w:bidi="ar-SA"/>
              </w:rPr>
            </w:pPr>
            <w:r>
              <w:rPr>
                <w:rFonts w:ascii="Times New Roman" w:eastAsia="宋体" w:cs="Times New Roman" w:hAnsi="Times New Roman" w:hint="eastAsia"/>
                <w:color w:val="auto"/>
                <w:kern w:val="2"/>
                <w:sz w:val="24"/>
                <w:szCs w:val="24"/>
                <w:u w:val="none"/>
                <w:lang w:val="zh-CN" w:eastAsia="zh-CN" w:bidi="ar-SA"/>
              </w:rPr>
              <w:t>桃源是湖南省全省 63 个油茶生产重点县之一，是全国油茶产业建设示范县，也是湖南重点打造的七个油茶产业群之“湘西北油茶产业群”的重点县。</w:t>
            </w:r>
          </w:p>
          <w:p>
            <w:pPr>
              <w:pStyle w:val="2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firstLine="420"/>
              <w:jc w:val="both"/>
              <w:textAlignment w:val="auto"/>
              <w:rPr>
                <w:rFonts w:ascii="Times New Roman" w:eastAsia="宋体" w:cs="Times New Roman" w:hAnsi="Times New Roman" w:hint="eastAsia"/>
                <w:color w:val="auto"/>
                <w:kern w:val="2"/>
                <w:sz w:val="24"/>
                <w:szCs w:val="24"/>
                <w:u w:val="none"/>
                <w:lang w:val="zh-CN" w:eastAsia="zh-CN" w:bidi="ar-SA"/>
              </w:rPr>
            </w:pPr>
            <w:r>
              <w:rPr>
                <w:rFonts w:ascii="Times New Roman" w:eastAsia="宋体" w:cs="Times New Roman" w:hAnsi="Times New Roman" w:hint="eastAsia"/>
                <w:color w:val="auto"/>
                <w:kern w:val="2"/>
                <w:sz w:val="24"/>
                <w:szCs w:val="24"/>
                <w:u w:val="none"/>
                <w:lang w:val="zh-CN" w:eastAsia="zh-CN" w:bidi="ar-SA"/>
              </w:rPr>
              <w:t>油茶是桃源县的传统产业，一直以来，桃源县委县政府高度重视油茶产业发展，将其作为乡村振兴，富民强县的重点产业。在此背景下，本项目拟在，</w:t>
            </w:r>
            <w:r>
              <w:rPr>
                <w:rFonts w:ascii="Times New Roman" w:cs="Times New Roman" w:hAnsi="Times New Roman" w:hint="eastAsia"/>
                <w:color w:val="auto"/>
                <w:kern w:val="2"/>
                <w:sz w:val="24"/>
                <w:szCs w:val="24"/>
                <w:u w:val="none"/>
                <w:lang w:val="zh-CN" w:eastAsia="zh-CN" w:bidi="ar-SA"/>
              </w:rPr>
              <w:t>湖南智农生物科技有限公司</w:t>
            </w:r>
            <w:r>
              <w:rPr>
                <w:rFonts w:ascii="Times New Roman" w:eastAsia="宋体" w:cs="Times New Roman" w:hAnsi="Times New Roman" w:hint="eastAsia"/>
                <w:color w:val="auto"/>
                <w:kern w:val="2"/>
                <w:sz w:val="24"/>
                <w:szCs w:val="24"/>
                <w:u w:val="none"/>
                <w:lang w:val="zh-CN" w:eastAsia="zh-CN" w:bidi="ar-SA"/>
              </w:rPr>
              <w:t>拟投资</w:t>
            </w:r>
            <w:r>
              <w:rPr>
                <w:rFonts w:ascii="Times New Roman" w:cs="Times New Roman" w:hAnsi="Times New Roman" w:hint="eastAsia"/>
                <w:color w:val="auto"/>
                <w:kern w:val="2"/>
                <w:sz w:val="24"/>
                <w:szCs w:val="24"/>
                <w:u w:val="none"/>
                <w:lang w:val="en-US" w:eastAsia="zh-CN" w:bidi="ar-SA"/>
              </w:rPr>
              <w:t>100</w:t>
            </w:r>
            <w:r>
              <w:rPr>
                <w:rFonts w:ascii="Times New Roman" w:eastAsia="宋体" w:cs="Times New Roman" w:hAnsi="Times New Roman" w:hint="eastAsia"/>
                <w:color w:val="auto"/>
                <w:kern w:val="2"/>
                <w:sz w:val="24"/>
                <w:szCs w:val="24"/>
                <w:u w:val="none"/>
                <w:lang w:val="zh-CN" w:eastAsia="zh-CN" w:bidi="ar-SA"/>
              </w:rPr>
              <w:t>万元在湖南宝特瑞能新能源有限责任公司，标准化厂房第3栋第1层</w:t>
            </w:r>
            <w:r>
              <w:rPr>
                <w:rFonts w:ascii="Times New Roman" w:cs="Times New Roman" w:hAnsi="Times New Roman" w:hint="eastAsia"/>
                <w:color w:val="auto"/>
                <w:kern w:val="2"/>
                <w:sz w:val="24"/>
                <w:szCs w:val="24"/>
                <w:u w:val="none"/>
                <w:lang w:val="zh-CN" w:eastAsia="zh-CN" w:bidi="ar-SA"/>
              </w:rPr>
              <w:t>建设“湖南智农生物科技有限公司茶油加工厂建设项目”（以下简称本项目）</w:t>
            </w:r>
            <w:r>
              <w:rPr>
                <w:rFonts w:ascii="Times New Roman" w:eastAsia="宋体" w:cs="Times New Roman" w:hAnsi="Times New Roman" w:hint="eastAsia"/>
                <w:color w:val="auto"/>
                <w:kern w:val="2"/>
                <w:sz w:val="24"/>
                <w:szCs w:val="24"/>
                <w:u w:val="none"/>
                <w:lang w:val="zh-CN" w:eastAsia="zh-CN" w:bidi="ar-SA"/>
              </w:rPr>
              <w:t>。项目建成后可年产</w:t>
            </w:r>
            <w:r>
              <w:rPr>
                <w:rFonts w:ascii="Times New Roman" w:cs="Times New Roman" w:hAnsi="Times New Roman" w:hint="eastAsia"/>
                <w:color w:val="auto"/>
                <w:kern w:val="2"/>
                <w:sz w:val="24"/>
                <w:szCs w:val="24"/>
                <w:u w:val="none"/>
                <w:lang w:val="en-US" w:eastAsia="zh-CN" w:bidi="ar-SA"/>
              </w:rPr>
              <w:t>100</w:t>
            </w:r>
            <w:r>
              <w:rPr>
                <w:rFonts w:ascii="Times New Roman" w:eastAsia="宋体" w:cs="Times New Roman" w:hAnsi="Times New Roman" w:hint="eastAsia"/>
                <w:color w:val="auto"/>
                <w:kern w:val="2"/>
                <w:sz w:val="24"/>
                <w:szCs w:val="24"/>
                <w:u w:val="none"/>
                <w:lang w:val="zh-CN" w:eastAsia="zh-CN" w:bidi="ar-SA"/>
              </w:rPr>
              <w:t>吨</w:t>
            </w:r>
            <w:r>
              <w:rPr>
                <w:rFonts w:ascii="Times New Roman" w:cs="Times New Roman" w:hAnsi="Times New Roman" w:hint="eastAsia"/>
                <w:color w:val="auto"/>
                <w:kern w:val="2"/>
                <w:sz w:val="24"/>
                <w:szCs w:val="24"/>
                <w:u w:val="none"/>
                <w:lang w:val="en-US" w:eastAsia="zh-CN" w:bidi="ar-SA"/>
              </w:rPr>
              <w:t>茶油</w:t>
            </w:r>
            <w:r>
              <w:rPr>
                <w:rFonts w:ascii="Times New Roman" w:eastAsia="宋体" w:cs="Times New Roman" w:hAnsi="Times New Roman" w:hint="eastAsia"/>
                <w:color w:val="auto"/>
                <w:kern w:val="2"/>
                <w:sz w:val="24"/>
                <w:szCs w:val="24"/>
                <w:u w:val="none"/>
                <w:lang w:val="zh-CN" w:eastAsia="zh-CN" w:bidi="ar-SA"/>
              </w:rPr>
              <w:t>。</w:t>
            </w:r>
          </w:p>
          <w:p>
            <w:pPr>
              <w:spacing w:line="360" w:lineRule="auto"/>
              <w:ind w:firstLineChars="200" w:firstLine="480"/>
              <w:rPr>
                <w:rFonts w:ascii="Times New Roman" w:cs="Times New Roman" w:hAnsi="Times New Roman"/>
                <w:color w:val="auto"/>
                <w:sz w:val="24"/>
                <w:u w:val="none"/>
              </w:rPr>
            </w:pPr>
            <w:r>
              <w:rPr>
                <w:rFonts w:ascii="Times New Roman" w:eastAsia="宋体" w:cs="Times New Roman" w:hAnsi="Times New Roman"/>
                <w:color w:val="auto"/>
                <w:kern w:val="2"/>
                <w:sz w:val="24"/>
                <w:szCs w:val="24"/>
                <w:u w:val="none"/>
                <w:lang w:val="en-US" w:eastAsia="zh-CN" w:bidi="ar-SA"/>
              </w:rPr>
              <w:t>根据《中华人民共和国环境保护法》、《中华人民共和国环境影响评</w:t>
            </w:r>
            <w:r>
              <w:rPr>
                <w:rFonts w:ascii="Times New Roman" w:cs="Times New Roman" w:hAnsi="Times New Roman"/>
                <w:color w:val="auto"/>
                <w:sz w:val="24"/>
                <w:u w:val="none"/>
              </w:rPr>
              <w:t>价法》、《建设项目环境保护管理条例》中华人民共和国国务院第682号令的有关规定，《建设项目环境影响评价分类管理名录</w:t>
            </w:r>
            <w:r>
              <w:rPr>
                <w:rFonts w:ascii="Times New Roman" w:cs="Times New Roman" w:hAnsi="Times New Roman" w:hint="eastAsia"/>
                <w:color w:val="auto"/>
                <w:sz w:val="24"/>
                <w:u w:val="none"/>
                <w:lang w:eastAsia="zh-CN"/>
              </w:rPr>
              <w:t>（</w:t>
            </w:r>
            <w:r>
              <w:rPr>
                <w:rFonts w:ascii="Times New Roman" w:cs="Times New Roman" w:hAnsi="Times New Roman" w:hint="eastAsia"/>
                <w:color w:val="auto"/>
                <w:sz w:val="24"/>
                <w:u w:val="none"/>
                <w:lang w:val="en-US" w:eastAsia="zh-CN"/>
              </w:rPr>
              <w:t>2021年版</w:t>
            </w:r>
            <w:r>
              <w:rPr>
                <w:rFonts w:ascii="Times New Roman" w:cs="Times New Roman" w:hAnsi="Times New Roman" w:hint="eastAsia"/>
                <w:color w:val="auto"/>
                <w:sz w:val="24"/>
                <w:u w:val="none"/>
                <w:lang w:eastAsia="zh-CN"/>
              </w:rPr>
              <w:t>）</w:t>
            </w:r>
            <w:r>
              <w:rPr>
                <w:rFonts w:ascii="Times New Roman" w:cs="Times New Roman" w:hAnsi="Times New Roman"/>
                <w:color w:val="auto"/>
                <w:sz w:val="24"/>
                <w:u w:val="none"/>
              </w:rPr>
              <w:t>》（部</w:t>
            </w:r>
            <w:r>
              <w:rPr>
                <w:rFonts w:ascii="Times New Roman" w:cs="Times New Roman" w:hAnsi="Times New Roman"/>
                <w:color w:val="auto"/>
                <w:sz w:val="24"/>
                <w:u w:val="none"/>
                <w:lang w:val="en-US" w:eastAsia="zh-CN"/>
              </w:rPr>
              <w:t>令第</w:t>
            </w:r>
            <w:r>
              <w:rPr>
                <w:rFonts w:ascii="Times New Roman" w:cs="Times New Roman" w:hAnsi="Times New Roman" w:hint="eastAsia"/>
                <w:color w:val="auto"/>
                <w:sz w:val="24"/>
                <w:u w:val="none"/>
                <w:lang w:val="en-US" w:eastAsia="zh-CN"/>
              </w:rPr>
              <w:t>16</w:t>
            </w:r>
            <w:r>
              <w:rPr>
                <w:rFonts w:ascii="Times New Roman" w:cs="Times New Roman" w:hAnsi="Times New Roman"/>
                <w:color w:val="auto"/>
                <w:sz w:val="24"/>
                <w:u w:val="none"/>
                <w:lang w:val="en-US" w:eastAsia="zh-CN"/>
              </w:rPr>
              <w:t>号</w:t>
            </w:r>
            <w:r>
              <w:rPr>
                <w:rFonts w:ascii="Times New Roman" w:cs="Times New Roman" w:hAnsi="Times New Roman"/>
                <w:color w:val="auto"/>
                <w:sz w:val="24"/>
                <w:u w:val="none"/>
              </w:rPr>
              <w:t>），项目属于</w:t>
            </w:r>
            <w:r>
              <w:rPr>
                <w:rFonts w:ascii="Times New Roman" w:cs="Times New Roman" w:hAnsi="Times New Roman" w:hint="eastAsia"/>
                <w:color w:val="auto"/>
                <w:sz w:val="24"/>
                <w:lang w:eastAsia="zh-CN"/>
              </w:rPr>
              <w:t>“</w:t>
            </w:r>
            <w:r>
              <w:rPr>
                <w:rFonts w:cs="Times New Roman" w:hint="eastAsia"/>
                <w:color w:val="auto"/>
                <w:sz w:val="24"/>
                <w:lang w:eastAsia="zh-CN"/>
              </w:rPr>
              <w:t>三十、农副食品加工业 13”中“植物油加工133”中的“除单纯分装、调和外”</w:t>
            </w:r>
            <w:r>
              <w:rPr>
                <w:rFonts w:ascii="Times New Roman" w:cs="Times New Roman" w:hAnsi="Times New Roman"/>
                <w:color w:val="auto"/>
                <w:sz w:val="24"/>
                <w:u w:val="none"/>
              </w:rPr>
              <w:t>，应编制环境影响报告表。</w:t>
            </w:r>
          </w:p>
          <w:p>
            <w:pPr>
              <w:spacing w:line="360" w:lineRule="auto"/>
              <w:ind w:firstLineChars="200" w:firstLine="480"/>
              <w:rPr>
                <w:color w:val="auto"/>
                <w:sz w:val="24"/>
              </w:rPr>
            </w:pPr>
            <w:r>
              <w:rPr>
                <w:rFonts w:cs="Times New Roman" w:hint="eastAsia"/>
                <w:color w:val="auto"/>
                <w:sz w:val="24"/>
                <w:u w:val="none"/>
                <w:lang w:eastAsia="zh-CN"/>
              </w:rPr>
              <w:t>湖南智农生物科技有限公司</w:t>
            </w:r>
            <w:r>
              <w:rPr>
                <w:rFonts w:ascii="Times New Roman" w:cs="Times New Roman" w:hAnsi="Times New Roman"/>
                <w:color w:val="auto"/>
                <w:sz w:val="24"/>
                <w:u w:val="none"/>
              </w:rPr>
              <w:t>委托</w:t>
            </w:r>
            <w:r>
              <w:rPr>
                <w:rFonts w:cs="Times New Roman" w:hint="eastAsia"/>
                <w:color w:val="auto"/>
                <w:sz w:val="24"/>
                <w:szCs w:val="24"/>
                <w:lang w:val="en-US" w:eastAsia="zh-CN"/>
              </w:rPr>
              <w:t>我公司（湖南帆佳环保工程有限公司）</w:t>
            </w:r>
            <w:r>
              <w:rPr>
                <w:rFonts w:ascii="Times New Roman" w:eastAsia="宋体" w:cs="Times New Roman" w:hAnsi="Times New Roman" w:hint="eastAsia"/>
                <w:color w:val="auto"/>
                <w:sz w:val="24"/>
                <w:szCs w:val="24"/>
                <w:lang w:val="en-US" w:eastAsia="zh-CN"/>
              </w:rPr>
              <w:t>对</w:t>
            </w:r>
            <w:r>
              <w:rPr>
                <w:rFonts w:ascii="Times New Roman" w:cs="Times New Roman" w:hAnsi="Times New Roman" w:hint="eastAsia"/>
                <w:color w:val="auto"/>
                <w:kern w:val="2"/>
                <w:sz w:val="24"/>
                <w:szCs w:val="24"/>
                <w:u w:val="none"/>
                <w:lang w:val="zh-CN" w:eastAsia="zh-CN" w:bidi="ar-SA"/>
              </w:rPr>
              <w:t>本项目</w:t>
            </w:r>
            <w:r>
              <w:rPr>
                <w:rFonts w:ascii="Times New Roman" w:cs="Times New Roman" w:hAnsi="Times New Roman"/>
                <w:color w:val="auto"/>
                <w:sz w:val="24"/>
                <w:u w:val="none"/>
              </w:rPr>
              <w:t>进行环境影响评价工作。接受委托后，我公司组织有关技术人员对所在地及周围环境现状进行了实地踏勘收集相关资料，并在此基础上，依据国家法律法规和建设项目环境影响评价的相关规定和导则、标准，编制完成了本环境影响报告表</w:t>
            </w:r>
            <w:r>
              <w:rPr>
                <w:color w:val="auto"/>
                <w:sz w:val="24"/>
              </w:rPr>
              <w:t>。</w:t>
            </w:r>
          </w:p>
          <w:p>
            <w:pPr>
              <w:spacing w:line="360" w:lineRule="auto"/>
              <w:ind w:firstLineChars="200" w:firstLine="480"/>
              <w:rPr>
                <w:b/>
                <w:bCs/>
                <w:color w:val="auto"/>
                <w:sz w:val="24"/>
              </w:rPr>
            </w:pPr>
            <w:r>
              <w:rPr>
                <w:b/>
                <w:bCs/>
                <w:color w:val="auto"/>
                <w:sz w:val="24"/>
              </w:rPr>
              <w:t>（二）工程概况</w:t>
            </w:r>
          </w:p>
          <w:p>
            <w:pPr>
              <w:spacing w:line="360" w:lineRule="auto"/>
              <w:ind w:firstLineChars="200" w:firstLine="480"/>
              <w:textAlignment w:val="center"/>
              <w:rPr>
                <w:b/>
                <w:bCs/>
                <w:color w:val="auto"/>
                <w:sz w:val="24"/>
              </w:rPr>
            </w:pPr>
            <w:r>
              <w:rPr>
                <w:b/>
                <w:bCs/>
                <w:color w:val="auto"/>
                <w:sz w:val="24"/>
              </w:rPr>
              <w:t>1、项目概况</w:t>
            </w:r>
          </w:p>
          <w:p>
            <w:pPr>
              <w:spacing w:line="360" w:lineRule="auto"/>
              <w:ind w:firstLineChars="200" w:firstLine="480"/>
              <w:rPr>
                <w:color w:val="auto"/>
                <w:sz w:val="24"/>
              </w:rPr>
            </w:pPr>
            <w:r>
              <w:rPr>
                <w:color w:val="auto"/>
                <w:sz w:val="24"/>
              </w:rPr>
              <w:t>项目名称：</w:t>
            </w:r>
            <w:r>
              <w:rPr>
                <w:rFonts w:hint="eastAsia"/>
                <w:color w:val="auto"/>
                <w:sz w:val="24"/>
                <w:lang w:eastAsia="zh-CN"/>
              </w:rPr>
              <w:t>湖南智农生物科技有限公司茶油加工厂建设项目</w:t>
            </w:r>
            <w:r>
              <w:rPr>
                <w:color w:val="auto"/>
                <w:sz w:val="24"/>
              </w:rPr>
              <w:t>；</w:t>
            </w:r>
          </w:p>
          <w:p>
            <w:pPr>
              <w:spacing w:line="360" w:lineRule="auto"/>
              <w:ind w:firstLineChars="200" w:firstLine="480"/>
              <w:rPr>
                <w:color w:val="auto"/>
                <w:sz w:val="24"/>
              </w:rPr>
            </w:pPr>
            <w:r>
              <w:rPr>
                <w:color w:val="auto"/>
                <w:sz w:val="24"/>
              </w:rPr>
              <w:t>建设单位：</w:t>
            </w:r>
            <w:r>
              <w:rPr>
                <w:rFonts w:hint="eastAsia"/>
                <w:color w:val="auto"/>
                <w:sz w:val="24"/>
                <w:lang w:eastAsia="zh-CN"/>
              </w:rPr>
              <w:t>湖南智农生物科技有限公司</w:t>
            </w:r>
            <w:r>
              <w:rPr>
                <w:color w:val="auto"/>
                <w:sz w:val="24"/>
              </w:rPr>
              <w:t>；</w:t>
            </w:r>
          </w:p>
          <w:p>
            <w:pPr>
              <w:spacing w:line="360" w:lineRule="auto"/>
              <w:ind w:firstLineChars="200" w:firstLine="480"/>
              <w:rPr>
                <w:rFonts w:hint="eastAsia"/>
                <w:color w:val="auto"/>
                <w:sz w:val="24"/>
                <w:u w:val="single"/>
                <w:lang w:eastAsia="zh-CN"/>
              </w:rPr>
            </w:pPr>
            <w:r>
              <w:rPr>
                <w:color w:val="auto"/>
                <w:sz w:val="24"/>
                <w:u w:val="single"/>
              </w:rPr>
              <w:t>项目选址：</w:t>
            </w:r>
            <w:r>
              <w:rPr>
                <w:rFonts w:hint="eastAsia"/>
                <w:bCs/>
                <w:color w:val="auto"/>
                <w:sz w:val="24"/>
                <w:szCs w:val="21"/>
                <w:u w:val="single"/>
                <w:lang w:eastAsia="zh-CN"/>
              </w:rPr>
              <w:t>桃源高新区技术产业开发区</w:t>
            </w:r>
            <w:r>
              <w:rPr>
                <w:rFonts w:hint="eastAsia"/>
                <w:color w:val="auto"/>
                <w:sz w:val="24"/>
                <w:szCs w:val="24"/>
                <w:u w:val="single"/>
                <w:lang w:eastAsia="zh-CN"/>
              </w:rPr>
              <w:t>湖南省常德市桃源县青林维吾尔族回族乡金堰村一组采菱东路湖南宝特瑞能新能源有限责任公司院内第</w:t>
            </w:r>
            <w:r>
              <w:rPr>
                <w:rFonts w:hint="eastAsia"/>
                <w:color w:val="auto"/>
                <w:sz w:val="24"/>
                <w:szCs w:val="24"/>
                <w:u w:val="single"/>
                <w:lang w:val="en-US" w:eastAsia="zh-CN"/>
              </w:rPr>
              <w:t>3</w:t>
            </w:r>
            <w:r>
              <w:rPr>
                <w:rFonts w:hint="eastAsia"/>
                <w:color w:val="auto"/>
                <w:sz w:val="24"/>
                <w:szCs w:val="24"/>
                <w:u w:val="single"/>
                <w:lang w:eastAsia="zh-CN"/>
              </w:rPr>
              <w:t>栋第一层</w:t>
            </w:r>
            <w:r>
              <w:rPr>
                <w:rFonts w:hint="eastAsia"/>
                <w:color w:val="auto"/>
                <w:sz w:val="24"/>
                <w:u w:val="single"/>
                <w:lang w:eastAsia="zh-CN"/>
              </w:rPr>
              <w:t>；</w:t>
            </w:r>
          </w:p>
          <w:p>
            <w:pPr>
              <w:spacing w:line="360" w:lineRule="auto"/>
              <w:ind w:firstLineChars="200" w:firstLine="480"/>
              <w:rPr>
                <w:color w:val="auto"/>
                <w:sz w:val="24"/>
                <w:u w:val="single"/>
              </w:rPr>
            </w:pPr>
            <w:r>
              <w:rPr>
                <w:color w:val="auto"/>
                <w:sz w:val="24"/>
                <w:u w:val="single"/>
              </w:rPr>
              <w:t>坐标：</w:t>
            </w:r>
            <w:r>
              <w:rPr>
                <w:rFonts w:hint="eastAsia"/>
                <w:color w:val="auto"/>
                <w:sz w:val="24"/>
                <w:szCs w:val="24"/>
                <w:u w:val="single"/>
                <w:lang w:eastAsia="zh-CN"/>
              </w:rPr>
              <w:t>111°29'16.346"，28°56'23.672"</w:t>
            </w:r>
            <w:r>
              <w:rPr>
                <w:color w:val="auto"/>
                <w:sz w:val="24"/>
                <w:u w:val="single"/>
              </w:rPr>
              <w:t>；</w:t>
            </w:r>
          </w:p>
          <w:p>
            <w:pPr>
              <w:spacing w:line="360" w:lineRule="auto"/>
              <w:ind w:firstLineChars="196" w:firstLine="470"/>
              <w:textAlignment w:val="center"/>
              <w:rPr>
                <w:b/>
                <w:bCs/>
                <w:color w:val="auto"/>
                <w:sz w:val="24"/>
                <w:u w:val="single"/>
              </w:rPr>
            </w:pPr>
            <w:r>
              <w:rPr>
                <w:b/>
                <w:bCs/>
                <w:color w:val="auto"/>
                <w:sz w:val="24"/>
                <w:u w:val="single"/>
              </w:rPr>
              <w:t>2、建设内容</w:t>
            </w:r>
          </w:p>
          <w:p>
            <w:pPr>
              <w:spacing w:line="360" w:lineRule="auto"/>
              <w:ind w:firstLineChars="200" w:firstLine="480"/>
              <w:rPr>
                <w:color w:val="0000FF"/>
                <w:sz w:val="24"/>
                <w:u w:val="single"/>
              </w:rPr>
            </w:pPr>
            <w:r>
              <w:rPr>
                <w:rFonts w:hint="eastAsia"/>
                <w:color w:val="auto"/>
                <w:sz w:val="24"/>
                <w:u w:val="single"/>
              </w:rPr>
              <w:t>本项目位于</w:t>
            </w:r>
            <w:r>
              <w:rPr>
                <w:rFonts w:hint="eastAsia"/>
                <w:bCs/>
                <w:color w:val="auto"/>
                <w:sz w:val="24"/>
                <w:szCs w:val="21"/>
                <w:u w:val="single"/>
                <w:lang w:eastAsia="zh-CN"/>
              </w:rPr>
              <w:t>桃源高新区技术产业开发区</w:t>
            </w:r>
            <w:r>
              <w:rPr>
                <w:rFonts w:hint="eastAsia"/>
                <w:color w:val="auto"/>
                <w:sz w:val="24"/>
                <w:u w:val="single"/>
                <w:lang w:eastAsia="zh-CN"/>
              </w:rPr>
              <w:t>湖南省常德市桃源县青林维吾尔族回族乡金堰村一组采菱东路湖南宝特瑞能新能源有限责任公司内第</w:t>
            </w:r>
            <w:r>
              <w:rPr>
                <w:rFonts w:hint="eastAsia"/>
                <w:color w:val="auto"/>
                <w:sz w:val="24"/>
                <w:u w:val="single"/>
                <w:lang w:val="en-US" w:eastAsia="zh-CN"/>
              </w:rPr>
              <w:t>3</w:t>
            </w:r>
            <w:r>
              <w:rPr>
                <w:rFonts w:hint="eastAsia"/>
                <w:color w:val="auto"/>
                <w:sz w:val="24"/>
                <w:u w:val="single"/>
                <w:lang w:eastAsia="zh-CN"/>
              </w:rPr>
              <w:t>栋第</w:t>
            </w:r>
            <w:r>
              <w:rPr>
                <w:rFonts w:hint="eastAsia"/>
                <w:color w:val="auto"/>
                <w:sz w:val="24"/>
                <w:u w:val="single"/>
                <w:lang w:val="en-US" w:eastAsia="zh-CN"/>
              </w:rPr>
              <w:t>1</w:t>
            </w:r>
            <w:r>
              <w:rPr>
                <w:rFonts w:hint="eastAsia"/>
                <w:color w:val="auto"/>
                <w:sz w:val="24"/>
                <w:u w:val="single"/>
                <w:lang w:eastAsia="zh-CN"/>
              </w:rPr>
              <w:t>层</w:t>
            </w:r>
            <w:r>
              <w:rPr>
                <w:rFonts w:hint="eastAsia"/>
                <w:color w:val="auto"/>
                <w:sz w:val="24"/>
                <w:u w:val="single"/>
              </w:rPr>
              <w:t>，占地面积</w:t>
            </w:r>
            <w:r>
              <w:rPr>
                <w:rFonts w:hint="eastAsia"/>
                <w:color w:val="auto"/>
                <w:sz w:val="24"/>
                <w:u w:val="single"/>
                <w:lang w:eastAsia="zh-CN"/>
              </w:rPr>
              <w:t>约</w:t>
            </w:r>
            <w:r>
              <w:rPr>
                <w:rFonts w:hint="eastAsia"/>
                <w:color w:val="auto"/>
                <w:sz w:val="24"/>
                <w:u w:val="single"/>
              </w:rPr>
              <w:t>为</w:t>
            </w:r>
            <w:r>
              <w:rPr>
                <w:rFonts w:hint="eastAsia"/>
                <w:color w:val="auto"/>
                <w:sz w:val="24"/>
                <w:u w:val="single"/>
                <w:lang w:val="en-US" w:eastAsia="zh-CN"/>
              </w:rPr>
              <w:t>2280</w:t>
            </w:r>
            <w:r>
              <w:rPr>
                <w:rFonts w:hint="eastAsia"/>
                <w:color w:val="auto"/>
                <w:sz w:val="24"/>
                <w:u w:val="single"/>
              </w:rPr>
              <w:t>m</w:t>
            </w:r>
            <w:r>
              <w:rPr>
                <w:rFonts w:hint="eastAsia"/>
                <w:color w:val="auto"/>
                <w:sz w:val="24"/>
                <w:u w:val="single"/>
                <w:vertAlign w:val="superscript"/>
              </w:rPr>
              <w:t>3</w:t>
            </w:r>
            <w:r>
              <w:rPr>
                <w:rFonts w:hint="eastAsia"/>
                <w:color w:val="auto"/>
                <w:sz w:val="24"/>
                <w:u w:val="single"/>
              </w:rPr>
              <w:t>，在</w:t>
            </w:r>
            <w:r>
              <w:rPr>
                <w:rFonts w:hint="eastAsia"/>
                <w:color w:val="auto"/>
                <w:sz w:val="24"/>
                <w:u w:val="single"/>
                <w:lang w:val="en-US" w:eastAsia="zh-CN"/>
              </w:rPr>
              <w:t>3</w:t>
            </w:r>
            <w:r>
              <w:rPr>
                <w:rFonts w:hint="eastAsia"/>
                <w:color w:val="auto"/>
                <w:sz w:val="24"/>
                <w:u w:val="single"/>
              </w:rPr>
              <w:t>栋</w:t>
            </w:r>
            <w:r>
              <w:rPr>
                <w:rFonts w:hint="eastAsia"/>
                <w:color w:val="auto"/>
                <w:sz w:val="24"/>
                <w:u w:val="single"/>
                <w:lang w:val="en-US" w:eastAsia="zh-CN"/>
              </w:rPr>
              <w:t>1层</w:t>
            </w:r>
            <w:r>
              <w:rPr>
                <w:rFonts w:hint="eastAsia"/>
                <w:color w:val="auto"/>
                <w:sz w:val="24"/>
                <w:u w:val="single"/>
              </w:rPr>
              <w:t>建设生产车间</w:t>
            </w:r>
            <w:r>
              <w:rPr>
                <w:rFonts w:hint="eastAsia"/>
                <w:color w:val="auto"/>
                <w:sz w:val="24"/>
                <w:u w:val="single"/>
                <w:lang w:eastAsia="zh-CN"/>
              </w:rPr>
              <w:t>（</w:t>
            </w:r>
            <w:r>
              <w:rPr>
                <w:rFonts w:hint="eastAsia"/>
                <w:color w:val="auto"/>
                <w:sz w:val="24"/>
                <w:u w:val="single"/>
                <w:lang w:val="en-US" w:eastAsia="zh-CN"/>
              </w:rPr>
              <w:t>包括烘干区、初榨车间、精炼车间、罐装车间、包装车间、</w:t>
            </w:r>
            <w:r>
              <w:rPr>
                <w:rFonts w:hint="eastAsia"/>
                <w:color w:val="auto"/>
                <w:sz w:val="24"/>
                <w:u w:val="single"/>
                <w:lang w:eastAsia="zh-CN"/>
              </w:rPr>
              <w:t>原料仓库、</w:t>
            </w:r>
            <w:r>
              <w:rPr>
                <w:rFonts w:hint="eastAsia"/>
                <w:color w:val="auto"/>
                <w:sz w:val="24"/>
                <w:u w:val="single"/>
                <w:lang w:val="en-US" w:eastAsia="zh-CN"/>
              </w:rPr>
              <w:t>成品仓库</w:t>
            </w:r>
            <w:r>
              <w:rPr>
                <w:rFonts w:hint="eastAsia"/>
                <w:color w:val="auto"/>
                <w:sz w:val="24"/>
                <w:u w:val="single"/>
                <w:lang w:eastAsia="zh-CN"/>
              </w:rPr>
              <w:t>、</w:t>
            </w:r>
            <w:r>
              <w:rPr>
                <w:rFonts w:hint="eastAsia"/>
                <w:color w:val="auto"/>
                <w:sz w:val="24"/>
                <w:u w:val="single"/>
                <w:lang w:val="en-US" w:eastAsia="zh-CN"/>
              </w:rPr>
              <w:t>包材仓库等</w:t>
            </w:r>
            <w:r>
              <w:rPr>
                <w:rFonts w:hint="eastAsia"/>
                <w:color w:val="auto"/>
                <w:sz w:val="24"/>
                <w:u w:val="single"/>
                <w:lang w:eastAsia="zh-CN"/>
              </w:rPr>
              <w:t>），生产车间内建设一条</w:t>
            </w:r>
            <w:r>
              <w:rPr>
                <w:rFonts w:hint="eastAsia"/>
                <w:color w:val="auto"/>
                <w:sz w:val="24"/>
                <w:szCs w:val="24"/>
                <w:u w:val="single"/>
                <w:lang w:val="zh-CN"/>
              </w:rPr>
              <w:t>年产</w:t>
            </w:r>
            <w:r>
              <w:rPr>
                <w:rFonts w:hint="eastAsia"/>
                <w:color w:val="auto"/>
                <w:sz w:val="24"/>
                <w:szCs w:val="24"/>
                <w:u w:val="single"/>
                <w:lang w:val="en-US" w:eastAsia="zh-CN"/>
              </w:rPr>
              <w:t>100吨</w:t>
            </w:r>
            <w:r>
              <w:rPr>
                <w:rFonts w:hint="eastAsia"/>
                <w:color w:val="auto"/>
                <w:sz w:val="24"/>
                <w:u w:val="single"/>
                <w:lang w:val="en-US" w:eastAsia="zh-CN"/>
              </w:rPr>
              <w:t>茶油生产</w:t>
            </w:r>
            <w:r>
              <w:rPr>
                <w:rFonts w:hint="eastAsia"/>
                <w:color w:val="auto"/>
                <w:sz w:val="24"/>
                <w:u w:val="single"/>
                <w:lang w:eastAsia="zh-CN"/>
              </w:rPr>
              <w:t>线</w:t>
            </w:r>
            <w:r>
              <w:rPr>
                <w:color w:val="auto"/>
                <w:sz w:val="24"/>
                <w:u w:val="single"/>
              </w:rPr>
              <w:t>。</w:t>
            </w:r>
          </w:p>
          <w:p>
            <w:pPr>
              <w:pStyle w:val="36"/>
              <w:spacing w:beforeLines="50" w:before="120" w:line="360" w:lineRule="auto"/>
              <w:jc w:val="center"/>
              <w:rPr>
                <w:rFonts w:ascii="Times New Roman" w:cs="Times New Roman" w:hAnsi="Times New Roman"/>
                <w:b/>
                <w:bCs/>
                <w:color w:val="auto"/>
                <w:sz w:val="21"/>
                <w:szCs w:val="21"/>
              </w:rPr>
            </w:pPr>
            <w:r>
              <w:rPr>
                <w:rFonts w:ascii="Times New Roman" w:cs="Times New Roman" w:hAnsi="Times New Roman"/>
                <w:b/>
                <w:bCs/>
                <w:color w:val="auto"/>
                <w:sz w:val="21"/>
                <w:szCs w:val="21"/>
                <w:lang w:val="en-GB"/>
              </w:rPr>
              <w:t>表</w:t>
            </w:r>
            <w:r>
              <w:rPr>
                <w:rFonts w:ascii="Times New Roman" w:cs="Times New Roman" w:hAnsi="Times New Roman"/>
                <w:b/>
                <w:bCs/>
                <w:color w:val="auto"/>
                <w:sz w:val="21"/>
                <w:szCs w:val="21"/>
              </w:rPr>
              <w:t xml:space="preserve"> 2-1 项目工程组成一览表</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600" w:firstRow="0" w:lastRow="0" w:firstColumn="0" w:lastColumn="0" w:noHBand="1" w:noVBand="1"/>
            </w:tblPr>
            <w:tblGrid>
              <w:gridCol w:w="469"/>
              <w:gridCol w:w="399"/>
              <w:gridCol w:w="942"/>
              <w:gridCol w:w="4455"/>
              <w:gridCol w:w="2758"/>
            </w:tblGrid>
            <w:tr>
              <w:trPr>
                <w:trHeight w:val="454"/>
              </w:trPr>
              <w:tc>
                <w:tcPr>
                  <w:tcW w:w="260"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b/>
                      <w:bCs/>
                      <w:color w:val="auto"/>
                      <w:sz w:val="21"/>
                      <w:szCs w:val="21"/>
                      <w:lang w:eastAsia="zh-CN"/>
                    </w:rPr>
                    <w:t>类别</w:t>
                  </w:r>
                </w:p>
              </w:tc>
              <w:tc>
                <w:tcPr>
                  <w:tcW w:w="743" w:type="pct"/>
                  <w:gridSpan w:val="2"/>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b/>
                      <w:bCs/>
                      <w:color w:val="auto"/>
                      <w:sz w:val="21"/>
                      <w:szCs w:val="21"/>
                      <w:lang w:eastAsia="zh-CN"/>
                    </w:rPr>
                    <w:t>项目名称</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b/>
                      <w:bCs/>
                      <w:color w:val="auto"/>
                      <w:sz w:val="21"/>
                      <w:szCs w:val="21"/>
                      <w:lang w:eastAsia="zh-CN"/>
                    </w:rPr>
                    <w:t>工程内容及规模</w:t>
                  </w:r>
                </w:p>
              </w:tc>
              <w:tc>
                <w:tcPr>
                  <w:tcW w:w="1528" w:type="pct"/>
                  <w:tcBorders>
                    <w:tl2br w:val="nil"/>
                    <w:tr2bl w:val="nil"/>
                  </w:tcBorders>
                  <w:vAlign w:val="center"/>
                </w:tcPr>
                <w:p>
                  <w:pPr>
                    <w:pStyle w:val="37"/>
                    <w:jc w:val="center"/>
                    <w:rPr>
                      <w:rFonts w:ascii="Times New Roman" w:hAnsi="Times New Roman"/>
                      <w:b/>
                      <w:bCs/>
                      <w:color w:val="auto"/>
                      <w:sz w:val="21"/>
                      <w:szCs w:val="21"/>
                      <w:lang w:val="en-US" w:eastAsia="zh-CN"/>
                    </w:rPr>
                  </w:pPr>
                  <w:r>
                    <w:rPr>
                      <w:rFonts w:hint="eastAsia"/>
                      <w:b/>
                      <w:bCs/>
                      <w:color w:val="auto"/>
                      <w:sz w:val="21"/>
                      <w:szCs w:val="21"/>
                      <w:lang w:val="en-US" w:eastAsia="zh-CN"/>
                    </w:rPr>
                    <w:t>备注</w:t>
                  </w:r>
                </w:p>
              </w:tc>
            </w:tr>
            <w:tr>
              <w:trPr>
                <w:trHeight w:val="454"/>
              </w:trPr>
              <w:tc>
                <w:tcPr>
                  <w:tcW w:w="260" w:type="pct"/>
                  <w:vMerge w:val="restar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hint="eastAsia"/>
                      <w:color w:val="auto"/>
                      <w:sz w:val="21"/>
                      <w:szCs w:val="21"/>
                      <w:lang w:eastAsia="zh-CN"/>
                    </w:rPr>
                    <w:t>主体工程</w:t>
                  </w:r>
                </w:p>
              </w:tc>
              <w:tc>
                <w:tcPr>
                  <w:tcW w:w="743" w:type="pct"/>
                  <w:gridSpan w:val="2"/>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烘干区</w:t>
                  </w:r>
                </w:p>
              </w:tc>
              <w:tc>
                <w:tcPr>
                  <w:tcW w:w="2468" w:type="pct"/>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1F，设置烘干机1台</w:t>
                  </w:r>
                </w:p>
              </w:tc>
              <w:tc>
                <w:tcPr>
                  <w:tcW w:w="1528" w:type="pct"/>
                  <w:tcBorders>
                    <w:tl2br w:val="nil"/>
                    <w:tr2bl w:val="nil"/>
                  </w:tcBorders>
                  <w:vAlign w:val="center"/>
                </w:tcPr>
                <w:p>
                  <w:pPr>
                    <w:pStyle w:val="37"/>
                    <w:jc w:val="center"/>
                    <w:rPr>
                      <w:rFonts w:hint="eastAsia"/>
                      <w:color w:val="auto"/>
                      <w:sz w:val="21"/>
                      <w:szCs w:val="21"/>
                      <w:lang w:val="en-US"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color w:val="auto"/>
                      <w:sz w:val="21"/>
                      <w:szCs w:val="21"/>
                      <w:lang w:val="en-US" w:eastAsia="zh-CN"/>
                    </w:rPr>
                  </w:pPr>
                  <w:r>
                    <w:rPr>
                      <w:rFonts w:ascii="Times New Roman" w:eastAsia="Times New Roman" w:cs="Times New Roman" w:hAnsi="Times New Roman" w:hint="eastAsia"/>
                      <w:color w:val="auto"/>
                      <w:sz w:val="21"/>
                      <w:szCs w:val="21"/>
                      <w:lang w:val="en-US" w:eastAsia="zh-CN"/>
                    </w:rPr>
                    <w:t>初榨车间</w:t>
                  </w:r>
                </w:p>
              </w:tc>
              <w:tc>
                <w:tcPr>
                  <w:tcW w:w="2468" w:type="pct"/>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1F，</w:t>
                  </w:r>
                  <w:r>
                    <w:rPr>
                      <w:rFonts w:ascii="Times New Roman" w:hAnsi="Times New Roman" w:hint="eastAsia"/>
                      <w:color w:val="auto"/>
                      <w:sz w:val="21"/>
                      <w:szCs w:val="21"/>
                      <w:lang w:val="en-US" w:eastAsia="zh-CN"/>
                    </w:rPr>
                    <w:t>设置</w:t>
                  </w:r>
                  <w:r>
                    <w:rPr>
                      <w:rFonts w:hint="eastAsia"/>
                      <w:color w:val="auto"/>
                      <w:sz w:val="21"/>
                      <w:szCs w:val="21"/>
                      <w:lang w:val="en-US" w:eastAsia="zh-CN"/>
                    </w:rPr>
                    <w:t>剥壳机1台、双螺杆榨油机2台、毛油储罐2个</w:t>
                  </w:r>
                </w:p>
              </w:tc>
              <w:tc>
                <w:tcPr>
                  <w:tcW w:w="1528" w:type="pct"/>
                  <w:tcBorders>
                    <w:tl2br w:val="nil"/>
                    <w:tr2bl w:val="nil"/>
                  </w:tcBorders>
                  <w:vAlign w:val="center"/>
                </w:tcPr>
                <w:p>
                  <w:pPr>
                    <w:pStyle w:val="37"/>
                    <w:jc w:val="center"/>
                    <w:rPr>
                      <w:rFonts w:hint="eastAsia"/>
                      <w:color w:val="auto"/>
                      <w:sz w:val="21"/>
                      <w:szCs w:val="21"/>
                      <w:lang w:val="en-US"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val="en-US" w:eastAsia="zh-CN"/>
                    </w:rPr>
                    <w:t>精炼车间</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1F，</w:t>
                  </w:r>
                  <w:r>
                    <w:rPr>
                      <w:rFonts w:ascii="Times New Roman" w:hAnsi="Times New Roman" w:hint="eastAsia"/>
                      <w:color w:val="auto"/>
                      <w:sz w:val="21"/>
                      <w:szCs w:val="21"/>
                      <w:lang w:val="en-US" w:eastAsia="zh-CN"/>
                    </w:rPr>
                    <w:t>设置脱色过滤机1台、电导热油炉1台、脱酸水洗锅1个、脱色锅1个、脱臭锅1个、脱脂结晶锅1个、脱脂过滤机1个</w:t>
                  </w:r>
                  <w:r>
                    <w:rPr>
                      <w:rFonts w:hint="eastAsia"/>
                      <w:color w:val="auto"/>
                      <w:sz w:val="21"/>
                      <w:szCs w:val="21"/>
                      <w:lang w:eastAsia="zh-CN"/>
                    </w:rPr>
                    <w:t>。</w:t>
                  </w:r>
                </w:p>
              </w:tc>
              <w:tc>
                <w:tcPr>
                  <w:tcW w:w="1528" w:type="pct"/>
                  <w:tcBorders>
                    <w:tl2br w:val="nil"/>
                    <w:tr2bl w:val="nil"/>
                  </w:tcBorders>
                  <w:vAlign w:val="center"/>
                </w:tcPr>
                <w:p>
                  <w:pPr>
                    <w:pStyle w:val="37"/>
                    <w:jc w:val="center"/>
                    <w:rPr>
                      <w:rFonts w:hint="eastAsia"/>
                      <w:color w:val="auto"/>
                      <w:sz w:val="21"/>
                      <w:szCs w:val="21"/>
                      <w:lang w:val="en-US"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color w:val="auto"/>
                      <w:sz w:val="21"/>
                      <w:szCs w:val="21"/>
                      <w:lang w:eastAsia="zh-CN"/>
                    </w:rPr>
                  </w:pPr>
                  <w:r>
                    <w:rPr>
                      <w:rFonts w:ascii="Times New Roman" w:eastAsia="Times New Roman" w:cs="Times New Roman" w:hAnsi="Times New Roman" w:hint="eastAsia"/>
                      <w:color w:val="auto"/>
                      <w:sz w:val="21"/>
                      <w:szCs w:val="21"/>
                      <w:lang w:val="en-US" w:eastAsia="zh-CN"/>
                    </w:rPr>
                    <w:t>罐装车间</w:t>
                  </w:r>
                </w:p>
              </w:tc>
              <w:tc>
                <w:tcPr>
                  <w:tcW w:w="2468" w:type="pct"/>
                  <w:tcBorders>
                    <w:tl2br w:val="nil"/>
                    <w:tr2bl w:val="nil"/>
                  </w:tcBorders>
                  <w:vAlign w:val="center"/>
                </w:tcPr>
                <w:p>
                  <w:pPr>
                    <w:pStyle w:val="37"/>
                    <w:jc w:val="center"/>
                    <w:rPr>
                      <w:rFonts w:ascii="Times New Roman" w:hAnsi="Times New Roman"/>
                      <w:color w:val="auto"/>
                      <w:sz w:val="21"/>
                      <w:szCs w:val="21"/>
                      <w:lang w:val="en-US" w:eastAsia="zh-CN"/>
                    </w:rPr>
                  </w:pPr>
                  <w:r>
                    <w:rPr>
                      <w:rFonts w:ascii="Times New Roman" w:hAnsi="Times New Roman"/>
                      <w:color w:val="auto"/>
                      <w:sz w:val="21"/>
                      <w:szCs w:val="21"/>
                      <w:lang w:eastAsia="zh-CN"/>
                    </w:rPr>
                    <w:t>1F，</w:t>
                  </w:r>
                  <w:r>
                    <w:rPr>
                      <w:rFonts w:ascii="Times New Roman" w:hAnsi="Times New Roman" w:hint="eastAsia"/>
                      <w:color w:val="auto"/>
                      <w:sz w:val="21"/>
                      <w:szCs w:val="21"/>
                      <w:lang w:val="en-US" w:eastAsia="zh-CN"/>
                    </w:rPr>
                    <w:t>设置压盖机、消毒机、灯验箱等</w:t>
                  </w:r>
                </w:p>
              </w:tc>
              <w:tc>
                <w:tcPr>
                  <w:tcW w:w="1528" w:type="pct"/>
                  <w:tcBorders>
                    <w:tl2br w:val="nil"/>
                    <w:tr2bl w:val="nil"/>
                  </w:tcBorders>
                  <w:vAlign w:val="center"/>
                </w:tcPr>
                <w:p>
                  <w:pPr>
                    <w:jc w:val="center"/>
                    <w:rPr>
                      <w:rFonts w:ascii="Times New Roman" w:hAnsi="Times New Roman"/>
                      <w:color w:val="auto"/>
                      <w:sz w:val="21"/>
                      <w:szCs w:val="21"/>
                      <w:lang w:val="en-US" w:eastAsia="zh-CN"/>
                    </w:rPr>
                  </w:pPr>
                  <w:r>
                    <w:rPr>
                      <w:rFonts w:eastAsia="宋体" w:hint="eastAsia"/>
                      <w:color w:val="auto"/>
                      <w:sz w:val="21"/>
                      <w:szCs w:val="21"/>
                      <w:lang w:val="en-US" w:eastAsia="zh-CN"/>
                      <w:highlight w:val="none"/>
                    </w:rPr>
                    <w:t>新建</w:t>
                  </w:r>
                </w:p>
              </w:tc>
            </w:tr>
            <w:tr>
              <w:trPr>
                <w:trHeight w:val="496"/>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hint="eastAsia"/>
                      <w:color w:val="auto"/>
                      <w:sz w:val="21"/>
                      <w:szCs w:val="21"/>
                      <w:lang w:val="en-US" w:eastAsia="zh-CN"/>
                    </w:rPr>
                  </w:pPr>
                  <w:r>
                    <w:rPr>
                      <w:rFonts w:ascii="Times New Roman" w:eastAsia="Times New Roman" w:cs="Times New Roman" w:hAnsi="Times New Roman" w:hint="eastAsia"/>
                      <w:color w:val="auto"/>
                      <w:sz w:val="21"/>
                      <w:szCs w:val="21"/>
                      <w:lang w:val="en-US" w:eastAsia="zh-CN"/>
                    </w:rPr>
                    <w:t>包装车间</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1F，</w:t>
                  </w:r>
                  <w:r>
                    <w:rPr>
                      <w:rFonts w:hint="eastAsia"/>
                      <w:color w:val="auto"/>
                      <w:sz w:val="21"/>
                      <w:szCs w:val="21"/>
                      <w:lang w:val="en-US" w:eastAsia="zh-CN"/>
                    </w:rPr>
                    <w:t>设置打包平台1个、激光打码机1台</w:t>
                  </w:r>
                  <w:r>
                    <w:rPr>
                      <w:rFonts w:hint="eastAsia"/>
                      <w:color w:val="auto"/>
                      <w:sz w:val="21"/>
                      <w:szCs w:val="21"/>
                      <w:lang w:eastAsia="zh-CN"/>
                    </w:rPr>
                    <w:t>。</w:t>
                  </w:r>
                </w:p>
              </w:tc>
              <w:tc>
                <w:tcPr>
                  <w:tcW w:w="1528" w:type="pct"/>
                  <w:tcBorders>
                    <w:tl2br w:val="nil"/>
                    <w:tr2bl w:val="nil"/>
                  </w:tcBorders>
                  <w:vAlign w:val="center"/>
                </w:tcPr>
                <w:p>
                  <w:pPr>
                    <w:jc w:val="center"/>
                    <w:rPr>
                      <w:rFonts w:ascii="Times New Roman" w:hAnsi="Times New Roman"/>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tcBorders>
                    <w:tl2br w:val="nil"/>
                    <w:tr2bl w:val="nil"/>
                  </w:tcBorders>
                  <w:vAlign w:val="center"/>
                </w:tcPr>
                <w:p>
                  <w:pPr>
                    <w:pStyle w:val="37"/>
                    <w:jc w:val="center"/>
                    <w:rPr>
                      <w:rFonts w:ascii="Times New Roman" w:hAnsi="Times New Roman"/>
                      <w:color w:val="auto"/>
                      <w:sz w:val="21"/>
                      <w:szCs w:val="21"/>
                    </w:rPr>
                  </w:pPr>
                  <w:r>
                    <w:rPr>
                      <w:rFonts w:ascii="Times New Roman" w:hAnsi="Times New Roman"/>
                      <w:color w:val="auto"/>
                      <w:sz w:val="21"/>
                      <w:szCs w:val="21"/>
                    </w:rPr>
                    <w:t>辅助工程</w:t>
                  </w:r>
                </w:p>
              </w:tc>
              <w:tc>
                <w:tcPr>
                  <w:tcW w:w="743" w:type="pct"/>
                  <w:gridSpan w:val="2"/>
                  <w:tcBorders>
                    <w:tl2br w:val="nil"/>
                    <w:tr2bl w:val="nil"/>
                  </w:tcBorders>
                  <w:vAlign w:val="center"/>
                </w:tcPr>
                <w:p>
                  <w:pPr>
                    <w:pStyle w:val="37"/>
                    <w:jc w:val="center"/>
                    <w:rPr>
                      <w:rFonts w:ascii="Times New Roman" w:eastAsia="Times New Roman" w:cs="Times New Roman" w:hAnsi="Times New Roman" w:hint="eastAsia"/>
                      <w:color w:val="auto"/>
                      <w:sz w:val="21"/>
                      <w:szCs w:val="21"/>
                      <w:lang w:val="en-US" w:eastAsia="zh-CN"/>
                    </w:rPr>
                  </w:pPr>
                  <w:r>
                    <w:rPr>
                      <w:rFonts w:ascii="Times New Roman" w:eastAsia="Times New Roman" w:cs="Times New Roman" w:hAnsi="Times New Roman" w:hint="eastAsia"/>
                      <w:color w:val="auto"/>
                      <w:sz w:val="21"/>
                      <w:szCs w:val="21"/>
                      <w:lang w:val="en-US" w:eastAsia="zh-CN"/>
                    </w:rPr>
                    <w:t>办公综合用房</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hint="eastAsia"/>
                      <w:color w:val="auto"/>
                      <w:sz w:val="21"/>
                      <w:szCs w:val="21"/>
                      <w:lang w:val="en-US" w:eastAsia="zh-CN"/>
                    </w:rPr>
                    <w:t>1</w:t>
                  </w:r>
                  <w:r>
                    <w:rPr>
                      <w:rFonts w:ascii="Times New Roman" w:hAnsi="Times New Roman"/>
                      <w:color w:val="auto"/>
                      <w:sz w:val="21"/>
                      <w:szCs w:val="21"/>
                      <w:lang w:eastAsia="zh-CN"/>
                    </w:rPr>
                    <w:t>F，</w:t>
                  </w:r>
                  <w:r>
                    <w:rPr>
                      <w:rFonts w:hint="eastAsia"/>
                      <w:color w:val="auto"/>
                      <w:sz w:val="21"/>
                      <w:szCs w:val="21"/>
                      <w:lang w:val="en-US" w:eastAsia="zh-CN"/>
                    </w:rPr>
                    <w:t>砖混</w:t>
                  </w:r>
                  <w:r>
                    <w:rPr>
                      <w:rFonts w:ascii="Times New Roman" w:hAnsi="Times New Roman"/>
                      <w:color w:val="auto"/>
                      <w:sz w:val="21"/>
                      <w:szCs w:val="21"/>
                      <w:lang w:eastAsia="zh-CN"/>
                    </w:rPr>
                    <w:t>结构</w:t>
                  </w:r>
                  <w:r>
                    <w:rPr>
                      <w:rFonts w:ascii="Times New Roman" w:hAnsi="Times New Roman" w:hint="eastAsia"/>
                      <w:color w:val="auto"/>
                      <w:sz w:val="21"/>
                      <w:szCs w:val="21"/>
                      <w:lang w:eastAsia="zh-CN"/>
                    </w:rPr>
                    <w:t>，</w:t>
                  </w:r>
                  <w:r>
                    <w:rPr>
                      <w:rFonts w:hint="eastAsia"/>
                      <w:color w:val="auto"/>
                      <w:sz w:val="21"/>
                      <w:szCs w:val="21"/>
                      <w:lang w:eastAsia="zh-CN"/>
                    </w:rPr>
                    <w:t>占地</w:t>
                  </w:r>
                  <w:r>
                    <w:rPr>
                      <w:rFonts w:ascii="Times New Roman" w:hAnsi="Times New Roman" w:hint="eastAsia"/>
                      <w:color w:val="auto"/>
                      <w:sz w:val="21"/>
                      <w:szCs w:val="21"/>
                      <w:lang w:eastAsia="zh-CN"/>
                    </w:rPr>
                    <w:t>面积约</w:t>
                  </w:r>
                  <w:r>
                    <w:rPr>
                      <w:rFonts w:hint="eastAsia"/>
                      <w:color w:val="auto"/>
                      <w:sz w:val="21"/>
                      <w:szCs w:val="21"/>
                      <w:lang w:val="en-US" w:eastAsia="zh-CN"/>
                    </w:rPr>
                    <w:t>370</w:t>
                  </w:r>
                  <w:r>
                    <w:rPr>
                      <w:rFonts w:ascii="Times New Roman" w:eastAsia="Times New Roman" w:hAnsi="Times New Roman"/>
                      <w:color w:val="auto"/>
                      <w:sz w:val="21"/>
                      <w:szCs w:val="21"/>
                      <w:lang w:eastAsia="zh-CN"/>
                    </w:rPr>
                    <w:t>m</w:t>
                  </w:r>
                  <w:r>
                    <w:rPr>
                      <w:rFonts w:ascii="Times New Roman" w:eastAsia="Times New Roman" w:hAnsi="Times New Roman"/>
                      <w:color w:val="auto"/>
                      <w:sz w:val="21"/>
                      <w:szCs w:val="21"/>
                      <w:vertAlign w:val="superscript"/>
                      <w:lang w:eastAsia="zh-CN"/>
                    </w:rPr>
                    <w:t>2</w:t>
                  </w:r>
                </w:p>
              </w:tc>
              <w:tc>
                <w:tcPr>
                  <w:tcW w:w="1528" w:type="pct"/>
                  <w:tcBorders>
                    <w:tl2br w:val="nil"/>
                    <w:tr2bl w:val="nil"/>
                  </w:tcBorders>
                  <w:vAlign w:val="center"/>
                </w:tcPr>
                <w:p>
                  <w:pPr>
                    <w:pStyle w:val="37"/>
                    <w:jc w:val="center"/>
                    <w:rPr>
                      <w:rFonts w:hint="eastAsia"/>
                      <w:color w:val="auto"/>
                      <w:sz w:val="21"/>
                      <w:szCs w:val="21"/>
                      <w:lang w:val="en-US" w:eastAsia="zh-CN"/>
                    </w:rPr>
                  </w:pPr>
                  <w:r>
                    <w:rPr>
                      <w:rFonts w:hint="eastAsia"/>
                      <w:color w:val="auto"/>
                      <w:sz w:val="21"/>
                      <w:szCs w:val="21"/>
                      <w:lang w:val="en-US" w:eastAsia="zh-CN"/>
                    </w:rPr>
                    <w:t>新建</w:t>
                  </w:r>
                </w:p>
              </w:tc>
            </w:tr>
            <w:tr>
              <w:trPr>
                <w:trHeight w:val="454"/>
              </w:trPr>
              <w:tc>
                <w:tcPr>
                  <w:tcW w:w="260" w:type="pct"/>
                  <w:vMerge w:val="restar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储运工程</w:t>
                  </w:r>
                </w:p>
              </w:tc>
              <w:tc>
                <w:tcPr>
                  <w:tcW w:w="743" w:type="pct"/>
                  <w:gridSpan w:val="2"/>
                  <w:tcBorders>
                    <w:tl2br w:val="nil"/>
                    <w:tr2bl w:val="nil"/>
                  </w:tcBorders>
                  <w:shd w:val="clear" w:color="auto" w:fill="auto"/>
                  <w:vAlign w:val="center"/>
                </w:tcPr>
                <w:p>
                  <w:pPr>
                    <w:pStyle w:val="37"/>
                    <w:jc w:val="center"/>
                    <w:rPr>
                      <w:rFonts w:ascii="Times New Roman" w:eastAsia="Times New Roman" w:cs="Times New Roman" w:hAnsi="Times New Roman" w:hint="eastAsia"/>
                      <w:color w:val="auto"/>
                      <w:sz w:val="21"/>
                      <w:szCs w:val="21"/>
                      <w:lang w:val="en-US" w:eastAsia="zh-CN"/>
                    </w:rPr>
                  </w:pPr>
                  <w:r>
                    <w:rPr>
                      <w:rFonts w:ascii="Times New Roman" w:eastAsia="Times New Roman" w:cs="Times New Roman" w:hAnsi="Times New Roman" w:hint="eastAsia"/>
                      <w:color w:val="auto"/>
                      <w:sz w:val="21"/>
                      <w:szCs w:val="21"/>
                      <w:lang w:val="en-US" w:eastAsia="zh-CN"/>
                    </w:rPr>
                    <w:t>原料仓库</w:t>
                  </w:r>
                </w:p>
              </w:tc>
              <w:tc>
                <w:tcPr>
                  <w:tcW w:w="2468" w:type="pct"/>
                  <w:tcBorders>
                    <w:tl2br w:val="nil"/>
                    <w:tr2bl w:val="nil"/>
                  </w:tcBorders>
                  <w:shd w:val="clear" w:color="auto" w:fill="auto"/>
                  <w:vAlign w:val="center"/>
                </w:tcPr>
                <w:p>
                  <w:pPr>
                    <w:pStyle w:val="37"/>
                    <w:jc w:val="center"/>
                    <w:rPr>
                      <w:rFonts w:ascii="Times New Roman" w:eastAsia="Times New Roman" w:cs="Times New Roman" w:hAnsi="Times New Roman"/>
                      <w:color w:val="auto"/>
                      <w:kern w:val="2"/>
                      <w:sz w:val="21"/>
                      <w:szCs w:val="21"/>
                      <w:lang w:val="en-US" w:eastAsia="zh-CN" w:bidi="ar-SA"/>
                    </w:rPr>
                  </w:pPr>
                  <w:r>
                    <w:rPr>
                      <w:rFonts w:ascii="Times New Roman" w:hAnsi="Times New Roman"/>
                      <w:color w:val="auto"/>
                      <w:sz w:val="21"/>
                      <w:szCs w:val="21"/>
                      <w:lang w:eastAsia="zh-CN"/>
                    </w:rPr>
                    <w:t>1F，</w:t>
                  </w:r>
                  <w:r>
                    <w:rPr>
                      <w:rFonts w:ascii="Times New Roman" w:hAnsi="Times New Roman" w:hint="eastAsia"/>
                      <w:color w:val="auto"/>
                      <w:sz w:val="21"/>
                      <w:szCs w:val="21"/>
                      <w:lang w:val="en-US" w:eastAsia="zh-CN"/>
                    </w:rPr>
                    <w:t>砖混结构，</w:t>
                  </w:r>
                  <w:r>
                    <w:rPr>
                      <w:rFonts w:hint="eastAsia"/>
                      <w:color w:val="auto"/>
                      <w:sz w:val="21"/>
                      <w:szCs w:val="21"/>
                      <w:lang w:eastAsia="zh-CN"/>
                    </w:rPr>
                    <w:t>占地</w:t>
                  </w:r>
                  <w:r>
                    <w:rPr>
                      <w:rFonts w:ascii="Times New Roman" w:hAnsi="Times New Roman" w:hint="eastAsia"/>
                      <w:color w:val="auto"/>
                      <w:sz w:val="21"/>
                      <w:szCs w:val="21"/>
                      <w:lang w:eastAsia="zh-CN"/>
                    </w:rPr>
                    <w:t>面积约</w:t>
                  </w:r>
                  <w:r>
                    <w:rPr>
                      <w:rFonts w:hint="eastAsia"/>
                      <w:color w:val="auto"/>
                      <w:sz w:val="21"/>
                      <w:szCs w:val="21"/>
                      <w:lang w:val="en-US" w:eastAsia="zh-CN"/>
                    </w:rPr>
                    <w:t>257.58</w:t>
                  </w:r>
                  <w:r>
                    <w:rPr>
                      <w:rFonts w:ascii="Times New Roman" w:eastAsia="Times New Roman" w:hAnsi="Times New Roman"/>
                      <w:color w:val="auto"/>
                      <w:sz w:val="21"/>
                      <w:szCs w:val="21"/>
                      <w:lang w:eastAsia="zh-CN"/>
                    </w:rPr>
                    <w:t>m</w:t>
                  </w:r>
                  <w:r>
                    <w:rPr>
                      <w:rFonts w:ascii="Times New Roman" w:eastAsia="Times New Roman" w:hAnsi="Times New Roman"/>
                      <w:color w:val="auto"/>
                      <w:sz w:val="21"/>
                      <w:szCs w:val="21"/>
                      <w:vertAlign w:val="superscript"/>
                      <w:lang w:eastAsia="zh-CN"/>
                    </w:rPr>
                    <w:t>2</w:t>
                  </w:r>
                  <w:r>
                    <w:rPr>
                      <w:rFonts w:hint="eastAsia"/>
                      <w:color w:val="auto"/>
                      <w:sz w:val="21"/>
                      <w:szCs w:val="21"/>
                      <w:lang w:eastAsia="zh-CN"/>
                    </w:rPr>
                    <w:t>。</w:t>
                  </w:r>
                </w:p>
              </w:tc>
              <w:tc>
                <w:tcPr>
                  <w:tcW w:w="1528" w:type="pct"/>
                  <w:tcBorders>
                    <w:tl2br w:val="nil"/>
                    <w:tr2bl w:val="nil"/>
                  </w:tcBorders>
                  <w:vAlign w:val="center"/>
                </w:tcPr>
                <w:p>
                  <w:pPr>
                    <w:pStyle w:val="37"/>
                    <w:jc w:val="center"/>
                    <w:rPr>
                      <w:color w:val="auto"/>
                      <w:sz w:val="21"/>
                      <w:szCs w:val="21"/>
                      <w:lang w:val="en-US" w:eastAsia="zh-CN"/>
                    </w:rPr>
                  </w:pPr>
                  <w:r>
                    <w:rPr>
                      <w:rFonts w:hint="eastAsia"/>
                      <w:color w:val="auto"/>
                      <w:sz w:val="21"/>
                      <w:szCs w:val="21"/>
                      <w:lang w:val="en-US" w:eastAsia="zh-CN"/>
                    </w:rPr>
                    <w:t>新建，同时用于存放茶枯</w:t>
                  </w:r>
                </w:p>
              </w:tc>
            </w:tr>
            <w:tr>
              <w:trPr>
                <w:trHeight w:val="41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hint="eastAsia"/>
                      <w:color w:val="auto"/>
                      <w:sz w:val="21"/>
                      <w:szCs w:val="21"/>
                      <w:lang w:val="en-US" w:eastAsia="zh-CN"/>
                    </w:rPr>
                  </w:pPr>
                  <w:r>
                    <w:rPr>
                      <w:rFonts w:ascii="Times New Roman" w:eastAsia="Times New Roman" w:cs="Times New Roman" w:hAnsi="Times New Roman" w:hint="eastAsia"/>
                      <w:color w:val="auto"/>
                      <w:sz w:val="21"/>
                      <w:szCs w:val="21"/>
                      <w:lang w:val="en-US" w:eastAsia="zh-CN"/>
                    </w:rPr>
                    <w:t>成品仓库</w:t>
                  </w:r>
                </w:p>
              </w:tc>
              <w:tc>
                <w:tcPr>
                  <w:tcW w:w="2468" w:type="pct"/>
                  <w:tcBorders>
                    <w:tl2br w:val="nil"/>
                    <w:tr2bl w:val="nil"/>
                  </w:tcBorders>
                  <w:vAlign w:val="center"/>
                </w:tcPr>
                <w:p>
                  <w:pPr>
                    <w:pStyle w:val="37"/>
                    <w:jc w:val="center"/>
                    <w:rPr>
                      <w:color w:val="auto"/>
                      <w:sz w:val="21"/>
                      <w:szCs w:val="21"/>
                      <w:lang w:val="en-US" w:eastAsia="zh-CN"/>
                    </w:rPr>
                  </w:pPr>
                  <w:r>
                    <w:rPr>
                      <w:rFonts w:hint="eastAsia"/>
                      <w:color w:val="auto"/>
                      <w:sz w:val="21"/>
                      <w:szCs w:val="21"/>
                      <w:lang w:val="en-US" w:eastAsia="zh-CN"/>
                    </w:rPr>
                    <w:t>1F，砖混结构，占地面积约132</w:t>
                  </w:r>
                  <w:r>
                    <w:rPr>
                      <w:rFonts w:ascii="Times New Roman" w:eastAsia="Times New Roman" w:hAnsi="Times New Roman"/>
                      <w:color w:val="auto"/>
                      <w:sz w:val="21"/>
                      <w:szCs w:val="21"/>
                      <w:lang w:eastAsia="zh-CN"/>
                    </w:rPr>
                    <w:t>m</w:t>
                  </w:r>
                  <w:r>
                    <w:rPr>
                      <w:rFonts w:ascii="Times New Roman" w:eastAsia="Times New Roman" w:hAnsi="Times New Roman"/>
                      <w:color w:val="auto"/>
                      <w:sz w:val="21"/>
                      <w:szCs w:val="21"/>
                      <w:vertAlign w:val="superscript"/>
                      <w:lang w:eastAsia="zh-CN"/>
                    </w:rPr>
                    <w:t>2</w:t>
                  </w:r>
                  <w:r>
                    <w:rPr>
                      <w:rFonts w:hint="eastAsia"/>
                      <w:color w:val="auto"/>
                      <w:sz w:val="21"/>
                      <w:szCs w:val="21"/>
                      <w:lang w:eastAsia="zh-CN"/>
                    </w:rPr>
                    <w:t>。</w:t>
                  </w:r>
                </w:p>
              </w:tc>
              <w:tc>
                <w:tcPr>
                  <w:tcW w:w="1528" w:type="pct"/>
                  <w:tcBorders>
                    <w:tl2br w:val="nil"/>
                    <w:tr2bl w:val="nil"/>
                  </w:tcBorders>
                  <w:vAlign w:val="center"/>
                </w:tcPr>
                <w:p>
                  <w:pPr>
                    <w:pStyle w:val="37"/>
                    <w:jc w:val="center"/>
                    <w:rPr>
                      <w:rFonts w:hint="eastAsia"/>
                      <w:color w:val="0000FF"/>
                      <w:sz w:val="21"/>
                      <w:szCs w:val="21"/>
                      <w:lang w:val="en-US" w:eastAsia="zh-CN"/>
                    </w:rPr>
                  </w:pPr>
                  <w:r>
                    <w:rPr>
                      <w:rFonts w:hint="eastAsia"/>
                      <w:color w:val="auto"/>
                      <w:sz w:val="21"/>
                      <w:szCs w:val="21"/>
                      <w:lang w:val="en-US" w:eastAsia="zh-CN"/>
                    </w:rPr>
                    <w:t>新建</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Times New Roman" w:cs="Times New Roman" w:hAnsi="Times New Roman" w:hint="eastAsia"/>
                      <w:color w:val="auto"/>
                      <w:sz w:val="21"/>
                      <w:szCs w:val="21"/>
                      <w:lang w:val="en-US" w:eastAsia="zh-CN"/>
                    </w:rPr>
                  </w:pPr>
                  <w:r>
                    <w:rPr>
                      <w:rFonts w:ascii="Times New Roman" w:eastAsia="Times New Roman" w:cs="Times New Roman" w:hAnsi="Times New Roman" w:hint="eastAsia"/>
                      <w:color w:val="auto"/>
                      <w:sz w:val="21"/>
                      <w:szCs w:val="21"/>
                      <w:lang w:val="en-US" w:eastAsia="zh-CN"/>
                    </w:rPr>
                    <w:t>包材仓库</w:t>
                  </w:r>
                </w:p>
              </w:tc>
              <w:tc>
                <w:tcPr>
                  <w:tcW w:w="2468" w:type="pct"/>
                  <w:tcBorders>
                    <w:tl2br w:val="nil"/>
                    <w:tr2bl w:val="nil"/>
                  </w:tcBorders>
                  <w:vAlign w:val="center"/>
                </w:tcPr>
                <w:p>
                  <w:pPr>
                    <w:pStyle w:val="37"/>
                    <w:jc w:val="center"/>
                    <w:rPr>
                      <w:rFonts w:hint="eastAsia"/>
                      <w:color w:val="0000FF"/>
                      <w:sz w:val="21"/>
                      <w:szCs w:val="21"/>
                      <w:lang w:val="en-US" w:eastAsia="zh-CN"/>
                    </w:rPr>
                  </w:pPr>
                  <w:r>
                    <w:rPr>
                      <w:rFonts w:hint="eastAsia"/>
                      <w:color w:val="auto"/>
                      <w:sz w:val="21"/>
                      <w:szCs w:val="21"/>
                      <w:lang w:val="en-US" w:eastAsia="zh-CN"/>
                    </w:rPr>
                    <w:t>1F，砖混结构，占地面积约132.8</w:t>
                  </w:r>
                  <w:r>
                    <w:rPr>
                      <w:rFonts w:ascii="Times New Roman" w:eastAsia="Times New Roman" w:hAnsi="Times New Roman"/>
                      <w:color w:val="auto"/>
                      <w:sz w:val="21"/>
                      <w:szCs w:val="21"/>
                      <w:lang w:eastAsia="zh-CN"/>
                    </w:rPr>
                    <w:t>m</w:t>
                  </w:r>
                  <w:r>
                    <w:rPr>
                      <w:rFonts w:ascii="Times New Roman" w:eastAsia="Times New Roman" w:hAnsi="Times New Roman"/>
                      <w:color w:val="auto"/>
                      <w:sz w:val="21"/>
                      <w:szCs w:val="21"/>
                      <w:vertAlign w:val="superscript"/>
                      <w:lang w:eastAsia="zh-CN"/>
                    </w:rPr>
                    <w:t>2</w:t>
                  </w:r>
                  <w:r>
                    <w:rPr>
                      <w:rFonts w:hint="eastAsia"/>
                      <w:color w:val="auto"/>
                      <w:sz w:val="21"/>
                      <w:szCs w:val="21"/>
                      <w:lang w:eastAsia="zh-CN"/>
                    </w:rPr>
                    <w:t>。</w:t>
                  </w:r>
                </w:p>
              </w:tc>
              <w:tc>
                <w:tcPr>
                  <w:tcW w:w="1528" w:type="pct"/>
                  <w:tcBorders>
                    <w:tl2br w:val="nil"/>
                    <w:tr2bl w:val="nil"/>
                  </w:tcBorders>
                  <w:vAlign w:val="center"/>
                </w:tcPr>
                <w:p>
                  <w:pPr>
                    <w:pStyle w:val="37"/>
                    <w:jc w:val="center"/>
                    <w:rPr>
                      <w:rFonts w:hint="eastAsia"/>
                      <w:color w:val="0000FF"/>
                      <w:sz w:val="21"/>
                      <w:szCs w:val="21"/>
                      <w:lang w:val="en-US" w:eastAsia="zh-CN"/>
                    </w:rPr>
                  </w:pPr>
                  <w:r>
                    <w:rPr>
                      <w:rFonts w:hint="eastAsia"/>
                      <w:color w:val="auto"/>
                      <w:sz w:val="21"/>
                      <w:szCs w:val="21"/>
                      <w:lang w:val="en-US" w:eastAsia="zh-CN"/>
                    </w:rPr>
                    <w:t>新建</w:t>
                  </w:r>
                </w:p>
              </w:tc>
            </w:tr>
            <w:tr>
              <w:trPr>
                <w:trHeight w:val="454"/>
              </w:trPr>
              <w:tc>
                <w:tcPr>
                  <w:tcW w:w="260" w:type="pct"/>
                  <w:vMerge w:val="restart"/>
                  <w:tcBorders>
                    <w:tl2br w:val="nil"/>
                    <w:tr2bl w:val="nil"/>
                  </w:tcBorders>
                  <w:vAlign w:val="center"/>
                </w:tcPr>
                <w:p>
                  <w:pPr>
                    <w:pStyle w:val="37"/>
                    <w:jc w:val="center"/>
                    <w:rPr>
                      <w:rFonts w:ascii="Times New Roman" w:hAnsi="Times New Roman"/>
                      <w:color w:val="auto"/>
                      <w:sz w:val="21"/>
                      <w:szCs w:val="21"/>
                    </w:rPr>
                  </w:pPr>
                  <w:r>
                    <w:rPr>
                      <w:rFonts w:ascii="Times New Roman" w:hAnsi="Times New Roman"/>
                      <w:color w:val="auto"/>
                      <w:sz w:val="21"/>
                      <w:szCs w:val="21"/>
                    </w:rPr>
                    <w:t>公用工程</w:t>
                  </w:r>
                </w:p>
              </w:tc>
              <w:tc>
                <w:tcPr>
                  <w:tcW w:w="743" w:type="pct"/>
                  <w:gridSpan w:val="2"/>
                  <w:tcBorders>
                    <w:tl2br w:val="nil"/>
                    <w:tr2bl w:val="nil"/>
                  </w:tcBorders>
                  <w:vAlign w:val="center"/>
                </w:tcPr>
                <w:p>
                  <w:pPr>
                    <w:pStyle w:val="37"/>
                    <w:jc w:val="center"/>
                    <w:rPr>
                      <w:rFonts w:ascii="Times New Roman" w:hAnsi="Times New Roman"/>
                      <w:color w:val="auto"/>
                      <w:sz w:val="21"/>
                      <w:szCs w:val="21"/>
                    </w:rPr>
                  </w:pPr>
                  <w:r>
                    <w:rPr>
                      <w:rFonts w:ascii="Times New Roman" w:hAnsi="Times New Roman"/>
                      <w:color w:val="auto"/>
                      <w:sz w:val="21"/>
                      <w:szCs w:val="21"/>
                    </w:rPr>
                    <w:t>供水</w:t>
                  </w:r>
                </w:p>
              </w:tc>
              <w:tc>
                <w:tcPr>
                  <w:tcW w:w="2468" w:type="pct"/>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城市供水</w:t>
                  </w:r>
                </w:p>
              </w:tc>
              <w:tc>
                <w:tcPr>
                  <w:tcW w:w="1528" w:type="pct"/>
                  <w:tcBorders>
                    <w:tl2br w:val="nil"/>
                    <w:tr2bl w:val="nil"/>
                  </w:tcBorders>
                  <w:vAlign w:val="center"/>
                </w:tcPr>
                <w:p>
                  <w:pPr>
                    <w:pStyle w:val="37"/>
                    <w:jc w:val="center"/>
                    <w:rPr>
                      <w:color w:val="auto"/>
                      <w:sz w:val="21"/>
                      <w:szCs w:val="21"/>
                      <w:lang w:val="en-US" w:eastAsia="zh-CN"/>
                    </w:rPr>
                  </w:pPr>
                  <w:r>
                    <w:rPr>
                      <w:rFonts w:hint="eastAsia"/>
                      <w:color w:val="auto"/>
                      <w:sz w:val="21"/>
                      <w:szCs w:val="21"/>
                      <w:lang w:val="en-US" w:eastAsia="zh-CN"/>
                    </w:rPr>
                    <w:t>/</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hAnsi="Times New Roman"/>
                      <w:color w:val="auto"/>
                      <w:sz w:val="21"/>
                      <w:szCs w:val="21"/>
                    </w:rPr>
                  </w:pPr>
                  <w:r>
                    <w:rPr>
                      <w:rFonts w:ascii="Times New Roman" w:hAnsi="Times New Roman"/>
                      <w:color w:val="auto"/>
                      <w:sz w:val="21"/>
                      <w:szCs w:val="21"/>
                    </w:rPr>
                    <w:t>供电</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区域电网供电</w:t>
                  </w:r>
                </w:p>
              </w:tc>
              <w:tc>
                <w:tcPr>
                  <w:tcW w:w="1528" w:type="pct"/>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eastAsia="宋体" w:hAnsi="Times New Roman" w:hint="eastAsia"/>
                      <w:color w:val="auto"/>
                      <w:sz w:val="21"/>
                      <w:szCs w:val="21"/>
                      <w:lang w:eastAsia="zh-CN"/>
                    </w:rPr>
                  </w:pPr>
                  <w:r>
                    <w:rPr>
                      <w:rFonts w:eastAsia="宋体" w:hint="eastAsia"/>
                      <w:color w:val="auto"/>
                      <w:sz w:val="21"/>
                      <w:szCs w:val="21"/>
                      <w:lang w:eastAsia="zh-CN"/>
                    </w:rPr>
                    <w:t>排水</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highlight w:val="none"/>
                    </w:rPr>
                    <w:t>生活污水</w:t>
                  </w:r>
                  <w:r>
                    <w:rPr>
                      <w:rFonts w:ascii="Times New Roman" w:hAnsi="Times New Roman" w:hint="eastAsia"/>
                      <w:color w:val="auto"/>
                      <w:sz w:val="21"/>
                      <w:szCs w:val="21"/>
                      <w:lang w:val="en-US" w:eastAsia="zh-CN"/>
                      <w:highlight w:val="none"/>
                    </w:rPr>
                    <w:t>依托</w:t>
                  </w:r>
                  <w:r>
                    <w:rPr>
                      <w:rFonts w:hint="eastAsia"/>
                      <w:color w:val="auto"/>
                      <w:sz w:val="21"/>
                      <w:szCs w:val="21"/>
                      <w:lang w:val="en-US" w:eastAsia="zh-CN"/>
                      <w:highlight w:val="none"/>
                    </w:rPr>
                    <w:t>湖南宝特</w:t>
                  </w:r>
                  <w:r>
                    <w:rPr>
                      <w:rFonts w:ascii="Times New Roman" w:hAnsi="Times New Roman" w:hint="eastAsia"/>
                      <w:color w:val="auto"/>
                      <w:sz w:val="21"/>
                      <w:szCs w:val="21"/>
                      <w:lang w:val="en-US" w:eastAsia="zh-CN"/>
                      <w:highlight w:val="none"/>
                    </w:rPr>
                    <w:t>化粪池处理后</w:t>
                  </w:r>
                  <w:r>
                    <w:rPr>
                      <w:rFonts w:eastAsia="宋体" w:hint="eastAsia"/>
                      <w:color w:val="auto"/>
                      <w:sz w:val="21"/>
                      <w:szCs w:val="21"/>
                      <w:lang w:val="en-US" w:eastAsia="zh-CN"/>
                      <w:highlight w:val="none"/>
                    </w:rPr>
                    <w:t>外排园区管网</w:t>
                  </w:r>
                  <w:r>
                    <w:rPr>
                      <w:rFonts w:ascii="Times New Roman" w:hAnsi="Times New Roman"/>
                      <w:color w:val="auto"/>
                      <w:sz w:val="21"/>
                      <w:szCs w:val="21"/>
                      <w:highlight w:val="none"/>
                    </w:rPr>
                    <w:t>。</w:t>
                  </w:r>
                </w:p>
              </w:tc>
              <w:tc>
                <w:tcPr>
                  <w:tcW w:w="1528" w:type="pct"/>
                  <w:tcBorders>
                    <w:tl2br w:val="nil"/>
                    <w:tr2bl w:val="nil"/>
                  </w:tcBorders>
                  <w:vAlign w:val="center"/>
                </w:tcPr>
                <w:p>
                  <w:pPr>
                    <w:pStyle w:val="37"/>
                    <w:jc w:val="center"/>
                    <w:rPr>
                      <w:rFonts w:ascii="Times New Roman" w:eastAsia="宋体" w:hAnsi="Times New Roman" w:hint="eastAsia"/>
                      <w:color w:val="auto"/>
                      <w:sz w:val="21"/>
                      <w:szCs w:val="21"/>
                      <w:lang w:val="en-US" w:eastAsia="zh-CN"/>
                      <w:highlight w:val="none"/>
                    </w:rPr>
                  </w:pPr>
                  <w:r>
                    <w:rPr>
                      <w:rFonts w:hint="eastAsia"/>
                      <w:color w:val="auto"/>
                      <w:sz w:val="21"/>
                      <w:szCs w:val="21"/>
                      <w:lang w:val="en-US" w:eastAsia="zh-CN"/>
                    </w:rPr>
                    <w:t>/</w:t>
                  </w:r>
                </w:p>
              </w:tc>
            </w:tr>
            <w:tr>
              <w:trPr>
                <w:trHeight w:val="454"/>
              </w:trPr>
              <w:tc>
                <w:tcPr>
                  <w:tcW w:w="260" w:type="pct"/>
                  <w:vMerge w:val="restart"/>
                  <w:tcBorders>
                    <w:tl2br w:val="nil"/>
                    <w:tr2bl w:val="nil"/>
                  </w:tcBorders>
                  <w:vAlign w:val="center"/>
                </w:tcPr>
                <w:p>
                  <w:pPr>
                    <w:pStyle w:val="37"/>
                    <w:jc w:val="center"/>
                    <w:rPr>
                      <w:rFonts w:ascii="Times New Roman" w:hAnsi="Times New Roman"/>
                      <w:color w:val="0000FF"/>
                      <w:sz w:val="21"/>
                      <w:szCs w:val="21"/>
                      <w:lang w:eastAsia="zh-CN"/>
                    </w:rPr>
                  </w:pPr>
                  <w:r>
                    <w:rPr>
                      <w:rFonts w:ascii="Times New Roman" w:hAnsi="Times New Roman"/>
                      <w:color w:val="auto"/>
                      <w:sz w:val="21"/>
                      <w:szCs w:val="21"/>
                      <w:lang w:eastAsia="zh-CN"/>
                    </w:rPr>
                    <w:t>环保工程</w:t>
                  </w:r>
                </w:p>
              </w:tc>
              <w:tc>
                <w:tcPr>
                  <w:tcW w:w="221" w:type="pct"/>
                  <w:vMerge w:val="restar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废气处理</w:t>
                  </w:r>
                </w:p>
              </w:tc>
              <w:tc>
                <w:tcPr>
                  <w:tcW w:w="522" w:type="pct"/>
                  <w:tcBorders>
                    <w:tl2br w:val="nil"/>
                    <w:tr2bl w:val="nil"/>
                  </w:tcBorders>
                  <w:vAlign w:val="center"/>
                </w:tcPr>
                <w:p>
                  <w:pPr>
                    <w:pStyle w:val="37"/>
                    <w:jc w:val="center"/>
                    <w:rPr>
                      <w:rFonts w:ascii="Times New Roman" w:hAnsi="Times New Roman"/>
                      <w:color w:val="auto"/>
                      <w:sz w:val="21"/>
                      <w:szCs w:val="21"/>
                      <w:lang w:eastAsia="zh-CN"/>
                    </w:rPr>
                  </w:pPr>
                  <w:r>
                    <w:rPr>
                      <w:rFonts w:hint="eastAsia"/>
                      <w:color w:val="auto"/>
                      <w:sz w:val="21"/>
                      <w:szCs w:val="21"/>
                      <w:lang w:eastAsia="zh-CN"/>
                    </w:rPr>
                    <w:t>运输</w:t>
                  </w:r>
                </w:p>
              </w:tc>
              <w:tc>
                <w:tcPr>
                  <w:tcW w:w="2468" w:type="pct"/>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eastAsia="zh-CN"/>
                    </w:rPr>
                    <w:t>限制车速</w:t>
                  </w:r>
                </w:p>
              </w:tc>
              <w:tc>
                <w:tcPr>
                  <w:tcW w:w="1528" w:type="pct"/>
                  <w:tcBorders>
                    <w:tl2br w:val="nil"/>
                    <w:tr2bl w:val="nil"/>
                  </w:tcBorders>
                  <w:vAlign w:val="center"/>
                </w:tcPr>
                <w:p>
                  <w:pPr>
                    <w:pStyle w:val="37"/>
                    <w:jc w:val="center"/>
                    <w:rPr>
                      <w:rFonts w:ascii="Times New Roman" w:eastAsia="Times New Roman" w:cs="Times New Roman" w:hAnsi="Times New Roman"/>
                      <w:color w:val="auto"/>
                      <w:sz w:val="21"/>
                      <w:szCs w:val="21"/>
                      <w:lang w:val="en-US" w:eastAsia="zh-CN"/>
                    </w:rPr>
                  </w:pPr>
                  <w:r>
                    <w:rPr>
                      <w:rFonts w:cs="Times New Roman" w:hint="eastAsia"/>
                      <w:color w:val="auto"/>
                      <w:sz w:val="21"/>
                      <w:szCs w:val="21"/>
                      <w:lang w:val="en-US" w:eastAsia="zh-CN"/>
                    </w:rPr>
                    <w:t>/</w:t>
                  </w:r>
                </w:p>
              </w:tc>
            </w:tr>
            <w:tr>
              <w:trPr>
                <w:trHeight w:val="350"/>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ascii="Times New Roman" w:hAnsi="Times New Roman" w:hint="eastAsia"/>
                      <w:color w:val="auto"/>
                      <w:sz w:val="21"/>
                      <w:szCs w:val="21"/>
                      <w:lang w:eastAsia="zh-CN"/>
                    </w:rPr>
                  </w:pPr>
                  <w:r>
                    <w:rPr>
                      <w:rFonts w:hint="eastAsia"/>
                      <w:color w:val="auto"/>
                      <w:sz w:val="21"/>
                      <w:szCs w:val="21"/>
                      <w:lang w:val="en-US" w:eastAsia="zh-CN"/>
                    </w:rPr>
                    <w:t>烘干</w:t>
                  </w:r>
                </w:p>
              </w:tc>
              <w:tc>
                <w:tcPr>
                  <w:tcW w:w="2468" w:type="pct"/>
                  <w:tcBorders>
                    <w:tl2br w:val="nil"/>
                    <w:tr2bl w:val="nil"/>
                  </w:tcBorders>
                  <w:vAlign w:val="center"/>
                </w:tcPr>
                <w:p>
                  <w:pPr>
                    <w:pStyle w:val="37"/>
                    <w:jc w:val="center"/>
                    <w:rPr>
                      <w:rFonts w:ascii="Times New Roman" w:eastAsia="Times New Roman" w:cs="Times New Roman" w:hAnsi="Times New Roman"/>
                      <w:color w:val="auto"/>
                      <w:sz w:val="21"/>
                      <w:szCs w:val="21"/>
                      <w:lang w:val="en-US" w:eastAsia="zh-CN"/>
                    </w:rPr>
                  </w:pPr>
                  <w:r>
                    <w:rPr>
                      <w:rFonts w:cs="Times New Roman" w:hint="eastAsia"/>
                      <w:color w:val="auto"/>
                      <w:sz w:val="21"/>
                      <w:szCs w:val="21"/>
                      <w:lang w:val="en-US" w:eastAsia="zh-CN"/>
                    </w:rPr>
                    <w:t>使用电烘干，</w:t>
                  </w:r>
                  <w:r>
                    <w:rPr>
                      <w:rFonts w:hint="eastAsia"/>
                      <w:color w:val="auto"/>
                      <w:sz w:val="21"/>
                      <w:szCs w:val="21"/>
                      <w:lang w:val="en-US" w:eastAsia="zh-CN"/>
                    </w:rPr>
                    <w:t>沉降后布袋+活性炭吸附</w:t>
                  </w:r>
                </w:p>
              </w:tc>
              <w:tc>
                <w:tcPr>
                  <w:tcW w:w="1528" w:type="pct"/>
                  <w:tcBorders>
                    <w:tl2br w:val="nil"/>
                    <w:tr2bl w:val="nil"/>
                  </w:tcBorders>
                  <w:vAlign w:val="center"/>
                </w:tcPr>
                <w:p>
                  <w:pPr>
                    <w:jc w:val="center"/>
                    <w:rPr>
                      <w:rFonts w:ascii="Times New Roman" w:eastAsia="Times New Roman" w:cs="Times New Roman" w:hAnsi="Times New Roman" w:hint="eastAsia"/>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hint="eastAsia"/>
                      <w:color w:val="auto"/>
                      <w:sz w:val="21"/>
                      <w:szCs w:val="21"/>
                      <w:lang w:eastAsia="zh-CN"/>
                    </w:rPr>
                  </w:pPr>
                  <w:r>
                    <w:rPr>
                      <w:rFonts w:hint="eastAsia"/>
                      <w:color w:val="auto"/>
                      <w:sz w:val="21"/>
                      <w:szCs w:val="21"/>
                      <w:lang w:val="en-US" w:eastAsia="zh-CN"/>
                    </w:rPr>
                    <w:t>剥壳</w:t>
                  </w:r>
                </w:p>
              </w:tc>
              <w:tc>
                <w:tcPr>
                  <w:tcW w:w="2468" w:type="pct"/>
                  <w:tcBorders>
                    <w:tl2br w:val="nil"/>
                    <w:tr2bl w:val="nil"/>
                  </w:tcBorders>
                  <w:vAlign w:val="center"/>
                </w:tcPr>
                <w:p>
                  <w:pPr>
                    <w:pStyle w:val="37"/>
                    <w:jc w:val="both"/>
                    <w:rPr>
                      <w:rFonts w:ascii="Times New Roman" w:eastAsia="Times New Roman" w:cs="Times New Roman" w:hAnsi="Times New Roman"/>
                      <w:color w:val="auto"/>
                      <w:sz w:val="21"/>
                      <w:szCs w:val="21"/>
                      <w:lang w:val="en-US" w:eastAsia="zh-CN"/>
                    </w:rPr>
                  </w:pPr>
                  <w:r>
                    <w:rPr>
                      <w:rFonts w:hint="eastAsia"/>
                      <w:color w:val="auto"/>
                      <w:sz w:val="21"/>
                      <w:szCs w:val="21"/>
                      <w:lang w:val="en-US" w:eastAsia="zh-CN"/>
                    </w:rPr>
                    <w:t>在封闭车间进行，沉降后布袋+活性炭吸附</w:t>
                  </w:r>
                </w:p>
              </w:tc>
              <w:tc>
                <w:tcPr>
                  <w:tcW w:w="1528" w:type="pct"/>
                  <w:tcBorders>
                    <w:tl2br w:val="nil"/>
                    <w:tr2bl w:val="nil"/>
                  </w:tcBorders>
                  <w:vAlign w:val="center"/>
                </w:tcPr>
                <w:p>
                  <w:pPr>
                    <w:jc w:val="center"/>
                    <w:rPr>
                      <w:rFonts w:hint="eastAsia"/>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hint="eastAsia"/>
                      <w:color w:val="auto"/>
                      <w:sz w:val="21"/>
                      <w:szCs w:val="21"/>
                      <w:lang w:eastAsia="zh-CN"/>
                    </w:rPr>
                  </w:pPr>
                  <w:r>
                    <w:rPr>
                      <w:rFonts w:hint="eastAsia"/>
                      <w:color w:val="auto"/>
                      <w:sz w:val="21"/>
                      <w:szCs w:val="21"/>
                      <w:lang w:val="en-US" w:eastAsia="zh-CN"/>
                    </w:rPr>
                    <w:t>压榨</w:t>
                  </w:r>
                </w:p>
              </w:tc>
              <w:tc>
                <w:tcPr>
                  <w:tcW w:w="2468" w:type="pct"/>
                  <w:tcBorders>
                    <w:tl2br w:val="nil"/>
                    <w:tr2bl w:val="nil"/>
                  </w:tcBorders>
                  <w:vAlign w:val="center"/>
                </w:tcPr>
                <w:p>
                  <w:pPr>
                    <w:jc w:val="center"/>
                    <w:rPr>
                      <w:color w:val="auto"/>
                      <w:kern w:val="0"/>
                      <w:szCs w:val="21"/>
                      <w:lang w:val="en-US" w:eastAsia="zh-CN"/>
                    </w:rPr>
                  </w:pPr>
                  <w:r>
                    <w:rPr>
                      <w:rFonts w:hint="eastAsia"/>
                      <w:color w:val="auto"/>
                      <w:kern w:val="0"/>
                      <w:szCs w:val="21"/>
                      <w:lang w:val="en-US" w:eastAsia="zh-CN"/>
                    </w:rPr>
                    <w:t>使用冷榨工艺，</w:t>
                  </w:r>
                  <w:r>
                    <w:rPr>
                      <w:rFonts w:hint="eastAsia"/>
                      <w:color w:val="auto"/>
                      <w:sz w:val="21"/>
                      <w:szCs w:val="21"/>
                      <w:lang w:val="en-US" w:eastAsia="zh-CN"/>
                    </w:rPr>
                    <w:t>沉降后布袋+活性炭吸附</w:t>
                  </w:r>
                </w:p>
              </w:tc>
              <w:tc>
                <w:tcPr>
                  <w:tcW w:w="1528" w:type="pct"/>
                  <w:tcBorders>
                    <w:tl2br w:val="nil"/>
                    <w:tr2bl w:val="nil"/>
                  </w:tcBorders>
                  <w:vAlign w:val="center"/>
                </w:tcPr>
                <w:p>
                  <w:pPr>
                    <w:jc w:val="center"/>
                    <w:rPr>
                      <w:rFonts w:hint="eastAsia"/>
                      <w:color w:val="auto"/>
                      <w:kern w:val="0"/>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ascii="Times New Roman" w:eastAsia="宋体" w:cs="Times New Roman" w:hAnsi="Times New Roman" w:hint="eastAsia"/>
                      <w:color w:val="auto"/>
                      <w:sz w:val="21"/>
                      <w:szCs w:val="21"/>
                      <w:lang w:eastAsia="zh-CN"/>
                    </w:rPr>
                  </w:pPr>
                  <w:r>
                    <w:rPr>
                      <w:rFonts w:ascii="Times New Roman" w:eastAsia="宋体" w:cs="Times New Roman" w:hAnsi="Times New Roman" w:hint="eastAsia"/>
                      <w:color w:val="auto"/>
                      <w:sz w:val="21"/>
                      <w:szCs w:val="21"/>
                      <w:lang w:eastAsia="zh-CN"/>
                    </w:rPr>
                    <w:t>精炼</w:t>
                  </w:r>
                </w:p>
              </w:tc>
              <w:tc>
                <w:tcPr>
                  <w:tcW w:w="2468" w:type="pct"/>
                  <w:tcBorders>
                    <w:tl2br w:val="nil"/>
                    <w:tr2bl w:val="nil"/>
                  </w:tcBorders>
                  <w:vAlign w:val="center"/>
                </w:tcPr>
                <w:p>
                  <w:pPr>
                    <w:pStyle w:val="37"/>
                    <w:jc w:val="center"/>
                    <w:rPr>
                      <w:rFonts w:ascii="Times New Roman" w:eastAsia="宋体" w:cs="Times New Roman" w:hAnsi="Times New Roman"/>
                      <w:color w:val="auto"/>
                      <w:sz w:val="21"/>
                      <w:szCs w:val="21"/>
                      <w:lang w:val="en-US" w:eastAsia="zh-CN"/>
                    </w:rPr>
                  </w:pPr>
                  <w:r>
                    <w:rPr>
                      <w:rFonts w:hint="eastAsia"/>
                      <w:color w:val="auto"/>
                      <w:sz w:val="21"/>
                      <w:szCs w:val="21"/>
                      <w:lang w:val="en-US" w:eastAsia="zh-CN"/>
                    </w:rPr>
                    <w:t>布袋+</w:t>
                  </w:r>
                  <w:r>
                    <w:rPr>
                      <w:color w:val="auto"/>
                      <w:sz w:val="21"/>
                      <w:szCs w:val="21"/>
                      <w:lang w:val="en-US" w:eastAsia="zh-CN"/>
                    </w:rPr>
                    <w:t>活性炭</w:t>
                  </w:r>
                  <w:r>
                    <w:rPr>
                      <w:rFonts w:eastAsia="宋体" w:cs="Times New Roman" w:hint="eastAsia"/>
                      <w:color w:val="auto"/>
                      <w:sz w:val="21"/>
                      <w:szCs w:val="21"/>
                      <w:lang w:val="en-US" w:eastAsia="zh-CN"/>
                    </w:rPr>
                    <w:t>吸附+高空排放</w:t>
                  </w:r>
                </w:p>
              </w:tc>
              <w:tc>
                <w:tcPr>
                  <w:tcW w:w="1528" w:type="pct"/>
                  <w:tcBorders>
                    <w:tl2br w:val="nil"/>
                    <w:tr2bl w:val="nil"/>
                  </w:tcBorders>
                  <w:vAlign w:val="center"/>
                </w:tcPr>
                <w:p>
                  <w:pPr>
                    <w:pStyle w:val="37"/>
                    <w:jc w:val="center"/>
                    <w:rPr>
                      <w:rFonts w:ascii="Times New Roman" w:eastAsia="宋体" w:cs="Times New Roman" w:hAnsi="Times New Roman" w:hint="eastAsia"/>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val="restar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rPr>
                    <w:t>废水</w:t>
                  </w:r>
                </w:p>
                <w:p>
                  <w:pPr>
                    <w:pStyle w:val="37"/>
                    <w:jc w:val="center"/>
                    <w:rPr>
                      <w:rFonts w:ascii="Times New Roman" w:hAnsi="Times New Roman"/>
                      <w:color w:val="auto"/>
                      <w:sz w:val="21"/>
                      <w:szCs w:val="21"/>
                    </w:rPr>
                  </w:pPr>
                  <w:r>
                    <w:rPr>
                      <w:rFonts w:ascii="Times New Roman" w:hAnsi="Times New Roman"/>
                      <w:color w:val="auto"/>
                      <w:sz w:val="21"/>
                      <w:szCs w:val="21"/>
                    </w:rPr>
                    <w:t>处理</w:t>
                  </w:r>
                </w:p>
              </w:tc>
              <w:tc>
                <w:tcPr>
                  <w:tcW w:w="522"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生产废水</w:t>
                  </w:r>
                </w:p>
              </w:tc>
              <w:tc>
                <w:tcPr>
                  <w:tcW w:w="2468" w:type="pct"/>
                  <w:tcBorders>
                    <w:tl2br w:val="nil"/>
                    <w:tr2bl w:val="nil"/>
                  </w:tcBorders>
                  <w:vAlign w:val="center"/>
                </w:tcPr>
                <w:p>
                  <w:pPr>
                    <w:pStyle w:val="37"/>
                    <w:jc w:val="center"/>
                    <w:rPr>
                      <w:rFonts w:ascii="Times New Roman" w:hAnsi="Times New Roman"/>
                      <w:color w:val="auto"/>
                      <w:sz w:val="21"/>
                      <w:szCs w:val="21"/>
                      <w:lang w:val="en-US" w:eastAsia="zh-CN"/>
                    </w:rPr>
                  </w:pPr>
                  <w:r>
                    <w:rPr>
                      <w:rFonts w:hint="eastAsia"/>
                      <w:color w:val="auto"/>
                      <w:sz w:val="21"/>
                      <w:szCs w:val="21"/>
                      <w:lang w:val="en-US" w:eastAsia="zh-CN"/>
                    </w:rPr>
                    <w:t>隔油、气浮、水解酸化</w:t>
                  </w:r>
                </w:p>
              </w:tc>
              <w:tc>
                <w:tcPr>
                  <w:tcW w:w="1528" w:type="pct"/>
                  <w:tcBorders>
                    <w:tl2br w:val="nil"/>
                    <w:tr2bl w:val="nil"/>
                  </w:tcBorders>
                  <w:vAlign w:val="center"/>
                </w:tcPr>
                <w:p>
                  <w:pPr>
                    <w:pStyle w:val="37"/>
                    <w:jc w:val="center"/>
                    <w:rPr>
                      <w:rFonts w:hint="eastAsia"/>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生活污水</w:t>
                  </w:r>
                </w:p>
              </w:tc>
              <w:tc>
                <w:tcPr>
                  <w:tcW w:w="2468" w:type="pct"/>
                  <w:tcBorders>
                    <w:tl2br w:val="nil"/>
                    <w:tr2bl w:val="nil"/>
                  </w:tcBorders>
                  <w:vAlign w:val="center"/>
                </w:tcPr>
                <w:p>
                  <w:pPr>
                    <w:pStyle w:val="37"/>
                    <w:jc w:val="center"/>
                    <w:rPr>
                      <w:rFonts w:ascii="Times New Roman" w:eastAsia="Times New Roman" w:hAnsi="Times New Roman"/>
                      <w:color w:val="auto"/>
                      <w:sz w:val="21"/>
                      <w:szCs w:val="21"/>
                      <w:lang w:val="en-US" w:eastAsia="zh-CN"/>
                    </w:rPr>
                  </w:pPr>
                  <w:r>
                    <w:rPr>
                      <w:rFonts w:ascii="Times New Roman" w:eastAsia="Times New Roman" w:hAnsi="Times New Roman"/>
                      <w:color w:val="auto"/>
                      <w:sz w:val="21"/>
                      <w:szCs w:val="21"/>
                      <w:lang w:eastAsia="zh-CN"/>
                    </w:rPr>
                    <w:t>化粪池</w:t>
                  </w:r>
                </w:p>
              </w:tc>
              <w:tc>
                <w:tcPr>
                  <w:tcW w:w="1528" w:type="pct"/>
                  <w:tcBorders>
                    <w:tl2br w:val="nil"/>
                    <w:tr2bl w:val="nil"/>
                  </w:tcBorders>
                  <w:vAlign w:val="center"/>
                </w:tcPr>
                <w:p>
                  <w:pPr>
                    <w:pStyle w:val="37"/>
                    <w:jc w:val="center"/>
                    <w:rPr>
                      <w:rFonts w:ascii="Times New Roman" w:eastAsia="Times New Roman" w:hAnsi="Times New Roman"/>
                      <w:color w:val="auto"/>
                      <w:sz w:val="21"/>
                      <w:szCs w:val="21"/>
                      <w:lang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743" w:type="pct"/>
                  <w:gridSpan w:val="2"/>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噪声处理</w:t>
                  </w:r>
                </w:p>
              </w:tc>
              <w:tc>
                <w:tcPr>
                  <w:tcW w:w="2468" w:type="pct"/>
                  <w:tcBorders>
                    <w:tl2br w:val="nil"/>
                    <w:tr2bl w:val="nil"/>
                  </w:tcBorders>
                  <w:vAlign w:val="center"/>
                </w:tcPr>
                <w:p>
                  <w:pPr>
                    <w:pStyle w:val="37"/>
                    <w:jc w:val="center"/>
                    <w:rPr>
                      <w:rFonts w:ascii="Times New Roman" w:hAnsi="Times New Roman"/>
                      <w:color w:val="auto"/>
                      <w:sz w:val="21"/>
                      <w:szCs w:val="21"/>
                      <w:lang w:eastAsia="zh-CN"/>
                    </w:rPr>
                  </w:pPr>
                  <w:r>
                    <w:rPr>
                      <w:rFonts w:ascii="Times New Roman" w:hAnsi="Times New Roman"/>
                      <w:color w:val="auto"/>
                      <w:sz w:val="21"/>
                      <w:szCs w:val="21"/>
                      <w:lang w:eastAsia="zh-CN"/>
                    </w:rPr>
                    <w:t>减震、隔声</w:t>
                  </w:r>
                </w:p>
              </w:tc>
              <w:tc>
                <w:tcPr>
                  <w:tcW w:w="1528" w:type="pct"/>
                  <w:tcBorders>
                    <w:tl2br w:val="nil"/>
                    <w:tr2bl w:val="nil"/>
                  </w:tcBorders>
                  <w:vAlign w:val="center"/>
                </w:tcPr>
                <w:p>
                  <w:pPr>
                    <w:pStyle w:val="37"/>
                    <w:jc w:val="center"/>
                    <w:rPr>
                      <w:rFonts w:ascii="Times New Roman" w:hAnsi="Times New Roman"/>
                      <w:color w:val="auto"/>
                      <w:sz w:val="21"/>
                      <w:szCs w:val="21"/>
                      <w:lang w:val="en-US" w:eastAsia="zh-CN"/>
                    </w:rPr>
                  </w:pPr>
                  <w:r>
                    <w:rPr>
                      <w:rFonts w:eastAsia="宋体" w:hint="eastAsia"/>
                      <w:color w:val="auto"/>
                      <w:sz w:val="21"/>
                      <w:szCs w:val="21"/>
                      <w:lang w:val="en-US" w:eastAsia="zh-CN"/>
                      <w:highlight w:val="none"/>
                    </w:rPr>
                    <w:t>新建</w:t>
                  </w:r>
                </w:p>
              </w:tc>
            </w:tr>
            <w:tr>
              <w:trPr>
                <w:trHeight w:val="454"/>
              </w:trPr>
              <w:tc>
                <w:tcPr>
                  <w:tcW w:w="260" w:type="pct"/>
                  <w:vMerge/>
                  <w:tcBorders>
                    <w:tl2br w:val="nil"/>
                    <w:tr2bl w:val="nil"/>
                  </w:tcBorders>
                  <w:vAlign w:val="center"/>
                </w:tcPr>
                <w:p/>
              </w:tc>
              <w:tc>
                <w:tcPr>
                  <w:tcW w:w="221" w:type="pct"/>
                  <w:vMerge w:val="restart"/>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eastAsia="zh-CN"/>
                    </w:rPr>
                    <w:t>固废</w:t>
                  </w:r>
                </w:p>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eastAsia="zh-CN"/>
                    </w:rPr>
                    <w:t>处置</w:t>
                  </w:r>
                </w:p>
              </w:tc>
              <w:tc>
                <w:tcPr>
                  <w:tcW w:w="522" w:type="pct"/>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eastAsia="zh-CN"/>
                    </w:rPr>
                    <w:t>生活固废</w:t>
                  </w:r>
                </w:p>
              </w:tc>
              <w:tc>
                <w:tcPr>
                  <w:tcW w:w="2468" w:type="pct"/>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eastAsia="zh-CN"/>
                    </w:rPr>
                    <w:t>垃圾桶</w:t>
                  </w:r>
                </w:p>
              </w:tc>
              <w:tc>
                <w:tcPr>
                  <w:tcW w:w="1528" w:type="pct"/>
                  <w:tcBorders>
                    <w:tl2br w:val="nil"/>
                    <w:tr2bl w:val="nil"/>
                  </w:tcBorders>
                  <w:vAlign w:val="center"/>
                </w:tcPr>
                <w:p>
                  <w:pPr>
                    <w:pStyle w:val="37"/>
                    <w:jc w:val="center"/>
                    <w:rPr>
                      <w:rFonts w:ascii="Times New Roman" w:eastAsia="Times New Roman" w:cs="Times New Roman" w:hAnsi="Times New Roman" w:hint="eastAsia"/>
                      <w:color w:val="auto"/>
                      <w:sz w:val="21"/>
                      <w:szCs w:val="21"/>
                      <w:lang w:eastAsia="zh-CN"/>
                    </w:rPr>
                  </w:pPr>
                  <w:r>
                    <w:rPr>
                      <w:rFonts w:ascii="Times New Roman" w:eastAsia="Times New Roman" w:cs="Times New Roman" w:hAnsi="Times New Roman" w:hint="eastAsia"/>
                      <w:color w:val="auto"/>
                      <w:sz w:val="21"/>
                      <w:szCs w:val="21"/>
                      <w:lang w:val="en-US" w:eastAsia="zh-CN"/>
                    </w:rPr>
                    <w:t>新建</w:t>
                  </w:r>
                </w:p>
              </w:tc>
            </w:tr>
            <w:tr>
              <w:trPr>
                <w:trHeight w:val="454"/>
              </w:trPr>
              <w:tc>
                <w:tcPr>
                  <w:tcW w:w="260" w:type="pct"/>
                  <w:vMerge/>
                  <w:tcBorders>
                    <w:tl2br w:val="nil"/>
                    <w:tr2bl w:val="nil"/>
                  </w:tcBorders>
                  <w:vAlign w:val="center"/>
                </w:tcPr>
                <w:p/>
              </w:tc>
              <w:tc>
                <w:tcPr>
                  <w:tcW w:w="221" w:type="pct"/>
                  <w:vMerge/>
                  <w:tcBorders>
                    <w:tl2br w:val="nil"/>
                    <w:tr2bl w:val="nil"/>
                  </w:tcBorders>
                  <w:vAlign w:val="center"/>
                </w:tcPr>
                <w:p/>
              </w:tc>
              <w:tc>
                <w:tcPr>
                  <w:tcW w:w="522" w:type="pct"/>
                  <w:tcBorders>
                    <w:tl2br w:val="nil"/>
                    <w:tr2bl w:val="nil"/>
                  </w:tcBorders>
                  <w:vAlign w:val="center"/>
                </w:tcPr>
                <w:p>
                  <w:pPr>
                    <w:pStyle w:val="37"/>
                    <w:jc w:val="center"/>
                    <w:rPr>
                      <w:rFonts w:ascii="Times New Roman" w:eastAsia="Times New Roman" w:cs="Times New Roman" w:hAnsi="Times New Roman"/>
                      <w:color w:val="auto"/>
                      <w:sz w:val="21"/>
                      <w:szCs w:val="21"/>
                      <w:lang w:eastAsia="zh-CN"/>
                    </w:rPr>
                  </w:pPr>
                  <w:r>
                    <w:rPr>
                      <w:rFonts w:ascii="Times New Roman" w:eastAsia="Times New Roman" w:cs="Times New Roman" w:hAnsi="Times New Roman"/>
                      <w:color w:val="auto"/>
                      <w:sz w:val="21"/>
                      <w:szCs w:val="21"/>
                      <w:lang w:eastAsia="zh-CN"/>
                    </w:rPr>
                    <w:t>生产固废</w:t>
                  </w:r>
                </w:p>
              </w:tc>
              <w:tc>
                <w:tcPr>
                  <w:tcW w:w="2468" w:type="pct"/>
                  <w:tcBorders>
                    <w:tl2br w:val="nil"/>
                    <w:tr2bl w:val="nil"/>
                  </w:tcBorders>
                  <w:vAlign w:val="center"/>
                </w:tcPr>
                <w:p>
                  <w:pPr>
                    <w:pStyle w:val="37"/>
                    <w:jc w:val="center"/>
                    <w:rPr>
                      <w:rFonts w:ascii="Times New Roman" w:eastAsia="Times New Roman" w:cs="Times New Roman" w:hAnsi="Times New Roman"/>
                      <w:color w:val="auto"/>
                      <w:sz w:val="21"/>
                      <w:szCs w:val="21"/>
                      <w:lang w:val="en-US" w:eastAsia="zh-CN"/>
                    </w:rPr>
                  </w:pPr>
                  <w:r>
                    <w:rPr>
                      <w:rFonts w:ascii="Times New Roman" w:eastAsia="Times New Roman" w:cs="Times New Roman" w:hAnsi="Times New Roman" w:hint="eastAsia"/>
                      <w:color w:val="auto"/>
                      <w:sz w:val="21"/>
                      <w:szCs w:val="21"/>
                      <w:lang w:val="en-US" w:eastAsia="zh-CN"/>
                    </w:rPr>
                    <w:t>茶枯储存区、临时存放区</w:t>
                  </w:r>
                </w:p>
              </w:tc>
              <w:tc>
                <w:tcPr>
                  <w:tcW w:w="1528" w:type="pct"/>
                  <w:tcBorders>
                    <w:tl2br w:val="nil"/>
                    <w:tr2bl w:val="nil"/>
                  </w:tcBorders>
                  <w:vAlign w:val="center"/>
                </w:tcPr>
                <w:p>
                  <w:pPr>
                    <w:pStyle w:val="37"/>
                    <w:jc w:val="center"/>
                    <w:rPr>
                      <w:rFonts w:ascii="Times New Roman" w:eastAsia="Times New Roman" w:cs="Times New Roman" w:hAnsi="Times New Roman"/>
                      <w:color w:val="auto"/>
                      <w:sz w:val="21"/>
                      <w:szCs w:val="21"/>
                      <w:lang w:eastAsia="zh-CN"/>
                    </w:rPr>
                  </w:pPr>
                  <w:r>
                    <w:rPr>
                      <w:rFonts w:ascii="Times New Roman" w:eastAsia="Times New Roman" w:cs="Times New Roman" w:hAnsi="Times New Roman" w:hint="eastAsia"/>
                      <w:color w:val="auto"/>
                      <w:sz w:val="21"/>
                      <w:szCs w:val="21"/>
                      <w:lang w:val="en-US" w:eastAsia="zh-CN"/>
                    </w:rPr>
                    <w:t>新建</w:t>
                  </w:r>
                </w:p>
              </w:tc>
            </w:tr>
          </w:tbl>
          <w:p>
            <w:pPr>
              <w:spacing w:line="360" w:lineRule="auto"/>
              <w:ind w:firstLineChars="196" w:firstLine="470"/>
              <w:textAlignment w:val="center"/>
              <w:rPr>
                <w:b/>
                <w:bCs/>
                <w:color w:val="auto"/>
                <w:sz w:val="24"/>
                <w:lang w:val="en-GB"/>
              </w:rPr>
            </w:pPr>
            <w:r>
              <w:rPr>
                <w:b/>
                <w:bCs/>
                <w:color w:val="auto"/>
                <w:sz w:val="24"/>
              </w:rPr>
              <w:t>3</w:t>
            </w:r>
            <w:r>
              <w:rPr>
                <w:b/>
                <w:bCs/>
                <w:color w:val="auto"/>
                <w:sz w:val="24"/>
                <w:lang w:val="en-GB"/>
              </w:rPr>
              <w:t>、产品方案</w:t>
            </w:r>
          </w:p>
          <w:p>
            <w:pPr>
              <w:spacing w:line="360" w:lineRule="auto"/>
              <w:ind w:firstLineChars="200" w:firstLine="480"/>
              <w:rPr>
                <w:color w:val="auto"/>
                <w:sz w:val="24"/>
                <w:szCs w:val="20"/>
              </w:rPr>
            </w:pPr>
            <w:r>
              <w:rPr>
                <w:color w:val="auto"/>
                <w:sz w:val="24"/>
                <w:szCs w:val="20"/>
              </w:rPr>
              <w:t>项目主要产品方案详见下表。</w:t>
            </w:r>
          </w:p>
          <w:p>
            <w:pPr>
              <w:pStyle w:val="36"/>
              <w:spacing w:line="360" w:lineRule="auto"/>
              <w:jc w:val="center"/>
              <w:rPr>
                <w:rFonts w:ascii="Times New Roman" w:cs="Times New Roman" w:hAnsi="Times New Roman"/>
                <w:b/>
                <w:bCs/>
                <w:color w:val="auto"/>
                <w:sz w:val="21"/>
                <w:szCs w:val="21"/>
                <w:lang w:val="en-GB"/>
              </w:rPr>
            </w:pPr>
            <w:r>
              <w:rPr>
                <w:rFonts w:ascii="Times New Roman" w:cs="Times New Roman" w:hAnsi="Times New Roman"/>
                <w:b/>
                <w:bCs/>
                <w:color w:val="auto"/>
                <w:sz w:val="21"/>
                <w:szCs w:val="21"/>
                <w:lang w:val="en-GB"/>
              </w:rPr>
              <w:t>表</w:t>
            </w:r>
            <w:r>
              <w:rPr>
                <w:rFonts w:ascii="Times New Roman" w:cs="Times New Roman" w:hAnsi="Times New Roman"/>
                <w:b/>
                <w:bCs/>
                <w:color w:val="auto"/>
                <w:sz w:val="21"/>
                <w:szCs w:val="21"/>
              </w:rPr>
              <w:t xml:space="preserve"> 2-2</w:t>
            </w:r>
            <w:r>
              <w:rPr>
                <w:rFonts w:ascii="Times New Roman" w:cs="Times New Roman" w:hAnsi="Times New Roman"/>
                <w:b/>
                <w:bCs/>
                <w:color w:val="auto"/>
                <w:sz w:val="21"/>
                <w:szCs w:val="21"/>
                <w:lang w:val="en-GB"/>
              </w:rPr>
              <w:t xml:space="preserve"> </w:t>
            </w:r>
            <w:r>
              <w:rPr>
                <w:rFonts w:ascii="Times New Roman" w:cs="Times New Roman" w:hAnsi="Times New Roman" w:hint="eastAsia"/>
                <w:b/>
                <w:bCs/>
                <w:color w:val="auto"/>
                <w:sz w:val="21"/>
                <w:szCs w:val="21"/>
                <w:lang w:val="en-GB" w:eastAsia="zh-CN"/>
              </w:rPr>
              <w:t>项目</w:t>
            </w:r>
            <w:r>
              <w:rPr>
                <w:rFonts w:ascii="Times New Roman" w:cs="Times New Roman" w:hAnsi="Times New Roman"/>
                <w:b/>
                <w:bCs/>
                <w:color w:val="auto"/>
                <w:sz w:val="21"/>
                <w:szCs w:val="21"/>
                <w:lang w:val="en-GB"/>
              </w:rPr>
              <w:t>产品方案一览表</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91"/>
              <w:gridCol w:w="1551"/>
              <w:gridCol w:w="2005"/>
              <w:gridCol w:w="1341"/>
              <w:gridCol w:w="3334"/>
            </w:tblGrid>
            <w:tr>
              <w:trPr>
                <w:trHeight w:val="454"/>
              </w:trPr>
              <w:tc>
                <w:tcPr>
                  <w:tcW w:w="438"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rPr>
                  </w:pPr>
                  <w:r>
                    <w:rPr>
                      <w:rFonts w:eastAsia="宋体" w:hint="eastAsia"/>
                      <w:b/>
                      <w:bCs/>
                      <w:color w:val="auto"/>
                      <w:sz w:val="21"/>
                      <w:szCs w:val="21"/>
                    </w:rPr>
                    <w:t>序号</w:t>
                  </w:r>
                </w:p>
              </w:tc>
              <w:tc>
                <w:tcPr>
                  <w:tcW w:w="859"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rPr>
                  </w:pPr>
                  <w:r>
                    <w:rPr>
                      <w:rFonts w:eastAsia="宋体" w:hint="eastAsia"/>
                      <w:b/>
                      <w:bCs/>
                      <w:color w:val="auto"/>
                      <w:sz w:val="21"/>
                      <w:szCs w:val="21"/>
                    </w:rPr>
                    <w:t>产品</w:t>
                  </w:r>
                </w:p>
              </w:tc>
              <w:tc>
                <w:tcPr>
                  <w:tcW w:w="1111"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rPr>
                  </w:pPr>
                  <w:r>
                    <w:rPr>
                      <w:rFonts w:eastAsia="宋体" w:hint="eastAsia"/>
                      <w:b/>
                      <w:bCs/>
                      <w:color w:val="auto"/>
                      <w:sz w:val="21"/>
                      <w:szCs w:val="21"/>
                    </w:rPr>
                    <w:t>单位</w:t>
                  </w:r>
                </w:p>
              </w:tc>
              <w:tc>
                <w:tcPr>
                  <w:tcW w:w="743"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rPr>
                  </w:pPr>
                  <w:r>
                    <w:rPr>
                      <w:rFonts w:eastAsia="宋体" w:hint="eastAsia"/>
                      <w:b/>
                      <w:bCs/>
                      <w:color w:val="auto"/>
                      <w:sz w:val="21"/>
                      <w:szCs w:val="21"/>
                    </w:rPr>
                    <w:t>规模</w:t>
                  </w:r>
                </w:p>
              </w:tc>
              <w:tc>
                <w:tcPr>
                  <w:tcW w:w="1847"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lang w:eastAsia="zh-CN"/>
                    </w:rPr>
                  </w:pPr>
                  <w:r>
                    <w:rPr>
                      <w:rFonts w:eastAsia="宋体" w:hint="eastAsia"/>
                      <w:b/>
                      <w:bCs/>
                      <w:color w:val="auto"/>
                      <w:sz w:val="21"/>
                      <w:szCs w:val="21"/>
                      <w:lang w:eastAsia="zh-CN"/>
                    </w:rPr>
                    <w:t>规格</w:t>
                  </w:r>
                </w:p>
              </w:tc>
            </w:tr>
            <w:tr>
              <w:trPr>
                <w:trHeight w:val="454"/>
              </w:trPr>
              <w:tc>
                <w:tcPr>
                  <w:tcW w:w="438" w:type="pct"/>
                  <w:tcBorders>
                    <w:tl2br w:val="nil"/>
                    <w:tr2bl w:val="nil"/>
                  </w:tcBorders>
                  <w:vAlign w:val="center"/>
                </w:tcPr>
                <w:p>
                  <w:pPr>
                    <w:pStyle w:val="38"/>
                    <w:spacing w:line="240" w:lineRule="auto"/>
                    <w:ind w:firstLineChars="0" w:firstLine="0"/>
                    <w:jc w:val="center"/>
                    <w:rPr>
                      <w:rFonts w:eastAsia="宋体" w:hint="eastAsia"/>
                      <w:color w:val="auto"/>
                      <w:sz w:val="21"/>
                      <w:szCs w:val="21"/>
                    </w:rPr>
                  </w:pPr>
                  <w:r>
                    <w:rPr>
                      <w:rFonts w:eastAsia="宋体" w:hint="eastAsia"/>
                      <w:color w:val="auto"/>
                      <w:sz w:val="21"/>
                      <w:szCs w:val="21"/>
                    </w:rPr>
                    <w:t>1</w:t>
                  </w:r>
                </w:p>
              </w:tc>
              <w:tc>
                <w:tcPr>
                  <w:tcW w:w="859" w:type="pct"/>
                  <w:tcBorders>
                    <w:tl2br w:val="nil"/>
                    <w:tr2bl w:val="nil"/>
                  </w:tcBorders>
                  <w:vAlign w:val="center"/>
                </w:tcPr>
                <w:p>
                  <w:pPr>
                    <w:pStyle w:val="38"/>
                    <w:spacing w:line="240" w:lineRule="auto"/>
                    <w:ind w:firstLineChars="0" w:firstLine="0"/>
                    <w:jc w:val="center"/>
                    <w:rPr>
                      <w:rFonts w:eastAsia="宋体" w:hint="eastAsia"/>
                      <w:color w:val="auto"/>
                      <w:sz w:val="21"/>
                      <w:szCs w:val="21"/>
                      <w:lang w:eastAsia="zh-CN"/>
                    </w:rPr>
                  </w:pPr>
                  <w:r>
                    <w:rPr>
                      <w:rFonts w:eastAsia="宋体" w:hint="eastAsia"/>
                      <w:color w:val="auto"/>
                      <w:sz w:val="21"/>
                      <w:szCs w:val="21"/>
                      <w:lang w:val="en-US" w:eastAsia="zh-CN"/>
                    </w:rPr>
                    <w:t>茶油</w:t>
                  </w:r>
                </w:p>
              </w:tc>
              <w:tc>
                <w:tcPr>
                  <w:tcW w:w="1111" w:type="pct"/>
                  <w:tcBorders>
                    <w:tl2br w:val="nil"/>
                    <w:tr2bl w:val="nil"/>
                  </w:tcBorders>
                  <w:vAlign w:val="center"/>
                </w:tcPr>
                <w:p>
                  <w:pPr>
                    <w:pStyle w:val="38"/>
                    <w:spacing w:line="240" w:lineRule="auto"/>
                    <w:ind w:firstLineChars="0" w:firstLine="0"/>
                    <w:jc w:val="center"/>
                    <w:rPr>
                      <w:rFonts w:eastAsia="宋体" w:hint="eastAsia"/>
                      <w:color w:val="auto"/>
                      <w:sz w:val="21"/>
                      <w:szCs w:val="21"/>
                    </w:rPr>
                  </w:pPr>
                  <w:r>
                    <w:rPr>
                      <w:rFonts w:eastAsia="宋体" w:hint="eastAsia"/>
                      <w:color w:val="auto"/>
                      <w:sz w:val="21"/>
                      <w:szCs w:val="21"/>
                    </w:rPr>
                    <w:t>吨/年</w:t>
                  </w:r>
                </w:p>
              </w:tc>
              <w:tc>
                <w:tcPr>
                  <w:tcW w:w="743" w:type="pct"/>
                  <w:tcBorders>
                    <w:tl2br w:val="nil"/>
                    <w:tr2bl w:val="nil"/>
                  </w:tcBorders>
                  <w:vAlign w:val="center"/>
                </w:tcPr>
                <w:p>
                  <w:pPr>
                    <w:pStyle w:val="38"/>
                    <w:spacing w:line="240" w:lineRule="auto"/>
                    <w:ind w:firstLineChars="0" w:firstLine="0"/>
                    <w:jc w:val="center"/>
                    <w:rPr>
                      <w:rFonts w:eastAsia="宋体"/>
                      <w:color w:val="auto"/>
                      <w:sz w:val="21"/>
                      <w:szCs w:val="21"/>
                      <w:lang w:val="en-US" w:eastAsia="zh-CN"/>
                    </w:rPr>
                  </w:pPr>
                  <w:r>
                    <w:rPr>
                      <w:rFonts w:eastAsia="宋体" w:hint="eastAsia"/>
                      <w:color w:val="auto"/>
                      <w:sz w:val="21"/>
                      <w:szCs w:val="21"/>
                      <w:lang w:val="en-US" w:eastAsia="zh-CN"/>
                    </w:rPr>
                    <w:t>100</w:t>
                  </w:r>
                </w:p>
              </w:tc>
              <w:tc>
                <w:tcPr>
                  <w:tcW w:w="1847" w:type="pct"/>
                  <w:tcBorders>
                    <w:tl2br w:val="nil"/>
                    <w:tr2bl w:val="nil"/>
                  </w:tcBorders>
                  <w:vAlign w:val="center"/>
                </w:tcPr>
                <w:p>
                  <w:pPr>
                    <w:pStyle w:val="38"/>
                    <w:spacing w:line="240" w:lineRule="auto"/>
                    <w:ind w:firstLineChars="0" w:firstLine="0"/>
                    <w:jc w:val="center"/>
                    <w:rPr>
                      <w:rFonts w:eastAsia="宋体"/>
                      <w:color w:val="auto"/>
                      <w:sz w:val="21"/>
                      <w:szCs w:val="21"/>
                      <w:lang w:val="en-US" w:eastAsia="zh-CN"/>
                    </w:rPr>
                  </w:pPr>
                  <w:r>
                    <w:rPr>
                      <w:rFonts w:eastAsia="宋体"/>
                      <w:color w:val="auto"/>
                      <w:sz w:val="21"/>
                      <w:szCs w:val="21"/>
                      <w:lang w:val="en-US" w:eastAsia="zh-CN"/>
                    </w:rPr>
                    <w:t>玻璃瓶、</w:t>
                  </w:r>
                  <w:r>
                    <w:rPr>
                      <w:rFonts w:eastAsia="宋体" w:hint="eastAsia"/>
                      <w:color w:val="auto"/>
                      <w:sz w:val="21"/>
                      <w:szCs w:val="21"/>
                      <w:lang w:val="en-US" w:eastAsia="zh-CN"/>
                    </w:rPr>
                    <w:t>PET</w:t>
                  </w:r>
                  <w:r>
                    <w:rPr>
                      <w:rFonts w:eastAsia="宋体"/>
                      <w:color w:val="auto"/>
                      <w:sz w:val="21"/>
                      <w:szCs w:val="21"/>
                      <w:lang w:val="en-US" w:eastAsia="zh-CN"/>
                    </w:rPr>
                    <w:t>瓶、铁罐材质包装，包装规格由</w:t>
                  </w:r>
                  <w:r>
                    <w:rPr>
                      <w:rFonts w:eastAsia="宋体" w:hint="eastAsia"/>
                      <w:color w:val="auto"/>
                      <w:sz w:val="21"/>
                      <w:szCs w:val="21"/>
                      <w:lang w:val="en-US" w:eastAsia="zh-CN"/>
                    </w:rPr>
                    <w:t>300ml~10L不</w:t>
                  </w:r>
                  <w:r>
                    <w:rPr>
                      <w:rFonts w:eastAsia="宋体"/>
                      <w:color w:val="auto"/>
                      <w:sz w:val="21"/>
                      <w:szCs w:val="21"/>
                      <w:lang w:val="en-US" w:eastAsia="zh-CN"/>
                    </w:rPr>
                    <w:t>等</w:t>
                  </w:r>
                  <w:r>
                    <w:rPr>
                      <w:rFonts w:eastAsia="宋体" w:hint="eastAsia"/>
                      <w:color w:val="auto"/>
                      <w:sz w:val="21"/>
                      <w:szCs w:val="21"/>
                      <w:lang w:val="en-US" w:eastAsia="zh-CN"/>
                    </w:rPr>
                    <w:t>，具体根据市场要求进行调节</w:t>
                  </w:r>
                </w:p>
              </w:tc>
            </w:tr>
          </w:tbl>
          <w:p>
            <w:pPr>
              <w:spacing w:beforeLines="50" w:before="120" w:line="360" w:lineRule="auto"/>
              <w:ind w:firstLineChars="200" w:firstLine="480"/>
              <w:rPr>
                <w:b/>
                <w:color w:val="auto"/>
                <w:sz w:val="24"/>
                <w:lang w:val="en-GB"/>
              </w:rPr>
            </w:pPr>
            <w:r>
              <w:rPr>
                <w:b/>
                <w:color w:val="auto"/>
                <w:sz w:val="24"/>
              </w:rPr>
              <w:t>4</w:t>
            </w:r>
            <w:r>
              <w:rPr>
                <w:b/>
                <w:color w:val="auto"/>
                <w:sz w:val="24"/>
                <w:lang w:val="en-GB"/>
              </w:rPr>
              <w:t>、主要设备及数量</w:t>
            </w:r>
          </w:p>
          <w:p>
            <w:pPr>
              <w:spacing w:line="276" w:lineRule="auto"/>
              <w:ind w:firstLineChars="200" w:firstLine="480"/>
              <w:rPr>
                <w:color w:val="auto"/>
                <w:sz w:val="24"/>
                <w:szCs w:val="20"/>
              </w:rPr>
            </w:pPr>
            <w:r>
              <w:rPr>
                <w:color w:val="auto"/>
                <w:sz w:val="24"/>
                <w:szCs w:val="20"/>
              </w:rPr>
              <w:t>本项目主要设备见下表。</w:t>
            </w:r>
          </w:p>
          <w:p>
            <w:pPr>
              <w:pStyle w:val="36"/>
              <w:spacing w:beforeLines="50" w:before="120" w:line="360" w:lineRule="auto"/>
              <w:jc w:val="center"/>
              <w:rPr>
                <w:rFonts w:ascii="Times New Roman" w:cs="Times New Roman" w:hAnsi="Times New Roman"/>
                <w:b/>
                <w:bCs/>
                <w:color w:val="auto"/>
                <w:sz w:val="21"/>
                <w:szCs w:val="21"/>
                <w:lang w:val="en-GB"/>
              </w:rPr>
            </w:pPr>
            <w:r>
              <w:rPr>
                <w:rFonts w:ascii="Times New Roman" w:cs="Times New Roman" w:hAnsi="Times New Roman"/>
                <w:b/>
                <w:bCs/>
                <w:color w:val="auto"/>
                <w:sz w:val="21"/>
                <w:szCs w:val="21"/>
                <w:lang w:val="en-GB"/>
              </w:rPr>
              <w:t>表</w:t>
            </w:r>
            <w:r>
              <w:rPr>
                <w:rFonts w:ascii="Times New Roman" w:cs="Times New Roman" w:hAnsi="Times New Roman"/>
                <w:b/>
                <w:bCs/>
                <w:color w:val="auto"/>
                <w:sz w:val="21"/>
                <w:szCs w:val="21"/>
              </w:rPr>
              <w:t xml:space="preserve"> 2-</w:t>
            </w:r>
            <w:r>
              <w:rPr>
                <w:rFonts w:ascii="Times New Roman" w:cs="Times New Roman" w:hAnsi="Times New Roman" w:hint="eastAsia"/>
                <w:b/>
                <w:bCs/>
                <w:color w:val="auto"/>
                <w:sz w:val="21"/>
                <w:szCs w:val="21"/>
                <w:lang w:val="en-US" w:eastAsia="zh-CN"/>
              </w:rPr>
              <w:t>3</w:t>
            </w:r>
            <w:r>
              <w:rPr>
                <w:rFonts w:ascii="Times New Roman" w:cs="Times New Roman" w:hAnsi="Times New Roman"/>
                <w:b/>
                <w:bCs/>
                <w:color w:val="auto"/>
                <w:sz w:val="21"/>
                <w:szCs w:val="21"/>
                <w:lang w:val="en-GB"/>
              </w:rPr>
              <w:t xml:space="preserve"> </w:t>
            </w:r>
            <w:r>
              <w:rPr>
                <w:rFonts w:ascii="Times New Roman" w:cs="Times New Roman" w:hAnsi="Times New Roman" w:hint="eastAsia"/>
                <w:b/>
                <w:bCs/>
                <w:color w:val="auto"/>
                <w:sz w:val="21"/>
                <w:szCs w:val="21"/>
                <w:lang w:val="en-GB" w:eastAsia="zh-CN"/>
              </w:rPr>
              <w:t>项目</w:t>
            </w:r>
            <w:r>
              <w:rPr>
                <w:rFonts w:ascii="Times New Roman" w:cs="Times New Roman" w:hAnsi="Times New Roman"/>
                <w:b/>
                <w:bCs/>
                <w:color w:val="auto"/>
                <w:sz w:val="21"/>
                <w:szCs w:val="21"/>
                <w:lang w:val="en-GB"/>
              </w:rPr>
              <w:t>主要设备一览表</w:t>
            </w:r>
          </w:p>
          <w:tbl>
            <w:tblPr>
              <w:jc w:val="cent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794"/>
              <w:gridCol w:w="1950"/>
              <w:gridCol w:w="2892"/>
              <w:gridCol w:w="924"/>
              <w:gridCol w:w="859"/>
              <w:gridCol w:w="1597"/>
            </w:tblGrid>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b/>
                      <w:bCs/>
                      <w:color w:val="auto"/>
                      <w:sz w:val="21"/>
                      <w:szCs w:val="21"/>
                    </w:rPr>
                  </w:pPr>
                  <w:r>
                    <w:rPr>
                      <w:rFonts w:ascii="Times New Roman" w:cs="Times New Roman" w:hAnsi="Times New Roman"/>
                      <w:b/>
                      <w:bCs/>
                      <w:color w:val="auto"/>
                      <w:sz w:val="21"/>
                      <w:szCs w:val="21"/>
                    </w:rPr>
                    <w:t>序号</w:t>
                  </w:r>
                </w:p>
              </w:tc>
              <w:tc>
                <w:tcPr>
                  <w:tcW w:w="1081" w:type="pct"/>
                  <w:tcBorders>
                    <w:tl2br w:val="nil"/>
                    <w:tr2bl w:val="nil"/>
                  </w:tcBorders>
                  <w:vAlign w:val="center"/>
                </w:tcPr>
                <w:p>
                  <w:pPr>
                    <w:pStyle w:val="39"/>
                    <w:spacing w:before="0" w:beforeAutospacing="0" w:after="0" w:afterAutospacing="0"/>
                    <w:jc w:val="center"/>
                    <w:rPr>
                      <w:rFonts w:ascii="Times New Roman" w:cs="Times New Roman" w:hAnsi="Times New Roman"/>
                      <w:b/>
                      <w:bCs/>
                      <w:color w:val="auto"/>
                      <w:sz w:val="21"/>
                      <w:szCs w:val="21"/>
                    </w:rPr>
                  </w:pPr>
                  <w:r>
                    <w:rPr>
                      <w:rFonts w:ascii="Times New Roman" w:cs="Times New Roman" w:hAnsi="Times New Roman"/>
                      <w:b/>
                      <w:bCs/>
                      <w:color w:val="auto"/>
                      <w:sz w:val="21"/>
                      <w:szCs w:val="21"/>
                    </w:rPr>
                    <w:t>名称</w:t>
                  </w:r>
                </w:p>
              </w:tc>
              <w:tc>
                <w:tcPr>
                  <w:tcW w:w="1603" w:type="pct"/>
                  <w:tcBorders>
                    <w:tl2br w:val="nil"/>
                    <w:tr2bl w:val="nil"/>
                  </w:tcBorders>
                  <w:vAlign w:val="center"/>
                </w:tcPr>
                <w:p>
                  <w:pPr>
                    <w:pStyle w:val="39"/>
                    <w:spacing w:before="0" w:beforeAutospacing="0" w:after="0" w:afterAutospacing="0"/>
                    <w:jc w:val="center"/>
                    <w:rPr>
                      <w:rFonts w:ascii="Times New Roman" w:cs="Times New Roman" w:hAnsi="Times New Roman"/>
                      <w:b/>
                      <w:bCs/>
                      <w:color w:val="auto"/>
                      <w:sz w:val="21"/>
                      <w:szCs w:val="21"/>
                    </w:rPr>
                  </w:pPr>
                  <w:r>
                    <w:rPr>
                      <w:rFonts w:ascii="Times New Roman" w:cs="Times New Roman" w:hAnsi="Times New Roman"/>
                      <w:b/>
                      <w:bCs/>
                      <w:color w:val="auto"/>
                      <w:sz w:val="21"/>
                      <w:szCs w:val="21"/>
                    </w:rPr>
                    <w:t>型号</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b/>
                      <w:bCs/>
                      <w:color w:val="auto"/>
                      <w:sz w:val="21"/>
                      <w:szCs w:val="21"/>
                    </w:rPr>
                  </w:pPr>
                  <w:r>
                    <w:rPr>
                      <w:rFonts w:ascii="Times New Roman" w:cs="Times New Roman" w:hAnsi="Times New Roman"/>
                      <w:b/>
                      <w:bCs/>
                      <w:color w:val="auto"/>
                      <w:sz w:val="21"/>
                      <w:szCs w:val="21"/>
                    </w:rPr>
                    <w:t>单位</w:t>
                  </w:r>
                </w:p>
              </w:tc>
              <w:tc>
                <w:tcPr>
                  <w:tcW w:w="476" w:type="pct"/>
                  <w:tcBorders>
                    <w:tl2br w:val="nil"/>
                    <w:tr2bl w:val="nil"/>
                  </w:tcBorders>
                  <w:vAlign w:val="center"/>
                </w:tcPr>
                <w:p>
                  <w:pPr>
                    <w:pStyle w:val="39"/>
                    <w:spacing w:before="0" w:beforeAutospacing="0" w:after="0" w:afterAutospacing="0"/>
                    <w:jc w:val="center"/>
                    <w:rPr>
                      <w:rFonts w:ascii="Times New Roman" w:cs="Times New Roman" w:hAnsi="Times New Roman"/>
                      <w:b/>
                      <w:bCs/>
                      <w:color w:val="auto"/>
                      <w:sz w:val="21"/>
                      <w:szCs w:val="21"/>
                    </w:rPr>
                  </w:pPr>
                  <w:r>
                    <w:rPr>
                      <w:rFonts w:ascii="Times New Roman" w:cs="Times New Roman" w:hAnsi="Times New Roman"/>
                      <w:b/>
                      <w:bCs/>
                      <w:color w:val="auto"/>
                      <w:sz w:val="21"/>
                      <w:szCs w:val="21"/>
                    </w:rPr>
                    <w:t>数量</w:t>
                  </w:r>
                </w:p>
              </w:tc>
              <w:tc>
                <w:tcPr>
                  <w:tcW w:w="885" w:type="pct"/>
                  <w:tcBorders>
                    <w:tl2br w:val="nil"/>
                    <w:tr2bl w:val="nil"/>
                  </w:tcBorders>
                  <w:vAlign w:val="center"/>
                </w:tcPr>
                <w:p>
                  <w:pPr>
                    <w:pStyle w:val="39"/>
                    <w:spacing w:before="0" w:beforeAutospacing="0" w:after="0" w:afterAutospacing="0"/>
                    <w:jc w:val="center"/>
                    <w:rPr>
                      <w:rFonts w:ascii="Times New Roman" w:eastAsia="宋体" w:cs="Times New Roman" w:hAnsi="Times New Roman" w:hint="eastAsia"/>
                      <w:b/>
                      <w:bCs/>
                      <w:color w:val="auto"/>
                      <w:sz w:val="21"/>
                      <w:szCs w:val="21"/>
                      <w:lang w:eastAsia="zh-CN"/>
                    </w:rPr>
                  </w:pPr>
                  <w:r>
                    <w:rPr>
                      <w:rFonts w:ascii="Times New Roman" w:cs="Times New Roman" w:hAnsi="Times New Roman" w:hint="eastAsia"/>
                      <w:b/>
                      <w:bCs/>
                      <w:color w:val="auto"/>
                      <w:sz w:val="21"/>
                      <w:szCs w:val="21"/>
                      <w:lang w:eastAsia="zh-CN"/>
                    </w:rPr>
                    <w:t>备注</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sz w:val="21"/>
                      <w:szCs w:val="21"/>
                    </w:rPr>
                  </w:pPr>
                  <w:r>
                    <w:rPr>
                      <w:rFonts w:ascii="Times New Roman" w:cs="Times New Roman" w:hAnsi="Times New Roman" w:hint="eastAsia"/>
                      <w:color w:val="auto"/>
                      <w:sz w:val="21"/>
                      <w:szCs w:val="21"/>
                    </w:rPr>
                    <w:t>1</w:t>
                  </w:r>
                </w:p>
              </w:tc>
              <w:tc>
                <w:tcPr>
                  <w:tcW w:w="1081" w:type="pct"/>
                  <w:tcBorders>
                    <w:tl2br w:val="nil"/>
                    <w:tr2bl w:val="nil"/>
                  </w:tcBorders>
                  <w:vAlign w:val="center"/>
                </w:tcPr>
                <w:p>
                  <w:pPr>
                    <w:spacing w:line="320" w:lineRule="exact"/>
                    <w:jc w:val="center"/>
                    <w:rPr>
                      <w:rFonts w:eastAsia="宋体" w:hint="eastAsia"/>
                      <w:color w:val="auto"/>
                      <w:kern w:val="0"/>
                      <w:szCs w:val="21"/>
                      <w:lang w:val="en-US" w:eastAsia="zh-CN"/>
                    </w:rPr>
                  </w:pPr>
                  <w:r>
                    <w:rPr>
                      <w:rFonts w:ascii="Times New Roman" w:hAnsi="Times New Roman" w:hint="eastAsia"/>
                      <w:color w:val="auto"/>
                      <w:sz w:val="21"/>
                      <w:szCs w:val="21"/>
                    </w:rPr>
                    <w:t>干燥机</w:t>
                  </w:r>
                </w:p>
              </w:tc>
              <w:tc>
                <w:tcPr>
                  <w:tcW w:w="1603" w:type="pct"/>
                  <w:tcBorders>
                    <w:tl2br w:val="nil"/>
                    <w:tr2bl w:val="nil"/>
                  </w:tcBorders>
                  <w:vAlign w:val="center"/>
                </w:tcPr>
                <w:p>
                  <w:pPr>
                    <w:jc w:val="center"/>
                    <w:rPr>
                      <w:rFonts w:eastAsia="宋体"/>
                      <w:color w:val="auto"/>
                      <w:lang w:val="en-US" w:eastAsia="zh-CN"/>
                    </w:rPr>
                  </w:pPr>
                  <w:r>
                    <w:rPr>
                      <w:rFonts w:hint="eastAsia"/>
                      <w:color w:val="auto"/>
                      <w:lang w:val="en-US" w:eastAsia="zh-CN"/>
                    </w:rPr>
                    <w:t>KY-200ZN</w:t>
                  </w:r>
                </w:p>
              </w:tc>
              <w:tc>
                <w:tcPr>
                  <w:tcW w:w="512" w:type="pct"/>
                  <w:tcBorders>
                    <w:tl2br w:val="nil"/>
                    <w:tr2bl w:val="nil"/>
                  </w:tcBorders>
                  <w:vAlign w:val="center"/>
                </w:tcPr>
                <w:p>
                  <w:pPr>
                    <w:pStyle w:val="39"/>
                    <w:spacing w:before="0" w:beforeAutospacing="0" w:after="0" w:afterAutospacing="0"/>
                    <w:jc w:val="center"/>
                    <w:rPr>
                      <w:rFonts w:ascii="Times New Roman" w:eastAsia="宋体" w:cs="Times New Roman" w:hAnsi="Times New Roman" w:hint="eastAsia"/>
                      <w:color w:val="auto"/>
                      <w:sz w:val="21"/>
                      <w:szCs w:val="21"/>
                      <w:lang w:eastAsia="zh-CN"/>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rFonts w:hint="eastAsia"/>
                      <w:color w:val="auto"/>
                      <w:kern w:val="0"/>
                      <w:szCs w:val="21"/>
                    </w:rPr>
                  </w:pPr>
                  <w:r>
                    <w:rPr>
                      <w:rFonts w:hint="eastAsia"/>
                      <w:color w:val="auto"/>
                    </w:rPr>
                    <w:t>1</w:t>
                  </w:r>
                </w:p>
              </w:tc>
              <w:tc>
                <w:tcPr>
                  <w:tcW w:w="885" w:type="pct"/>
                  <w:tcBorders>
                    <w:tl2br w:val="nil"/>
                    <w:tr2bl w:val="nil"/>
                  </w:tcBorders>
                  <w:vAlign w:val="center"/>
                </w:tcPr>
                <w:p>
                  <w:pPr>
                    <w:jc w:val="center"/>
                    <w:rPr>
                      <w:rFonts w:eastAsia="宋体" w:hint="eastAsia"/>
                      <w:color w:val="auto"/>
                      <w:lang w:eastAsia="zh-CN"/>
                    </w:rPr>
                  </w:pPr>
                  <w:r>
                    <w:rPr>
                      <w:rFonts w:hint="eastAsia"/>
                      <w:color w:val="auto"/>
                    </w:rPr>
                    <w:t>外购</w:t>
                  </w:r>
                  <w:r>
                    <w:rPr>
                      <w:rFonts w:hint="eastAsia"/>
                      <w:color w:val="auto"/>
                      <w:lang w:eastAsia="zh-CN"/>
                    </w:rPr>
                    <w:t>，干燥仓4.3m*5*2.4</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3</w:t>
                  </w:r>
                </w:p>
              </w:tc>
              <w:tc>
                <w:tcPr>
                  <w:tcW w:w="1081" w:type="pct"/>
                  <w:tcBorders>
                    <w:tl2br w:val="nil"/>
                    <w:tr2bl w:val="nil"/>
                  </w:tcBorders>
                  <w:vAlign w:val="center"/>
                </w:tcPr>
                <w:p>
                  <w:pPr>
                    <w:spacing w:line="320" w:lineRule="exact"/>
                    <w:jc w:val="center"/>
                    <w:rPr>
                      <w:rFonts w:eastAsia="宋体" w:hint="eastAsia"/>
                      <w:color w:val="auto"/>
                      <w:lang w:eastAsia="zh-CN"/>
                    </w:rPr>
                  </w:pPr>
                  <w:r>
                    <w:rPr>
                      <w:color w:val="auto"/>
                      <w:lang w:val="en-US" w:eastAsia="zh-CN"/>
                    </w:rPr>
                    <w:t>剥壳机</w:t>
                  </w:r>
                </w:p>
              </w:tc>
              <w:tc>
                <w:tcPr>
                  <w:tcW w:w="1603" w:type="pct"/>
                  <w:tcBorders>
                    <w:tl2br w:val="nil"/>
                    <w:tr2bl w:val="nil"/>
                  </w:tcBorders>
                  <w:vAlign w:val="center"/>
                </w:tcPr>
                <w:p>
                  <w:pPr>
                    <w:jc w:val="center"/>
                    <w:rPr>
                      <w:color w:val="auto"/>
                      <w:lang w:val="en-US" w:eastAsia="zh-CN"/>
                    </w:rPr>
                  </w:pPr>
                  <w:r>
                    <w:rPr>
                      <w:color w:val="auto"/>
                      <w:lang w:val="en-US" w:eastAsia="zh-CN"/>
                    </w:rPr>
                    <w:t>YCPK25-4</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sz w:val="21"/>
                      <w:szCs w:val="21"/>
                      <w:lang w:val="en-US" w:eastAsia="zh-CN"/>
                    </w:rPr>
                  </w:pPr>
                  <w:r>
                    <w:rPr>
                      <w:rFonts w:ascii="Times New Roman" w:cs="Times New Roman" w:hAnsi="Times New Roman" w:hint="eastAsia"/>
                      <w:color w:val="auto"/>
                      <w:sz w:val="21"/>
                      <w:szCs w:val="21"/>
                      <w:lang w:val="en-US" w:eastAsia="zh-CN"/>
                    </w:rPr>
                    <w:t>台</w:t>
                  </w:r>
                </w:p>
              </w:tc>
              <w:tc>
                <w:tcPr>
                  <w:tcW w:w="476" w:type="pct"/>
                  <w:tcBorders>
                    <w:tl2br w:val="nil"/>
                    <w:tr2bl w:val="nil"/>
                  </w:tcBorders>
                  <w:vAlign w:val="center"/>
                </w:tcPr>
                <w:p>
                  <w:pPr>
                    <w:jc w:val="center"/>
                    <w:rPr>
                      <w:color w:val="auto"/>
                      <w:lang w:val="en-US" w:eastAsia="zh-CN"/>
                    </w:rPr>
                  </w:pPr>
                  <w:r>
                    <w:rPr>
                      <w:rFonts w:hint="eastAsia"/>
                      <w:color w:val="auto"/>
                      <w:lang w:val="en-US" w:eastAsia="zh-CN"/>
                    </w:rPr>
                    <w:t>2</w:t>
                  </w:r>
                </w:p>
              </w:tc>
              <w:tc>
                <w:tcPr>
                  <w:tcW w:w="885" w:type="pct"/>
                  <w:tcBorders>
                    <w:tl2br w:val="nil"/>
                    <w:tr2bl w:val="nil"/>
                  </w:tcBorders>
                  <w:vAlign w:val="center"/>
                </w:tcPr>
                <w:p>
                  <w:pPr>
                    <w:jc w:val="center"/>
                    <w:rPr>
                      <w:rFonts w:hint="eastAsia"/>
                      <w:color w:val="auto"/>
                      <w:lang w:eastAsia="zh-CN"/>
                    </w:rPr>
                  </w:pPr>
                  <w:r>
                    <w:rPr>
                      <w:rFonts w:hint="eastAsia"/>
                      <w:color w:val="auto"/>
                    </w:rPr>
                    <w:t>外购</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eastAsia="宋体" w:cs="Times New Roman" w:hAnsi="Times New Roman" w:hint="eastAsia"/>
                      <w:color w:val="auto"/>
                      <w:sz w:val="21"/>
                      <w:szCs w:val="21"/>
                      <w:lang w:val="en-US" w:eastAsia="zh-CN"/>
                    </w:rPr>
                  </w:pPr>
                  <w:r>
                    <w:rPr>
                      <w:rFonts w:ascii="Times New Roman" w:cs="Times New Roman" w:hAnsi="Times New Roman" w:hint="eastAsia"/>
                      <w:color w:val="auto"/>
                      <w:sz w:val="21"/>
                      <w:szCs w:val="21"/>
                      <w:lang w:val="en-US" w:eastAsia="zh-CN"/>
                    </w:rPr>
                    <w:t>4</w:t>
                  </w:r>
                </w:p>
              </w:tc>
              <w:tc>
                <w:tcPr>
                  <w:tcW w:w="1081" w:type="pct"/>
                  <w:tcBorders>
                    <w:tl2br w:val="nil"/>
                    <w:tr2bl w:val="nil"/>
                  </w:tcBorders>
                  <w:vAlign w:val="center"/>
                </w:tcPr>
                <w:p>
                  <w:pPr>
                    <w:spacing w:line="320" w:lineRule="exact"/>
                    <w:jc w:val="center"/>
                    <w:rPr>
                      <w:rFonts w:hint="eastAsia"/>
                      <w:color w:val="auto"/>
                      <w:lang w:eastAsia="zh-CN"/>
                    </w:rPr>
                  </w:pPr>
                  <w:r>
                    <w:rPr>
                      <w:rFonts w:hint="eastAsia"/>
                      <w:color w:val="auto"/>
                      <w:lang w:eastAsia="zh-CN"/>
                    </w:rPr>
                    <w:t>双螺杆榨油机</w:t>
                  </w:r>
                </w:p>
              </w:tc>
              <w:tc>
                <w:tcPr>
                  <w:tcW w:w="1603" w:type="pct"/>
                  <w:tcBorders>
                    <w:tl2br w:val="nil"/>
                    <w:tr2bl w:val="nil"/>
                  </w:tcBorders>
                  <w:vAlign w:val="center"/>
                </w:tcPr>
                <w:p>
                  <w:pPr>
                    <w:jc w:val="center"/>
                    <w:rPr>
                      <w:rFonts w:hint="eastAsia"/>
                      <w:color w:val="auto"/>
                      <w:lang w:val="en-US" w:eastAsia="zh-CN"/>
                    </w:rPr>
                  </w:pPr>
                  <w:r>
                    <w:rPr>
                      <w:rFonts w:hint="eastAsia"/>
                      <w:color w:val="auto"/>
                      <w:lang w:val="en-US" w:eastAsia="zh-CN"/>
                    </w:rPr>
                    <w:t>LZY126</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sz w:val="21"/>
                      <w:szCs w:val="21"/>
                      <w:lang w:eastAsia="zh-CN"/>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rFonts w:eastAsia="宋体" w:hint="eastAsia"/>
                      <w:color w:val="auto"/>
                      <w:lang w:eastAsia="zh-CN"/>
                    </w:rPr>
                  </w:pPr>
                  <w:r>
                    <w:rPr>
                      <w:rFonts w:hint="eastAsia"/>
                      <w:color w:val="auto"/>
                      <w:lang w:val="en-US" w:eastAsia="zh-CN"/>
                    </w:rPr>
                    <w:t>2</w:t>
                  </w:r>
                </w:p>
              </w:tc>
              <w:tc>
                <w:tcPr>
                  <w:tcW w:w="885" w:type="pct"/>
                  <w:tcBorders>
                    <w:tl2br w:val="nil"/>
                    <w:tr2bl w:val="nil"/>
                  </w:tcBorders>
                  <w:vAlign w:val="center"/>
                </w:tcPr>
                <w:p>
                  <w:pPr>
                    <w:jc w:val="center"/>
                    <w:rPr>
                      <w:rFonts w:eastAsia="宋体" w:hint="eastAsia"/>
                      <w:color w:val="auto"/>
                      <w:lang w:eastAsia="zh-CN"/>
                    </w:rPr>
                  </w:pPr>
                  <w:r>
                    <w:rPr>
                      <w:rFonts w:hint="eastAsia"/>
                      <w:color w:val="auto"/>
                    </w:rPr>
                    <w:t>外购</w:t>
                  </w:r>
                  <w:r>
                    <w:rPr>
                      <w:rFonts w:hint="eastAsia"/>
                      <w:color w:val="auto"/>
                      <w:lang w:eastAsia="zh-CN"/>
                    </w:rPr>
                    <w:t>，3.3m*1.7*1.9</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5</w:t>
                  </w:r>
                </w:p>
              </w:tc>
              <w:tc>
                <w:tcPr>
                  <w:tcW w:w="1081" w:type="pct"/>
                  <w:tcBorders>
                    <w:tl2br w:val="nil"/>
                    <w:tr2bl w:val="nil"/>
                  </w:tcBorders>
                  <w:vAlign w:val="center"/>
                </w:tcPr>
                <w:p>
                  <w:pPr>
                    <w:spacing w:line="320" w:lineRule="exact"/>
                    <w:jc w:val="center"/>
                    <w:rPr>
                      <w:rFonts w:hint="eastAsia"/>
                      <w:color w:val="auto"/>
                      <w:lang w:eastAsia="zh-CN"/>
                    </w:rPr>
                  </w:pPr>
                  <w:r>
                    <w:rPr>
                      <w:rFonts w:hint="eastAsia"/>
                      <w:color w:val="auto"/>
                      <w:lang w:eastAsia="zh-CN"/>
                    </w:rPr>
                    <w:t>板式过滤机</w:t>
                  </w:r>
                </w:p>
              </w:tc>
              <w:tc>
                <w:tcPr>
                  <w:tcW w:w="1603" w:type="pct"/>
                  <w:tcBorders>
                    <w:tl2br w:val="nil"/>
                    <w:tr2bl w:val="nil"/>
                  </w:tcBorders>
                  <w:vAlign w:val="center"/>
                </w:tcPr>
                <w:p>
                  <w:pPr>
                    <w:jc w:val="center"/>
                    <w:rPr>
                      <w:rFonts w:hint="eastAsia"/>
                      <w:color w:val="auto"/>
                      <w:kern w:val="2"/>
                      <w:sz w:val="21"/>
                      <w:lang w:val="en-US" w:eastAsia="zh-CN" w:bidi="ar-SA"/>
                    </w:rPr>
                  </w:pPr>
                  <w:r>
                    <w:rPr>
                      <w:rFonts w:hint="eastAsia"/>
                      <w:color w:val="auto"/>
                      <w:lang w:val="en-US" w:eastAsia="zh-CN"/>
                    </w:rPr>
                    <w:t>/</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rFonts w:eastAsia="宋体" w:hint="eastAsia"/>
                      <w:color w:val="auto"/>
                      <w:kern w:val="2"/>
                      <w:sz w:val="21"/>
                      <w:lang w:val="en-US" w:eastAsia="zh-CN" w:bidi="ar-SA"/>
                    </w:rPr>
                  </w:pPr>
                  <w:r>
                    <w:rPr>
                      <w:rFonts w:hint="eastAsia"/>
                      <w:color w:val="auto"/>
                      <w:lang w:val="en-US" w:eastAsia="zh-CN"/>
                    </w:rPr>
                    <w:t>2</w:t>
                  </w:r>
                </w:p>
              </w:tc>
              <w:tc>
                <w:tcPr>
                  <w:tcW w:w="885" w:type="pct"/>
                  <w:tcBorders>
                    <w:tl2br w:val="nil"/>
                    <w:tr2bl w:val="nil"/>
                  </w:tcBorders>
                  <w:vAlign w:val="center"/>
                </w:tcPr>
                <w:p>
                  <w:pPr>
                    <w:jc w:val="center"/>
                    <w:rPr>
                      <w:rFonts w:eastAsia="宋体" w:hint="eastAsia"/>
                      <w:color w:val="auto"/>
                      <w:lang w:eastAsia="zh-CN"/>
                    </w:rPr>
                  </w:pPr>
                  <w:r>
                    <w:rPr>
                      <w:rFonts w:hint="eastAsia"/>
                      <w:color w:val="auto"/>
                    </w:rPr>
                    <w:t>外购</w:t>
                  </w:r>
                  <w:r>
                    <w:rPr>
                      <w:rFonts w:hint="eastAsia"/>
                      <w:color w:val="auto"/>
                      <w:lang w:eastAsia="zh-CN"/>
                    </w:rPr>
                    <w:t>，</w:t>
                  </w:r>
                  <w:r>
                    <w:rPr>
                      <w:rFonts w:hint="eastAsia"/>
                      <w:color w:val="auto"/>
                      <w:lang w:val="en-US" w:eastAsia="zh-CN"/>
                    </w:rPr>
                    <w:t>初</w:t>
                  </w:r>
                  <w:r>
                    <w:rPr>
                      <w:rFonts w:hint="eastAsia"/>
                      <w:color w:val="auto"/>
                      <w:lang w:eastAsia="zh-CN"/>
                    </w:rPr>
                    <w:t>滤、</w:t>
                  </w:r>
                  <w:r>
                    <w:rPr>
                      <w:rFonts w:hint="eastAsia"/>
                      <w:color w:val="auto"/>
                      <w:lang w:val="en-US" w:eastAsia="zh-CN"/>
                    </w:rPr>
                    <w:t>二次过滤，</w:t>
                  </w:r>
                  <w:r>
                    <w:rPr>
                      <w:rFonts w:hint="eastAsia"/>
                      <w:color w:val="auto"/>
                      <w:lang w:eastAsia="zh-CN"/>
                    </w:rPr>
                    <w:t>2.3m*0.78*0.9</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eastAsia="宋体" w:cs="Times New Roman" w:hAnsi="Times New Roman" w:hint="eastAsia"/>
                      <w:color w:val="auto"/>
                      <w:sz w:val="21"/>
                      <w:szCs w:val="21"/>
                      <w:lang w:val="en-US" w:eastAsia="zh-CN"/>
                    </w:rPr>
                  </w:pPr>
                  <w:r>
                    <w:rPr>
                      <w:rFonts w:ascii="Times New Roman" w:cs="Times New Roman" w:hAnsi="Times New Roman" w:hint="eastAsia"/>
                      <w:color w:val="auto"/>
                      <w:sz w:val="21"/>
                      <w:szCs w:val="21"/>
                      <w:lang w:val="en-US" w:eastAsia="zh-CN"/>
                    </w:rPr>
                    <w:t>6</w:t>
                  </w:r>
                </w:p>
              </w:tc>
              <w:tc>
                <w:tcPr>
                  <w:tcW w:w="1081" w:type="pct"/>
                  <w:tcBorders>
                    <w:tl2br w:val="nil"/>
                    <w:tr2bl w:val="nil"/>
                  </w:tcBorders>
                  <w:vAlign w:val="center"/>
                </w:tcPr>
                <w:p>
                  <w:pPr>
                    <w:spacing w:line="320" w:lineRule="exact"/>
                    <w:jc w:val="center"/>
                    <w:rPr>
                      <w:rFonts w:hint="eastAsia"/>
                      <w:color w:val="auto"/>
                      <w:lang w:eastAsia="zh-CN"/>
                    </w:rPr>
                  </w:pPr>
                  <w:r>
                    <w:rPr>
                      <w:rFonts w:hint="eastAsia"/>
                      <w:color w:val="auto"/>
                      <w:lang w:eastAsia="zh-CN"/>
                    </w:rPr>
                    <w:t>炼油锅</w:t>
                  </w:r>
                </w:p>
              </w:tc>
              <w:tc>
                <w:tcPr>
                  <w:tcW w:w="1603" w:type="pct"/>
                  <w:tcBorders>
                    <w:tl2br w:val="nil"/>
                    <w:tr2bl w:val="nil"/>
                  </w:tcBorders>
                  <w:vAlign w:val="center"/>
                </w:tcPr>
                <w:p>
                  <w:pPr>
                    <w:jc w:val="center"/>
                    <w:rPr>
                      <w:color w:val="auto"/>
                      <w:lang w:val="en-US" w:eastAsia="zh-CN"/>
                    </w:rPr>
                  </w:pPr>
                  <w:r>
                    <w:rPr>
                      <w:color w:val="auto"/>
                      <w:lang w:val="en-US" w:eastAsia="zh-CN"/>
                    </w:rPr>
                    <w:t>LYY800X1500+90°</w:t>
                  </w:r>
                  <w:r>
                    <w:rPr>
                      <w:rFonts w:hint="eastAsia"/>
                      <w:color w:val="auto"/>
                      <w:lang w:val="en-US" w:eastAsia="zh-CN"/>
                    </w:rPr>
                    <w:t>，不锈钢材质，1.5kw/h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rFonts w:eastAsia="宋体"/>
                      <w:color w:val="auto"/>
                      <w:lang w:val="en-US" w:eastAsia="zh-CN"/>
                    </w:rPr>
                  </w:pPr>
                  <w:r>
                    <w:rPr>
                      <w:rFonts w:hint="eastAsia"/>
                      <w:color w:val="auto"/>
                      <w:lang w:val="en-US" w:eastAsia="zh-CN"/>
                    </w:rPr>
                    <w:t>1</w:t>
                  </w:r>
                </w:p>
              </w:tc>
              <w:tc>
                <w:tcPr>
                  <w:tcW w:w="885" w:type="pct"/>
                  <w:tcBorders>
                    <w:tl2br w:val="nil"/>
                    <w:tr2bl w:val="nil"/>
                  </w:tcBorders>
                  <w:vAlign w:val="center"/>
                </w:tcPr>
                <w:p>
                  <w:pPr>
                    <w:jc w:val="center"/>
                    <w:rPr>
                      <w:rFonts w:hint="eastAsia"/>
                      <w:color w:val="auto"/>
                    </w:rPr>
                  </w:pPr>
                  <w:r>
                    <w:rPr>
                      <w:rFonts w:hint="eastAsia"/>
                      <w:color w:val="auto"/>
                    </w:rPr>
                    <w:t>外购</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7</w:t>
                  </w:r>
                </w:p>
              </w:tc>
              <w:tc>
                <w:tcPr>
                  <w:tcW w:w="1081" w:type="pct"/>
                  <w:tcBorders>
                    <w:tl2br w:val="nil"/>
                    <w:tr2bl w:val="nil"/>
                  </w:tcBorders>
                  <w:vAlign w:val="center"/>
                </w:tcPr>
                <w:p>
                  <w:pPr>
                    <w:spacing w:line="320" w:lineRule="exact"/>
                    <w:jc w:val="center"/>
                    <w:rPr>
                      <w:rFonts w:ascii="Times New Roman" w:cs="Times New Roman" w:hAnsi="Times New Roman"/>
                      <w:color w:val="auto"/>
                      <w:sz w:val="21"/>
                      <w:szCs w:val="21"/>
                      <w:lang w:val="en-US" w:eastAsia="zh-CN"/>
                    </w:rPr>
                  </w:pPr>
                  <w:r>
                    <w:rPr>
                      <w:rFonts w:ascii="Times New Roman" w:cs="Times New Roman" w:hAnsi="Times New Roman"/>
                      <w:color w:val="auto"/>
                      <w:sz w:val="21"/>
                      <w:szCs w:val="21"/>
                      <w:lang w:val="en-US" w:eastAsia="zh-CN"/>
                    </w:rPr>
                    <w:t>不锈钢齿轮泵</w:t>
                  </w:r>
                </w:p>
              </w:tc>
              <w:tc>
                <w:tcPr>
                  <w:tcW w:w="1603" w:type="pct"/>
                  <w:tcBorders>
                    <w:tl2br w:val="nil"/>
                    <w:tr2bl w:val="nil"/>
                  </w:tcBorders>
                  <w:vAlign w:val="center"/>
                </w:tcPr>
                <w:p>
                  <w:pPr>
                    <w:jc w:val="center"/>
                    <w:rPr>
                      <w:color w:val="auto"/>
                      <w:lang w:val="en-US" w:eastAsia="zh-CN"/>
                    </w:rPr>
                  </w:pPr>
                  <w:r>
                    <w:rPr>
                      <w:color w:val="auto"/>
                      <w:lang w:val="en-US" w:eastAsia="zh-CN"/>
                    </w:rPr>
                    <w:t>KCB83.3-1.5</w:t>
                  </w:r>
                  <w:r>
                    <w:rPr>
                      <w:rFonts w:hint="eastAsia"/>
                      <w:color w:val="auto"/>
                      <w:lang w:val="en-US" w:eastAsia="zh-CN"/>
                    </w:rPr>
                    <w:t>，1.1kw/h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color w:val="auto"/>
                      <w:lang w:val="en-US" w:eastAsia="zh-CN"/>
                    </w:rPr>
                  </w:pPr>
                  <w:r>
                    <w:rPr>
                      <w:rFonts w:hint="eastAsia"/>
                      <w:color w:val="auto"/>
                      <w:lang w:val="en-US" w:eastAsia="zh-CN"/>
                    </w:rPr>
                    <w:t>1</w:t>
                  </w:r>
                </w:p>
              </w:tc>
              <w:tc>
                <w:tcPr>
                  <w:tcW w:w="885" w:type="pct"/>
                  <w:tcBorders>
                    <w:tl2br w:val="nil"/>
                    <w:tr2bl w:val="nil"/>
                  </w:tcBorders>
                  <w:vAlign w:val="center"/>
                </w:tcPr>
                <w:p>
                  <w:pPr>
                    <w:jc w:val="center"/>
                    <w:rPr>
                      <w:color w:val="auto"/>
                      <w:lang w:val="en-US" w:eastAsia="zh-CN"/>
                    </w:rPr>
                  </w:pPr>
                  <w:r>
                    <w:rPr>
                      <w:rFonts w:hint="eastAsia"/>
                      <w:color w:val="auto"/>
                    </w:rPr>
                    <w:t>外购</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8</w:t>
                  </w:r>
                </w:p>
              </w:tc>
              <w:tc>
                <w:tcPr>
                  <w:tcW w:w="1081" w:type="pct"/>
                  <w:tcBorders>
                    <w:tl2br w:val="nil"/>
                    <w:tr2bl w:val="nil"/>
                  </w:tcBorders>
                  <w:vAlign w:val="center"/>
                </w:tcPr>
                <w:p>
                  <w:pPr>
                    <w:spacing w:line="320" w:lineRule="exact"/>
                    <w:jc w:val="center"/>
                    <w:rPr>
                      <w:rFonts w:cs="Times New Roman" w:hint="eastAsia"/>
                      <w:color w:val="auto"/>
                      <w:sz w:val="21"/>
                      <w:szCs w:val="21"/>
                      <w:lang w:val="en-US" w:eastAsia="zh-CN"/>
                    </w:rPr>
                  </w:pPr>
                  <w:r>
                    <w:rPr>
                      <w:rFonts w:cs="Times New Roman" w:hint="eastAsia"/>
                      <w:color w:val="auto"/>
                      <w:sz w:val="21"/>
                      <w:szCs w:val="21"/>
                      <w:lang w:val="en-US" w:eastAsia="zh-CN"/>
                    </w:rPr>
                    <w:t>热水/碱液组合箱</w:t>
                  </w:r>
                </w:p>
              </w:tc>
              <w:tc>
                <w:tcPr>
                  <w:tcW w:w="1603" w:type="pct"/>
                  <w:tcBorders>
                    <w:tl2br w:val="nil"/>
                    <w:tr2bl w:val="nil"/>
                  </w:tcBorders>
                  <w:vAlign w:val="center"/>
                </w:tcPr>
                <w:p>
                  <w:pPr>
                    <w:jc w:val="center"/>
                    <w:rPr>
                      <w:color w:val="auto"/>
                      <w:lang w:val="en-US" w:eastAsia="zh-CN"/>
                    </w:rPr>
                  </w:pPr>
                  <w:r>
                    <w:rPr>
                      <w:rFonts w:hint="eastAsia"/>
                      <w:color w:val="auto"/>
                      <w:lang w:val="en-US" w:eastAsia="zh-CN"/>
                    </w:rPr>
                    <w:t>600x600x600.中间有一隔板，不锈钢材质</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sz w:val="21"/>
                      <w:szCs w:val="21"/>
                      <w:lang w:eastAsia="zh-CN"/>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color w:val="auto"/>
                      <w:lang w:val="en-US" w:eastAsia="zh-CN"/>
                    </w:rPr>
                  </w:pPr>
                  <w:r>
                    <w:rPr>
                      <w:rFonts w:hint="eastAsia"/>
                      <w:color w:val="auto"/>
                      <w:lang w:val="en-US" w:eastAsia="zh-CN"/>
                    </w:rPr>
                    <w:t>1</w:t>
                  </w:r>
                </w:p>
              </w:tc>
              <w:tc>
                <w:tcPr>
                  <w:tcW w:w="885" w:type="pct"/>
                  <w:tcBorders>
                    <w:tl2br w:val="nil"/>
                    <w:tr2bl w:val="nil"/>
                  </w:tcBorders>
                  <w:vAlign w:val="center"/>
                </w:tcPr>
                <w:p>
                  <w:pPr>
                    <w:jc w:val="center"/>
                    <w:rPr>
                      <w:color w:val="auto"/>
                      <w:lang w:val="en-US" w:eastAsia="zh-CN"/>
                    </w:rPr>
                  </w:pPr>
                  <w:r>
                    <w:rPr>
                      <w:rFonts w:hint="eastAsia"/>
                      <w:color w:val="auto"/>
                    </w:rPr>
                    <w:t>外购</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9</w:t>
                  </w:r>
                </w:p>
              </w:tc>
              <w:tc>
                <w:tcPr>
                  <w:tcW w:w="1081" w:type="pct"/>
                  <w:tcBorders>
                    <w:tl2br w:val="nil"/>
                    <w:tr2bl w:val="nil"/>
                  </w:tcBorders>
                  <w:vAlign w:val="center"/>
                </w:tcPr>
                <w:p>
                  <w:pPr>
                    <w:spacing w:line="320" w:lineRule="exact"/>
                    <w:jc w:val="center"/>
                    <w:rPr>
                      <w:rFonts w:cs="Times New Roman" w:hint="eastAsia"/>
                      <w:color w:val="auto"/>
                      <w:sz w:val="21"/>
                      <w:szCs w:val="21"/>
                      <w:lang w:val="en-US" w:eastAsia="zh-CN"/>
                    </w:rPr>
                  </w:pPr>
                  <w:r>
                    <w:rPr>
                      <w:rFonts w:cs="Times New Roman" w:hint="eastAsia"/>
                      <w:color w:val="auto"/>
                      <w:sz w:val="21"/>
                      <w:szCs w:val="21"/>
                      <w:lang w:val="en-US" w:eastAsia="zh-CN"/>
                    </w:rPr>
                    <w:t>干燥/脱色锅</w:t>
                  </w:r>
                </w:p>
              </w:tc>
              <w:tc>
                <w:tcPr>
                  <w:tcW w:w="1603" w:type="pct"/>
                  <w:tcBorders>
                    <w:tl2br w:val="nil"/>
                    <w:tr2bl w:val="nil"/>
                  </w:tcBorders>
                  <w:vAlign w:val="center"/>
                </w:tcPr>
                <w:p>
                  <w:pPr>
                    <w:jc w:val="center"/>
                    <w:rPr>
                      <w:color w:val="auto"/>
                      <w:lang w:val="en-US" w:eastAsia="zh-CN"/>
                    </w:rPr>
                  </w:pPr>
                  <w:r>
                    <w:rPr>
                      <w:rFonts w:hint="eastAsia"/>
                      <w:color w:val="auto"/>
                      <w:lang w:val="en-US" w:eastAsia="zh-CN"/>
                    </w:rPr>
                    <w:t>LYS100X1500，1.5kw/h</w:t>
                  </w:r>
                </w:p>
              </w:tc>
              <w:tc>
                <w:tcPr>
                  <w:tcW w:w="512" w:type="pct"/>
                  <w:tcBorders>
                    <w:tl2br w:val="nil"/>
                    <w:tr2bl w:val="nil"/>
                  </w:tcBorders>
                  <w:vAlign w:val="center"/>
                </w:tcPr>
                <w:p>
                  <w:pPr>
                    <w:pStyle w:val="39"/>
                    <w:spacing w:before="0" w:beforeAutospacing="0" w:after="0" w:afterAutospacing="0"/>
                    <w:jc w:val="center"/>
                    <w:rPr>
                      <w:rFonts w:ascii="Times New Roman" w:cs="Times New Roman" w:hAnsi="Times New Roman" w:hint="eastAsia"/>
                      <w:color w:val="auto"/>
                      <w:sz w:val="21"/>
                      <w:szCs w:val="21"/>
                      <w:lang w:eastAsia="zh-CN"/>
                    </w:rPr>
                  </w:pPr>
                  <w:r>
                    <w:rPr>
                      <w:rFonts w:ascii="Times New Roman" w:cs="Times New Roman" w:hAnsi="Times New Roman" w:hint="eastAsia"/>
                      <w:color w:val="auto"/>
                      <w:sz w:val="21"/>
                      <w:szCs w:val="21"/>
                      <w:lang w:eastAsia="zh-CN"/>
                    </w:rPr>
                    <w:t>台</w:t>
                  </w:r>
                </w:p>
              </w:tc>
              <w:tc>
                <w:tcPr>
                  <w:tcW w:w="476" w:type="pct"/>
                  <w:tcBorders>
                    <w:tl2br w:val="nil"/>
                    <w:tr2bl w:val="nil"/>
                  </w:tcBorders>
                  <w:vAlign w:val="center"/>
                </w:tcPr>
                <w:p>
                  <w:pPr>
                    <w:jc w:val="center"/>
                    <w:rPr>
                      <w:color w:val="auto"/>
                      <w:lang w:val="en-US" w:eastAsia="zh-CN"/>
                    </w:rPr>
                  </w:pPr>
                  <w:r>
                    <w:rPr>
                      <w:rFonts w:hint="eastAsia"/>
                      <w:color w:val="auto"/>
                      <w:lang w:val="en-US" w:eastAsia="zh-CN"/>
                    </w:rPr>
                    <w:t>1</w:t>
                  </w:r>
                </w:p>
              </w:tc>
              <w:tc>
                <w:tcPr>
                  <w:tcW w:w="885" w:type="pct"/>
                  <w:tcBorders>
                    <w:tl2br w:val="nil"/>
                    <w:tr2bl w:val="nil"/>
                  </w:tcBorders>
                  <w:vAlign w:val="center"/>
                </w:tcPr>
                <w:p>
                  <w:pPr>
                    <w:jc w:val="center"/>
                    <w:rPr>
                      <w:color w:val="auto"/>
                      <w:lang w:val="en-US" w:eastAsia="zh-CN"/>
                    </w:rPr>
                  </w:pPr>
                  <w:r>
                    <w:rPr>
                      <w:rFonts w:hint="eastAsia"/>
                      <w:color w:val="auto"/>
                    </w:rPr>
                    <w:t>外购</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10</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4"/>
                      <w:lang w:val="en-US" w:eastAsia="zh-CN" w:bidi="ar-SA"/>
                    </w:rPr>
                  </w:pPr>
                  <w:r>
                    <w:rPr>
                      <w:rFonts w:hint="eastAsia"/>
                      <w:color w:val="auto"/>
                      <w:lang w:val="en-US" w:eastAsia="zh-CN"/>
                    </w:rPr>
                    <w:t>脱</w:t>
                  </w:r>
                  <w:r>
                    <w:rPr>
                      <w:rFonts w:ascii="Times New Roman" w:eastAsia="宋体" w:cs="Times New Roman" w:hAnsi="Times New Roman" w:hint="eastAsia"/>
                      <w:color w:val="auto"/>
                      <w:kern w:val="2"/>
                      <w:sz w:val="21"/>
                      <w:szCs w:val="24"/>
                      <w:lang w:val="en-US" w:eastAsia="zh-CN" w:bidi="ar-SA"/>
                    </w:rPr>
                    <w:t>色板框过滤机</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板式，5</w:t>
                  </w:r>
                  <w:r>
                    <w:rPr>
                      <w:rFonts w:cs="Times New Roman" w:hint="eastAsia"/>
                      <w:color w:val="auto"/>
                      <w:kern w:val="2"/>
                      <w:sz w:val="21"/>
                      <w:szCs w:val="24"/>
                      <w:lang w:val="en-US" w:eastAsia="zh-CN" w:bidi="ar-SA"/>
                    </w:rPr>
                    <w:t>m²</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vAlign w:val="center"/>
                </w:tcPr>
                <w:p>
                  <w:pPr>
                    <w:jc w:val="center"/>
                    <w:rPr>
                      <w:rFonts w:eastAsia="宋体"/>
                      <w:color w:val="auto"/>
                      <w:lang w:val="en-US" w:eastAsia="zh-CN"/>
                    </w:rPr>
                  </w:pPr>
                  <w:r>
                    <w:rPr>
                      <w:rFonts w:hint="eastAsia"/>
                      <w:color w:val="auto"/>
                    </w:rPr>
                    <w:t>外购</w:t>
                  </w:r>
                  <w:r>
                    <w:rPr>
                      <w:rFonts w:hint="eastAsia"/>
                      <w:color w:val="auto"/>
                      <w:lang w:eastAsia="zh-CN"/>
                    </w:rPr>
                    <w:t>，</w:t>
                  </w:r>
                  <w:r>
                    <w:rPr>
                      <w:rFonts w:hint="eastAsia"/>
                      <w:color w:val="auto"/>
                      <w:lang w:val="en-US" w:eastAsia="zh-CN"/>
                    </w:rPr>
                    <w:t>脱色</w:t>
                  </w:r>
                </w:p>
              </w:tc>
            </w:tr>
            <w:tr>
              <w:trPr>
                <w:trHeight w:val="454"/>
              </w:trPr>
              <w:tc>
                <w:tcPr>
                  <w:tcW w:w="440" w:type="pct"/>
                  <w:tcBorders>
                    <w:tl2br w:val="nil"/>
                    <w:tr2bl w:val="nil"/>
                  </w:tcBorders>
                  <w:vAlign w:val="center"/>
                </w:tcPr>
                <w:p>
                  <w:pPr>
                    <w:pStyle w:val="39"/>
                    <w:spacing w:before="0" w:beforeAutospacing="0" w:after="0" w:afterAutospacing="0"/>
                    <w:jc w:val="center"/>
                    <w:rPr>
                      <w:rFonts w:ascii="Times New Roman" w:cs="Times New Roman" w:hAnsi="Times New Roman"/>
                      <w:color w:val="auto"/>
                      <w:sz w:val="21"/>
                      <w:szCs w:val="21"/>
                      <w:lang w:val="en-US" w:eastAsia="zh-CN"/>
                    </w:rPr>
                  </w:pPr>
                  <w:r>
                    <w:rPr>
                      <w:rFonts w:ascii="Times New Roman" w:cs="Times New Roman" w:hAnsi="Times New Roman" w:hint="eastAsia"/>
                      <w:color w:val="auto"/>
                      <w:sz w:val="21"/>
                      <w:szCs w:val="21"/>
                      <w:lang w:val="en-US" w:eastAsia="zh-CN"/>
                    </w:rPr>
                    <w:t>11</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过色油泵</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IS25-160，不锈钢</w:t>
                  </w:r>
                  <w:r>
                    <w:rPr>
                      <w:rFonts w:hint="eastAsia"/>
                      <w:color w:val="auto"/>
                      <w:lang w:val="en-US" w:eastAsia="zh-CN"/>
                    </w:rPr>
                    <w:t>，1.5kw/h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vAlign w:val="center"/>
                </w:tcPr>
                <w:p>
                  <w:pPr>
                    <w:jc w:val="center"/>
                    <w:rPr>
                      <w:rFonts w:hint="eastAsia"/>
                      <w:color w:val="auto"/>
                      <w:lang w:val="en-US" w:eastAsia="zh-CN"/>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12</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脱色油箱</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DN1200X800X750</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vAlign w:val="center"/>
                </w:tcPr>
                <w:p>
                  <w:pPr>
                    <w:jc w:val="center"/>
                    <w:rPr>
                      <w:rFonts w:hint="eastAsia"/>
                      <w:color w:val="auto"/>
                      <w:lang w:val="en-US" w:eastAsia="zh-CN"/>
                    </w:rPr>
                  </w:pPr>
                  <w:r>
                    <w:rPr>
                      <w:rFonts w:hint="eastAsia"/>
                      <w:color w:val="auto"/>
                    </w:rPr>
                    <w:t>外购</w:t>
                  </w:r>
                </w:p>
              </w:tc>
            </w:tr>
            <w:tr>
              <w:trPr>
                <w:trHeight w:hRule="exact" w:val="369"/>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13</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污油泵</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KCB83.3-1.5</w:t>
                  </w:r>
                  <w:r>
                    <w:rPr>
                      <w:rFonts w:cs="Times New Roman" w:hint="eastAsia"/>
                      <w:color w:val="auto"/>
                      <w:kern w:val="2"/>
                      <w:sz w:val="21"/>
                      <w:szCs w:val="24"/>
                      <w:lang w:val="en-US" w:eastAsia="zh-CN" w:bidi="ar-SA"/>
                    </w:rPr>
                    <w:t>，</w:t>
                  </w:r>
                  <w:r>
                    <w:rPr>
                      <w:rFonts w:hint="eastAsia"/>
                      <w:color w:val="auto"/>
                      <w:lang w:val="en-US" w:eastAsia="zh-CN"/>
                    </w:rPr>
                    <w:t>1.1kw/h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vAlign w:val="center"/>
                </w:tcPr>
                <w:p>
                  <w:pPr>
                    <w:jc w:val="center"/>
                    <w:rPr>
                      <w:rFonts w:hint="eastAsia"/>
                      <w:color w:val="auto"/>
                      <w:lang w:val="en-US" w:eastAsia="zh-CN"/>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14</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过色油泵</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KCB83.3-1.5</w:t>
                  </w:r>
                  <w:r>
                    <w:rPr>
                      <w:rFonts w:cs="Times New Roman" w:hint="eastAsia"/>
                      <w:color w:val="auto"/>
                      <w:kern w:val="2"/>
                      <w:sz w:val="21"/>
                      <w:szCs w:val="24"/>
                      <w:lang w:val="en-US" w:eastAsia="zh-CN" w:bidi="ar-SA"/>
                    </w:rPr>
                    <w:t>，</w:t>
                  </w:r>
                  <w:r>
                    <w:rPr>
                      <w:rFonts w:hint="eastAsia"/>
                      <w:color w:val="auto"/>
                      <w:lang w:val="en-US" w:eastAsia="zh-CN"/>
                    </w:rPr>
                    <w:t>1.1kw/h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vAlign w:val="center"/>
                </w:tcPr>
                <w:p>
                  <w:pPr>
                    <w:jc w:val="center"/>
                    <w:rPr>
                      <w:rFonts w:hint="eastAsia"/>
                      <w:color w:val="auto"/>
                      <w:lang w:val="en-US" w:eastAsia="zh-CN"/>
                    </w:rPr>
                  </w:pPr>
                  <w:r>
                    <w:rPr>
                      <w:rFonts w:hint="eastAsia"/>
                      <w:color w:val="auto"/>
                    </w:rPr>
                    <w:t>外购</w:t>
                  </w:r>
                </w:p>
              </w:tc>
            </w:tr>
            <w:tr>
              <w:trPr>
                <w:trHeight w:hRule="exact" w:val="3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15</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脱臭锅</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LYC100x1500</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16</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脂肪酸冷凝+捕集器组合设备</w:t>
                  </w:r>
                </w:p>
              </w:tc>
              <w:tc>
                <w:tcPr>
                  <w:tcW w:w="1603" w:type="pct"/>
                  <w:tcBorders>
                    <w:tl2br w:val="nil"/>
                    <w:tr2bl w:val="nil"/>
                  </w:tcBorders>
                  <w:shd w:val="clear" w:color="auto" w:fill="auto"/>
                  <w:vAlign w:val="center"/>
                </w:tcPr>
                <w:p>
                  <w:pPr>
                    <w:jc w:val="center"/>
                    <w:rPr>
                      <w:rFonts w:cs="Times New Roman" w:hint="eastAsia"/>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DN325,SS.T304-4</w:t>
                  </w:r>
                  <w:r>
                    <w:rPr>
                      <w:rFonts w:cs="Times New Roman" w:hint="eastAsia"/>
                      <w:color w:val="auto"/>
                      <w:kern w:val="2"/>
                      <w:sz w:val="21"/>
                      <w:szCs w:val="24"/>
                      <w:lang w:val="en-US" w:eastAsia="zh-CN" w:bidi="ar-SA"/>
                    </w:rPr>
                    <w:t>，带冷凝</w:t>
                  </w:r>
                </w:p>
                <w:p>
                  <w:pPr>
                    <w:jc w:val="center"/>
                    <w:rPr>
                      <w:rFonts w:ascii="Times New Roman" w:eastAsia="宋体" w:cs="Times New Roman" w:hAnsi="Times New Roman"/>
                      <w:color w:val="auto"/>
                      <w:kern w:val="2"/>
                      <w:sz w:val="21"/>
                      <w:szCs w:val="24"/>
                      <w:lang w:val="en-US" w:eastAsia="zh-CN" w:bidi="ar-SA"/>
                    </w:rPr>
                  </w:pPr>
                  <w:r>
                    <w:rPr>
                      <w:rFonts w:cs="Times New Roman" w:hint="eastAsia"/>
                      <w:color w:val="auto"/>
                      <w:kern w:val="2"/>
                      <w:sz w:val="21"/>
                      <w:szCs w:val="24"/>
                      <w:lang w:val="en-US" w:eastAsia="zh-CN" w:bidi="ar-SA"/>
                    </w:rPr>
                    <w:t>器列管</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套</w:t>
                  </w:r>
                </w:p>
              </w:tc>
              <w:tc>
                <w:tcPr>
                  <w:tcW w:w="476"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17</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罗茨真空泵</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绝压≤100Pa</w:t>
                  </w:r>
                  <w:r>
                    <w:rPr>
                      <w:rFonts w:cs="Times New Roman" w:hint="eastAsia"/>
                      <w:color w:val="auto"/>
                      <w:kern w:val="2"/>
                      <w:sz w:val="21"/>
                      <w:szCs w:val="24"/>
                      <w:lang w:val="en-US" w:eastAsia="zh-CN" w:bidi="ar-SA"/>
                    </w:rPr>
                    <w:t>，6.6</w:t>
                  </w:r>
                  <w:r>
                    <w:rPr>
                      <w:rFonts w:hint="eastAsia"/>
                      <w:color w:val="auto"/>
                      <w:lang w:val="en-US" w:eastAsia="zh-CN"/>
                    </w:rPr>
                    <w:t>kw/h</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18</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结晶罐</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LYJ800X1500</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19</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4"/>
                      <w:lang w:val="en-US" w:eastAsia="zh-CN" w:bidi="ar-SA"/>
                    </w:rPr>
                  </w:pPr>
                  <w:r>
                    <w:rPr>
                      <w:rFonts w:hint="eastAsia"/>
                      <w:color w:val="auto"/>
                      <w:lang w:eastAsia="zh-CN"/>
                    </w:rPr>
                    <w:t>毛油储罐</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⌀1.9m、h2.7m、5t/个</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套</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2</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20</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cs="Times New Roman" w:hAnsi="Times New Roman"/>
                      <w:color w:val="auto"/>
                      <w:sz w:val="21"/>
                      <w:szCs w:val="21"/>
                      <w:lang w:val="en-US" w:eastAsia="zh-CN"/>
                    </w:rPr>
                    <w:t>精炼油储罐</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⌀1m、h1.7m、1t/个</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套</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2</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21</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ascii="Times New Roman" w:cs="Times New Roman" w:hAnsi="Times New Roman" w:hint="eastAsia"/>
                      <w:color w:val="auto"/>
                      <w:sz w:val="21"/>
                      <w:szCs w:val="21"/>
                      <w:lang w:val="en-US" w:eastAsia="zh-CN"/>
                    </w:rPr>
                    <w:t>脱脂板框过滤机</w:t>
                  </w:r>
                </w:p>
              </w:tc>
              <w:tc>
                <w:tcPr>
                  <w:tcW w:w="1603"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ascii="Times New Roman" w:eastAsia="宋体" w:cs="Times New Roman" w:hAnsi="Times New Roman"/>
                      <w:color w:val="auto"/>
                      <w:kern w:val="2"/>
                      <w:sz w:val="21"/>
                      <w:szCs w:val="24"/>
                      <w:lang w:val="en-US" w:eastAsia="zh-CN" w:bidi="ar-SA"/>
                    </w:rPr>
                    <w:t>板式，5</w:t>
                  </w:r>
                  <w:r>
                    <w:rPr>
                      <w:rFonts w:cs="Times New Roman" w:hint="eastAsia"/>
                      <w:color w:val="auto"/>
                      <w:kern w:val="2"/>
                      <w:sz w:val="21"/>
                      <w:szCs w:val="24"/>
                      <w:lang w:val="en-US" w:eastAsia="zh-CN" w:bidi="ar-SA"/>
                    </w:rPr>
                    <w:t>m²</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22</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color w:val="auto"/>
                      <w:kern w:val="2"/>
                      <w:sz w:val="21"/>
                      <w:szCs w:val="21"/>
                      <w:lang w:val="en-US" w:eastAsia="zh-CN" w:bidi="ar-SA"/>
                    </w:rPr>
                  </w:pPr>
                  <w:r>
                    <w:rPr>
                      <w:rFonts w:cs="Times New Roman" w:hint="eastAsia"/>
                      <w:color w:val="auto"/>
                      <w:sz w:val="21"/>
                      <w:szCs w:val="21"/>
                      <w:lang w:val="en-US" w:eastAsia="zh-CN"/>
                    </w:rPr>
                    <w:t>叉车</w:t>
                  </w:r>
                </w:p>
              </w:tc>
              <w:tc>
                <w:tcPr>
                  <w:tcW w:w="1603"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cs="Times New Roman" w:hint="eastAsia"/>
                      <w:color w:val="auto"/>
                      <w:kern w:val="2"/>
                      <w:sz w:val="21"/>
                      <w:szCs w:val="24"/>
                      <w:lang w:val="en-US" w:eastAsia="zh-CN" w:bidi="ar-SA"/>
                    </w:rPr>
                    <w:t>电动</w:t>
                  </w: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台</w:t>
                  </w:r>
                </w:p>
              </w:tc>
              <w:tc>
                <w:tcPr>
                  <w:tcW w:w="476"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val="en-US" w:eastAsia="zh-CN"/>
                    </w:rPr>
                    <w:t>23</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color w:val="auto"/>
                      <w:kern w:val="2"/>
                      <w:sz w:val="21"/>
                      <w:szCs w:val="21"/>
                      <w:lang w:val="en-US" w:eastAsia="zh-CN" w:bidi="ar-SA"/>
                    </w:rPr>
                  </w:pPr>
                  <w:r>
                    <w:rPr>
                      <w:rFonts w:cs="Times New Roman" w:hint="eastAsia"/>
                      <w:color w:val="auto"/>
                      <w:sz w:val="21"/>
                      <w:szCs w:val="21"/>
                      <w:lang w:val="en-US" w:eastAsia="zh-CN"/>
                    </w:rPr>
                    <w:t>袋式除尘器</w:t>
                  </w:r>
                </w:p>
              </w:tc>
              <w:tc>
                <w:tcPr>
                  <w:tcW w:w="1603"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套</w:t>
                  </w:r>
                </w:p>
              </w:tc>
              <w:tc>
                <w:tcPr>
                  <w:tcW w:w="476"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r>
              <w:trPr>
                <w:trHeight w:val="454"/>
              </w:trPr>
              <w:tc>
                <w:tcPr>
                  <w:tcW w:w="440"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color w:val="auto"/>
                      <w:kern w:val="0"/>
                      <w:sz w:val="21"/>
                      <w:szCs w:val="21"/>
                      <w:lang w:val="en-US" w:eastAsia="zh-CN" w:bidi="ar-SA"/>
                    </w:rPr>
                  </w:pPr>
                  <w:r>
                    <w:rPr>
                      <w:rFonts w:ascii="Times New Roman" w:cs="Times New Roman" w:hAnsi="Times New Roman" w:hint="eastAsia"/>
                      <w:color w:val="auto"/>
                      <w:sz w:val="21"/>
                      <w:szCs w:val="21"/>
                      <w:lang w:val="en-US" w:eastAsia="zh-CN"/>
                    </w:rPr>
                    <w:t>24</w:t>
                  </w:r>
                </w:p>
              </w:tc>
              <w:tc>
                <w:tcPr>
                  <w:tcW w:w="1081" w:type="pct"/>
                  <w:tcBorders>
                    <w:tl2br w:val="nil"/>
                    <w:tr2bl w:val="nil"/>
                  </w:tcBorders>
                  <w:shd w:val="clear" w:color="auto" w:fill="auto"/>
                  <w:vAlign w:val="center"/>
                </w:tcPr>
                <w:p>
                  <w:pPr>
                    <w:spacing w:line="320" w:lineRule="exact"/>
                    <w:jc w:val="center"/>
                    <w:rPr>
                      <w:rFonts w:ascii="Times New Roman" w:eastAsia="宋体" w:cs="Times New Roman" w:hAnsi="Times New Roman" w:hint="eastAsia"/>
                      <w:color w:val="auto"/>
                      <w:kern w:val="2"/>
                      <w:sz w:val="21"/>
                      <w:szCs w:val="21"/>
                      <w:lang w:val="en-US" w:eastAsia="zh-CN" w:bidi="ar-SA"/>
                    </w:rPr>
                  </w:pPr>
                  <w:r>
                    <w:rPr>
                      <w:rFonts w:cs="Times New Roman" w:hint="eastAsia"/>
                      <w:color w:val="auto"/>
                      <w:sz w:val="21"/>
                      <w:szCs w:val="21"/>
                      <w:lang w:val="en-US" w:eastAsia="zh-CN"/>
                    </w:rPr>
                    <w:t>活性炭</w:t>
                  </w:r>
                </w:p>
              </w:tc>
              <w:tc>
                <w:tcPr>
                  <w:tcW w:w="1603"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p>
              </w:tc>
              <w:tc>
                <w:tcPr>
                  <w:tcW w:w="512" w:type="pct"/>
                  <w:tcBorders>
                    <w:tl2br w:val="nil"/>
                    <w:tr2bl w:val="nil"/>
                  </w:tcBorders>
                  <w:shd w:val="clear" w:color="auto" w:fill="auto"/>
                  <w:vAlign w:val="center"/>
                </w:tcPr>
                <w:p>
                  <w:pPr>
                    <w:pStyle w:val="39"/>
                    <w:spacing w:before="0" w:beforeAutospacing="0" w:after="0" w:afterAutospacing="0"/>
                    <w:jc w:val="center"/>
                    <w:rPr>
                      <w:rFonts w:ascii="Times New Roman" w:eastAsia="宋体" w:cs="Times New Roman" w:hAnsi="Times New Roman" w:hint="eastAsia"/>
                      <w:color w:val="auto"/>
                      <w:kern w:val="0"/>
                      <w:sz w:val="21"/>
                      <w:szCs w:val="21"/>
                      <w:lang w:val="en-US" w:eastAsia="zh-CN" w:bidi="ar-SA"/>
                    </w:rPr>
                  </w:pPr>
                  <w:r>
                    <w:rPr>
                      <w:rFonts w:ascii="Times New Roman" w:cs="Times New Roman" w:hAnsi="Times New Roman" w:hint="eastAsia"/>
                      <w:color w:val="auto"/>
                      <w:sz w:val="21"/>
                      <w:szCs w:val="21"/>
                      <w:lang w:eastAsia="zh-CN"/>
                    </w:rPr>
                    <w:t>套</w:t>
                  </w:r>
                </w:p>
              </w:tc>
              <w:tc>
                <w:tcPr>
                  <w:tcW w:w="476" w:type="pct"/>
                  <w:tcBorders>
                    <w:tl2br w:val="nil"/>
                    <w:tr2bl w:val="nil"/>
                  </w:tcBorders>
                  <w:shd w:val="clear" w:color="auto" w:fill="auto"/>
                  <w:vAlign w:val="center"/>
                </w:tcPr>
                <w:p>
                  <w:pPr>
                    <w:jc w:val="center"/>
                    <w:rPr>
                      <w:rFonts w:ascii="Times New Roman" w:eastAsia="宋体" w:cs="Times New Roman" w:hAnsi="Times New Roman"/>
                      <w:color w:val="auto"/>
                      <w:kern w:val="2"/>
                      <w:sz w:val="21"/>
                      <w:szCs w:val="24"/>
                      <w:lang w:val="en-US" w:eastAsia="zh-CN" w:bidi="ar-SA"/>
                    </w:rPr>
                  </w:pPr>
                  <w:r>
                    <w:rPr>
                      <w:rFonts w:hint="eastAsia"/>
                      <w:color w:val="auto"/>
                      <w:lang w:val="en-US" w:eastAsia="zh-CN"/>
                    </w:rPr>
                    <w:t>1</w:t>
                  </w:r>
                </w:p>
              </w:tc>
              <w:tc>
                <w:tcPr>
                  <w:tcW w:w="88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lang w:val="en-US" w:eastAsia="zh-CN" w:bidi="ar-SA"/>
                    </w:rPr>
                  </w:pPr>
                  <w:r>
                    <w:rPr>
                      <w:rFonts w:hint="eastAsia"/>
                      <w:color w:val="auto"/>
                    </w:rPr>
                    <w:t>外购</w:t>
                  </w:r>
                </w:p>
              </w:tc>
            </w:tr>
          </w:tbl>
          <w:p>
            <w:pPr>
              <w:spacing w:beforeLines="50" w:before="120" w:line="360" w:lineRule="auto"/>
              <w:ind w:firstLineChars="196" w:firstLine="470"/>
              <w:outlineLvl w:val="0"/>
              <w:rPr>
                <w:b/>
                <w:color w:val="auto"/>
                <w:sz w:val="24"/>
                <w:lang w:val="en-GB"/>
              </w:rPr>
            </w:pPr>
            <w:bookmarkStart w:id="11" w:name="_Toc13452"/>
            <w:r>
              <w:rPr>
                <w:b/>
                <w:color w:val="auto"/>
                <w:sz w:val="24"/>
              </w:rPr>
              <w:t>5、</w:t>
            </w:r>
            <w:r>
              <w:rPr>
                <w:b/>
                <w:color w:val="auto"/>
                <w:sz w:val="24"/>
                <w:lang w:val="en-GB"/>
              </w:rPr>
              <w:t>主要原辅材料及能源消耗</w:t>
            </w:r>
            <w:bookmarkEnd w:id="11"/>
          </w:p>
          <w:p>
            <w:pPr>
              <w:spacing w:line="360" w:lineRule="auto"/>
              <w:ind w:firstLineChars="200" w:firstLine="480"/>
              <w:jc w:val="left"/>
              <w:rPr>
                <w:color w:val="auto"/>
                <w:sz w:val="24"/>
              </w:rPr>
            </w:pPr>
            <w:r>
              <w:rPr>
                <w:color w:val="auto"/>
                <w:sz w:val="24"/>
              </w:rPr>
              <w:t>根据建设方提供资料，</w:t>
            </w:r>
            <w:r>
              <w:rPr>
                <w:rFonts w:hint="eastAsia"/>
                <w:color w:val="auto"/>
                <w:sz w:val="24"/>
                <w:lang w:eastAsia="zh-CN"/>
              </w:rPr>
              <w:t>项目</w:t>
            </w:r>
            <w:r>
              <w:rPr>
                <w:color w:val="auto"/>
                <w:sz w:val="24"/>
              </w:rPr>
              <w:t>主要原辅材料及能源消耗见下表。</w:t>
            </w:r>
          </w:p>
          <w:p>
            <w:pPr>
              <w:spacing w:line="360" w:lineRule="auto"/>
              <w:jc w:val="center"/>
              <w:rPr>
                <w:b/>
                <w:color w:val="auto"/>
                <w:szCs w:val="21"/>
                <w:lang w:val="en-GB"/>
              </w:rPr>
            </w:pPr>
            <w:r>
              <w:rPr>
                <w:b/>
                <w:color w:val="auto"/>
                <w:szCs w:val="21"/>
                <w:lang w:val="en-GB"/>
              </w:rPr>
              <w:t>表</w:t>
            </w:r>
            <w:r>
              <w:rPr>
                <w:rFonts w:hint="eastAsia"/>
                <w:b/>
                <w:color w:val="auto"/>
                <w:szCs w:val="21"/>
                <w:lang w:val="en-US" w:eastAsia="zh-CN"/>
              </w:rPr>
              <w:t>2-4</w:t>
            </w:r>
            <w:r>
              <w:rPr>
                <w:b/>
                <w:color w:val="auto"/>
                <w:szCs w:val="21"/>
              </w:rPr>
              <w:t xml:space="preserve"> </w:t>
            </w:r>
            <w:r>
              <w:rPr>
                <w:rFonts w:hint="eastAsia"/>
                <w:b/>
                <w:color w:val="auto"/>
                <w:szCs w:val="21"/>
                <w:lang w:eastAsia="zh-CN"/>
              </w:rPr>
              <w:t>项目</w:t>
            </w:r>
            <w:r>
              <w:rPr>
                <w:b/>
                <w:color w:val="auto"/>
                <w:szCs w:val="21"/>
                <w:lang w:val="en-GB"/>
              </w:rPr>
              <w:t>原辅材料及能源消耗一览表</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023"/>
              <w:gridCol w:w="1812"/>
              <w:gridCol w:w="1307"/>
              <w:gridCol w:w="1778"/>
              <w:gridCol w:w="3101"/>
            </w:tblGrid>
            <w:tr>
              <w:trPr>
                <w:trHeight w:val="454"/>
              </w:trPr>
              <w:tc>
                <w:tcPr>
                  <w:tcW w:w="567" w:type="pct"/>
                  <w:tcBorders>
                    <w:tl2br w:val="nil"/>
                    <w:tr2bl w:val="nil"/>
                  </w:tcBorders>
                  <w:vAlign w:val="center"/>
                </w:tcPr>
                <w:p>
                  <w:pPr>
                    <w:pStyle w:val="38"/>
                    <w:spacing w:line="240" w:lineRule="auto"/>
                    <w:ind w:firstLineChars="0" w:firstLine="0"/>
                    <w:jc w:val="center"/>
                    <w:rPr>
                      <w:rFonts w:eastAsia="宋体"/>
                      <w:b/>
                      <w:bCs/>
                      <w:color w:val="auto"/>
                      <w:sz w:val="21"/>
                      <w:szCs w:val="21"/>
                    </w:rPr>
                  </w:pPr>
                  <w:r>
                    <w:rPr>
                      <w:rFonts w:eastAsia="宋体"/>
                      <w:b/>
                      <w:bCs/>
                      <w:color w:val="auto"/>
                      <w:sz w:val="21"/>
                      <w:szCs w:val="21"/>
                    </w:rPr>
                    <w:t>序号</w:t>
                  </w:r>
                </w:p>
              </w:tc>
              <w:tc>
                <w:tcPr>
                  <w:tcW w:w="1004" w:type="pct"/>
                  <w:tcBorders>
                    <w:tl2br w:val="nil"/>
                    <w:tr2bl w:val="nil"/>
                  </w:tcBorders>
                  <w:vAlign w:val="center"/>
                </w:tcPr>
                <w:p>
                  <w:pPr>
                    <w:pStyle w:val="38"/>
                    <w:spacing w:line="240" w:lineRule="auto"/>
                    <w:ind w:firstLineChars="0" w:firstLine="0"/>
                    <w:jc w:val="center"/>
                    <w:rPr>
                      <w:rFonts w:eastAsia="宋体"/>
                      <w:b/>
                      <w:bCs/>
                      <w:color w:val="auto"/>
                      <w:sz w:val="21"/>
                      <w:szCs w:val="21"/>
                    </w:rPr>
                  </w:pPr>
                  <w:r>
                    <w:rPr>
                      <w:rFonts w:eastAsia="宋体"/>
                      <w:b/>
                      <w:bCs/>
                      <w:color w:val="auto"/>
                      <w:sz w:val="21"/>
                      <w:szCs w:val="21"/>
                    </w:rPr>
                    <w:t>名称</w:t>
                  </w:r>
                </w:p>
              </w:tc>
              <w:tc>
                <w:tcPr>
                  <w:tcW w:w="724" w:type="pct"/>
                  <w:tcBorders>
                    <w:tl2br w:val="nil"/>
                    <w:tr2bl w:val="nil"/>
                  </w:tcBorders>
                  <w:vAlign w:val="center"/>
                </w:tcPr>
                <w:p>
                  <w:pPr>
                    <w:pStyle w:val="38"/>
                    <w:spacing w:line="240" w:lineRule="auto"/>
                    <w:ind w:firstLineChars="0" w:firstLine="0"/>
                    <w:jc w:val="center"/>
                    <w:rPr>
                      <w:rFonts w:eastAsia="宋体"/>
                      <w:b/>
                      <w:bCs/>
                      <w:color w:val="auto"/>
                      <w:sz w:val="21"/>
                      <w:szCs w:val="21"/>
                    </w:rPr>
                  </w:pPr>
                  <w:r>
                    <w:rPr>
                      <w:rFonts w:eastAsia="宋体"/>
                      <w:b/>
                      <w:bCs/>
                      <w:color w:val="auto"/>
                      <w:sz w:val="21"/>
                      <w:szCs w:val="21"/>
                    </w:rPr>
                    <w:t>单位</w:t>
                  </w:r>
                </w:p>
              </w:tc>
              <w:tc>
                <w:tcPr>
                  <w:tcW w:w="985" w:type="pct"/>
                  <w:tcBorders>
                    <w:tl2br w:val="nil"/>
                    <w:tr2bl w:val="nil"/>
                  </w:tcBorders>
                  <w:vAlign w:val="center"/>
                </w:tcPr>
                <w:p>
                  <w:pPr>
                    <w:pStyle w:val="38"/>
                    <w:spacing w:line="240" w:lineRule="auto"/>
                    <w:ind w:firstLineChars="0" w:firstLine="0"/>
                    <w:jc w:val="center"/>
                    <w:rPr>
                      <w:rFonts w:eastAsia="宋体"/>
                      <w:b/>
                      <w:bCs/>
                      <w:color w:val="auto"/>
                      <w:sz w:val="21"/>
                      <w:szCs w:val="21"/>
                    </w:rPr>
                  </w:pPr>
                  <w:r>
                    <w:rPr>
                      <w:rFonts w:eastAsia="宋体"/>
                      <w:b/>
                      <w:bCs/>
                      <w:color w:val="auto"/>
                      <w:sz w:val="21"/>
                      <w:szCs w:val="21"/>
                    </w:rPr>
                    <w:t>年用量</w:t>
                  </w:r>
                </w:p>
              </w:tc>
              <w:tc>
                <w:tcPr>
                  <w:tcW w:w="1718" w:type="pct"/>
                  <w:tcBorders>
                    <w:tl2br w:val="nil"/>
                    <w:tr2bl w:val="nil"/>
                  </w:tcBorders>
                  <w:vAlign w:val="center"/>
                </w:tcPr>
                <w:p>
                  <w:pPr>
                    <w:pStyle w:val="38"/>
                    <w:spacing w:line="240" w:lineRule="auto"/>
                    <w:ind w:firstLineChars="0" w:firstLine="0"/>
                    <w:jc w:val="center"/>
                    <w:rPr>
                      <w:rFonts w:eastAsia="宋体" w:hint="eastAsia"/>
                      <w:b/>
                      <w:bCs/>
                      <w:color w:val="auto"/>
                      <w:sz w:val="21"/>
                      <w:szCs w:val="21"/>
                      <w:lang w:eastAsia="zh-CN"/>
                    </w:rPr>
                  </w:pPr>
                  <w:r>
                    <w:rPr>
                      <w:rFonts w:eastAsia="宋体" w:hint="eastAsia"/>
                      <w:b/>
                      <w:bCs/>
                      <w:color w:val="auto"/>
                      <w:sz w:val="21"/>
                      <w:szCs w:val="21"/>
                      <w:lang w:eastAsia="zh-CN"/>
                    </w:rPr>
                    <w:t>备注</w:t>
                  </w:r>
                </w:p>
              </w:tc>
            </w:tr>
            <w:tr>
              <w:trPr>
                <w:trHeight w:val="460"/>
              </w:trPr>
              <w:tc>
                <w:tcPr>
                  <w:tcW w:w="567" w:type="pct"/>
                  <w:tcBorders>
                    <w:tl2br w:val="nil"/>
                    <w:tr2bl w:val="nil"/>
                  </w:tcBorders>
                  <w:vAlign w:val="center"/>
                </w:tcPr>
                <w:p>
                  <w:pPr>
                    <w:pStyle w:val="38"/>
                    <w:spacing w:line="240" w:lineRule="auto"/>
                    <w:ind w:firstLineChars="0" w:firstLine="0"/>
                    <w:jc w:val="center"/>
                    <w:rPr>
                      <w:rFonts w:eastAsia="宋体" w:hint="eastAsia"/>
                      <w:color w:val="auto"/>
                      <w:sz w:val="21"/>
                      <w:szCs w:val="21"/>
                    </w:rPr>
                  </w:pPr>
                  <w:r>
                    <w:rPr>
                      <w:rFonts w:eastAsia="宋体" w:hint="eastAsia"/>
                      <w:color w:val="auto"/>
                      <w:sz w:val="21"/>
                      <w:szCs w:val="21"/>
                    </w:rPr>
                    <w:t>1</w:t>
                  </w:r>
                </w:p>
              </w:tc>
              <w:tc>
                <w:tcPr>
                  <w:tcW w:w="1004" w:type="pct"/>
                  <w:tcBorders>
                    <w:tl2br w:val="nil"/>
                    <w:tr2bl w:val="nil"/>
                  </w:tcBorders>
                  <w:vAlign w:val="center"/>
                </w:tcPr>
                <w:p>
                  <w:pPr>
                    <w:jc w:val="center"/>
                    <w:rPr>
                      <w:rFonts w:eastAsia="宋体" w:hint="eastAsia"/>
                      <w:color w:val="auto"/>
                      <w:szCs w:val="21"/>
                      <w:lang w:val="en-US" w:eastAsia="zh-CN"/>
                    </w:rPr>
                  </w:pPr>
                  <w:r>
                    <w:rPr>
                      <w:rFonts w:eastAsia="宋体" w:hint="eastAsia"/>
                      <w:color w:val="auto"/>
                      <w:szCs w:val="21"/>
                      <w:lang w:val="en-US" w:eastAsia="zh-CN"/>
                    </w:rPr>
                    <w:t>茶籽</w:t>
                  </w:r>
                </w:p>
              </w:tc>
              <w:tc>
                <w:tcPr>
                  <w:tcW w:w="724" w:type="pct"/>
                  <w:tcBorders>
                    <w:tl2br w:val="nil"/>
                    <w:tr2bl w:val="nil"/>
                  </w:tcBorders>
                  <w:vAlign w:val="center"/>
                </w:tcPr>
                <w:p>
                  <w:pPr>
                    <w:pStyle w:val="38"/>
                    <w:spacing w:line="240" w:lineRule="auto"/>
                    <w:ind w:firstLineChars="0" w:firstLine="0"/>
                    <w:jc w:val="center"/>
                    <w:rPr>
                      <w:rFonts w:eastAsia="宋体"/>
                      <w:color w:val="auto"/>
                      <w:sz w:val="21"/>
                      <w:szCs w:val="21"/>
                    </w:rPr>
                  </w:pPr>
                  <w:r>
                    <w:rPr>
                      <w:rFonts w:eastAsia="宋体"/>
                      <w:color w:val="auto"/>
                      <w:sz w:val="21"/>
                      <w:szCs w:val="21"/>
                    </w:rPr>
                    <w:t>t/a</w:t>
                  </w:r>
                </w:p>
              </w:tc>
              <w:tc>
                <w:tcPr>
                  <w:tcW w:w="985" w:type="pct"/>
                  <w:tcBorders>
                    <w:tl2br w:val="nil"/>
                    <w:tr2bl w:val="nil"/>
                  </w:tcBorders>
                  <w:vAlign w:val="center"/>
                </w:tcPr>
                <w:p>
                  <w:pPr>
                    <w:pStyle w:val="38"/>
                    <w:spacing w:line="240" w:lineRule="auto"/>
                    <w:ind w:firstLineChars="0" w:firstLine="0"/>
                    <w:jc w:val="center"/>
                    <w:rPr>
                      <w:rFonts w:eastAsia="宋体"/>
                      <w:color w:val="0000FF"/>
                      <w:sz w:val="21"/>
                      <w:szCs w:val="21"/>
                      <w:lang w:val="en-US" w:eastAsia="zh-CN"/>
                    </w:rPr>
                  </w:pPr>
                  <w:r>
                    <w:rPr>
                      <w:rFonts w:eastAsia="宋体" w:hint="eastAsia"/>
                      <w:color w:val="auto"/>
                      <w:sz w:val="21"/>
                      <w:szCs w:val="21"/>
                      <w:lang w:val="en-US" w:eastAsia="zh-CN"/>
                    </w:rPr>
                    <w:t>834</w:t>
                  </w:r>
                </w:p>
              </w:tc>
              <w:tc>
                <w:tcPr>
                  <w:tcW w:w="1718" w:type="pct"/>
                  <w:tcBorders>
                    <w:tl2br w:val="nil"/>
                    <w:tr2bl w:val="nil"/>
                  </w:tcBorders>
                  <w:vAlign w:val="center"/>
                </w:tcPr>
                <w:p>
                  <w:pPr>
                    <w:jc w:val="center"/>
                    <w:rPr>
                      <w:rFonts w:eastAsia="宋体" w:hint="eastAsia"/>
                      <w:color w:val="0000FF"/>
                      <w:szCs w:val="21"/>
                      <w:lang w:eastAsia="zh-CN"/>
                    </w:rPr>
                  </w:pPr>
                  <w:r>
                    <w:rPr>
                      <w:rFonts w:eastAsia="宋体" w:hint="eastAsia"/>
                      <w:color w:val="auto"/>
                      <w:szCs w:val="21"/>
                      <w:lang w:eastAsia="zh-CN"/>
                    </w:rPr>
                    <w:t>来源于本公司茶油种植基地</w:t>
                  </w:r>
                  <w:r>
                    <w:rPr>
                      <w:rFonts w:hint="eastAsia"/>
                      <w:color w:val="auto"/>
                      <w:szCs w:val="21"/>
                      <w:lang w:eastAsia="zh-CN"/>
                    </w:rPr>
                    <w:t>，茶籽出油率约在20</w:t>
                  </w:r>
                  <w:r>
                    <w:rPr>
                      <w:rFonts w:hint="eastAsia"/>
                      <w:color w:val="auto"/>
                      <w:szCs w:val="21"/>
                      <w:lang w:val="en-US" w:eastAsia="zh-CN"/>
                    </w:rPr>
                    <w:t>~25</w:t>
                  </w:r>
                  <w:r>
                    <w:rPr>
                      <w:rFonts w:hint="eastAsia"/>
                      <w:color w:val="auto"/>
                      <w:szCs w:val="21"/>
                      <w:lang w:eastAsia="zh-CN"/>
                    </w:rPr>
                    <w:t>%左右</w:t>
                  </w:r>
                </w:p>
              </w:tc>
            </w:tr>
            <w:tr>
              <w:trPr>
                <w:trHeight w:val="425"/>
              </w:trPr>
              <w:tc>
                <w:tcPr>
                  <w:tcW w:w="567" w:type="pct"/>
                  <w:tcBorders>
                    <w:tl2br w:val="nil"/>
                    <w:tr2bl w:val="nil"/>
                  </w:tcBorders>
                  <w:vAlign w:val="center"/>
                </w:tcPr>
                <w:p>
                  <w:pPr>
                    <w:jc w:val="center"/>
                    <w:rPr>
                      <w:rFonts w:eastAsia="宋体" w:hint="eastAsia"/>
                      <w:color w:val="auto"/>
                      <w:kern w:val="2"/>
                      <w:sz w:val="21"/>
                      <w:szCs w:val="21"/>
                      <w:u w:val="none"/>
                      <w:lang w:val="en-US" w:eastAsia="zh-CN" w:bidi="ar-SA"/>
                    </w:rPr>
                  </w:pPr>
                  <w:r>
                    <w:rPr>
                      <w:rFonts w:hint="eastAsia"/>
                      <w:color w:val="auto"/>
                      <w:sz w:val="21"/>
                      <w:szCs w:val="21"/>
                      <w:u w:val="none"/>
                      <w:lang w:val="en-US" w:eastAsia="zh-CN"/>
                    </w:rPr>
                    <w:t>2</w:t>
                  </w:r>
                </w:p>
              </w:tc>
              <w:tc>
                <w:tcPr>
                  <w:tcW w:w="1004" w:type="pct"/>
                  <w:tcBorders>
                    <w:tl2br w:val="nil"/>
                    <w:tr2bl w:val="nil"/>
                  </w:tcBorders>
                  <w:vAlign w:val="center"/>
                </w:tcPr>
                <w:p>
                  <w:pPr>
                    <w:jc w:val="center"/>
                    <w:rPr>
                      <w:rFonts w:hint="eastAsia"/>
                      <w:color w:val="auto"/>
                      <w:kern w:val="2"/>
                      <w:sz w:val="21"/>
                      <w:szCs w:val="21"/>
                      <w:u w:val="none"/>
                      <w:lang w:val="en-US" w:eastAsia="zh-CN" w:bidi="ar-SA"/>
                    </w:rPr>
                  </w:pPr>
                  <w:r>
                    <w:rPr>
                      <w:rFonts w:hint="eastAsia"/>
                      <w:color w:val="auto"/>
                      <w:kern w:val="2"/>
                      <w:sz w:val="21"/>
                      <w:szCs w:val="21"/>
                      <w:u w:val="none"/>
                      <w:lang w:val="en-US" w:eastAsia="zh-CN" w:bidi="ar-SA"/>
                    </w:rPr>
                    <w:t>活性炭</w:t>
                  </w:r>
                </w:p>
              </w:tc>
              <w:tc>
                <w:tcPr>
                  <w:tcW w:w="724" w:type="pct"/>
                  <w:tcBorders>
                    <w:tl2br w:val="nil"/>
                    <w:tr2bl w:val="nil"/>
                  </w:tcBorders>
                  <w:vAlign w:val="center"/>
                </w:tcPr>
                <w:p>
                  <w:pPr>
                    <w:pStyle w:val="38"/>
                    <w:spacing w:line="240" w:lineRule="auto"/>
                    <w:ind w:firstLineChars="0" w:firstLine="0"/>
                    <w:jc w:val="center"/>
                    <w:rPr>
                      <w:rFonts w:eastAsia="宋体" w:hint="eastAsia"/>
                      <w:color w:val="auto"/>
                      <w:sz w:val="21"/>
                      <w:szCs w:val="21"/>
                      <w:lang w:eastAsia="zh-CN"/>
                    </w:rPr>
                  </w:pPr>
                  <w:r>
                    <w:rPr>
                      <w:rFonts w:eastAsia="宋体" w:hint="eastAsia"/>
                      <w:color w:val="auto"/>
                      <w:sz w:val="21"/>
                      <w:szCs w:val="21"/>
                      <w:lang w:val="en-US" w:eastAsia="zh-CN"/>
                    </w:rPr>
                    <w:t>t</w:t>
                  </w:r>
                </w:p>
              </w:tc>
              <w:tc>
                <w:tcPr>
                  <w:tcW w:w="985" w:type="pct"/>
                  <w:tcBorders>
                    <w:tl2br w:val="nil"/>
                    <w:tr2bl w:val="nil"/>
                  </w:tcBorders>
                  <w:vAlign w:val="center"/>
                </w:tcPr>
                <w:p>
                  <w:pPr>
                    <w:pStyle w:val="38"/>
                    <w:spacing w:line="240" w:lineRule="auto"/>
                    <w:ind w:firstLineChars="0" w:firstLine="0"/>
                    <w:jc w:val="center"/>
                    <w:rPr>
                      <w:rFonts w:eastAsia="宋体"/>
                      <w:color w:val="auto"/>
                      <w:sz w:val="21"/>
                      <w:szCs w:val="21"/>
                      <w:lang w:val="en-US" w:eastAsia="zh-CN"/>
                    </w:rPr>
                  </w:pPr>
                  <w:r>
                    <w:rPr>
                      <w:rFonts w:eastAsia="宋体" w:hint="eastAsia"/>
                      <w:color w:val="auto"/>
                      <w:sz w:val="21"/>
                      <w:szCs w:val="21"/>
                      <w:lang w:val="en-US" w:eastAsia="zh-CN"/>
                    </w:rPr>
                    <w:t>0.4</w:t>
                  </w:r>
                </w:p>
              </w:tc>
              <w:tc>
                <w:tcPr>
                  <w:tcW w:w="1718" w:type="pct"/>
                  <w:tcBorders>
                    <w:tl2br w:val="nil"/>
                    <w:tr2bl w:val="nil"/>
                  </w:tcBorders>
                  <w:vAlign w:val="center"/>
                </w:tcPr>
                <w:p>
                  <w:pPr>
                    <w:jc w:val="center"/>
                    <w:rPr>
                      <w:rFonts w:hint="eastAsia"/>
                      <w:color w:val="auto"/>
                      <w:szCs w:val="21"/>
                      <w:lang w:eastAsia="zh-CN"/>
                    </w:rPr>
                  </w:pPr>
                  <w:r>
                    <w:rPr>
                      <w:rFonts w:hint="eastAsia"/>
                      <w:color w:val="auto"/>
                      <w:szCs w:val="21"/>
                      <w:lang w:val="en-US" w:eastAsia="zh-CN"/>
                    </w:rPr>
                    <w:t>外购</w:t>
                  </w:r>
                </w:p>
              </w:tc>
            </w:tr>
            <w:tr>
              <w:trPr>
                <w:trHeight w:val="454"/>
              </w:trPr>
              <w:tc>
                <w:tcPr>
                  <w:tcW w:w="567" w:type="pct"/>
                  <w:tcBorders>
                    <w:tl2br w:val="nil"/>
                    <w:tr2bl w:val="nil"/>
                  </w:tcBorders>
                  <w:vAlign w:val="center"/>
                </w:tcPr>
                <w:p>
                  <w:pPr>
                    <w:jc w:val="center"/>
                    <w:rPr>
                      <w:rFonts w:eastAsia="宋体" w:hint="eastAsia"/>
                      <w:color w:val="auto"/>
                      <w:kern w:val="2"/>
                      <w:sz w:val="21"/>
                      <w:szCs w:val="21"/>
                      <w:u w:val="none"/>
                      <w:lang w:val="en-US" w:eastAsia="zh-CN" w:bidi="ar-SA"/>
                    </w:rPr>
                  </w:pPr>
                  <w:r>
                    <w:rPr>
                      <w:rFonts w:hint="eastAsia"/>
                      <w:color w:val="auto"/>
                      <w:sz w:val="21"/>
                      <w:szCs w:val="21"/>
                      <w:u w:val="none"/>
                      <w:lang w:val="en-US" w:eastAsia="zh-CN"/>
                    </w:rPr>
                    <w:t>3</w:t>
                  </w:r>
                </w:p>
              </w:tc>
              <w:tc>
                <w:tcPr>
                  <w:tcW w:w="1004" w:type="pct"/>
                  <w:tcBorders>
                    <w:tl2br w:val="nil"/>
                    <w:tr2bl w:val="nil"/>
                  </w:tcBorders>
                  <w:vAlign w:val="center"/>
                </w:tcPr>
                <w:p>
                  <w:pPr>
                    <w:jc w:val="center"/>
                    <w:rPr>
                      <w:rFonts w:eastAsia="宋体" w:hint="eastAsia"/>
                      <w:color w:val="auto"/>
                      <w:kern w:val="2"/>
                      <w:sz w:val="21"/>
                      <w:szCs w:val="21"/>
                      <w:u w:val="none"/>
                      <w:lang w:val="en-US" w:eastAsia="zh-CN" w:bidi="ar-SA"/>
                    </w:rPr>
                  </w:pPr>
                  <w:r>
                    <w:rPr>
                      <w:rFonts w:eastAsia="宋体" w:hint="eastAsia"/>
                      <w:color w:val="auto"/>
                      <w:kern w:val="2"/>
                      <w:sz w:val="21"/>
                      <w:szCs w:val="21"/>
                      <w:u w:val="none"/>
                      <w:lang w:val="en-US" w:eastAsia="zh-CN" w:bidi="ar-SA"/>
                    </w:rPr>
                    <w:t>碱片(NaOH)</w:t>
                  </w:r>
                </w:p>
              </w:tc>
              <w:tc>
                <w:tcPr>
                  <w:tcW w:w="724" w:type="pct"/>
                  <w:tcBorders>
                    <w:tl2br w:val="nil"/>
                    <w:tr2bl w:val="nil"/>
                  </w:tcBorders>
                  <w:vAlign w:val="center"/>
                </w:tcPr>
                <w:p>
                  <w:pPr>
                    <w:pStyle w:val="38"/>
                    <w:spacing w:line="240" w:lineRule="auto"/>
                    <w:ind w:firstLineChars="0" w:firstLine="0"/>
                    <w:jc w:val="center"/>
                    <w:rPr>
                      <w:rFonts w:eastAsia="宋体" w:hint="eastAsia"/>
                      <w:color w:val="auto"/>
                      <w:sz w:val="21"/>
                      <w:szCs w:val="21"/>
                      <w:lang w:eastAsia="zh-CN"/>
                    </w:rPr>
                  </w:pPr>
                  <w:r>
                    <w:rPr>
                      <w:rFonts w:eastAsia="宋体"/>
                      <w:color w:val="auto"/>
                      <w:sz w:val="21"/>
                      <w:szCs w:val="21"/>
                    </w:rPr>
                    <w:t>t/a</w:t>
                  </w:r>
                </w:p>
              </w:tc>
              <w:tc>
                <w:tcPr>
                  <w:tcW w:w="985" w:type="pct"/>
                  <w:tcBorders>
                    <w:tl2br w:val="nil"/>
                    <w:tr2bl w:val="nil"/>
                  </w:tcBorders>
                  <w:vAlign w:val="center"/>
                </w:tcPr>
                <w:p>
                  <w:pPr>
                    <w:pStyle w:val="38"/>
                    <w:spacing w:line="240" w:lineRule="auto"/>
                    <w:ind w:firstLineChars="0" w:firstLine="0"/>
                    <w:jc w:val="center"/>
                    <w:rPr>
                      <w:rFonts w:eastAsia="宋体"/>
                      <w:color w:val="auto"/>
                      <w:sz w:val="21"/>
                      <w:szCs w:val="21"/>
                      <w:lang w:val="en-US" w:eastAsia="zh-CN"/>
                    </w:rPr>
                  </w:pPr>
                  <w:r>
                    <w:rPr>
                      <w:rFonts w:eastAsia="宋体" w:hint="eastAsia"/>
                      <w:color w:val="auto"/>
                      <w:sz w:val="21"/>
                      <w:szCs w:val="21"/>
                      <w:lang w:val="en-US" w:eastAsia="zh-CN"/>
                    </w:rPr>
                    <w:t>1.25</w:t>
                  </w:r>
                </w:p>
              </w:tc>
              <w:tc>
                <w:tcPr>
                  <w:tcW w:w="1718" w:type="pct"/>
                  <w:tcBorders>
                    <w:tl2br w:val="nil"/>
                    <w:tr2bl w:val="nil"/>
                  </w:tcBorders>
                  <w:vAlign w:val="center"/>
                </w:tcPr>
                <w:p>
                  <w:pPr>
                    <w:jc w:val="center"/>
                    <w:rPr>
                      <w:rFonts w:hint="eastAsia"/>
                      <w:color w:val="auto"/>
                      <w:szCs w:val="21"/>
                      <w:lang w:eastAsia="zh-CN"/>
                    </w:rPr>
                  </w:pPr>
                  <w:r>
                    <w:rPr>
                      <w:rFonts w:hint="eastAsia"/>
                      <w:color w:val="auto"/>
                      <w:szCs w:val="21"/>
                      <w:lang w:val="en-US" w:eastAsia="zh-CN"/>
                    </w:rPr>
                    <w:t>外购</w:t>
                  </w:r>
                </w:p>
              </w:tc>
            </w:tr>
            <w:tr>
              <w:trPr>
                <w:trHeight w:val="454"/>
              </w:trPr>
              <w:tc>
                <w:tcPr>
                  <w:tcW w:w="567" w:type="pct"/>
                  <w:tcBorders>
                    <w:tl2br w:val="nil"/>
                    <w:tr2bl w:val="nil"/>
                  </w:tcBorders>
                  <w:vAlign w:val="center"/>
                </w:tcPr>
                <w:p>
                  <w:pPr>
                    <w:jc w:val="center"/>
                    <w:rPr>
                      <w:color w:val="auto"/>
                      <w:sz w:val="21"/>
                      <w:szCs w:val="21"/>
                      <w:u w:val="none"/>
                      <w:lang w:val="en-US" w:eastAsia="zh-CN"/>
                    </w:rPr>
                  </w:pPr>
                  <w:r>
                    <w:rPr>
                      <w:rFonts w:hint="eastAsia"/>
                      <w:color w:val="auto"/>
                      <w:sz w:val="21"/>
                      <w:szCs w:val="21"/>
                      <w:u w:val="none"/>
                      <w:lang w:val="en-US" w:eastAsia="zh-CN"/>
                    </w:rPr>
                    <w:t>4</w:t>
                  </w:r>
                </w:p>
              </w:tc>
              <w:tc>
                <w:tcPr>
                  <w:tcW w:w="1004" w:type="pct"/>
                  <w:tcBorders>
                    <w:tl2br w:val="nil"/>
                    <w:tr2bl w:val="nil"/>
                  </w:tcBorders>
                  <w:vAlign w:val="center"/>
                </w:tcPr>
                <w:p>
                  <w:pPr>
                    <w:jc w:val="center"/>
                    <w:rPr>
                      <w:color w:val="auto"/>
                      <w:sz w:val="21"/>
                      <w:szCs w:val="21"/>
                      <w:u w:val="none"/>
                      <w:lang w:val="en-US" w:eastAsia="zh-CN"/>
                    </w:rPr>
                  </w:pPr>
                  <w:r>
                    <w:rPr>
                      <w:rFonts w:hint="eastAsia"/>
                      <w:color w:val="auto"/>
                      <w:sz w:val="21"/>
                      <w:szCs w:val="21"/>
                      <w:u w:val="none"/>
                      <w:lang w:val="en-US" w:eastAsia="zh-CN"/>
                    </w:rPr>
                    <w:t>导热油</w:t>
                  </w:r>
                </w:p>
              </w:tc>
              <w:tc>
                <w:tcPr>
                  <w:tcW w:w="724"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kern w:val="0"/>
                      <w:sz w:val="21"/>
                      <w:szCs w:val="21"/>
                      <w:lang w:val="en-US" w:eastAsia="zh-CN" w:bidi="ar-SA"/>
                    </w:rPr>
                  </w:pPr>
                  <w:r>
                    <w:rPr>
                      <w:rFonts w:eastAsia="宋体"/>
                      <w:color w:val="auto"/>
                      <w:sz w:val="21"/>
                      <w:szCs w:val="21"/>
                    </w:rPr>
                    <w:t>t/a</w:t>
                  </w:r>
                </w:p>
              </w:tc>
              <w:tc>
                <w:tcPr>
                  <w:tcW w:w="985"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color w:val="auto"/>
                      <w:kern w:val="0"/>
                      <w:sz w:val="21"/>
                      <w:szCs w:val="21"/>
                      <w:lang w:val="en-US" w:eastAsia="zh-CN" w:bidi="ar-SA"/>
                    </w:rPr>
                  </w:pPr>
                  <w:r>
                    <w:rPr>
                      <w:rFonts w:eastAsia="宋体" w:hint="eastAsia"/>
                      <w:color w:val="auto"/>
                      <w:sz w:val="21"/>
                      <w:szCs w:val="21"/>
                      <w:lang w:val="en-US" w:eastAsia="zh-CN"/>
                    </w:rPr>
                    <w:t>0.34</w:t>
                  </w:r>
                </w:p>
              </w:tc>
              <w:tc>
                <w:tcPr>
                  <w:tcW w:w="1718" w:type="pct"/>
                  <w:tcBorders>
                    <w:tl2br w:val="nil"/>
                    <w:tr2bl w:val="nil"/>
                  </w:tcBorders>
                  <w:vAlign w:val="center"/>
                </w:tcPr>
                <w:p>
                  <w:pPr>
                    <w:jc w:val="center"/>
                    <w:rPr>
                      <w:rFonts w:hint="eastAsia"/>
                      <w:color w:val="0000FF"/>
                      <w:szCs w:val="21"/>
                      <w:lang w:eastAsia="zh-CN"/>
                    </w:rPr>
                  </w:pPr>
                  <w:r>
                    <w:rPr>
                      <w:rFonts w:hint="eastAsia"/>
                      <w:color w:val="auto"/>
                      <w:szCs w:val="21"/>
                      <w:lang w:val="en-US" w:eastAsia="zh-CN"/>
                    </w:rPr>
                    <w:t>外购</w:t>
                  </w:r>
                </w:p>
              </w:tc>
            </w:tr>
            <w:tr>
              <w:trPr>
                <w:trHeight w:val="454"/>
              </w:trPr>
              <w:tc>
                <w:tcPr>
                  <w:tcW w:w="567" w:type="pct"/>
                  <w:tcBorders>
                    <w:tl2br w:val="nil"/>
                    <w:tr2bl w:val="nil"/>
                  </w:tcBorders>
                  <w:vAlign w:val="center"/>
                </w:tcPr>
                <w:p>
                  <w:pPr>
                    <w:jc w:val="center"/>
                    <w:rPr>
                      <w:color w:val="auto"/>
                      <w:sz w:val="21"/>
                      <w:szCs w:val="21"/>
                      <w:u w:val="none"/>
                      <w:lang w:val="en-US" w:eastAsia="zh-CN"/>
                    </w:rPr>
                  </w:pPr>
                  <w:r>
                    <w:rPr>
                      <w:rFonts w:hint="eastAsia"/>
                      <w:color w:val="auto"/>
                      <w:sz w:val="21"/>
                      <w:szCs w:val="21"/>
                      <w:u w:val="none"/>
                      <w:lang w:val="en-US" w:eastAsia="zh-CN"/>
                    </w:rPr>
                    <w:t>5</w:t>
                  </w:r>
                </w:p>
              </w:tc>
              <w:tc>
                <w:tcPr>
                  <w:tcW w:w="1004"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eastAsia="zh-CN"/>
                    </w:rPr>
                    <w:t>水</w:t>
                  </w:r>
                </w:p>
              </w:tc>
              <w:tc>
                <w:tcPr>
                  <w:tcW w:w="724"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eastAsia="zh-CN"/>
                    </w:rPr>
                    <w:t>m</w:t>
                  </w:r>
                  <w:r>
                    <w:rPr>
                      <w:rFonts w:ascii="Times New Roman" w:eastAsia="宋体" w:cs="Times New Roman" w:hAnsi="Times New Roman" w:hint="eastAsia"/>
                      <w:color w:val="auto"/>
                      <w:sz w:val="21"/>
                      <w:szCs w:val="21"/>
                      <w:lang w:val="en-US" w:eastAsia="zh-CN"/>
                    </w:rPr>
                    <w:t>³</w:t>
                  </w:r>
                  <w:r>
                    <w:rPr>
                      <w:rFonts w:ascii="Times New Roman" w:eastAsia="宋体" w:cs="Times New Roman" w:hAnsi="Times New Roman" w:hint="eastAsia"/>
                      <w:color w:val="auto"/>
                      <w:sz w:val="21"/>
                      <w:szCs w:val="21"/>
                      <w:lang w:eastAsia="zh-CN"/>
                    </w:rPr>
                    <w:t>/a</w:t>
                  </w:r>
                </w:p>
              </w:tc>
              <w:tc>
                <w:tcPr>
                  <w:tcW w:w="985"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color w:val="auto"/>
                      <w:sz w:val="21"/>
                      <w:szCs w:val="21"/>
                      <w:lang w:val="en-US" w:eastAsia="zh-CN"/>
                    </w:rPr>
                  </w:pPr>
                  <w:r>
                    <w:rPr>
                      <w:rFonts w:eastAsia="宋体" w:cs="Times New Roman" w:hint="eastAsia"/>
                      <w:color w:val="auto"/>
                      <w:sz w:val="21"/>
                      <w:szCs w:val="21"/>
                      <w:lang w:val="en-US" w:eastAsia="zh-CN"/>
                    </w:rPr>
                    <w:t>232.25</w:t>
                  </w:r>
                </w:p>
              </w:tc>
              <w:tc>
                <w:tcPr>
                  <w:tcW w:w="1718"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eastAsia="zh-CN"/>
                    </w:rPr>
                    <w:t>自来水</w:t>
                  </w:r>
                </w:p>
              </w:tc>
            </w:tr>
            <w:tr>
              <w:trPr>
                <w:trHeight w:val="454"/>
              </w:trPr>
              <w:tc>
                <w:tcPr>
                  <w:tcW w:w="567" w:type="pct"/>
                  <w:tcBorders>
                    <w:tl2br w:val="nil"/>
                    <w:tr2bl w:val="nil"/>
                  </w:tcBorders>
                  <w:vAlign w:val="center"/>
                </w:tcPr>
                <w:p>
                  <w:pPr>
                    <w:jc w:val="center"/>
                    <w:rPr>
                      <w:color w:val="auto"/>
                      <w:sz w:val="21"/>
                      <w:szCs w:val="21"/>
                      <w:u w:val="none"/>
                      <w:lang w:val="en-US" w:eastAsia="zh-CN"/>
                    </w:rPr>
                  </w:pPr>
                  <w:r>
                    <w:rPr>
                      <w:rFonts w:hint="eastAsia"/>
                      <w:color w:val="auto"/>
                      <w:sz w:val="21"/>
                      <w:szCs w:val="21"/>
                      <w:u w:val="none"/>
                      <w:lang w:val="en-US" w:eastAsia="zh-CN"/>
                    </w:rPr>
                    <w:t>6</w:t>
                  </w:r>
                </w:p>
              </w:tc>
              <w:tc>
                <w:tcPr>
                  <w:tcW w:w="1004"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1"/>
                      <w:u w:val="none"/>
                      <w:lang w:val="en-US" w:eastAsia="zh-CN" w:bidi="ar-SA"/>
                    </w:rPr>
                  </w:pPr>
                  <w:r>
                    <w:rPr>
                      <w:rFonts w:hint="eastAsia"/>
                      <w:color w:val="auto"/>
                      <w:sz w:val="21"/>
                      <w:szCs w:val="21"/>
                      <w:u w:val="none"/>
                      <w:lang w:eastAsia="zh-CN"/>
                    </w:rPr>
                    <w:t>电</w:t>
                  </w:r>
                </w:p>
              </w:tc>
              <w:tc>
                <w:tcPr>
                  <w:tcW w:w="724"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kern w:val="0"/>
                      <w:sz w:val="21"/>
                      <w:szCs w:val="21"/>
                      <w:lang w:val="en-US" w:eastAsia="zh-CN" w:bidi="ar-SA"/>
                    </w:rPr>
                  </w:pPr>
                  <w:r>
                    <w:rPr>
                      <w:rFonts w:eastAsia="宋体" w:hint="eastAsia"/>
                      <w:color w:val="auto"/>
                      <w:sz w:val="21"/>
                      <w:szCs w:val="21"/>
                      <w:lang w:val="en-US" w:eastAsia="zh-CN"/>
                    </w:rPr>
                    <w:t>kwh</w:t>
                  </w:r>
                  <w:r>
                    <w:rPr>
                      <w:rFonts w:eastAsia="宋体" w:hint="eastAsia"/>
                      <w:color w:val="auto"/>
                      <w:sz w:val="21"/>
                      <w:szCs w:val="21"/>
                    </w:rPr>
                    <w:t>/</w:t>
                  </w:r>
                  <w:r>
                    <w:rPr>
                      <w:rFonts w:eastAsia="宋体" w:hint="eastAsia"/>
                      <w:color w:val="auto"/>
                      <w:sz w:val="21"/>
                      <w:szCs w:val="21"/>
                      <w:lang w:val="en-US" w:eastAsia="zh-CN"/>
                    </w:rPr>
                    <w:t>a</w:t>
                  </w:r>
                </w:p>
              </w:tc>
              <w:tc>
                <w:tcPr>
                  <w:tcW w:w="985" w:type="pct"/>
                  <w:tcBorders>
                    <w:tl2br w:val="nil"/>
                    <w:tr2bl w:val="nil"/>
                  </w:tcBorders>
                  <w:shd w:val="clear" w:color="auto" w:fill="auto"/>
                  <w:vAlign w:val="center"/>
                </w:tcPr>
                <w:p>
                  <w:pPr>
                    <w:pStyle w:val="38"/>
                    <w:spacing w:line="240" w:lineRule="auto"/>
                    <w:ind w:left="0" w:firstLineChars="0" w:firstLine="0"/>
                    <w:jc w:val="center"/>
                    <w:rPr>
                      <w:rFonts w:ascii="Times New Roman" w:eastAsia="宋体" w:cs="Times New Roman" w:hAnsi="Times New Roman" w:hint="eastAsia"/>
                      <w:color w:val="auto"/>
                      <w:kern w:val="0"/>
                      <w:sz w:val="21"/>
                      <w:szCs w:val="21"/>
                      <w:lang w:val="en-US" w:eastAsia="zh-CN" w:bidi="ar-SA"/>
                    </w:rPr>
                  </w:pPr>
                  <w:r>
                    <w:rPr>
                      <w:rFonts w:eastAsia="宋体" w:hint="eastAsia"/>
                      <w:color w:val="auto"/>
                      <w:sz w:val="21"/>
                      <w:szCs w:val="21"/>
                      <w:lang w:val="en-US" w:eastAsia="zh-CN"/>
                    </w:rPr>
                    <w:t>100万</w:t>
                  </w:r>
                </w:p>
              </w:tc>
              <w:tc>
                <w:tcPr>
                  <w:tcW w:w="1718"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lang w:eastAsia="zh-CN"/>
                    </w:rPr>
                    <w:t>电网</w:t>
                  </w:r>
                </w:p>
              </w:tc>
            </w:tr>
          </w:tbl>
          <w:p>
            <w:pPr>
              <w:spacing w:line="360" w:lineRule="auto"/>
              <w:jc w:val="center"/>
              <w:rPr>
                <w:b/>
                <w:color w:val="auto"/>
                <w:szCs w:val="21"/>
                <w:lang w:val="en-GB"/>
              </w:rPr>
            </w:pPr>
            <w:r>
              <w:rPr>
                <w:b/>
                <w:color w:val="auto"/>
                <w:szCs w:val="21"/>
                <w:lang w:val="en-GB"/>
              </w:rPr>
              <w:t>表</w:t>
            </w:r>
            <w:r>
              <w:rPr>
                <w:rFonts w:hint="eastAsia"/>
                <w:b/>
                <w:color w:val="auto"/>
                <w:szCs w:val="21"/>
                <w:lang w:val="en-US" w:eastAsia="zh-CN"/>
              </w:rPr>
              <w:t>2-5</w:t>
            </w:r>
            <w:r>
              <w:rPr>
                <w:b/>
                <w:color w:val="auto"/>
                <w:szCs w:val="21"/>
              </w:rPr>
              <w:t xml:space="preserve"> </w:t>
            </w:r>
            <w:r>
              <w:rPr>
                <w:rFonts w:hint="eastAsia"/>
                <w:b/>
                <w:color w:val="auto"/>
                <w:szCs w:val="21"/>
              </w:rPr>
              <w:t>项目原辅材料理化性质</w:t>
            </w:r>
          </w:p>
          <w:tbl>
            <w:tblPr>
              <w:jc w:val="cente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534"/>
              <w:gridCol w:w="1208"/>
              <w:gridCol w:w="3330"/>
              <w:gridCol w:w="2419"/>
              <w:gridCol w:w="1529"/>
            </w:tblGrid>
            <w:tr>
              <w:tc>
                <w:tcPr>
                  <w:tcW w:w="296" w:type="pct"/>
                  <w:vAlign w:val="center"/>
                </w:tcPr>
                <w:p>
                  <w:pPr>
                    <w:jc w:val="center"/>
                    <w:rPr>
                      <w:rFonts w:ascii="Times New Roman" w:eastAsia="宋体" w:cs="Times New Roman" w:hAnsi="Times New Roman" w:hint="eastAsia"/>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序号</w:t>
                  </w:r>
                </w:p>
              </w:tc>
              <w:tc>
                <w:tcPr>
                  <w:tcW w:w="669" w:type="pct"/>
                  <w:vAlign w:val="center"/>
                </w:tcPr>
                <w:p>
                  <w:pPr>
                    <w:jc w:val="center"/>
                    <w:rPr>
                      <w:rFonts w:ascii="Times New Roman" w:eastAsia="宋体" w:cs="Times New Roman" w:hAnsi="Times New Roman" w:hint="eastAsia"/>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名称</w:t>
                  </w:r>
                </w:p>
              </w:tc>
              <w:tc>
                <w:tcPr>
                  <w:tcW w:w="1845" w:type="pct"/>
                  <w:vAlign w:val="center"/>
                </w:tcPr>
                <w:p>
                  <w:pPr>
                    <w:jc w:val="center"/>
                    <w:rPr>
                      <w:rFonts w:ascii="Times New Roman" w:eastAsia="宋体" w:cs="Times New Roman" w:hAnsi="Times New Roman" w:hint="eastAsia"/>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理化性质</w:t>
                  </w:r>
                </w:p>
              </w:tc>
              <w:tc>
                <w:tcPr>
                  <w:tcW w:w="1340" w:type="pct"/>
                  <w:vAlign w:val="center"/>
                </w:tcPr>
                <w:p>
                  <w:pPr>
                    <w:jc w:val="center"/>
                    <w:rPr>
                      <w:rFonts w:ascii="Times New Roman" w:eastAsia="宋体" w:cs="Times New Roman" w:hAnsi="Times New Roman" w:hint="eastAsia"/>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危险特性</w:t>
                  </w:r>
                </w:p>
              </w:tc>
              <w:tc>
                <w:tcPr>
                  <w:tcW w:w="847" w:type="pct"/>
                  <w:vAlign w:val="center"/>
                </w:tcPr>
                <w:p>
                  <w:pPr>
                    <w:jc w:val="center"/>
                    <w:rPr>
                      <w:rFonts w:ascii="Times New Roman" w:eastAsia="宋体" w:cs="Times New Roman" w:hAnsi="Times New Roman" w:hint="eastAsia"/>
                      <w:b/>
                      <w:bCs/>
                      <w:color w:val="auto"/>
                      <w:sz w:val="21"/>
                      <w:szCs w:val="21"/>
                      <w:u w:val="none"/>
                      <w:lang w:val="en-US" w:eastAsia="zh-CN"/>
                    </w:rPr>
                  </w:pPr>
                  <w:r>
                    <w:rPr>
                      <w:rFonts w:ascii="Times New Roman" w:eastAsia="宋体" w:cs="Times New Roman" w:hAnsi="Times New Roman" w:hint="eastAsia"/>
                      <w:b/>
                      <w:bCs/>
                      <w:color w:val="auto"/>
                      <w:sz w:val="21"/>
                      <w:szCs w:val="21"/>
                      <w:u w:val="none"/>
                      <w:lang w:val="en-US" w:eastAsia="zh-CN"/>
                    </w:rPr>
                    <w:t>毒理特性</w:t>
                  </w:r>
                </w:p>
              </w:tc>
            </w:tr>
            <w:tr>
              <w:tc>
                <w:tcPr>
                  <w:tcW w:w="296"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1</w:t>
                  </w:r>
                </w:p>
              </w:tc>
              <w:tc>
                <w:tcPr>
                  <w:tcW w:w="669"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碱片(NaOH)</w:t>
                  </w:r>
                </w:p>
              </w:tc>
              <w:tc>
                <w:tcPr>
                  <w:tcW w:w="1845"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白色不透明固体，易潮解，溶于水、乙醇、甘油、不溶于丙酮，熔点318.4℃，沸点1390℃，相对密度(水=1)2.12，饱和蒸汽压0.13kpa(739℃)</w:t>
                  </w:r>
                </w:p>
              </w:tc>
              <w:tc>
                <w:tcPr>
                  <w:tcW w:w="1340"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与酸发生中和反应并放热，遇潮时对铝、锌和锡有腐蚀性，并放出易燃易爆的氢气，遇水和水蒸气大量放热，形成腐蚀性溶液</w:t>
                  </w:r>
                </w:p>
              </w:tc>
              <w:tc>
                <w:tcPr>
                  <w:tcW w:w="847"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有强烈刺激性和腐蚀性</w:t>
                  </w:r>
                </w:p>
              </w:tc>
            </w:tr>
            <w:tr>
              <w:tc>
                <w:tcPr>
                  <w:tcW w:w="296"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2</w:t>
                  </w:r>
                </w:p>
              </w:tc>
              <w:tc>
                <w:tcPr>
                  <w:tcW w:w="669"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导热油</w:t>
                  </w:r>
                </w:p>
              </w:tc>
              <w:tc>
                <w:tcPr>
                  <w:tcW w:w="1845"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烷基联苯型导热油这一类型的导热油为联苯基环上连接烷基支链一类的化合物。它是由短链的烷基（乙基、异丙基）与联苯环相结合构成，烷基的种类和数量决定其性质。烷烃基数量越多，其热稳定性越差。具有抗热裂化和化学氧化的性能，传热效率好，散热快，热稳定性很好。导热油作为工业油传热介质具有以下特点：在常压的条件下，可以获得很高的操作温度。即可以大大降低高温加热系统的操作压力和安全要求，提高了系统和设备的可靠性；可以在更宽的温度范围内满足不同温度加热、冷却的工艺需求，或在同一个系统中用同一种导热油同时实现高温加热和低温冷却的工艺要求</w:t>
                  </w:r>
                </w:p>
              </w:tc>
              <w:tc>
                <w:tcPr>
                  <w:tcW w:w="1340"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未被评为可燃物，但会燃烧</w:t>
                  </w:r>
                </w:p>
              </w:tc>
              <w:tc>
                <w:tcPr>
                  <w:tcW w:w="847" w:type="pct"/>
                  <w:vAlign w:val="center"/>
                </w:tcPr>
                <w:p>
                  <w:pPr>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b/>
                <w:color w:val="auto"/>
                <w:sz w:val="24"/>
              </w:rPr>
            </w:pPr>
            <w:r>
              <w:rPr>
                <w:b/>
                <w:bCs/>
                <w:color w:val="auto"/>
                <w:sz w:val="24"/>
              </w:rPr>
              <w:t>6、</w:t>
            </w:r>
            <w:r>
              <w:rPr>
                <w:b/>
                <w:bCs/>
                <w:color w:val="auto"/>
                <w:sz w:val="24"/>
                <w:lang w:val="en-GB"/>
              </w:rPr>
              <w:t>劳</w:t>
            </w:r>
            <w:r>
              <w:rPr>
                <w:b/>
                <w:color w:val="auto"/>
                <w:sz w:val="24"/>
                <w:lang w:val="en-GB"/>
              </w:rPr>
              <w:t>动定员及工作制度</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outlineLvl w:val="0"/>
              <w:rPr>
                <w:rFonts w:ascii="Times New Roman" w:hAnsi="Times New Roman"/>
                <w:color w:val="auto"/>
                <w:kern w:val="2"/>
                <w:sz w:val="24"/>
                <w:szCs w:val="24"/>
                <w:lang w:val="en-US" w:eastAsia="zh-CN"/>
              </w:rPr>
            </w:pPr>
            <w:bookmarkStart w:id="12" w:name="_Toc7291"/>
            <w:r>
              <w:rPr>
                <w:rFonts w:ascii="Times New Roman" w:hAnsi="Times New Roman"/>
                <w:color w:val="auto"/>
                <w:kern w:val="2"/>
                <w:sz w:val="24"/>
                <w:szCs w:val="24"/>
                <w:lang w:val="en-US" w:eastAsia="zh-CN"/>
              </w:rPr>
              <w:t>本项目员工定员</w:t>
            </w:r>
            <w:r>
              <w:rPr>
                <w:rFonts w:ascii="Times New Roman" w:hAnsi="Times New Roman" w:hint="eastAsia"/>
                <w:color w:val="auto"/>
                <w:kern w:val="2"/>
                <w:sz w:val="24"/>
                <w:szCs w:val="24"/>
                <w:lang w:val="en-US" w:eastAsia="zh-CN"/>
              </w:rPr>
              <w:t>1</w:t>
            </w:r>
            <w:r>
              <w:rPr>
                <w:rFonts w:hint="eastAsia"/>
                <w:color w:val="auto"/>
                <w:kern w:val="2"/>
                <w:sz w:val="24"/>
                <w:szCs w:val="24"/>
                <w:lang w:val="en-US" w:eastAsia="zh-CN"/>
              </w:rPr>
              <w:t>0</w:t>
            </w:r>
            <w:r>
              <w:rPr>
                <w:rFonts w:ascii="Times New Roman" w:hAnsi="Times New Roman"/>
                <w:color w:val="auto"/>
                <w:kern w:val="2"/>
                <w:sz w:val="24"/>
                <w:szCs w:val="24"/>
                <w:lang w:val="en-US" w:eastAsia="zh-CN"/>
              </w:rPr>
              <w:t>人，</w:t>
            </w:r>
            <w:r>
              <w:rPr>
                <w:rFonts w:ascii="Times New Roman" w:hAnsi="Times New Roman" w:hint="eastAsia"/>
                <w:color w:val="auto"/>
                <w:kern w:val="2"/>
                <w:sz w:val="24"/>
                <w:szCs w:val="24"/>
                <w:lang w:val="en-US" w:eastAsia="zh-CN"/>
              </w:rPr>
              <w:t>厂区</w:t>
            </w:r>
            <w:r>
              <w:rPr>
                <w:rFonts w:hint="eastAsia"/>
                <w:color w:val="auto"/>
                <w:kern w:val="2"/>
                <w:sz w:val="24"/>
                <w:szCs w:val="24"/>
                <w:lang w:val="en-US" w:eastAsia="zh-CN"/>
              </w:rPr>
              <w:t>提供食</w:t>
            </w:r>
            <w:r>
              <w:rPr>
                <w:rFonts w:ascii="Times New Roman" w:hAnsi="Times New Roman" w:hint="eastAsia"/>
                <w:color w:val="auto"/>
                <w:kern w:val="2"/>
                <w:sz w:val="24"/>
                <w:szCs w:val="24"/>
                <w:lang w:val="en-US" w:eastAsia="zh-CN"/>
              </w:rPr>
              <w:t>宿</w:t>
            </w:r>
            <w:r>
              <w:rPr>
                <w:rFonts w:ascii="Times New Roman" w:hAnsi="Times New Roman"/>
                <w:color w:val="auto"/>
                <w:kern w:val="2"/>
                <w:sz w:val="24"/>
                <w:szCs w:val="24"/>
                <w:lang w:val="en-US" w:eastAsia="zh-CN"/>
              </w:rPr>
              <w:t>。每天8h制，年工作时间</w:t>
            </w:r>
            <w:r>
              <w:rPr>
                <w:rFonts w:hint="eastAsia"/>
                <w:color w:val="auto"/>
                <w:kern w:val="2"/>
                <w:sz w:val="24"/>
                <w:szCs w:val="24"/>
                <w:lang w:val="en-US" w:eastAsia="zh-CN"/>
              </w:rPr>
              <w:t>10</w:t>
            </w:r>
            <w:r>
              <w:rPr>
                <w:rFonts w:ascii="Times New Roman" w:hAnsi="Times New Roman" w:hint="eastAsia"/>
                <w:color w:val="auto"/>
                <w:kern w:val="2"/>
                <w:sz w:val="24"/>
                <w:szCs w:val="24"/>
                <w:lang w:val="en-US" w:eastAsia="zh-CN"/>
              </w:rPr>
              <w:t>0</w:t>
            </w:r>
            <w:r>
              <w:rPr>
                <w:rFonts w:ascii="Times New Roman" w:hAnsi="Times New Roman"/>
                <w:color w:val="auto"/>
                <w:kern w:val="2"/>
                <w:sz w:val="24"/>
                <w:szCs w:val="24"/>
                <w:lang w:val="en-US" w:eastAsia="zh-CN"/>
              </w:rPr>
              <w:t>天。</w:t>
            </w:r>
            <w:bookmarkEnd w:id="12"/>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outlineLvl w:val="0"/>
              <w:rPr>
                <w:rFonts w:ascii="Times New Roman" w:cs="Times New Roman" w:hAnsi="Times New Roman" w:hint="eastAsia"/>
                <w:bCs/>
                <w:color w:val="auto"/>
                <w:kern w:val="2"/>
                <w:u w:val="none"/>
              </w:rPr>
            </w:pPr>
            <w:bookmarkStart w:id="13" w:name="_Toc16191"/>
            <w:r>
              <w:rPr>
                <w:b/>
                <w:color w:val="auto"/>
                <w:sz w:val="24"/>
              </w:rPr>
              <w:t>7</w:t>
            </w:r>
            <w:r>
              <w:rPr>
                <w:b/>
                <w:color w:val="auto"/>
                <w:sz w:val="24"/>
                <w:lang w:val="en-GB"/>
              </w:rPr>
              <w:t>、水平衡</w:t>
            </w:r>
            <w:bookmarkEnd w:id="13"/>
          </w:p>
          <w:p>
            <w:pPr>
              <w:pStyle w:val="39"/>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360" w:lineRule="auto"/>
              <w:ind w:firstLineChars="200" w:firstLine="480"/>
              <w:jc w:val="both"/>
              <w:textAlignment w:val="auto"/>
              <w:rPr>
                <w:rFonts w:ascii="Times New Roman" w:cs="Times New Roman" w:hAnsi="Times New Roman" w:hint="eastAsia"/>
                <w:color w:val="auto"/>
                <w:szCs w:val="24"/>
              </w:rPr>
            </w:pPr>
            <w:r>
              <w:rPr>
                <w:rFonts w:ascii="Times New Roman" w:cs="Times New Roman" w:hAnsi="Times New Roman" w:hint="eastAsia"/>
                <w:color w:val="auto"/>
                <w:szCs w:val="24"/>
              </w:rPr>
              <w:t>本项目生活用水</w:t>
            </w:r>
            <w:r>
              <w:rPr>
                <w:rFonts w:ascii="Times New Roman" w:cs="Times New Roman" w:hAnsi="Times New Roman" w:hint="eastAsia"/>
                <w:color w:val="auto"/>
                <w:szCs w:val="24"/>
                <w:lang w:eastAsia="zh-CN"/>
              </w:rPr>
              <w:t>为员工生活用水</w:t>
            </w:r>
            <w:r>
              <w:rPr>
                <w:rFonts w:ascii="Times New Roman" w:cs="Times New Roman" w:hAnsi="Times New Roman" w:hint="eastAsia"/>
                <w:color w:val="auto"/>
                <w:szCs w:val="24"/>
              </w:rPr>
              <w:t>。本项目生产用水主要为设备清洗用水、地面清洗用水、循环冷却用水。</w:t>
            </w:r>
          </w:p>
          <w:p>
            <w:pPr>
              <w:pStyle w:val="39"/>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360" w:lineRule="auto"/>
              <w:ind w:firstLineChars="200" w:firstLine="480"/>
              <w:jc w:val="both"/>
              <w:textAlignment w:val="auto"/>
              <w:rPr>
                <w:rFonts w:ascii="Times New Roman" w:cs="Times New Roman" w:hAnsi="Times New Roman" w:hint="eastAsia"/>
                <w:color w:val="auto"/>
                <w:szCs w:val="24"/>
              </w:rPr>
            </w:pPr>
            <w:r>
              <w:rPr>
                <w:rFonts w:ascii="Times New Roman" w:cs="Times New Roman" w:hAnsi="Times New Roman" w:hint="eastAsia"/>
                <w:color w:val="auto"/>
                <w:szCs w:val="24"/>
                <w:lang w:eastAsia="zh-CN"/>
              </w:rPr>
              <w:t>（</w:t>
            </w:r>
            <w:r>
              <w:rPr>
                <w:rFonts w:ascii="Times New Roman" w:cs="Times New Roman" w:hAnsi="Times New Roman" w:hint="eastAsia"/>
                <w:color w:val="auto"/>
                <w:szCs w:val="24"/>
                <w:lang w:val="en-US" w:eastAsia="zh-CN"/>
              </w:rPr>
              <w:t>1</w:t>
            </w:r>
            <w:r>
              <w:rPr>
                <w:rFonts w:ascii="Times New Roman" w:cs="Times New Roman" w:hAnsi="Times New Roman" w:hint="eastAsia"/>
                <w:color w:val="auto"/>
                <w:szCs w:val="24"/>
                <w:lang w:eastAsia="zh-CN"/>
              </w:rPr>
              <w:t>）</w:t>
            </w:r>
            <w:r>
              <w:rPr>
                <w:rFonts w:ascii="Times New Roman" w:cs="Times New Roman" w:hAnsi="Times New Roman" w:hint="eastAsia"/>
                <w:color w:val="auto"/>
                <w:szCs w:val="24"/>
              </w:rPr>
              <w:t>生活用水</w:t>
            </w:r>
          </w:p>
          <w:p>
            <w:pPr>
              <w:pStyle w:val="39"/>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360" w:lineRule="auto"/>
              <w:ind w:firstLineChars="200" w:firstLine="480"/>
              <w:jc w:val="both"/>
              <w:textAlignment w:val="auto"/>
              <w:rPr>
                <w:rFonts w:ascii="Times New Roman" w:cs="Times New Roman" w:hAnsi="Times New Roman" w:hint="eastAsia"/>
                <w:color w:val="auto"/>
                <w:szCs w:val="24"/>
              </w:rPr>
            </w:pPr>
            <w:r>
              <w:rPr>
                <w:rFonts w:ascii="Times New Roman" w:cs="Times New Roman" w:hAnsi="Times New Roman" w:hint="eastAsia"/>
                <w:color w:val="auto"/>
                <w:szCs w:val="24"/>
              </w:rPr>
              <w:t>本项目劳动定员</w:t>
            </w:r>
            <w:r>
              <w:rPr>
                <w:rFonts w:ascii="Times New Roman" w:cs="Times New Roman" w:hAnsi="Times New Roman" w:hint="eastAsia"/>
                <w:color w:val="auto"/>
                <w:szCs w:val="24"/>
                <w:lang w:val="en-US" w:eastAsia="zh-CN"/>
              </w:rPr>
              <w:t>10</w:t>
            </w:r>
            <w:r>
              <w:rPr>
                <w:rFonts w:ascii="Times New Roman" w:cs="Times New Roman" w:hAnsi="Times New Roman" w:hint="eastAsia"/>
                <w:color w:val="auto"/>
                <w:szCs w:val="24"/>
              </w:rPr>
              <w:t>人，一天工作8小时。根据《</w:t>
            </w:r>
            <w:r>
              <w:rPr>
                <w:rFonts w:ascii="Times New Roman" w:cs="Times New Roman" w:hAnsi="Times New Roman" w:hint="eastAsia"/>
                <w:color w:val="auto"/>
                <w:szCs w:val="24"/>
                <w:lang w:eastAsia="zh-CN"/>
              </w:rPr>
              <w:t>用水定额 第3部分：生活、服务业及建筑业</w:t>
            </w:r>
            <w:r>
              <w:rPr>
                <w:rFonts w:ascii="Times New Roman" w:cs="Times New Roman" w:hAnsi="Times New Roman" w:hint="eastAsia"/>
                <w:color w:val="auto"/>
                <w:szCs w:val="24"/>
              </w:rPr>
              <w:t>》（DB43/T388</w:t>
            </w:r>
            <w:r>
              <w:rPr>
                <w:rFonts w:ascii="Times New Roman" w:cs="Times New Roman" w:hAnsi="Times New Roman" w:hint="eastAsia"/>
                <w:color w:val="auto"/>
                <w:szCs w:val="24"/>
                <w:lang w:val="en-US" w:eastAsia="zh-CN"/>
              </w:rPr>
              <w:t>.3</w:t>
            </w:r>
            <w:r>
              <w:rPr>
                <w:rFonts w:ascii="Times New Roman" w:cs="Times New Roman" w:hAnsi="Times New Roman" w:hint="eastAsia"/>
                <w:color w:val="auto"/>
                <w:szCs w:val="24"/>
              </w:rPr>
              <w:t>-20</w:t>
            </w:r>
            <w:r>
              <w:rPr>
                <w:rFonts w:ascii="Times New Roman" w:cs="Times New Roman" w:hAnsi="Times New Roman" w:hint="eastAsia"/>
                <w:color w:val="auto"/>
                <w:szCs w:val="24"/>
                <w:lang w:val="en-US" w:eastAsia="zh-CN"/>
              </w:rPr>
              <w:t>25</w:t>
            </w:r>
            <w:r>
              <w:rPr>
                <w:rFonts w:ascii="Times New Roman" w:cs="Times New Roman" w:hAnsi="Times New Roman" w:hint="eastAsia"/>
                <w:color w:val="auto"/>
                <w:szCs w:val="24"/>
              </w:rPr>
              <w:t>），员工生活用水量取</w:t>
            </w:r>
            <w:r>
              <w:rPr>
                <w:rFonts w:ascii="Times New Roman" w:cs="Times New Roman" w:hAnsi="Times New Roman" w:hint="eastAsia"/>
                <w:color w:val="auto"/>
                <w:szCs w:val="24"/>
                <w:lang w:val="en-US" w:eastAsia="zh-CN"/>
              </w:rPr>
              <w:t>120</w:t>
            </w:r>
            <w:r>
              <w:rPr>
                <w:rFonts w:ascii="Times New Roman" w:cs="Times New Roman" w:hAnsi="Times New Roman" w:hint="eastAsia"/>
                <w:color w:val="auto"/>
                <w:szCs w:val="24"/>
              </w:rPr>
              <w:t>L/（人·d）计算，则生活用水量为</w:t>
            </w:r>
            <w:r>
              <w:rPr>
                <w:rFonts w:ascii="Times New Roman" w:cs="Times New Roman" w:hAnsi="Times New Roman" w:hint="eastAsia"/>
                <w:color w:val="auto"/>
                <w:szCs w:val="24"/>
                <w:lang w:val="en-US" w:eastAsia="zh-CN"/>
              </w:rPr>
              <w:t>1.2</w:t>
            </w:r>
            <w:r>
              <w:rPr>
                <w:rFonts w:ascii="Times New Roman" w:cs="Times New Roman" w:hAnsi="Times New Roman" w:hint="eastAsia"/>
                <w:color w:val="auto"/>
                <w:szCs w:val="24"/>
              </w:rPr>
              <w:t>m</w:t>
            </w:r>
            <w:r>
              <w:rPr>
                <w:rFonts w:ascii="Times New Roman" w:cs="Times New Roman" w:hAnsi="Times New Roman" w:hint="eastAsia"/>
                <w:color w:val="auto"/>
                <w:szCs w:val="24"/>
                <w:vertAlign w:val="superscript"/>
              </w:rPr>
              <w:t>3</w:t>
            </w:r>
            <w:r>
              <w:rPr>
                <w:rFonts w:ascii="Times New Roman" w:cs="Times New Roman" w:hAnsi="Times New Roman" w:hint="eastAsia"/>
                <w:color w:val="auto"/>
                <w:szCs w:val="24"/>
              </w:rPr>
              <w:t>/d，</w:t>
            </w:r>
            <w:r>
              <w:rPr>
                <w:rFonts w:ascii="Times New Roman" w:cs="Times New Roman" w:hAnsi="Times New Roman" w:hint="eastAsia"/>
                <w:color w:val="auto"/>
                <w:szCs w:val="24"/>
                <w:lang w:val="en-US" w:eastAsia="zh-CN"/>
              </w:rPr>
              <w:t>120</w:t>
            </w:r>
            <w:r>
              <w:rPr>
                <w:rFonts w:ascii="Times New Roman" w:cs="Times New Roman" w:hAnsi="Times New Roman" w:hint="eastAsia"/>
                <w:color w:val="auto"/>
                <w:szCs w:val="24"/>
              </w:rPr>
              <w:t>m</w:t>
            </w:r>
            <w:r>
              <w:rPr>
                <w:rFonts w:ascii="Times New Roman" w:cs="Times New Roman" w:hAnsi="Times New Roman" w:hint="eastAsia"/>
                <w:color w:val="auto"/>
                <w:szCs w:val="24"/>
                <w:vertAlign w:val="superscript"/>
              </w:rPr>
              <w:t>3</w:t>
            </w:r>
            <w:r>
              <w:rPr>
                <w:rFonts w:ascii="Times New Roman" w:cs="Times New Roman" w:hAnsi="Times New Roman" w:hint="eastAsia"/>
                <w:color w:val="auto"/>
                <w:szCs w:val="24"/>
              </w:rPr>
              <w:t>/a。生活污水产污系数按0.8计，则生活污水产生量为</w:t>
            </w:r>
            <w:r>
              <w:rPr>
                <w:rFonts w:ascii="Times New Roman" w:cs="Times New Roman" w:hAnsi="Times New Roman" w:hint="eastAsia"/>
                <w:color w:val="auto"/>
                <w:szCs w:val="24"/>
                <w:lang w:val="en-US" w:eastAsia="zh-CN"/>
              </w:rPr>
              <w:t>0.96</w:t>
            </w:r>
            <w:r>
              <w:rPr>
                <w:rFonts w:ascii="Times New Roman" w:cs="Times New Roman" w:hAnsi="Times New Roman" w:hint="eastAsia"/>
                <w:color w:val="auto"/>
                <w:szCs w:val="24"/>
              </w:rPr>
              <w:t>m</w:t>
            </w:r>
            <w:r>
              <w:rPr>
                <w:rFonts w:ascii="Times New Roman" w:cs="Times New Roman" w:hAnsi="Times New Roman" w:hint="eastAsia"/>
                <w:color w:val="auto"/>
                <w:szCs w:val="24"/>
                <w:vertAlign w:val="superscript"/>
              </w:rPr>
              <w:t>3</w:t>
            </w:r>
            <w:r>
              <w:rPr>
                <w:rFonts w:ascii="Times New Roman" w:cs="Times New Roman" w:hAnsi="Times New Roman" w:hint="eastAsia"/>
                <w:color w:val="auto"/>
                <w:szCs w:val="24"/>
              </w:rPr>
              <w:t>/d，</w:t>
            </w:r>
            <w:r>
              <w:rPr>
                <w:rFonts w:ascii="Times New Roman" w:cs="Times New Roman" w:hAnsi="Times New Roman" w:hint="eastAsia"/>
                <w:color w:val="auto"/>
                <w:szCs w:val="24"/>
                <w:lang w:val="en-US" w:eastAsia="zh-CN"/>
              </w:rPr>
              <w:t>96</w:t>
            </w:r>
            <w:r>
              <w:rPr>
                <w:rFonts w:ascii="Times New Roman" w:cs="Times New Roman" w:hAnsi="Times New Roman" w:hint="eastAsia"/>
                <w:color w:val="auto"/>
                <w:szCs w:val="24"/>
              </w:rPr>
              <w:t>t/a。</w:t>
            </w:r>
          </w:p>
          <w:p>
            <w:pPr>
              <w:pStyle w:val="39"/>
              <w:keepNext w:val="0"/>
              <w:keepLines w:val="0"/>
              <w:pageBreakBefore w:val="0"/>
              <w:shd w:val="clear" w:color="auto" w:fill="auto"/>
              <w:kinsoku/>
              <w:wordWrap/>
              <w:overflowPunct/>
              <w:topLinePunct w:val="0"/>
              <w:autoSpaceDE/>
              <w:autoSpaceDN/>
              <w:bidi w:val="0"/>
              <w:spacing w:before="0" w:beforeAutospacing="0" w:after="0" w:afterAutospacing="0" w:line="360" w:lineRule="auto"/>
              <w:ind w:firstLineChars="200" w:firstLine="480"/>
              <w:jc w:val="both"/>
              <w:textAlignment w:val="auto"/>
              <w:rPr>
                <w:rFonts w:ascii="Times New Roman" w:cs="Times New Roman" w:hAnsi="Times New Roman" w:hint="eastAsia"/>
                <w:color w:val="auto"/>
                <w:szCs w:val="24"/>
              </w:rPr>
            </w:pPr>
            <w:r>
              <w:rPr>
                <w:rFonts w:ascii="Times New Roman" w:cs="Times New Roman" w:hAnsi="Times New Roman" w:hint="eastAsia"/>
                <w:color w:val="auto"/>
                <w:szCs w:val="24"/>
                <w:lang w:eastAsia="zh-CN"/>
              </w:rPr>
              <w:t>（</w:t>
            </w:r>
            <w:r>
              <w:rPr>
                <w:rFonts w:ascii="Times New Roman" w:cs="Times New Roman" w:hAnsi="Times New Roman" w:hint="eastAsia"/>
                <w:color w:val="auto"/>
                <w:szCs w:val="24"/>
                <w:lang w:val="en-US" w:eastAsia="zh-CN"/>
              </w:rPr>
              <w:t>2</w:t>
            </w:r>
            <w:r>
              <w:rPr>
                <w:rFonts w:ascii="Times New Roman" w:cs="Times New Roman" w:hAnsi="Times New Roman" w:hint="eastAsia"/>
                <w:color w:val="auto"/>
                <w:szCs w:val="24"/>
                <w:lang w:eastAsia="zh-CN"/>
              </w:rPr>
              <w:t>）</w:t>
            </w:r>
            <w:r>
              <w:rPr>
                <w:rFonts w:ascii="Times New Roman" w:cs="Times New Roman" w:hAnsi="Times New Roman" w:hint="eastAsia"/>
                <w:color w:val="auto"/>
                <w:szCs w:val="24"/>
              </w:rPr>
              <w:t>生产用水</w:t>
            </w:r>
          </w:p>
          <w:p>
            <w:pPr>
              <w:pStyle w:val="50"/>
              <w:rPr>
                <w:rFonts w:ascii="Times New Roman" w:cs="Times New Roman" w:hAnsi="Times New Roman" w:hint="eastAsia"/>
                <w:bCs/>
                <w:color w:val="0000FF"/>
                <w:kern w:val="2"/>
                <w:u w:val="single"/>
              </w:rPr>
            </w:pPr>
            <w:r>
              <w:rPr>
                <w:rFonts w:ascii="Times New Roman" w:cs="Times New Roman" w:hAnsi="Times New Roman" w:hint="eastAsia"/>
                <w:b/>
                <w:bCs w:val="0"/>
                <w:color w:val="auto"/>
                <w:kern w:val="2"/>
                <w:u w:val="single"/>
                <w:lang w:val="en-US" w:eastAsia="zh-CN"/>
              </w:rPr>
              <w:t>地面拖洗</w:t>
            </w:r>
            <w:r>
              <w:rPr>
                <w:rFonts w:ascii="Times New Roman" w:cs="Times New Roman" w:hAnsi="Times New Roman" w:hint="eastAsia"/>
                <w:b/>
                <w:bCs w:val="0"/>
                <w:color w:val="auto"/>
                <w:kern w:val="2"/>
                <w:u w:val="single"/>
                <w:lang w:eastAsia="zh-CN"/>
              </w:rPr>
              <w:t>用水：</w:t>
            </w:r>
            <w:r>
              <w:rPr>
                <w:rFonts w:cs="Times New Roman" w:hint="eastAsia"/>
                <w:b w:val="0"/>
                <w:bCs/>
                <w:color w:val="auto"/>
                <w:kern w:val="2"/>
                <w:u w:val="single"/>
                <w:lang w:val="en-US" w:eastAsia="zh-CN"/>
              </w:rPr>
              <w:t>类比同类《年产5000吨茶油精深加工项目》，</w:t>
            </w:r>
            <w:r>
              <w:rPr>
                <w:rFonts w:ascii="Times New Roman" w:cs="Times New Roman" w:hAnsi="Times New Roman"/>
                <w:b w:val="0"/>
                <w:bCs w:val="0"/>
                <w:color w:val="auto"/>
                <w:sz w:val="24"/>
                <w:szCs w:val="24"/>
                <w:u w:val="single"/>
                <w:lang w:eastAsia="zh-CN"/>
              </w:rPr>
              <w:t>本项目地面清洗废水按</w:t>
            </w:r>
            <w:r>
              <w:rPr>
                <w:rFonts w:ascii="Times New Roman" w:cs="Times New Roman" w:hAnsi="Times New Roman"/>
                <w:b w:val="0"/>
                <w:bCs w:val="0"/>
                <w:color w:val="auto"/>
                <w:sz w:val="24"/>
                <w:szCs w:val="24"/>
                <w:u w:val="single"/>
                <w:lang w:val="en-US" w:eastAsia="zh-CN"/>
              </w:rPr>
              <w:t>2L/m</w:t>
            </w:r>
            <w:r>
              <w:rPr>
                <w:rFonts w:ascii="Times New Roman" w:cs="Times New Roman" w:hAnsi="Times New Roman"/>
                <w:b w:val="0"/>
                <w:bCs w:val="0"/>
                <w:color w:val="auto"/>
                <w:sz w:val="24"/>
                <w:szCs w:val="24"/>
                <w:u w:val="single"/>
                <w:vertAlign w:val="superscript"/>
                <w:lang w:val="en-US" w:eastAsia="zh-CN"/>
              </w:rPr>
              <w:t>2</w:t>
            </w:r>
            <w:r>
              <w:rPr>
                <w:rFonts w:ascii="Times New Roman" w:cs="Times New Roman" w:hAnsi="Times New Roman"/>
                <w:b w:val="0"/>
                <w:bCs w:val="0"/>
                <w:color w:val="auto"/>
                <w:sz w:val="24"/>
                <w:szCs w:val="24"/>
                <w:u w:val="single"/>
                <w:lang w:val="en-US" w:eastAsia="zh-CN"/>
              </w:rPr>
              <w:t>·</w:t>
            </w:r>
            <w:r>
              <w:rPr>
                <w:rFonts w:ascii="Times New Roman" w:cs="Times New Roman" w:hAnsi="Times New Roman"/>
                <w:b w:val="0"/>
                <w:bCs w:val="0"/>
                <w:color w:val="auto"/>
                <w:sz w:val="24"/>
                <w:szCs w:val="24"/>
                <w:u w:val="single"/>
                <w:lang w:eastAsia="zh-CN"/>
              </w:rPr>
              <w:t>次计算，</w:t>
            </w:r>
            <w:r>
              <w:rPr>
                <w:rFonts w:cs="Times New Roman" w:hint="eastAsia"/>
                <w:b w:val="0"/>
                <w:bCs w:val="0"/>
                <w:color w:val="auto"/>
                <w:sz w:val="24"/>
                <w:szCs w:val="24"/>
                <w:u w:val="single"/>
                <w:lang w:val="en-US" w:eastAsia="zh-CN"/>
              </w:rPr>
              <w:t>拖洗次数约3次</w:t>
            </w:r>
            <w:r>
              <w:rPr>
                <w:rFonts w:ascii="Times New Roman" w:cs="Times New Roman" w:hAnsi="Times New Roman"/>
                <w:b w:val="0"/>
                <w:bCs w:val="0"/>
                <w:color w:val="auto"/>
                <w:sz w:val="24"/>
                <w:szCs w:val="24"/>
                <w:u w:val="single"/>
                <w:lang w:val="en-US" w:eastAsia="zh-CN"/>
              </w:rPr>
              <w:t>，</w:t>
            </w:r>
            <w:r>
              <w:rPr>
                <w:rFonts w:ascii="Times New Roman" w:cs="Times New Roman" w:hAnsi="Times New Roman" w:hint="eastAsia"/>
                <w:b w:val="0"/>
                <w:bCs w:val="0"/>
                <w:color w:val="auto"/>
                <w:sz w:val="24"/>
                <w:szCs w:val="24"/>
                <w:u w:val="single"/>
                <w:lang w:val="en-US" w:eastAsia="zh-CN"/>
              </w:rPr>
              <w:t>本</w:t>
            </w:r>
            <w:r>
              <w:rPr>
                <w:rFonts w:ascii="Times New Roman" w:cs="Times New Roman" w:hAnsi="Times New Roman"/>
                <w:b w:val="0"/>
                <w:bCs w:val="0"/>
                <w:color w:val="auto"/>
                <w:sz w:val="24"/>
                <w:szCs w:val="24"/>
                <w:u w:val="single"/>
                <w:lang w:eastAsia="zh-CN"/>
              </w:rPr>
              <w:t>项目</w:t>
            </w:r>
            <w:r>
              <w:rPr>
                <w:rFonts w:ascii="Times New Roman" w:cs="Times New Roman" w:hAnsi="Times New Roman" w:hint="eastAsia"/>
                <w:b w:val="0"/>
                <w:bCs w:val="0"/>
                <w:color w:val="auto"/>
                <w:sz w:val="24"/>
                <w:szCs w:val="24"/>
                <w:u w:val="single"/>
                <w:lang w:eastAsia="zh-CN"/>
              </w:rPr>
              <w:t>利用车间</w:t>
            </w:r>
            <w:r>
              <w:rPr>
                <w:rFonts w:ascii="Times New Roman" w:cs="Times New Roman" w:hAnsi="Times New Roman" w:hint="eastAsia"/>
                <w:b w:val="0"/>
                <w:bCs w:val="0"/>
                <w:color w:val="auto"/>
                <w:sz w:val="24"/>
                <w:szCs w:val="24"/>
                <w:u w:val="single"/>
                <w:lang w:val="en-US" w:eastAsia="zh-CN"/>
              </w:rPr>
              <w:t>拖洗</w:t>
            </w:r>
            <w:r>
              <w:rPr>
                <w:rFonts w:ascii="Times New Roman" w:cs="Times New Roman" w:hAnsi="Times New Roman"/>
                <w:b w:val="0"/>
                <w:bCs w:val="0"/>
                <w:color w:val="auto"/>
                <w:sz w:val="24"/>
                <w:szCs w:val="24"/>
                <w:u w:val="single"/>
                <w:lang w:eastAsia="zh-CN"/>
              </w:rPr>
              <w:t>面积</w:t>
            </w:r>
            <w:r>
              <w:rPr>
                <w:rFonts w:ascii="Times New Roman" w:cs="Times New Roman" w:hAnsi="Times New Roman" w:hint="eastAsia"/>
                <w:b w:val="0"/>
                <w:bCs w:val="0"/>
                <w:color w:val="auto"/>
                <w:sz w:val="24"/>
                <w:szCs w:val="24"/>
                <w:u w:val="single"/>
                <w:lang w:val="en-US" w:eastAsia="zh-CN"/>
              </w:rPr>
              <w:t>约</w:t>
            </w:r>
            <w:r>
              <w:rPr>
                <w:rFonts w:ascii="Times New Roman" w:cs="Times New Roman" w:hAnsi="Times New Roman" w:hint="eastAsia"/>
                <w:color w:val="auto"/>
                <w:sz w:val="24"/>
                <w:szCs w:val="24"/>
                <w:u w:val="single"/>
                <w:lang w:val="en-US" w:eastAsia="zh-CN"/>
              </w:rPr>
              <w:t>2000</w:t>
            </w:r>
            <w:r>
              <w:rPr>
                <w:rFonts w:ascii="Times New Roman" w:cs="Times New Roman" w:hAnsi="Times New Roman"/>
                <w:b w:val="0"/>
                <w:bCs w:val="0"/>
                <w:color w:val="auto"/>
                <w:sz w:val="24"/>
                <w:szCs w:val="24"/>
                <w:u w:val="single"/>
                <w:lang w:val="en-US" w:eastAsia="zh-CN"/>
              </w:rPr>
              <w:t>m</w:t>
            </w:r>
            <w:r>
              <w:rPr>
                <w:rFonts w:ascii="Times New Roman" w:cs="Times New Roman" w:hAnsi="Times New Roman"/>
                <w:b w:val="0"/>
                <w:bCs w:val="0"/>
                <w:color w:val="auto"/>
                <w:sz w:val="24"/>
                <w:szCs w:val="24"/>
                <w:u w:val="single"/>
                <w:vertAlign w:val="superscript"/>
                <w:lang w:val="en-US" w:eastAsia="zh-CN"/>
              </w:rPr>
              <w:t>2</w:t>
            </w:r>
            <w:r>
              <w:rPr>
                <w:rFonts w:ascii="Times New Roman" w:cs="Times New Roman" w:hAnsi="Times New Roman"/>
                <w:b w:val="0"/>
                <w:bCs w:val="0"/>
                <w:color w:val="auto"/>
                <w:sz w:val="24"/>
                <w:szCs w:val="24"/>
                <w:u w:val="single"/>
                <w:vertAlign w:val="baseline"/>
                <w:lang w:val="en-US" w:eastAsia="zh-CN"/>
              </w:rPr>
              <w:t>。故年用水量为</w:t>
            </w:r>
            <w:r>
              <w:rPr>
                <w:rFonts w:ascii="Times New Roman" w:cs="Times New Roman" w:hAnsi="Times New Roman" w:hint="eastAsia"/>
                <w:b w:val="0"/>
                <w:bCs w:val="0"/>
                <w:color w:val="auto"/>
                <w:sz w:val="24"/>
                <w:szCs w:val="24"/>
                <w:u w:val="single"/>
                <w:vertAlign w:val="baseline"/>
                <w:lang w:val="en-US" w:eastAsia="zh-CN"/>
              </w:rPr>
              <w:t>12</w:t>
            </w:r>
            <w:r>
              <w:rPr>
                <w:rFonts w:ascii="Times New Roman" w:cs="Times New Roman" w:hAnsi="Times New Roman"/>
                <w:b w:val="0"/>
                <w:bCs w:val="0"/>
                <w:color w:val="auto"/>
                <w:sz w:val="24"/>
                <w:szCs w:val="24"/>
                <w:u w:val="single"/>
                <w:vertAlign w:val="baseline"/>
                <w:lang w:val="en-US" w:eastAsia="zh-CN"/>
              </w:rPr>
              <w:t>m</w:t>
            </w:r>
            <w:r>
              <w:rPr>
                <w:rFonts w:ascii="Times New Roman" w:cs="Times New Roman" w:hAnsi="Times New Roman"/>
                <w:b w:val="0"/>
                <w:bCs w:val="0"/>
                <w:color w:val="auto"/>
                <w:sz w:val="24"/>
                <w:szCs w:val="24"/>
                <w:u w:val="single"/>
                <w:vertAlign w:val="superscript"/>
                <w:lang w:val="en-US" w:eastAsia="zh-CN"/>
              </w:rPr>
              <w:t>3</w:t>
            </w:r>
            <w:r>
              <w:rPr>
                <w:rFonts w:ascii="Times New Roman" w:cs="Times New Roman" w:hAnsi="Times New Roman"/>
                <w:b w:val="0"/>
                <w:bCs w:val="0"/>
                <w:color w:val="auto"/>
                <w:sz w:val="24"/>
                <w:szCs w:val="24"/>
                <w:u w:val="single"/>
                <w:vertAlign w:val="baseline"/>
                <w:lang w:val="en-US" w:eastAsia="zh-CN"/>
              </w:rPr>
              <w:t>/a。污水量按80%计算，则本项目地面清洗废水产生量为</w:t>
            </w:r>
            <w:r>
              <w:rPr>
                <w:rFonts w:ascii="Times New Roman" w:cs="Times New Roman" w:hAnsi="Times New Roman" w:hint="eastAsia"/>
                <w:b w:val="0"/>
                <w:bCs w:val="0"/>
                <w:color w:val="auto"/>
                <w:sz w:val="24"/>
                <w:szCs w:val="24"/>
                <w:u w:val="single"/>
                <w:vertAlign w:val="baseline"/>
                <w:lang w:val="en-US" w:eastAsia="zh-CN"/>
              </w:rPr>
              <w:t>9.6</w:t>
            </w:r>
            <w:r>
              <w:rPr>
                <w:rFonts w:ascii="Times New Roman" w:cs="Times New Roman" w:hAnsi="Times New Roman"/>
                <w:b w:val="0"/>
                <w:bCs w:val="0"/>
                <w:color w:val="auto"/>
                <w:sz w:val="24"/>
                <w:szCs w:val="24"/>
                <w:u w:val="single"/>
                <w:vertAlign w:val="baseline"/>
                <w:lang w:val="en-US" w:eastAsia="zh-CN"/>
              </w:rPr>
              <w:t>m</w:t>
            </w:r>
            <w:r>
              <w:rPr>
                <w:rFonts w:ascii="Times New Roman" w:cs="Times New Roman" w:hAnsi="Times New Roman"/>
                <w:b w:val="0"/>
                <w:bCs w:val="0"/>
                <w:color w:val="auto"/>
                <w:sz w:val="24"/>
                <w:szCs w:val="24"/>
                <w:u w:val="single"/>
                <w:vertAlign w:val="superscript"/>
                <w:lang w:val="en-US" w:eastAsia="zh-CN"/>
              </w:rPr>
              <w:t>3</w:t>
            </w:r>
            <w:r>
              <w:rPr>
                <w:rFonts w:ascii="Times New Roman" w:cs="Times New Roman" w:hAnsi="Times New Roman"/>
                <w:b w:val="0"/>
                <w:bCs w:val="0"/>
                <w:color w:val="auto"/>
                <w:sz w:val="24"/>
                <w:szCs w:val="24"/>
                <w:u w:val="single"/>
                <w:vertAlign w:val="baseline"/>
                <w:lang w:val="en-US" w:eastAsia="zh-CN"/>
              </w:rPr>
              <w:t>/a，其中主要包含CODcr、SS</w:t>
            </w:r>
            <w:r>
              <w:rPr>
                <w:rFonts w:ascii="Times New Roman" w:cs="Times New Roman" w:hAnsi="Times New Roman" w:hint="eastAsia"/>
                <w:b w:val="0"/>
                <w:bCs w:val="0"/>
                <w:color w:val="auto"/>
                <w:sz w:val="24"/>
                <w:szCs w:val="24"/>
                <w:u w:val="single"/>
                <w:vertAlign w:val="baseline"/>
                <w:lang w:val="en-US" w:eastAsia="zh-CN"/>
              </w:rPr>
              <w:t>、</w:t>
            </w:r>
            <w:r>
              <w:rPr>
                <w:rFonts w:ascii="Times New Roman" w:eastAsia="宋体" w:cs="Times New Roman" w:hAnsi="Times New Roman" w:hint="eastAsia"/>
                <w:b w:val="0"/>
                <w:bCs w:val="0"/>
                <w:color w:val="auto"/>
                <w:kern w:val="2"/>
                <w:sz w:val="24"/>
                <w:szCs w:val="24"/>
                <w:u w:val="single"/>
                <w:lang w:val="en-US" w:eastAsia="zh-CN" w:bidi="ar-SA"/>
              </w:rPr>
              <w:t>动植物油</w:t>
            </w:r>
            <w:r>
              <w:rPr>
                <w:rFonts w:ascii="Times New Roman" w:cs="Times New Roman" w:hAnsi="Times New Roman"/>
                <w:b w:val="0"/>
                <w:bCs w:val="0"/>
                <w:color w:val="auto"/>
                <w:sz w:val="24"/>
                <w:szCs w:val="24"/>
                <w:u w:val="single"/>
                <w:vertAlign w:val="baseline"/>
                <w:lang w:val="en-US" w:eastAsia="zh-CN"/>
              </w:rPr>
              <w:t>等污染因子</w:t>
            </w:r>
            <w:r>
              <w:rPr>
                <w:rFonts w:ascii="Times New Roman" w:cs="Times New Roman" w:hAnsi="Times New Roman" w:hint="eastAsia"/>
                <w:bCs/>
                <w:color w:val="auto"/>
                <w:kern w:val="2"/>
                <w:u w:val="single"/>
              </w:rPr>
              <w:t>。</w:t>
            </w:r>
          </w:p>
          <w:p>
            <w:pPr>
              <w:pStyle w:val="36"/>
              <w:spacing w:before="20" w:line="360" w:lineRule="auto"/>
              <w:ind w:firstLineChars="200" w:firstLine="480"/>
              <w:jc w:val="both"/>
              <w:rPr>
                <w:rFonts w:ascii="Times New Roman" w:cs="Times New Roman" w:hAnsi="Times New Roman" w:hint="eastAsia"/>
                <w:bCs/>
                <w:color w:val="0000FF"/>
                <w:kern w:val="2"/>
                <w:u w:val="single"/>
                <w:lang w:eastAsia="zh-CN"/>
              </w:rPr>
            </w:pPr>
            <w:r>
              <w:rPr>
                <w:rFonts w:ascii="Times New Roman" w:cs="Times New Roman" w:hAnsi="Times New Roman" w:hint="eastAsia"/>
                <w:b/>
                <w:bCs w:val="0"/>
                <w:color w:val="auto"/>
                <w:kern w:val="2"/>
                <w:u w:val="single"/>
                <w:lang w:eastAsia="zh-CN"/>
              </w:rPr>
              <w:t>设备清洗用水：</w:t>
            </w:r>
            <w:r>
              <w:rPr>
                <w:rFonts w:cs="Times New Roman" w:hint="eastAsia"/>
                <w:b w:val="0"/>
                <w:bCs/>
                <w:color w:val="auto"/>
                <w:kern w:val="2"/>
                <w:u w:val="single"/>
                <w:lang w:val="en-US" w:eastAsia="zh-CN"/>
              </w:rPr>
              <w:t>类比同类《年产5000吨茶油精深加工项目》</w:t>
            </w:r>
            <w:r>
              <w:rPr>
                <w:rFonts w:ascii="Times New Roman" w:cs="Times New Roman" w:hAnsi="Times New Roman" w:hint="eastAsia"/>
                <w:b w:val="0"/>
                <w:bCs/>
                <w:color w:val="auto"/>
                <w:kern w:val="2"/>
                <w:u w:val="single"/>
                <w:lang w:val="en-US" w:eastAsia="zh-CN"/>
              </w:rPr>
              <w:t>和企业提供的生产经验系数</w:t>
            </w:r>
            <w:r>
              <w:rPr>
                <w:rFonts w:ascii="Times New Roman" w:cs="Times New Roman" w:hAnsi="Times New Roman" w:hint="eastAsia"/>
                <w:b/>
                <w:bCs w:val="0"/>
                <w:color w:val="auto"/>
                <w:kern w:val="2"/>
                <w:u w:val="single"/>
                <w:lang w:val="en-US" w:eastAsia="zh-CN"/>
              </w:rPr>
              <w:t>，</w:t>
            </w:r>
            <w:r>
              <w:rPr>
                <w:rFonts w:ascii="Times New Roman" w:eastAsia="宋体" w:cs="Times New Roman" w:hAnsi="Times New Roman"/>
                <w:b w:val="0"/>
                <w:bCs w:val="0"/>
                <w:color w:val="auto"/>
                <w:kern w:val="2"/>
                <w:sz w:val="24"/>
                <w:szCs w:val="24"/>
                <w:u w:val="single"/>
                <w:lang w:val="en-US" w:eastAsia="zh-CN" w:bidi="ar-SA"/>
              </w:rPr>
              <w:t>本项目需对设备</w:t>
            </w:r>
            <w:r>
              <w:rPr>
                <w:rFonts w:ascii="Times New Roman" w:eastAsia="宋体" w:cs="Times New Roman" w:hAnsi="Times New Roman" w:hint="eastAsia"/>
                <w:b w:val="0"/>
                <w:bCs w:val="0"/>
                <w:color w:val="auto"/>
                <w:kern w:val="2"/>
                <w:sz w:val="24"/>
                <w:szCs w:val="24"/>
                <w:u w:val="single"/>
                <w:lang w:val="en-US" w:eastAsia="zh-CN" w:bidi="ar-SA"/>
              </w:rPr>
              <w:t>（</w:t>
            </w:r>
            <w:r>
              <w:rPr>
                <w:rFonts w:ascii="Times New Roman" w:eastAsia="宋体" w:cs="Times New Roman" w:hAnsi="Times New Roman"/>
                <w:b w:val="0"/>
                <w:bCs w:val="0"/>
                <w:color w:val="auto"/>
                <w:kern w:val="2"/>
                <w:sz w:val="24"/>
                <w:szCs w:val="24"/>
                <w:u w:val="single"/>
                <w:lang w:val="en-US" w:eastAsia="zh-CN" w:bidi="ar-SA"/>
              </w:rPr>
              <w:t>榨油、生产设备、油罐</w:t>
            </w:r>
            <w:r>
              <w:rPr>
                <w:rFonts w:ascii="Times New Roman" w:eastAsia="宋体" w:cs="Times New Roman" w:hAnsi="Times New Roman" w:hint="eastAsia"/>
                <w:b w:val="0"/>
                <w:bCs w:val="0"/>
                <w:color w:val="auto"/>
                <w:kern w:val="2"/>
                <w:sz w:val="24"/>
                <w:szCs w:val="24"/>
                <w:u w:val="single"/>
                <w:lang w:val="en-US" w:eastAsia="zh-CN" w:bidi="ar-SA"/>
              </w:rPr>
              <w:t>）</w:t>
            </w:r>
            <w:r>
              <w:rPr>
                <w:rFonts w:ascii="Times New Roman" w:eastAsia="宋体" w:cs="Times New Roman" w:hAnsi="Times New Roman"/>
                <w:b w:val="0"/>
                <w:bCs w:val="0"/>
                <w:color w:val="auto"/>
                <w:kern w:val="2"/>
                <w:sz w:val="24"/>
                <w:szCs w:val="24"/>
                <w:u w:val="single"/>
                <w:lang w:val="en-US" w:eastAsia="zh-CN" w:bidi="ar-SA"/>
              </w:rPr>
              <w:t>进行清洗，用水量为</w:t>
            </w:r>
            <w:r>
              <w:rPr>
                <w:rFonts w:ascii="Times New Roman" w:eastAsia="宋体" w:cs="Times New Roman" w:hAnsi="Times New Roman" w:hint="eastAsia"/>
                <w:b w:val="0"/>
                <w:bCs w:val="0"/>
                <w:color w:val="auto"/>
                <w:kern w:val="2"/>
                <w:sz w:val="24"/>
                <w:szCs w:val="24"/>
                <w:u w:val="single"/>
                <w:lang w:val="en-US" w:eastAsia="zh-CN" w:bidi="ar-SA"/>
              </w:rPr>
              <w:t>6</w:t>
            </w:r>
            <w:r>
              <w:rPr>
                <w:rFonts w:ascii="Times New Roman" w:eastAsia="宋体" w:cs="Times New Roman" w:hAnsi="Times New Roman"/>
                <w:b w:val="0"/>
                <w:bCs w:val="0"/>
                <w:color w:val="auto"/>
                <w:kern w:val="2"/>
                <w:sz w:val="24"/>
                <w:szCs w:val="24"/>
                <w:u w:val="single"/>
                <w:lang w:val="en-US" w:eastAsia="zh-CN" w:bidi="ar-SA"/>
              </w:rPr>
              <w:t>m</w:t>
            </w:r>
            <w:r>
              <w:rPr>
                <w:rFonts w:ascii="Times New Roman" w:eastAsia="宋体" w:cs="Times New Roman" w:hAnsi="Times New Roman" w:hint="eastAsia"/>
                <w:b w:val="0"/>
                <w:bCs w:val="0"/>
                <w:color w:val="auto"/>
                <w:kern w:val="2"/>
                <w:sz w:val="24"/>
                <w:szCs w:val="24"/>
                <w:u w:val="single"/>
                <w:lang w:val="en-US" w:eastAsia="zh-CN" w:bidi="ar-SA"/>
              </w:rPr>
              <w:t>³</w:t>
            </w:r>
            <w:r>
              <w:rPr>
                <w:rFonts w:ascii="Times New Roman" w:eastAsia="宋体" w:cs="Times New Roman" w:hAnsi="Times New Roman"/>
                <w:b w:val="0"/>
                <w:bCs w:val="0"/>
                <w:color w:val="auto"/>
                <w:kern w:val="2"/>
                <w:sz w:val="24"/>
                <w:szCs w:val="24"/>
                <w:u w:val="single"/>
                <w:lang w:val="en-US" w:eastAsia="zh-CN" w:bidi="ar-SA"/>
              </w:rPr>
              <w:t>/·</w:t>
            </w:r>
            <w:r>
              <w:rPr>
                <w:rFonts w:ascii="Times New Roman" w:cs="Times New Roman" w:hAnsi="Times New Roman" w:hint="eastAsia"/>
                <w:b w:val="0"/>
                <w:bCs w:val="0"/>
                <w:color w:val="auto"/>
                <w:kern w:val="2"/>
                <w:sz w:val="24"/>
                <w:szCs w:val="24"/>
                <w:u w:val="single"/>
                <w:lang w:val="en-US" w:eastAsia="zh-CN" w:bidi="ar-SA"/>
              </w:rPr>
              <w:t>次</w:t>
            </w:r>
            <w:r>
              <w:rPr>
                <w:rFonts w:ascii="Times New Roman" w:eastAsia="宋体" w:cs="Times New Roman" w:hAnsi="Times New Roman"/>
                <w:b w:val="0"/>
                <w:bCs w:val="0"/>
                <w:color w:val="auto"/>
                <w:kern w:val="2"/>
                <w:sz w:val="24"/>
                <w:szCs w:val="24"/>
                <w:u w:val="single"/>
                <w:lang w:val="en-US" w:eastAsia="zh-CN" w:bidi="ar-SA"/>
              </w:rPr>
              <w:t>，年冲洗</w:t>
            </w:r>
            <w:r>
              <w:rPr>
                <w:rFonts w:ascii="Times New Roman" w:cs="Times New Roman" w:hAnsi="Times New Roman" w:hint="eastAsia"/>
                <w:b w:val="0"/>
                <w:bCs w:val="0"/>
                <w:color w:val="auto"/>
                <w:kern w:val="2"/>
                <w:sz w:val="24"/>
                <w:szCs w:val="24"/>
                <w:u w:val="single"/>
                <w:lang w:val="en-US" w:eastAsia="zh-CN" w:bidi="ar-SA"/>
              </w:rPr>
              <w:t>2</w:t>
            </w:r>
            <w:r>
              <w:rPr>
                <w:rFonts w:ascii="Times New Roman" w:eastAsia="宋体" w:cs="Times New Roman" w:hAnsi="Times New Roman"/>
                <w:b w:val="0"/>
                <w:bCs w:val="0"/>
                <w:color w:val="auto"/>
                <w:kern w:val="2"/>
                <w:sz w:val="24"/>
                <w:szCs w:val="24"/>
                <w:u w:val="single"/>
                <w:lang w:val="en-US" w:eastAsia="zh-CN" w:bidi="ar-SA"/>
              </w:rPr>
              <w:t>次，则年用水量为</w:t>
            </w:r>
            <w:r>
              <w:rPr>
                <w:rFonts w:ascii="Times New Roman" w:eastAsia="宋体" w:cs="Times New Roman" w:hAnsi="Times New Roman" w:hint="eastAsia"/>
                <w:b w:val="0"/>
                <w:bCs w:val="0"/>
                <w:color w:val="auto"/>
                <w:kern w:val="2"/>
                <w:sz w:val="24"/>
                <w:szCs w:val="24"/>
                <w:u w:val="single"/>
                <w:lang w:val="en-US" w:eastAsia="zh-CN" w:bidi="ar-SA"/>
              </w:rPr>
              <w:t>1</w:t>
            </w:r>
            <w:r>
              <w:rPr>
                <w:rFonts w:ascii="Times New Roman" w:cs="Times New Roman" w:hAnsi="Times New Roman" w:hint="eastAsia"/>
                <w:b w:val="0"/>
                <w:bCs w:val="0"/>
                <w:color w:val="auto"/>
                <w:kern w:val="2"/>
                <w:sz w:val="24"/>
                <w:szCs w:val="24"/>
                <w:u w:val="single"/>
                <w:lang w:val="en-US" w:eastAsia="zh-CN" w:bidi="ar-SA"/>
              </w:rPr>
              <w:t>2</w:t>
            </w:r>
            <w:r>
              <w:rPr>
                <w:rFonts w:ascii="Times New Roman" w:eastAsia="宋体" w:cs="Times New Roman" w:hAnsi="Times New Roman"/>
                <w:b w:val="0"/>
                <w:bCs w:val="0"/>
                <w:color w:val="auto"/>
                <w:kern w:val="2"/>
                <w:sz w:val="24"/>
                <w:szCs w:val="24"/>
                <w:u w:val="single"/>
                <w:lang w:val="en-US" w:eastAsia="zh-CN" w:bidi="ar-SA"/>
              </w:rPr>
              <w:t>m</w:t>
            </w:r>
            <w:r>
              <w:rPr>
                <w:rFonts w:ascii="Times New Roman" w:eastAsia="宋体" w:cs="Times New Roman" w:hAnsi="Times New Roman" w:hint="eastAsia"/>
                <w:b w:val="0"/>
                <w:bCs w:val="0"/>
                <w:color w:val="auto"/>
                <w:kern w:val="2"/>
                <w:sz w:val="24"/>
                <w:szCs w:val="24"/>
                <w:u w:val="single"/>
                <w:lang w:val="en-US" w:eastAsia="zh-CN" w:bidi="ar-SA"/>
              </w:rPr>
              <w:t>³</w:t>
            </w:r>
            <w:r>
              <w:rPr>
                <w:rFonts w:ascii="Times New Roman" w:eastAsia="宋体" w:cs="Times New Roman" w:hAnsi="Times New Roman"/>
                <w:b w:val="0"/>
                <w:bCs w:val="0"/>
                <w:color w:val="auto"/>
                <w:kern w:val="2"/>
                <w:sz w:val="24"/>
                <w:szCs w:val="24"/>
                <w:u w:val="single"/>
                <w:lang w:val="en-US" w:eastAsia="zh-CN" w:bidi="ar-SA"/>
              </w:rPr>
              <w:t>/a，排污系数按0.</w:t>
            </w:r>
            <w:r>
              <w:rPr>
                <w:rFonts w:ascii="Times New Roman" w:eastAsia="宋体" w:cs="Times New Roman" w:hAnsi="Times New Roman" w:hint="eastAsia"/>
                <w:b w:val="0"/>
                <w:bCs w:val="0"/>
                <w:color w:val="auto"/>
                <w:kern w:val="2"/>
                <w:sz w:val="24"/>
                <w:szCs w:val="24"/>
                <w:u w:val="single"/>
                <w:lang w:val="en-US" w:eastAsia="zh-CN" w:bidi="ar-SA"/>
              </w:rPr>
              <w:t>8</w:t>
            </w:r>
            <w:r>
              <w:rPr>
                <w:rFonts w:ascii="Times New Roman" w:eastAsia="宋体" w:cs="Times New Roman" w:hAnsi="Times New Roman"/>
                <w:b w:val="0"/>
                <w:bCs w:val="0"/>
                <w:color w:val="auto"/>
                <w:kern w:val="2"/>
                <w:sz w:val="24"/>
                <w:szCs w:val="24"/>
                <w:u w:val="single"/>
                <w:lang w:val="en-US" w:eastAsia="zh-CN" w:bidi="ar-SA"/>
              </w:rPr>
              <w:t>计，设备清洗废水产生量为</w:t>
            </w:r>
            <w:r>
              <w:rPr>
                <w:rFonts w:ascii="Times New Roman" w:cs="Times New Roman" w:hAnsi="Times New Roman" w:hint="eastAsia"/>
                <w:b w:val="0"/>
                <w:bCs w:val="0"/>
                <w:color w:val="auto"/>
                <w:kern w:val="2"/>
                <w:sz w:val="24"/>
                <w:szCs w:val="24"/>
                <w:u w:val="single"/>
                <w:lang w:val="en-US" w:eastAsia="zh-CN" w:bidi="ar-SA"/>
              </w:rPr>
              <w:t>9.6</w:t>
            </w:r>
            <w:r>
              <w:rPr>
                <w:rFonts w:ascii="Times New Roman" w:eastAsia="宋体" w:cs="Times New Roman" w:hAnsi="Times New Roman"/>
                <w:b w:val="0"/>
                <w:bCs w:val="0"/>
                <w:color w:val="auto"/>
                <w:kern w:val="2"/>
                <w:sz w:val="24"/>
                <w:szCs w:val="24"/>
                <w:u w:val="single"/>
                <w:lang w:val="en-US" w:eastAsia="zh-CN" w:bidi="ar-SA"/>
              </w:rPr>
              <w:t>m</w:t>
            </w:r>
            <w:r>
              <w:rPr>
                <w:rFonts w:ascii="Times New Roman" w:eastAsia="宋体" w:cs="Times New Roman" w:hAnsi="Times New Roman" w:hint="eastAsia"/>
                <w:b w:val="0"/>
                <w:bCs w:val="0"/>
                <w:color w:val="auto"/>
                <w:kern w:val="2"/>
                <w:sz w:val="24"/>
                <w:szCs w:val="24"/>
                <w:u w:val="single"/>
                <w:lang w:val="en-US" w:eastAsia="zh-CN" w:bidi="ar-SA"/>
              </w:rPr>
              <w:t>³</w:t>
            </w:r>
            <w:r>
              <w:rPr>
                <w:rFonts w:ascii="Times New Roman" w:eastAsia="宋体" w:cs="Times New Roman" w:hAnsi="Times New Roman"/>
                <w:b w:val="0"/>
                <w:bCs w:val="0"/>
                <w:color w:val="auto"/>
                <w:kern w:val="2"/>
                <w:sz w:val="24"/>
                <w:szCs w:val="24"/>
                <w:u w:val="single"/>
                <w:lang w:val="en-US" w:eastAsia="zh-CN" w:bidi="ar-SA"/>
              </w:rPr>
              <w:t>/a，主要污染物为</w:t>
            </w:r>
            <w:r>
              <w:rPr>
                <w:rFonts w:ascii="Times New Roman" w:eastAsia="宋体" w:cs="Times New Roman" w:hAnsi="Times New Roman" w:hint="eastAsia"/>
                <w:b w:val="0"/>
                <w:bCs w:val="0"/>
                <w:color w:val="auto"/>
                <w:kern w:val="2"/>
                <w:sz w:val="24"/>
                <w:szCs w:val="24"/>
                <w:u w:val="single"/>
                <w:lang w:val="en-US" w:eastAsia="zh-CN" w:bidi="ar-SA"/>
              </w:rPr>
              <w:t>COD</w:t>
            </w:r>
            <w:r>
              <w:rPr>
                <w:rFonts w:ascii="Times New Roman" w:eastAsia="宋体" w:cs="Times New Roman" w:hAnsi="Times New Roman" w:hint="eastAsia"/>
                <w:b w:val="0"/>
                <w:bCs w:val="0"/>
                <w:color w:val="auto"/>
                <w:kern w:val="2"/>
                <w:sz w:val="24"/>
                <w:szCs w:val="24"/>
                <w:u w:val="single"/>
                <w:vertAlign w:val="subscript"/>
                <w:lang w:val="en-US" w:eastAsia="zh-CN" w:bidi="ar-SA"/>
              </w:rPr>
              <w:t>cr</w:t>
            </w:r>
            <w:r>
              <w:rPr>
                <w:rFonts w:ascii="Times New Roman" w:eastAsia="宋体" w:cs="Times New Roman" w:hAnsi="Times New Roman" w:hint="eastAsia"/>
                <w:b w:val="0"/>
                <w:bCs w:val="0"/>
                <w:color w:val="auto"/>
                <w:kern w:val="2"/>
                <w:sz w:val="24"/>
                <w:szCs w:val="24"/>
                <w:u w:val="single"/>
                <w:lang w:val="en-US" w:eastAsia="zh-CN" w:bidi="ar-SA"/>
              </w:rPr>
              <w:t>450</w:t>
            </w:r>
            <w:r>
              <w:rPr>
                <w:rFonts w:ascii="Times New Roman" w:eastAsia="宋体" w:cs="Times New Roman" w:hAnsi="Times New Roman"/>
                <w:b w:val="0"/>
                <w:bCs w:val="0"/>
                <w:color w:val="auto"/>
                <w:kern w:val="2"/>
                <w:sz w:val="24"/>
                <w:szCs w:val="24"/>
                <w:u w:val="single"/>
                <w:lang w:val="en-US" w:eastAsia="zh-CN" w:bidi="ar-SA"/>
              </w:rPr>
              <w:t>mg/L</w:t>
            </w:r>
            <w:r>
              <w:rPr>
                <w:rFonts w:ascii="Times New Roman" w:eastAsia="宋体" w:cs="Times New Roman" w:hAnsi="Times New Roman" w:hint="eastAsia"/>
                <w:b w:val="0"/>
                <w:bCs w:val="0"/>
                <w:color w:val="auto"/>
                <w:kern w:val="2"/>
                <w:sz w:val="24"/>
                <w:szCs w:val="24"/>
                <w:u w:val="single"/>
                <w:lang w:val="en-US" w:eastAsia="zh-CN" w:bidi="ar-SA"/>
              </w:rPr>
              <w:t>、BOD</w:t>
            </w:r>
            <w:r>
              <w:rPr>
                <w:rFonts w:ascii="Times New Roman" w:eastAsia="宋体" w:cs="Times New Roman" w:hAnsi="Times New Roman" w:hint="eastAsia"/>
                <w:b w:val="0"/>
                <w:bCs w:val="0"/>
                <w:color w:val="auto"/>
                <w:kern w:val="2"/>
                <w:sz w:val="24"/>
                <w:szCs w:val="24"/>
                <w:u w:val="single"/>
                <w:vertAlign w:val="subscript"/>
                <w:lang w:val="en-US" w:eastAsia="zh-CN" w:bidi="ar-SA"/>
              </w:rPr>
              <w:t>5</w:t>
            </w:r>
            <w:r>
              <w:rPr>
                <w:rFonts w:ascii="Times New Roman" w:eastAsia="宋体" w:cs="Times New Roman" w:hAnsi="Times New Roman" w:hint="eastAsia"/>
                <w:b w:val="0"/>
                <w:bCs w:val="0"/>
                <w:color w:val="auto"/>
                <w:kern w:val="2"/>
                <w:sz w:val="24"/>
                <w:szCs w:val="24"/>
                <w:u w:val="single"/>
                <w:lang w:val="en-US" w:eastAsia="zh-CN" w:bidi="ar-SA"/>
              </w:rPr>
              <w:t>200</w:t>
            </w:r>
            <w:r>
              <w:rPr>
                <w:rFonts w:ascii="Times New Roman" w:eastAsia="宋体" w:cs="Times New Roman" w:hAnsi="Times New Roman"/>
                <w:b w:val="0"/>
                <w:bCs w:val="0"/>
                <w:color w:val="auto"/>
                <w:kern w:val="2"/>
                <w:sz w:val="24"/>
                <w:szCs w:val="24"/>
                <w:u w:val="single"/>
                <w:lang w:val="en-US" w:eastAsia="zh-CN" w:bidi="ar-SA"/>
              </w:rPr>
              <w:t>mg/L</w:t>
            </w:r>
            <w:r>
              <w:rPr>
                <w:rFonts w:ascii="Times New Roman" w:eastAsia="宋体" w:cs="Times New Roman" w:hAnsi="Times New Roman" w:hint="eastAsia"/>
                <w:b w:val="0"/>
                <w:bCs w:val="0"/>
                <w:color w:val="auto"/>
                <w:kern w:val="2"/>
                <w:sz w:val="24"/>
                <w:szCs w:val="24"/>
                <w:u w:val="single"/>
                <w:lang w:val="en-US" w:eastAsia="zh-CN" w:bidi="ar-SA"/>
              </w:rPr>
              <w:t>、SS 150</w:t>
            </w:r>
            <w:r>
              <w:rPr>
                <w:rFonts w:ascii="Times New Roman" w:eastAsia="宋体" w:cs="Times New Roman" w:hAnsi="Times New Roman"/>
                <w:b w:val="0"/>
                <w:bCs w:val="0"/>
                <w:color w:val="auto"/>
                <w:kern w:val="2"/>
                <w:sz w:val="24"/>
                <w:szCs w:val="24"/>
                <w:u w:val="single"/>
                <w:lang w:val="en-US" w:eastAsia="zh-CN" w:bidi="ar-SA"/>
              </w:rPr>
              <w:t>mg/L</w:t>
            </w:r>
            <w:r>
              <w:rPr>
                <w:rFonts w:ascii="Times New Roman" w:eastAsia="宋体" w:cs="Times New Roman" w:hAnsi="Times New Roman" w:hint="eastAsia"/>
                <w:b w:val="0"/>
                <w:bCs w:val="0"/>
                <w:color w:val="auto"/>
                <w:kern w:val="2"/>
                <w:sz w:val="24"/>
                <w:szCs w:val="24"/>
                <w:u w:val="single"/>
                <w:lang w:val="en-US" w:eastAsia="zh-CN" w:bidi="ar-SA"/>
              </w:rPr>
              <w:t>、氨氮30</w:t>
            </w:r>
            <w:r>
              <w:rPr>
                <w:rFonts w:ascii="Times New Roman" w:eastAsia="宋体" w:cs="Times New Roman" w:hAnsi="Times New Roman"/>
                <w:b w:val="0"/>
                <w:bCs w:val="0"/>
                <w:color w:val="auto"/>
                <w:kern w:val="2"/>
                <w:sz w:val="24"/>
                <w:szCs w:val="24"/>
                <w:u w:val="single"/>
                <w:lang w:val="en-US" w:eastAsia="zh-CN" w:bidi="ar-SA"/>
              </w:rPr>
              <w:t>mg/L</w:t>
            </w:r>
            <w:r>
              <w:rPr>
                <w:rFonts w:ascii="Times New Roman" w:eastAsia="宋体" w:cs="Times New Roman" w:hAnsi="Times New Roman" w:hint="eastAsia"/>
                <w:b w:val="0"/>
                <w:bCs w:val="0"/>
                <w:color w:val="auto"/>
                <w:kern w:val="2"/>
                <w:sz w:val="24"/>
                <w:szCs w:val="24"/>
                <w:u w:val="single"/>
                <w:lang w:val="en-US" w:eastAsia="zh-CN" w:bidi="ar-SA"/>
              </w:rPr>
              <w:t>、动植物油80</w:t>
            </w:r>
            <w:r>
              <w:rPr>
                <w:rFonts w:ascii="Times New Roman" w:eastAsia="宋体" w:cs="Times New Roman" w:hAnsi="Times New Roman"/>
                <w:b w:val="0"/>
                <w:bCs w:val="0"/>
                <w:color w:val="auto"/>
                <w:kern w:val="2"/>
                <w:sz w:val="24"/>
                <w:szCs w:val="24"/>
                <w:u w:val="single"/>
                <w:lang w:val="en-US" w:eastAsia="zh-CN" w:bidi="ar-SA"/>
              </w:rPr>
              <w:t>mg/L</w:t>
            </w:r>
            <w:r>
              <w:rPr>
                <w:rFonts w:ascii="Times New Roman" w:eastAsia="宋体" w:cs="Times New Roman" w:hAnsi="Times New Roman" w:hint="eastAsia"/>
                <w:b w:val="0"/>
                <w:bCs w:val="0"/>
                <w:color w:val="auto"/>
                <w:kern w:val="2"/>
                <w:sz w:val="24"/>
                <w:szCs w:val="24"/>
                <w:u w:val="single"/>
                <w:lang w:val="en-US" w:eastAsia="zh-CN" w:bidi="ar-SA"/>
              </w:rPr>
              <w:t>等。</w:t>
            </w:r>
          </w:p>
          <w:p>
            <w:pPr>
              <w:pStyle w:val="36"/>
              <w:spacing w:before="20" w:line="360" w:lineRule="auto"/>
              <w:ind w:firstLineChars="200" w:firstLine="480"/>
              <w:jc w:val="both"/>
              <w:rPr>
                <w:rFonts w:ascii="Times New Roman" w:cs="Times New Roman" w:hAnsi="Times New Roman" w:hint="eastAsia"/>
                <w:color w:val="auto"/>
                <w:szCs w:val="30"/>
                <w:u w:val="single"/>
              </w:rPr>
            </w:pPr>
            <w:r>
              <w:rPr>
                <w:rFonts w:ascii="Times New Roman" w:cs="Times New Roman" w:hAnsi="Times New Roman" w:hint="eastAsia"/>
                <w:b/>
                <w:bCs/>
                <w:color w:val="auto"/>
                <w:szCs w:val="30"/>
                <w:u w:val="single"/>
                <w:lang w:eastAsia="zh-CN"/>
              </w:rPr>
              <w:t>循环冷却</w:t>
            </w:r>
            <w:r>
              <w:rPr>
                <w:rFonts w:ascii="Times New Roman" w:cs="Times New Roman" w:hAnsi="Times New Roman" w:hint="eastAsia"/>
                <w:b/>
                <w:bCs/>
                <w:color w:val="auto"/>
                <w:szCs w:val="30"/>
                <w:u w:val="single"/>
                <w:lang w:val="en-US" w:eastAsia="zh-CN"/>
              </w:rPr>
              <w:t>用</w:t>
            </w:r>
            <w:r>
              <w:rPr>
                <w:rFonts w:ascii="Times New Roman" w:cs="Times New Roman" w:hAnsi="Times New Roman" w:hint="eastAsia"/>
                <w:b/>
                <w:bCs/>
                <w:color w:val="auto"/>
                <w:szCs w:val="30"/>
                <w:u w:val="single"/>
                <w:lang w:eastAsia="zh-CN"/>
              </w:rPr>
              <w:t>水：</w:t>
            </w:r>
            <w:r>
              <w:rPr>
                <w:rFonts w:ascii="Times New Roman" w:cs="Times New Roman" w:hAnsi="Times New Roman" w:hint="eastAsia"/>
                <w:b w:val="0"/>
                <w:bCs w:val="0"/>
                <w:color w:val="auto"/>
                <w:szCs w:val="30"/>
                <w:u w:val="single"/>
                <w:lang w:val="en-US" w:eastAsia="zh-CN"/>
              </w:rPr>
              <w:t>根据</w:t>
            </w:r>
            <w:r>
              <w:rPr>
                <w:rFonts w:ascii="Times New Roman" w:cs="Times New Roman" w:hAnsi="Times New Roman" w:hint="eastAsia"/>
                <w:color w:val="auto"/>
                <w:szCs w:val="30"/>
                <w:u w:val="single"/>
              </w:rPr>
              <w:t>项目循环冷却</w:t>
            </w:r>
            <w:r>
              <w:rPr>
                <w:rFonts w:ascii="Times New Roman" w:cs="Times New Roman" w:hAnsi="Times New Roman" w:hint="eastAsia"/>
                <w:color w:val="auto"/>
                <w:szCs w:val="30"/>
                <w:u w:val="single"/>
                <w:lang w:val="en-US" w:eastAsia="zh-CN"/>
              </w:rPr>
              <w:t>水泵的大小，确定</w:t>
            </w:r>
            <w:r>
              <w:rPr>
                <w:rFonts w:ascii="Times New Roman" w:cs="Times New Roman" w:hAnsi="Times New Roman" w:hint="eastAsia"/>
                <w:color w:val="auto"/>
                <w:szCs w:val="30"/>
                <w:u w:val="single"/>
              </w:rPr>
              <w:t>用水0.75m</w:t>
            </w:r>
            <w:r>
              <w:rPr>
                <w:rFonts w:ascii="Times New Roman" w:cs="Times New Roman" w:hAnsi="Times New Roman" w:hint="eastAsia"/>
                <w:color w:val="auto"/>
                <w:szCs w:val="30"/>
                <w:u w:val="single"/>
                <w:lang w:val="en-US" w:eastAsia="zh-CN"/>
              </w:rPr>
              <w:t>³</w:t>
            </w:r>
            <w:r>
              <w:rPr>
                <w:rFonts w:ascii="Times New Roman" w:cs="Times New Roman" w:hAnsi="Times New Roman" w:hint="eastAsia"/>
                <w:color w:val="auto"/>
                <w:szCs w:val="30"/>
                <w:u w:val="single"/>
              </w:rPr>
              <w:t>/d，</w:t>
            </w:r>
            <w:r>
              <w:rPr>
                <w:rFonts w:ascii="Times New Roman" w:cs="Times New Roman" w:hAnsi="Times New Roman" w:hint="eastAsia"/>
                <w:color w:val="auto"/>
                <w:szCs w:val="30"/>
                <w:u w:val="single"/>
                <w:lang w:val="en-US" w:eastAsia="zh-CN"/>
              </w:rPr>
              <w:t>年工作时间100天</w:t>
            </w:r>
            <w:r>
              <w:rPr>
                <w:rFonts w:ascii="Times New Roman" w:cs="Times New Roman" w:hAnsi="Times New Roman" w:hint="eastAsia"/>
                <w:color w:val="auto"/>
                <w:szCs w:val="30"/>
                <w:u w:val="single"/>
              </w:rPr>
              <w:t>，</w:t>
            </w:r>
            <w:r>
              <w:rPr>
                <w:rFonts w:ascii="Times New Roman" w:cs="Times New Roman" w:hAnsi="Times New Roman" w:hint="eastAsia"/>
                <w:color w:val="auto"/>
                <w:szCs w:val="30"/>
                <w:u w:val="single"/>
                <w:lang w:val="en-US" w:eastAsia="zh-CN"/>
              </w:rPr>
              <w:t>使用水量75</w:t>
            </w:r>
            <w:r>
              <w:rPr>
                <w:rFonts w:ascii="Times New Roman" w:cs="Times New Roman" w:hAnsi="Times New Roman" w:hint="eastAsia"/>
                <w:color w:val="auto"/>
                <w:szCs w:val="30"/>
                <w:u w:val="single"/>
              </w:rPr>
              <w:t>t/a。</w:t>
            </w:r>
          </w:p>
          <w:p>
            <w:pPr>
              <w:pStyle w:val="36"/>
              <w:spacing w:before="20" w:line="360" w:lineRule="auto"/>
              <w:ind w:firstLineChars="200" w:firstLine="480"/>
              <w:jc w:val="both"/>
              <w:rPr>
                <w:rFonts w:ascii="Times New Roman" w:eastAsia="宋体" w:cs="Times New Roman" w:hAnsi="Times New Roman"/>
                <w:b/>
                <w:bCs/>
                <w:color w:val="auto"/>
                <w:szCs w:val="30"/>
                <w:u w:val="single"/>
                <w:lang w:val="en-US" w:eastAsia="zh-CN"/>
              </w:rPr>
            </w:pPr>
            <w:r>
              <w:rPr>
                <w:rFonts w:ascii="Times New Roman" w:eastAsia="宋体" w:cs="Times New Roman" w:hAnsi="Times New Roman" w:hint="eastAsia"/>
                <w:b/>
                <w:bCs/>
                <w:color w:val="auto"/>
                <w:szCs w:val="30"/>
                <w:u w:val="single"/>
                <w:lang w:eastAsia="zh-CN"/>
              </w:rPr>
              <w:t>碱液调制</w:t>
            </w:r>
            <w:r>
              <w:rPr>
                <w:rFonts w:ascii="Times New Roman" w:eastAsia="宋体" w:cs="Times New Roman" w:hAnsi="Times New Roman" w:hint="eastAsia"/>
                <w:b/>
                <w:bCs/>
                <w:color w:val="auto"/>
                <w:szCs w:val="30"/>
                <w:u w:val="single"/>
                <w:lang w:val="en-US" w:eastAsia="zh-CN"/>
              </w:rPr>
              <w:t>用</w:t>
            </w:r>
            <w:r>
              <w:rPr>
                <w:rFonts w:ascii="Times New Roman" w:cs="Times New Roman" w:hAnsi="Times New Roman" w:hint="eastAsia"/>
                <w:b/>
                <w:bCs/>
                <w:color w:val="auto"/>
                <w:szCs w:val="30"/>
                <w:u w:val="single"/>
                <w:lang w:eastAsia="zh-CN"/>
              </w:rPr>
              <w:t>水：</w:t>
            </w:r>
            <w:r>
              <w:rPr>
                <w:rFonts w:ascii="Times New Roman" w:eastAsia="宋体" w:cs="Times New Roman" w:hAnsi="Times New Roman" w:hint="eastAsia"/>
                <w:color w:val="auto"/>
                <w:szCs w:val="30"/>
                <w:u w:val="single"/>
                <w:lang w:val="en-US" w:eastAsia="zh-CN"/>
              </w:rPr>
              <w:t>项目使用自来水调制碱液，</w:t>
            </w:r>
            <w:r>
              <w:rPr>
                <w:rFonts w:ascii="Times New Roman" w:cs="Times New Roman" w:hAnsi="Times New Roman" w:hint="eastAsia"/>
                <w:color w:val="auto"/>
                <w:szCs w:val="30"/>
                <w:u w:val="single"/>
                <w:lang w:val="en-US" w:eastAsia="zh-CN"/>
              </w:rPr>
              <w:t>根据生产需求，碱片和水的</w:t>
            </w:r>
            <w:r>
              <w:rPr>
                <w:rFonts w:ascii="Times New Roman" w:eastAsia="宋体" w:cs="Times New Roman" w:hAnsi="Times New Roman" w:hint="eastAsia"/>
                <w:color w:val="auto"/>
                <w:szCs w:val="30"/>
                <w:u w:val="single"/>
                <w:lang w:val="en-US" w:eastAsia="zh-CN"/>
              </w:rPr>
              <w:t>调制比例为9：1，则碱液的使用水量为11.25t/a</w:t>
            </w:r>
            <w:r>
              <w:rPr>
                <w:rFonts w:ascii="Times New Roman" w:cs="Times New Roman" w:hAnsi="Times New Roman" w:hint="eastAsia"/>
                <w:color w:val="auto"/>
                <w:szCs w:val="30"/>
                <w:u w:val="single"/>
                <w:lang w:val="en-US" w:eastAsia="zh-CN"/>
              </w:rPr>
              <w:t>，98%与皂角一同排出，剩余经过后期工序蒸发、干燥</w:t>
            </w:r>
            <w:r>
              <w:rPr>
                <w:rFonts w:ascii="Times New Roman" w:eastAsia="宋体" w:cs="Times New Roman" w:hAnsi="Times New Roman" w:hint="eastAsia"/>
                <w:b w:val="0"/>
                <w:bCs w:val="0"/>
                <w:color w:val="auto"/>
                <w:szCs w:val="30"/>
                <w:u w:val="single"/>
                <w:lang w:val="en-US" w:eastAsia="zh-CN"/>
              </w:rPr>
              <w:t>。</w:t>
            </w:r>
          </w:p>
          <w:p>
            <w:pPr>
              <w:pStyle w:val="36"/>
              <w:spacing w:before="20" w:line="360" w:lineRule="auto"/>
              <w:ind w:firstLineChars="200" w:firstLine="480"/>
              <w:jc w:val="both"/>
              <w:rPr>
                <w:rFonts w:ascii="Times New Roman" w:eastAsia="宋体" w:cs="Times New Roman" w:hAnsi="Times New Roman"/>
                <w:b/>
                <w:bCs/>
                <w:color w:val="auto"/>
                <w:szCs w:val="30"/>
                <w:u w:val="none"/>
                <w:lang w:val="en-US" w:eastAsia="zh-CN"/>
              </w:rPr>
            </w:pPr>
            <w:r>
              <w:rPr>
                <w:rFonts w:ascii="Times New Roman" w:eastAsia="宋体" w:cs="Times New Roman" w:hAnsi="Times New Roman" w:hint="eastAsia"/>
                <w:b/>
                <w:bCs/>
                <w:color w:val="auto"/>
                <w:szCs w:val="30"/>
                <w:u w:val="none"/>
                <w:lang w:val="en-US" w:eastAsia="zh-CN"/>
              </w:rPr>
              <w:t>检验用水：</w:t>
            </w:r>
            <w:r>
              <w:rPr>
                <w:rFonts w:ascii="Times New Roman" w:eastAsia="宋体" w:cs="Times New Roman" w:hAnsi="Times New Roman" w:hint="eastAsia"/>
                <w:color w:val="auto"/>
                <w:szCs w:val="30"/>
                <w:u w:val="none"/>
                <w:lang w:val="en-US" w:eastAsia="zh-CN"/>
              </w:rPr>
              <w:t>本项目化验室仅对成品油进行色泽、透明度(20℃)、气味、滋味、水分及挥发物、不溶性杂质、酸价(以KOH计)、过氧化值、含油量、含水量检测，无用水工序。</w:t>
            </w:r>
          </w:p>
          <w:p>
            <w:pPr>
              <w:pStyle w:val="36"/>
              <w:spacing w:before="20" w:line="360" w:lineRule="auto"/>
              <w:ind w:left="0" w:firstLine="0"/>
              <w:jc w:val="center"/>
              <w:rPr>
                <w:rFonts w:cs="Times New Roman" w:hint="eastAsia"/>
                <w:color w:val="0000FF"/>
                <w:sz w:val="24"/>
                <w:szCs w:val="24"/>
                <w:lang w:val="en-US" w:eastAsia="zh-CN"/>
              </w:rPr>
            </w:pPr>
            <w:r>
              <w:drawing>
                <wp:inline distT="0" distB="0" distL="114300" distR="114300">
                  <wp:extent cx="5273675" cy="4724400"/>
                  <wp:effectExtent l="0" t="1" r="0" b="3"/>
                  <wp:docPr id="30" name="图片 30"/>
                  <wp:cNvGraphicFramePr>
                    <a:graphicFrameLocks noChangeAspect="1"/>
                  </wp:cNvGraphicFramePr>
                  <a:graphic>
                    <a:graphicData uri="http://schemas.openxmlformats.org/drawingml/2006/picture">
                      <pic:pic>
                        <pic:nvPicPr>
                          <pic:cNvPr id="4" name="图片 4"/>
                          <pic:cNvPicPr/>
                        </pic:nvPicPr>
                        <pic:blipFill>
                          <a:blip r:embed="rId7"/>
                          <a:srcRect t="5958" b="3647" l="3158" r="3473"/>
                          <a:stretch>
                            <a:fillRect/>
                          </a:stretch>
                        </pic:blipFill>
                        <pic:spPr>
                          <a:xfrm rot="0">
                            <a:off x="0" y="0"/>
                            <a:ext cx="5273675" cy="4724400"/>
                          </a:xfrm>
                          <a:prstGeom prst="rect"/>
                          <a:noFill/>
                          <a:ln cmpd="sng" cap="flat">
                            <a:noFill/>
                            <a:prstDash val="solid"/>
                            <a:round/>
                          </a:ln>
                        </pic:spPr>
                      </pic:pic>
                    </a:graphicData>
                  </a:graphic>
                </wp:inline>
              </w:drawing>
            </w:r>
          </w:p>
          <w:p>
            <w:pPr>
              <w:spacing w:line="360" w:lineRule="auto"/>
              <w:jc w:val="center"/>
              <w:rPr>
                <w:b/>
                <w:bCs/>
                <w:color w:val="auto"/>
                <w:kern w:val="0"/>
                <w:szCs w:val="21"/>
                <w:u w:val="single"/>
              </w:rPr>
            </w:pPr>
            <w:r>
              <w:rPr>
                <w:rFonts w:ascii="Times New Roman" w:eastAsia="宋体" w:cs="Times New Roman" w:hAnsi="Times New Roman" w:hint="eastAsia"/>
                <w:b/>
                <w:bCs/>
                <w:color w:val="auto"/>
                <w:kern w:val="0"/>
                <w:szCs w:val="21"/>
                <w:u w:val="single"/>
              </w:rPr>
              <w:t>图2-</w:t>
            </w:r>
            <w:r>
              <w:rPr>
                <w:rFonts w:ascii="Times New Roman" w:eastAsia="宋体" w:cs="Times New Roman" w:hAnsi="Times New Roman" w:hint="eastAsia"/>
                <w:b/>
                <w:bCs/>
                <w:color w:val="auto"/>
                <w:kern w:val="0"/>
                <w:szCs w:val="21"/>
                <w:u w:val="single"/>
                <w:lang w:val="en-US" w:eastAsia="zh-CN"/>
              </w:rPr>
              <w:t xml:space="preserve">2 </w:t>
            </w:r>
            <w:r>
              <w:rPr>
                <w:rFonts w:cs="Times New Roman" w:hint="eastAsia"/>
                <w:b/>
                <w:bCs/>
                <w:color w:val="auto"/>
                <w:kern w:val="0"/>
                <w:szCs w:val="21"/>
                <w:u w:val="single"/>
                <w:lang w:eastAsia="zh-CN"/>
              </w:rPr>
              <w:t>项目</w:t>
            </w:r>
            <w:r>
              <w:rPr>
                <w:rFonts w:ascii="Times New Roman" w:eastAsia="宋体" w:cs="Times New Roman" w:hAnsi="Times New Roman" w:hint="eastAsia"/>
                <w:b/>
                <w:bCs/>
                <w:color w:val="auto"/>
                <w:kern w:val="0"/>
                <w:szCs w:val="21"/>
                <w:u w:val="single"/>
              </w:rPr>
              <w:t xml:space="preserve">水平衡图 </w:t>
            </w:r>
            <w:r>
              <w:rPr>
                <w:rFonts w:ascii="Times New Roman" w:eastAsia="宋体" w:cs="Times New Roman" w:hAnsi="Times New Roman" w:hint="eastAsia"/>
                <w:b/>
                <w:bCs/>
                <w:color w:val="auto"/>
                <w:kern w:val="0"/>
                <w:szCs w:val="21"/>
                <w:u w:val="single"/>
                <w:lang w:val="en-US" w:eastAsia="zh-CN"/>
              </w:rPr>
              <w:t>t/</w:t>
            </w:r>
            <w:r>
              <w:rPr>
                <w:rFonts w:cs="Times New Roman" w:hint="eastAsia"/>
                <w:b/>
                <w:bCs/>
                <w:color w:val="auto"/>
                <w:kern w:val="0"/>
                <w:szCs w:val="21"/>
                <w:u w:val="single"/>
                <w:lang w:val="en-US" w:eastAsia="zh-CN"/>
              </w:rPr>
              <w:t>a</w:t>
            </w:r>
            <w:r>
              <w:rPr>
                <w:rFonts w:hint="eastAsia"/>
                <w:b/>
                <w:bCs/>
                <w:color w:val="auto"/>
                <w:kern w:val="0"/>
                <w:szCs w:val="21"/>
                <w:u w:val="single"/>
              </w:rPr>
              <w:t xml:space="preserve"> </w:t>
            </w:r>
          </w:p>
          <w:p>
            <w:pPr>
              <w:spacing w:line="360" w:lineRule="auto"/>
              <w:ind w:firstLineChars="200" w:firstLine="480"/>
              <w:outlineLvl w:val="0"/>
              <w:rPr>
                <w:b/>
                <w:color w:val="auto"/>
                <w:sz w:val="24"/>
                <w:lang w:val="en-GB"/>
              </w:rPr>
            </w:pPr>
            <w:bookmarkStart w:id="14" w:name="_Toc8560"/>
            <w:r>
              <w:rPr>
                <w:b/>
                <w:color w:val="auto"/>
                <w:sz w:val="24"/>
              </w:rPr>
              <w:t>8、</w:t>
            </w:r>
            <w:r>
              <w:rPr>
                <w:b/>
                <w:color w:val="auto"/>
                <w:sz w:val="24"/>
                <w:lang w:val="en-GB"/>
              </w:rPr>
              <w:t>厂区平面布置</w:t>
            </w:r>
            <w:bookmarkEnd w:id="14"/>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hint="eastAsia"/>
                <w:color w:val="auto"/>
                <w:sz w:val="24"/>
                <w:szCs w:val="24"/>
              </w:rPr>
            </w:pPr>
            <w:r>
              <w:rPr>
                <w:rFonts w:hint="eastAsia"/>
                <w:color w:val="auto"/>
                <w:sz w:val="24"/>
                <w:szCs w:val="24"/>
              </w:rPr>
              <w:t>遵循紧凑布局、节约用地的原则，根据建设单位发展需要对工程的整体要求，在满足生产工艺和结合公用设施的前提下，根据调度方便的布置原则和工艺流程的要求</w:t>
            </w:r>
            <w:r>
              <w:rPr>
                <w:rFonts w:hint="eastAsia"/>
                <w:color w:val="auto"/>
                <w:sz w:val="24"/>
                <w:szCs w:val="24"/>
                <w:lang w:eastAsia="zh-CN"/>
              </w:rPr>
              <w:t>，</w:t>
            </w:r>
            <w:r>
              <w:rPr>
                <w:rFonts w:hint="eastAsia"/>
                <w:color w:val="auto"/>
                <w:sz w:val="24"/>
                <w:szCs w:val="24"/>
              </w:rPr>
              <w:t>对厂区进行总平面布置。</w:t>
            </w:r>
          </w:p>
          <w:p>
            <w:pPr>
              <w:spacing w:line="360" w:lineRule="auto"/>
              <w:ind w:firstLineChars="200" w:firstLine="480"/>
              <w:textAlignment w:val="center"/>
              <w:rPr>
                <w:color w:val="0000FF"/>
                <w:sz w:val="24"/>
              </w:rPr>
            </w:pPr>
            <w:r>
              <w:rPr>
                <w:rFonts w:hint="eastAsia"/>
                <w:color w:val="auto"/>
                <w:sz w:val="24"/>
                <w:lang w:eastAsia="zh-CN"/>
              </w:rPr>
              <w:t>厂区</w:t>
            </w:r>
            <w:r>
              <w:rPr>
                <w:color w:val="auto"/>
                <w:sz w:val="24"/>
              </w:rPr>
              <w:t>主门设于厂区</w:t>
            </w:r>
            <w:r>
              <w:rPr>
                <w:rFonts w:hint="eastAsia"/>
                <w:color w:val="auto"/>
                <w:sz w:val="24"/>
                <w:lang w:val="en-US" w:eastAsia="zh-CN"/>
              </w:rPr>
              <w:t>东</w:t>
            </w:r>
            <w:r>
              <w:rPr>
                <w:color w:val="auto"/>
                <w:sz w:val="24"/>
              </w:rPr>
              <w:t>侧。厂区及厂房布置设计符合设计规范，交通方便，布置合理，能够满足项目生产要求和相关环保要求，厂区平面布置详见附图。</w:t>
            </w:r>
          </w:p>
        </w:tc>
      </w:tr>
      <w:tr>
        <w:trPr>
          <w:trHeight w:val="9087"/>
        </w:trPr>
        <w:tc>
          <w:tcPr>
            <w:tcW w:w="248" w:type="pct"/>
            <w:vAlign w:val="center"/>
          </w:tcPr>
          <w:p>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工艺流程和产排污环节</w:t>
            </w:r>
          </w:p>
        </w:tc>
        <w:tc>
          <w:tcPr>
            <w:tcW w:w="4751" w:type="pct"/>
            <w:gridSpan w:val="2"/>
          </w:tcPr>
          <w:p>
            <w:pPr>
              <w:pStyle w:val="40"/>
              <w:adjustRightInd w:val="0"/>
              <w:snapToGrid w:val="0"/>
              <w:spacing w:before="0" w:beforeAutospacing="0"/>
              <w:ind w:firstLineChars="200" w:firstLine="480"/>
              <w:jc w:val="left"/>
              <w:rPr>
                <w:color w:val="auto"/>
              </w:rPr>
            </w:pPr>
            <w:r>
              <w:rPr>
                <w:color w:val="auto"/>
              </w:rPr>
              <w:t>1、施工期：</w:t>
            </w:r>
          </w:p>
          <w:p>
            <w:pPr>
              <w:spacing w:line="360" w:lineRule="auto"/>
              <w:ind w:firstLineChars="200" w:firstLine="480"/>
              <w:rPr>
                <w:color w:val="auto"/>
                <w:sz w:val="24"/>
              </w:rPr>
            </w:pPr>
            <w:r>
              <w:rPr>
                <w:rFonts w:ascii="Times New Roman" w:cs="Times New Roman" w:hAnsi="Times New Roman" w:hint="eastAsia"/>
                <w:b w:val="0"/>
                <w:color w:val="auto"/>
                <w:kern w:val="2"/>
                <w:sz w:val="24"/>
                <w:szCs w:val="24"/>
                <w:lang w:val="en-US" w:eastAsia="zh-CN" w:bidi="ar-SA"/>
              </w:rPr>
              <w:t>本项</w:t>
            </w:r>
            <w:r>
              <w:rPr>
                <w:color w:val="auto"/>
                <w:sz w:val="24"/>
              </w:rPr>
              <w:t>目施工主要为少量的土方开挖、厂房建设、设备安装以及少量的装饰工程，总体土建施工较少，土建施工期较短。因此，项目施工期产生的污染较少，主要为少量施工粉尘、施工噪声、建筑垃圾，以及施工人员生活垃圾和生活污水等。</w:t>
            </w:r>
          </w:p>
          <w:p>
            <w:pPr>
              <w:spacing w:line="360" w:lineRule="auto"/>
              <w:ind w:firstLineChars="200" w:firstLine="420"/>
              <w:jc w:val="center"/>
              <w:rPr>
                <w:color w:val="auto"/>
              </w:rPr>
            </w:pPr>
            <w:r>
              <w:rPr>
                <w:color w:val="auto"/>
              </w:rPr>
              <w:drawing>
                <wp:inline distT="0" distB="0" distL="114300" distR="114300">
                  <wp:extent cx="4983480" cy="1864995"/>
                  <wp:effectExtent l="0" t="0" r="0" b="1"/>
                  <wp:docPr id="31" name="图片 31" descr="1562895180(1)"/>
                  <wp:cNvGraphicFramePr>
                    <a:graphicFrameLocks noChangeAspect="1"/>
                  </wp:cNvGraphicFramePr>
                  <a:graphic>
                    <a:graphicData uri="http://schemas.openxmlformats.org/drawingml/2006/picture">
                      <pic:pic>
                        <pic:nvPicPr>
                          <pic:cNvPr id="6" name="图片 6"/>
                          <pic:cNvPicPr/>
                        </pic:nvPicPr>
                        <pic:blipFill>
                          <a:blip r:embed="rId8"/>
                          <a:stretch>
                            <a:fillRect/>
                          </a:stretch>
                        </pic:blipFill>
                        <pic:spPr>
                          <a:xfrm rot="0">
                            <a:off x="0" y="0"/>
                            <a:ext cx="4983480" cy="1864995"/>
                          </a:xfrm>
                          <a:prstGeom prst="rect"/>
                          <a:noFill/>
                          <a:ln cmpd="sng" cap="flat">
                            <a:noFill/>
                            <a:prstDash val="solid"/>
                            <a:round/>
                          </a:ln>
                        </pic:spPr>
                      </pic:pic>
                    </a:graphicData>
                  </a:graphic>
                </wp:inline>
              </w:drawing>
            </w:r>
          </w:p>
          <w:p>
            <w:pPr>
              <w:spacing w:line="360" w:lineRule="auto"/>
              <w:ind w:firstLineChars="200" w:firstLine="420"/>
              <w:jc w:val="center"/>
              <w:rPr>
                <w:b w:val="0"/>
                <w:color w:val="auto"/>
              </w:rPr>
            </w:pPr>
            <w:r>
              <w:rPr>
                <w:b/>
                <w:bCs/>
                <w:color w:val="auto"/>
              </w:rPr>
              <w:t>图2-</w:t>
            </w:r>
            <w:r>
              <w:rPr>
                <w:rFonts w:hint="eastAsia"/>
                <w:b/>
                <w:bCs/>
                <w:color w:val="auto"/>
                <w:lang w:val="en-US" w:eastAsia="zh-CN"/>
              </w:rPr>
              <w:t>3</w:t>
            </w:r>
            <w:r>
              <w:rPr>
                <w:b/>
                <w:bCs/>
                <w:color w:val="auto"/>
              </w:rPr>
              <w:t xml:space="preserve"> 施工期工艺流程及产污节点图</w:t>
            </w:r>
          </w:p>
          <w:p>
            <w:pPr>
              <w:pStyle w:val="40"/>
              <w:adjustRightInd w:val="0"/>
              <w:snapToGrid w:val="0"/>
              <w:spacing w:before="0" w:beforeAutospacing="0"/>
              <w:ind w:firstLineChars="200" w:firstLine="480"/>
              <w:jc w:val="left"/>
              <w:rPr>
                <w:rFonts w:ascii="Times New Roman" w:eastAsia="宋体" w:cs="Times New Roman" w:hAnsi="Times New Roman" w:hint="eastAsia"/>
                <w:color w:val="auto"/>
                <w:lang w:val="en-US" w:eastAsia="zh-CN"/>
              </w:rPr>
            </w:pPr>
            <w:r>
              <w:rPr>
                <w:rFonts w:ascii="Times New Roman" w:eastAsia="宋体" w:cs="Times New Roman" w:hAnsi="Times New Roman"/>
                <w:color w:val="auto"/>
              </w:rPr>
              <w:t>2、运营期：</w:t>
            </w:r>
          </w:p>
          <w:p>
            <w:pPr>
              <w:keepNext w:val="0"/>
              <w:keepLines w:val="0"/>
              <w:pageBreakBefore w:val="0"/>
              <w:widowControl w:val="0"/>
              <w:kinsoku/>
              <w:wordWrap/>
              <w:overflowPunct/>
              <w:topLinePunct w:val="0"/>
              <w:autoSpaceDE/>
              <w:autoSpaceDN/>
              <w:bidi w:val="0"/>
              <w:adjustRightInd/>
              <w:snapToGrid/>
              <w:spacing w:beforeLines="50" w:before="120" w:line="360" w:lineRule="auto"/>
              <w:jc w:val="center"/>
              <w:textAlignment w:val="auto"/>
              <w:rPr>
                <w:rFonts w:ascii="Times New Roman" w:eastAsia="宋体" w:cs="Times New Roman" w:hAnsi="Times New Roman" w:hint="eastAsia"/>
                <w:b/>
                <w:bCs/>
                <w:color w:val="auto"/>
                <w:szCs w:val="21"/>
                <w:lang w:eastAsia="zh-CN"/>
              </w:rPr>
            </w:pPr>
            <w:r>
              <w:drawing>
                <wp:inline distT="0" distB="0" distL="114300" distR="114300">
                  <wp:extent cx="4612640" cy="6855459"/>
                  <wp:effectExtent l="0" t="1" r="0" b="0"/>
                  <wp:docPr id="32" name="图片 3"/>
                  <wp:cNvGraphicFramePr>
                    <a:graphicFrameLocks noChangeAspect="1"/>
                  </wp:cNvGraphicFramePr>
                  <a:graphic>
                    <a:graphicData uri="http://schemas.openxmlformats.org/drawingml/2006/picture">
                      <pic:pic>
                        <pic:nvPicPr>
                          <pic:cNvPr id="8" name="图片 3 8"/>
                          <pic:cNvPicPr/>
                        </pic:nvPicPr>
                        <pic:blipFill>
                          <a:blip r:embed="rId9"/>
                          <a:srcRect t="3049" b="3243" l="4549" r="7199"/>
                          <a:stretch>
                            <a:fillRect/>
                          </a:stretch>
                        </pic:blipFill>
                        <pic:spPr>
                          <a:xfrm rot="0">
                            <a:off x="0" y="0"/>
                            <a:ext cx="4612640" cy="6855459"/>
                          </a:xfrm>
                          <a:prstGeom prst="rect"/>
                          <a:noFill/>
                          <a:ln cmpd="sng" cap="flat">
                            <a:noFill/>
                            <a:prstDash val="solid"/>
                            <a:rou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50" w:before="120" w:line="360" w:lineRule="auto"/>
              <w:jc w:val="center"/>
              <w:textAlignment w:val="auto"/>
              <w:rPr>
                <w:rFonts w:ascii="Times New Roman" w:eastAsia="宋体" w:cs="Times New Roman" w:hAnsi="Times New Roman"/>
                <w:b/>
                <w:bCs/>
                <w:color w:val="auto"/>
                <w:szCs w:val="21"/>
                <w:u w:val="single"/>
                <w:lang w:eastAsia="zh-CN"/>
              </w:rPr>
            </w:pPr>
            <w:r>
              <w:rPr>
                <w:rFonts w:ascii="Times New Roman" w:cs="Times New Roman" w:hAnsi="Times New Roman"/>
                <w:b/>
                <w:bCs/>
                <w:color w:val="auto"/>
                <w:szCs w:val="21"/>
                <w:u w:val="single"/>
              </w:rPr>
              <w:t>图</w:t>
            </w:r>
            <w:r>
              <w:rPr>
                <w:rFonts w:ascii="Times New Roman" w:cs="Times New Roman" w:hAnsi="Times New Roman" w:hint="eastAsia"/>
                <w:b/>
                <w:bCs/>
                <w:color w:val="auto"/>
                <w:szCs w:val="21"/>
                <w:u w:val="single"/>
                <w:lang w:val="en-US" w:eastAsia="zh-CN"/>
              </w:rPr>
              <w:t xml:space="preserve"> </w:t>
            </w:r>
            <w:r>
              <w:rPr>
                <w:rFonts w:cs="Times New Roman" w:hint="eastAsia"/>
                <w:b/>
                <w:bCs/>
                <w:color w:val="auto"/>
                <w:szCs w:val="21"/>
                <w:u w:val="single"/>
                <w:lang w:val="en-US" w:eastAsia="zh-CN"/>
              </w:rPr>
              <w:t>2-4</w:t>
            </w:r>
            <w:r>
              <w:rPr>
                <w:rFonts w:ascii="Times New Roman" w:cs="Times New Roman" w:hAnsi="Times New Roman"/>
                <w:b/>
                <w:bCs/>
                <w:color w:val="auto"/>
                <w:szCs w:val="21"/>
                <w:u w:val="single"/>
              </w:rPr>
              <w:t xml:space="preserve"> </w:t>
            </w:r>
            <w:r>
              <w:rPr>
                <w:rFonts w:ascii="Times New Roman" w:hAnsi="Times New Roman"/>
                <w:b/>
                <w:bCs/>
                <w:color w:val="auto"/>
                <w:szCs w:val="21"/>
                <w:u w:val="single"/>
              </w:rPr>
              <w:t>生产工艺流程及产污环节图</w:t>
            </w:r>
          </w:p>
          <w:p>
            <w:pPr>
              <w:snapToGrid w:val="0"/>
              <w:spacing w:line="360" w:lineRule="auto"/>
              <w:ind w:firstLineChars="200" w:firstLine="480"/>
              <w:rPr>
                <w:rFonts w:ascii="Times New Roman" w:hAnsi="Times New Roman" w:hint="eastAsia"/>
                <w:b/>
                <w:bCs/>
                <w:color w:val="auto"/>
                <w:kern w:val="0"/>
                <w:sz w:val="24"/>
              </w:rPr>
            </w:pPr>
            <w:r>
              <w:rPr>
                <w:rFonts w:ascii="Times New Roman" w:hAnsi="Times New Roman" w:hint="eastAsia"/>
                <w:b/>
                <w:bCs/>
                <w:color w:val="auto"/>
                <w:kern w:val="0"/>
                <w:sz w:val="24"/>
              </w:rPr>
              <w:t>工艺流程说明：</w:t>
            </w:r>
          </w:p>
          <w:p>
            <w:pPr>
              <w:spacing w:line="360" w:lineRule="auto"/>
              <w:ind w:firstLineChars="200" w:firstLine="480"/>
              <w:rPr>
                <w:rFonts w:ascii="Times New Roman" w:eastAsia="宋体" w:cs="Times New Roman" w:hAnsi="Times New Roman" w:hint="eastAsia"/>
                <w:color w:val="auto"/>
                <w:sz w:val="24"/>
                <w:szCs w:val="24"/>
                <w:lang w:eastAsia="zh-CN"/>
              </w:rPr>
            </w:pPr>
            <w:r>
              <w:rPr>
                <w:rFonts w:ascii="Times New Roman" w:cs="Times New Roman" w:hAnsi="Times New Roman" w:hint="eastAsia"/>
                <w:color w:val="auto"/>
                <w:sz w:val="24"/>
                <w:szCs w:val="24"/>
              </w:rPr>
              <w:t>①</w:t>
            </w:r>
            <w:r>
              <w:rPr>
                <w:rFonts w:cs="Times New Roman" w:hint="eastAsia"/>
                <w:color w:val="auto"/>
                <w:sz w:val="24"/>
                <w:szCs w:val="24"/>
                <w:lang w:val="en-US" w:eastAsia="zh-CN"/>
              </w:rPr>
              <w:t>烘干</w:t>
            </w:r>
            <w:r>
              <w:rPr>
                <w:rFonts w:cs="Times New Roman" w:hint="eastAsia"/>
                <w:color w:val="auto"/>
                <w:sz w:val="24"/>
                <w:szCs w:val="24"/>
                <w:lang w:eastAsia="zh-CN"/>
              </w:rPr>
              <w:t>：项目油茶籽通过烘干机进行烘干，烘干温度为50~60℃，烘干后茶籽含水率12~14%；</w:t>
            </w:r>
          </w:p>
          <w:p>
            <w:pPr>
              <w:spacing w:line="360" w:lineRule="auto"/>
              <w:ind w:firstLineChars="200" w:firstLine="480"/>
              <w:rPr>
                <w:rFonts w:ascii="Times New Roman" w:eastAsia="宋体" w:cs="Times New Roman" w:hAnsi="Times New Roman" w:hint="eastAsia"/>
                <w:color w:val="auto"/>
                <w:sz w:val="24"/>
                <w:szCs w:val="24"/>
                <w:lang w:eastAsia="zh-CN"/>
              </w:rPr>
            </w:pPr>
            <w:r>
              <w:rPr>
                <w:rFonts w:ascii="Times New Roman" w:cs="Times New Roman" w:hAnsi="Times New Roman" w:hint="eastAsia"/>
                <w:color w:val="auto"/>
                <w:sz w:val="24"/>
                <w:szCs w:val="24"/>
              </w:rPr>
              <w:t>②</w:t>
            </w:r>
            <w:r>
              <w:rPr>
                <w:rFonts w:hint="eastAsia"/>
                <w:b w:val="0"/>
                <w:bCs/>
                <w:sz w:val="24"/>
              </w:rPr>
              <w:t>剥壳</w:t>
            </w:r>
            <w:r>
              <w:rPr>
                <w:rFonts w:hint="eastAsia"/>
                <w:b w:val="0"/>
                <w:bCs/>
                <w:sz w:val="24"/>
                <w:lang w:eastAsia="zh-CN"/>
              </w:rPr>
              <w:t>：</w:t>
            </w:r>
            <w:r>
              <w:rPr>
                <w:rFonts w:hAnsi="宋体" w:hint="eastAsia"/>
                <w:bCs/>
                <w:sz w:val="24"/>
              </w:rPr>
              <w:t>烘干后的茶籽经过斗式提升机提升，进入下道剥壳工序。为确保茶籽油质量，茶籽在仓库储存时间为3个月左右，全部压榨成毛油，贮存或精炼，茶籽贮存时间过长影响出油率</w:t>
            </w:r>
            <w:r>
              <w:rPr>
                <w:rFonts w:hAnsi="宋体" w:hint="eastAsia"/>
                <w:bCs/>
                <w:sz w:val="24"/>
                <w:lang w:eastAsia="zh-CN"/>
              </w:rPr>
              <w:t>，</w:t>
            </w:r>
            <w:r>
              <w:rPr>
                <w:rFonts w:hAnsi="宋体" w:hint="eastAsia"/>
                <w:bCs/>
                <w:sz w:val="24"/>
                <w:lang w:val="en-US" w:eastAsia="zh-CN"/>
              </w:rPr>
              <w:t>脱壳的过程中用风选的方法进行壳仁分离</w:t>
            </w:r>
            <w:r>
              <w:rPr>
                <w:rFonts w:cs="Times New Roman" w:hint="eastAsia"/>
                <w:color w:val="auto"/>
                <w:sz w:val="24"/>
                <w:szCs w:val="24"/>
                <w:lang w:eastAsia="zh-CN"/>
              </w:rPr>
              <w:t>；</w:t>
            </w:r>
          </w:p>
          <w:p>
            <w:pPr>
              <w:spacing w:line="360" w:lineRule="auto"/>
              <w:ind w:firstLineChars="200" w:firstLine="480"/>
              <w:rPr>
                <w:rFonts w:eastAsia="宋体" w:hint="eastAsia"/>
                <w:color w:val="auto"/>
                <w:lang w:eastAsia="zh-CN"/>
              </w:rPr>
            </w:pPr>
            <w:r>
              <w:rPr>
                <w:rFonts w:ascii="Times New Roman" w:cs="Times New Roman" w:hAnsi="Times New Roman" w:hint="eastAsia"/>
                <w:color w:val="auto"/>
                <w:sz w:val="24"/>
                <w:szCs w:val="24"/>
              </w:rPr>
              <w:t>③压榨</w:t>
            </w:r>
            <w:r>
              <w:rPr>
                <w:rFonts w:cs="Times New Roman" w:hint="eastAsia"/>
                <w:color w:val="auto"/>
                <w:sz w:val="24"/>
                <w:szCs w:val="24"/>
                <w:lang w:eastAsia="zh-CN"/>
              </w:rPr>
              <w:t>：</w:t>
            </w:r>
            <w:r>
              <w:rPr>
                <w:rFonts w:hint="eastAsia"/>
                <w:sz w:val="24"/>
              </w:rPr>
              <w:t>将</w:t>
            </w:r>
            <w:r>
              <w:rPr>
                <w:rFonts w:hAnsi="宋体" w:hint="eastAsia"/>
                <w:bCs/>
                <w:sz w:val="24"/>
              </w:rPr>
              <w:t>茶籽粉碎后利用微电脑提升机提升到榨油机内加压，将茶籽内的油脂尽量压榨出，降低油饼的残油率</w:t>
            </w:r>
            <w:r>
              <w:rPr>
                <w:rFonts w:ascii="Times New Roman" w:eastAsia="宋体" w:cs="Times New Roman" w:hAnsi="Times New Roman" w:hint="eastAsia"/>
                <w:color w:val="auto"/>
                <w:kern w:val="2"/>
                <w:sz w:val="24"/>
                <w:szCs w:val="24"/>
                <w:lang w:val="en-US" w:eastAsia="zh-CN" w:bidi="ar-SA"/>
              </w:rPr>
              <w:t>，压榨完的渣饼收集暂存于渣饼库中，外售；本项目采用专用冷榨机，入榨温度在70℃~80℃</w:t>
            </w:r>
            <w:r>
              <w:rPr>
                <w:rFonts w:hAnsi="宋体" w:hint="eastAsia"/>
                <w:bCs/>
                <w:sz w:val="24"/>
              </w:rPr>
              <w:t>左右，避免高温引起的茶籽油颜色变深，有效成分损失等</w:t>
            </w:r>
            <w:r>
              <w:rPr>
                <w:rFonts w:hint="eastAsia"/>
                <w:color w:val="auto"/>
                <w:lang w:eastAsia="zh-CN"/>
              </w:rPr>
              <w:t>；</w:t>
            </w:r>
          </w:p>
          <w:p>
            <w:pPr>
              <w:pStyle w:val="34"/>
              <w:tabs>
                <w:tab w:val="left" w:pos="22680"/>
              </w:tabs>
              <w:rPr>
                <w:rFonts w:eastAsia="宋体" w:hint="eastAsia"/>
                <w:color w:val="auto"/>
                <w:lang w:eastAsia="zh-CN"/>
              </w:rPr>
            </w:pPr>
            <w:r>
              <w:rPr>
                <w:rFonts w:hint="eastAsia"/>
                <w:color w:val="auto"/>
              </w:rPr>
              <w:t>④初次过滤</w:t>
            </w:r>
            <w:r>
              <w:rPr>
                <w:rFonts w:hint="eastAsia"/>
                <w:color w:val="auto"/>
                <w:lang w:eastAsia="zh-CN"/>
              </w:rPr>
              <w:t>：</w:t>
            </w:r>
            <w:r>
              <w:rPr>
                <w:rFonts w:hint="eastAsia"/>
                <w:sz w:val="24"/>
              </w:rPr>
              <w:t>榨出的油经滤油机滤去油渣得到毛油，毛油送至精炼车间或暂存罐存储，过滤产生的滤渣的定期清运</w:t>
            </w:r>
            <w:r>
              <w:rPr>
                <w:rFonts w:hint="eastAsia"/>
                <w:sz w:val="24"/>
                <w:u w:val="single"/>
                <w:lang w:eastAsia="zh-CN"/>
              </w:rPr>
              <w:t>，</w:t>
            </w:r>
            <w:r>
              <w:rPr>
                <w:rFonts w:hint="eastAsia"/>
                <w:sz w:val="24"/>
                <w:u w:val="single"/>
                <w:lang w:val="en-US" w:eastAsia="zh-CN"/>
              </w:rPr>
              <w:t>有精炼需求的产品会进入后期的精炼工序，没有的直接进入脱脂后罐装出厂</w:t>
            </w:r>
            <w:r>
              <w:rPr>
                <w:rFonts w:hint="eastAsia"/>
                <w:color w:val="auto"/>
                <w:lang w:eastAsia="zh-CN"/>
              </w:rPr>
              <w:t>；</w:t>
            </w:r>
          </w:p>
          <w:p>
            <w:pPr>
              <w:pStyle w:val="34"/>
              <w:tabs>
                <w:tab w:val="left" w:pos="22680"/>
              </w:tabs>
              <w:rPr>
                <w:rFonts w:hint="eastAsia"/>
                <w:color w:val="FF0000"/>
                <w:lang w:val="en-US" w:eastAsia="zh-CN"/>
              </w:rPr>
            </w:pPr>
            <w:r>
              <w:rPr>
                <w:rFonts w:hint="eastAsia"/>
                <w:color w:val="auto"/>
              </w:rPr>
              <w:t>⑤脱胶</w:t>
            </w:r>
            <w:r>
              <w:rPr>
                <w:rFonts w:hint="eastAsia"/>
                <w:color w:val="auto"/>
                <w:lang w:val="en-US" w:eastAsia="zh-CN"/>
              </w:rPr>
              <w:t>：</w:t>
            </w:r>
            <w:r>
              <w:rPr>
                <w:rFonts w:ascii="Times New Roman" w:eastAsia="宋体" w:cs="Times New Roman" w:hAnsi="Times New Roman" w:hint="eastAsia"/>
                <w:color w:val="auto"/>
                <w:kern w:val="2"/>
                <w:sz w:val="24"/>
                <w:szCs w:val="24"/>
                <w:lang w:val="en-US" w:eastAsia="zh-CN" w:bidi="ar-SA"/>
              </w:rPr>
              <w:t>毛油中含有磷脂、蛋白质、粘液质等杂质，因与油脂组成溶胶体系而称之为胶溶性杂质，这些胶溶性杂质的存在不仅降低了油脂的使用价值和储存稳定性，而且在后续精炼过程中会有一系列不良的影响，导致成品油质量下降，因此，油脂精炼工艺中一般需要脱胶；</w:t>
            </w:r>
          </w:p>
          <w:p>
            <w:pPr>
              <w:pStyle w:val="34"/>
              <w:tabs>
                <w:tab w:val="left" w:pos="22680"/>
              </w:tabs>
              <w:rPr>
                <w:rFonts w:hint="eastAsia"/>
                <w:color w:val="FF0000"/>
              </w:rPr>
            </w:pPr>
            <w:r>
              <w:rPr>
                <w:rFonts w:hint="eastAsia"/>
                <w:color w:val="auto"/>
                <w:lang w:val="en-US" w:eastAsia="zh-CN"/>
              </w:rPr>
              <w:t>⑥脱酸</w:t>
            </w:r>
            <w:r>
              <w:rPr>
                <w:rFonts w:hint="eastAsia"/>
                <w:color w:val="auto"/>
                <w:lang w:eastAsia="zh-CN"/>
              </w:rPr>
              <w:t>：</w:t>
            </w:r>
            <w:r>
              <w:rPr>
                <w:rFonts w:ascii="Times New Roman" w:eastAsia="宋体" w:cs="Times New Roman" w:hAnsi="Times New Roman" w:hint="eastAsia"/>
                <w:color w:val="auto"/>
                <w:kern w:val="2"/>
                <w:sz w:val="24"/>
                <w:szCs w:val="24"/>
                <w:lang w:val="en-US" w:eastAsia="zh-CN" w:bidi="ar-SA"/>
              </w:rPr>
              <w:t>脱胶后的毛油40分钟后加入碱液（浓度为10%，有碱片调制而成），混合后送至碱反应罐中反应，在碱化反应罐中NaOH，将会中和油中的脂肪酸，并将油中的磷脂皂化；混合后油加热到80~90℃进入脱皂离心机将重相皂角和胶杂一起分离排到皂角罐，轻相油利用导热油锅炉加热干燥后的脱胶、脱酸油进入脱色工段；</w:t>
            </w:r>
          </w:p>
          <w:p>
            <w:pPr>
              <w:pStyle w:val="34"/>
              <w:tabs>
                <w:tab w:val="left" w:pos="22680"/>
              </w:tabs>
              <w:rPr>
                <w:rFonts w:hint="eastAsia"/>
                <w:color w:val="auto"/>
                <w:lang w:val="en-US" w:eastAsia="zh-CN"/>
              </w:rPr>
            </w:pPr>
            <w:r>
              <w:rPr>
                <w:rFonts w:hint="eastAsia"/>
                <w:color w:val="auto"/>
                <w:lang w:val="en-US" w:eastAsia="zh-CN"/>
              </w:rPr>
              <w:t>⑦脱色：经脱胶、脱酸油利用脱色罐内的负压将预脱色油吸入脱色罐内，加入活性炭进行脱色，待油冷却后通入过滤机过滤；</w:t>
            </w:r>
          </w:p>
          <w:p>
            <w:pPr>
              <w:pStyle w:val="34"/>
              <w:tabs>
                <w:tab w:val="left" w:pos="22680"/>
              </w:tabs>
              <w:rPr>
                <w:rFonts w:hint="eastAsia"/>
                <w:color w:val="auto"/>
                <w:lang w:val="en-US" w:eastAsia="zh-CN"/>
              </w:rPr>
            </w:pPr>
            <w:r>
              <w:rPr>
                <w:rFonts w:hint="eastAsia"/>
                <w:color w:val="auto"/>
                <w:lang w:val="en-US" w:eastAsia="zh-CN"/>
              </w:rPr>
              <w:t>⑧脱臭：不同的油脂都具有多种不同程度的气味，统称为“臭味”，引起油脂中“臭味”主要是油脂中的脂肪酸，其它臭味成分含量极少，脱臭的过程中主要是去掉油脂的脂肪酸，油脱臭里利用油脂中的脂肪酸等物质与油脂在不同的温度上挥发的差异，在高温和真空的条件下借助水蒸气蒸馏脱出臭味的过程；</w:t>
            </w:r>
          </w:p>
          <w:p>
            <w:pPr>
              <w:pStyle w:val="34"/>
              <w:keepNext w:val="0"/>
              <w:keepLines w:val="0"/>
              <w:pageBreakBefore w:val="0"/>
              <w:widowControl w:val="0"/>
              <w:tabs>
                <w:tab w:val="left" w:pos="22680"/>
              </w:tabs>
              <w:kinsoku/>
              <w:wordWrap w:val="0"/>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经安全过滤的脱色油进入析气器中真空除去水</w:t>
            </w:r>
            <w:r>
              <w:rPr>
                <w:color w:val="auto"/>
                <w:lang w:val="en-US" w:eastAsia="zh-CN"/>
              </w:rPr>
              <w:t>分</w:t>
            </w:r>
            <w:bookmarkStart w:id="15" w:name="_GoBack"/>
            <w:bookmarkEnd w:id="15"/>
            <w:r>
              <w:rPr>
                <w:rFonts w:hint="eastAsia"/>
                <w:color w:val="auto"/>
                <w:lang w:val="en-US" w:eastAsia="zh-CN"/>
              </w:rPr>
              <w:t>除氧，再由泵抽出与脱臭塔出</w:t>
            </w:r>
            <w:r>
              <w:rPr>
                <w:rFonts w:ascii="Times New Roman" w:eastAsia="宋体" w:cs="Times New Roman" w:hAnsi="Times New Roman" w:hint="eastAsia"/>
                <w:color w:val="auto"/>
                <w:kern w:val="2"/>
                <w:sz w:val="24"/>
                <w:szCs w:val="24"/>
                <w:lang w:val="en-US" w:eastAsia="zh-CN" w:bidi="ar-SA"/>
              </w:rPr>
              <w:t>来的高温油进行两次热交换，然后经过高温列管式加热器进一步加热至250~260℃进入脱臭塔中。在直接蒸气的作用下，经过1.5~2个小时的气提、蒸馏，油中的脂肪酸等物质被蒸发出。脱臭塔出来的油经高温油泵抽出后与待脱臭油两次热交换，再经冷却器冷却（40℃）</w:t>
            </w:r>
            <w:r>
              <w:rPr>
                <w:rFonts w:ascii="Times New Roman" w:eastAsia="宋体" w:cs="Times New Roman" w:hAnsi="Times New Roman" w:hint="eastAsia"/>
                <w:color w:val="auto"/>
                <w:sz w:val="24"/>
                <w:szCs w:val="24"/>
                <w:lang w:eastAsia="zh-CN"/>
              </w:rPr>
              <w:t>，即得成品油</w:t>
            </w:r>
            <w:r>
              <w:rPr>
                <w:rFonts w:hint="eastAsia"/>
                <w:color w:val="auto"/>
                <w:lang w:val="en-US" w:eastAsia="zh-CN"/>
              </w:rPr>
              <w:t>；</w:t>
            </w:r>
          </w:p>
          <w:p>
            <w:pPr>
              <w:pStyle w:val="34"/>
              <w:tabs>
                <w:tab w:val="left" w:pos="22680"/>
              </w:tabs>
              <w:rPr>
                <w:rFonts w:hint="eastAsia"/>
                <w:color w:val="auto"/>
                <w:lang w:val="en-US" w:eastAsia="zh-CN"/>
              </w:rPr>
            </w:pPr>
            <w:r>
              <w:rPr>
                <w:rFonts w:hint="eastAsia"/>
                <w:color w:val="auto"/>
                <w:lang w:val="en-US" w:eastAsia="zh-CN"/>
              </w:rPr>
              <w:t>⑨脱脂：</w:t>
            </w:r>
            <w:r>
              <w:rPr>
                <w:rFonts w:ascii="Arial" w:eastAsia="Arial" w:cs="Arial" w:hAnsi="Arial"/>
                <w:i w:val="0"/>
                <w:iCs w:val="0"/>
                <w:caps w:val="0"/>
                <w:smallCaps w:val="0"/>
                <w:color w:val="333333"/>
                <w:spacing w:val="0"/>
                <w:sz w:val="24"/>
                <w:szCs w:val="24"/>
                <w:shd w:val="clear" w:color="auto" w:fill="FFFFFF"/>
              </w:rPr>
              <w:t>通过降温结晶，分离出油中高熔点的固醇和低熔点的液油</w:t>
            </w:r>
            <w:r>
              <w:rPr>
                <w:rFonts w:hint="eastAsia"/>
                <w:color w:val="auto"/>
                <w:lang w:val="en-US" w:eastAsia="zh-CN"/>
              </w:rPr>
              <w:t>；</w:t>
            </w:r>
          </w:p>
          <w:p>
            <w:pPr>
              <w:pStyle w:val="34"/>
              <w:tabs>
                <w:tab w:val="left" w:pos="22680"/>
              </w:tabs>
              <w:rPr>
                <w:rFonts w:hint="eastAsia"/>
                <w:sz w:val="24"/>
                <w:lang w:eastAsia="zh-CN"/>
              </w:rPr>
            </w:pPr>
            <w:r>
              <w:rPr>
                <w:rFonts w:hint="eastAsia"/>
                <w:color w:val="auto"/>
                <w:lang w:val="en-US" w:eastAsia="zh-CN"/>
              </w:rPr>
              <w:t>⑩灌装：</w:t>
            </w:r>
            <w:r>
              <w:rPr>
                <w:sz w:val="24"/>
              </w:rPr>
              <w:t>得到的精炼油通过全自动灌装机装入油瓶中</w:t>
            </w:r>
            <w:r>
              <w:rPr>
                <w:bCs/>
                <w:sz w:val="24"/>
              </w:rPr>
              <w:t>，储存于产品仓库</w:t>
            </w:r>
            <w:r>
              <w:rPr>
                <w:rFonts w:hint="eastAsia"/>
                <w:sz w:val="24"/>
              </w:rPr>
              <w:t>，做好入库、出库记录</w:t>
            </w:r>
            <w:r>
              <w:rPr>
                <w:rFonts w:hint="eastAsia"/>
                <w:sz w:val="24"/>
                <w:lang w:eastAsia="zh-CN"/>
              </w:rPr>
              <w:t>。</w:t>
            </w:r>
          </w:p>
          <w:p>
            <w:pPr>
              <w:pStyle w:val="34"/>
              <w:tabs>
                <w:tab w:val="left" w:pos="22680"/>
              </w:tabs>
              <w:ind w:left="0" w:firstLineChars="0" w:firstLine="0"/>
              <w:jc w:val="center"/>
            </w:pPr>
            <w:r>
              <w:drawing>
                <wp:inline distT="0" distB="0" distL="114300" distR="114300">
                  <wp:extent cx="5427980" cy="1099819"/>
                  <wp:effectExtent l="0" t="1" r="0" b="1"/>
                  <wp:docPr id="33" name="图片 11"/>
                  <wp:cNvGraphicFramePr>
                    <a:graphicFrameLocks noChangeAspect="1"/>
                  </wp:cNvGraphicFramePr>
                  <a:graphic>
                    <a:graphicData uri="http://schemas.openxmlformats.org/drawingml/2006/picture">
                      <pic:pic>
                        <pic:nvPicPr>
                          <pic:cNvPr id="10" name="图片 11 10"/>
                          <pic:cNvPicPr/>
                        </pic:nvPicPr>
                        <pic:blipFill>
                          <a:blip r:embed="rId10"/>
                          <a:srcRect b="14764"/>
                          <a:stretch>
                            <a:fillRect/>
                          </a:stretch>
                        </pic:blipFill>
                        <pic:spPr>
                          <a:xfrm rot="0">
                            <a:off x="0" y="0"/>
                            <a:ext cx="5427980" cy="1099819"/>
                          </a:xfrm>
                          <a:prstGeom prst="rect"/>
                          <a:noFill/>
                          <a:ln cmpd="sng" cap="flat">
                            <a:noFill/>
                            <a:prstDash val="solid"/>
                            <a:rou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50" w:before="120" w:line="360" w:lineRule="auto"/>
              <w:jc w:val="center"/>
              <w:textAlignment w:val="auto"/>
              <w:rPr>
                <w:rFonts w:ascii="Times New Roman" w:eastAsia="宋体" w:cs="Times New Roman" w:hAnsi="Times New Roman"/>
                <w:b/>
                <w:bCs/>
                <w:color w:val="auto"/>
                <w:szCs w:val="21"/>
                <w:u w:val="single"/>
                <w:lang w:eastAsia="zh-CN"/>
              </w:rPr>
            </w:pPr>
            <w:r>
              <w:rPr>
                <w:rFonts w:ascii="Times New Roman" w:cs="Times New Roman" w:hAnsi="Times New Roman"/>
                <w:b/>
                <w:bCs/>
                <w:color w:val="auto"/>
                <w:szCs w:val="21"/>
                <w:u w:val="single"/>
              </w:rPr>
              <w:t>图</w:t>
            </w:r>
            <w:r>
              <w:rPr>
                <w:rFonts w:ascii="Times New Roman" w:cs="Times New Roman" w:hAnsi="Times New Roman" w:hint="eastAsia"/>
                <w:b/>
                <w:bCs/>
                <w:color w:val="auto"/>
                <w:szCs w:val="21"/>
                <w:u w:val="single"/>
                <w:lang w:val="en-US" w:eastAsia="zh-CN"/>
              </w:rPr>
              <w:t xml:space="preserve"> </w:t>
            </w:r>
            <w:r>
              <w:rPr>
                <w:rFonts w:cs="Times New Roman" w:hint="eastAsia"/>
                <w:b/>
                <w:bCs/>
                <w:color w:val="auto"/>
                <w:szCs w:val="21"/>
                <w:u w:val="single"/>
                <w:lang w:val="en-US" w:eastAsia="zh-CN"/>
              </w:rPr>
              <w:t>2-5</w:t>
            </w:r>
            <w:r>
              <w:rPr>
                <w:rFonts w:ascii="Times New Roman" w:cs="Times New Roman" w:hAnsi="Times New Roman"/>
                <w:b/>
                <w:bCs/>
                <w:color w:val="auto"/>
                <w:szCs w:val="21"/>
                <w:u w:val="single"/>
              </w:rPr>
              <w:t xml:space="preserve"> </w:t>
            </w:r>
            <w:r>
              <w:rPr>
                <w:rFonts w:hint="eastAsia"/>
                <w:b/>
                <w:bCs/>
                <w:color w:val="auto"/>
                <w:szCs w:val="21"/>
                <w:u w:val="single"/>
                <w:lang w:val="en-US" w:eastAsia="zh-CN"/>
              </w:rPr>
              <w:t>废水处理流程</w:t>
            </w:r>
            <w:r>
              <w:rPr>
                <w:rFonts w:ascii="Times New Roman" w:hAnsi="Times New Roman"/>
                <w:b/>
                <w:bCs/>
                <w:color w:val="auto"/>
                <w:szCs w:val="21"/>
                <w:u w:val="single"/>
              </w:rPr>
              <w:t>图</w:t>
            </w:r>
          </w:p>
          <w:p>
            <w:pPr>
              <w:tabs>
                <w:tab w:val="left" w:pos="2548"/>
              </w:tabs>
              <w:jc w:val="center"/>
              <w:rPr>
                <w:b/>
                <w:color w:val="auto"/>
                <w:szCs w:val="21"/>
                <w:u w:val="single"/>
              </w:rPr>
            </w:pPr>
            <w:r>
              <w:rPr>
                <w:rFonts w:hint="eastAsia"/>
                <w:b/>
                <w:color w:val="auto"/>
                <w:szCs w:val="21"/>
                <w:u w:val="single"/>
              </w:rPr>
              <w:t>表</w:t>
            </w:r>
            <w:r>
              <w:rPr>
                <w:rFonts w:hint="eastAsia"/>
                <w:b/>
                <w:color w:val="auto"/>
                <w:szCs w:val="21"/>
                <w:u w:val="single"/>
                <w:lang w:val="en-US" w:eastAsia="zh-CN"/>
              </w:rPr>
              <w:t xml:space="preserve">2-5 </w:t>
            </w:r>
            <w:r>
              <w:rPr>
                <w:rFonts w:hint="eastAsia"/>
                <w:b/>
                <w:color w:val="auto"/>
                <w:szCs w:val="21"/>
                <w:u w:val="single"/>
              </w:rPr>
              <w:t>项目运营期工艺过程产污及治理情况汇总</w:t>
            </w:r>
            <w:r>
              <w:rPr>
                <w:b/>
                <w:color w:val="auto"/>
                <w:szCs w:val="21"/>
                <w:u w:val="single"/>
              </w:rPr>
              <w:t>一览表</w:t>
            </w:r>
          </w:p>
          <w:tbl>
            <w:tblPr>
              <w:jc w:val="left"/>
              <w:tblInd w:w="10" w:type="dxa"/>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600" w:firstRow="0" w:lastRow="0" w:firstColumn="0" w:lastColumn="0" w:noHBand="1" w:noVBand="1"/>
            </w:tblPr>
            <w:tblGrid>
              <w:gridCol w:w="613"/>
              <w:gridCol w:w="748"/>
              <w:gridCol w:w="1991"/>
              <w:gridCol w:w="2448"/>
              <w:gridCol w:w="3188"/>
            </w:tblGrid>
            <w:tr>
              <w:trPr>
                <w:trHeight w:val="454"/>
              </w:trPr>
              <w:tc>
                <w:tcPr>
                  <w:tcW w:w="34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b/>
                      <w:bCs/>
                      <w:color w:val="auto"/>
                      <w:kern w:val="0"/>
                      <w:sz w:val="21"/>
                      <w:szCs w:val="21"/>
                      <w:u w:val="none"/>
                    </w:rPr>
                  </w:pPr>
                  <w:bookmarkStart w:id="16" w:name="3.2.3物料平衡"/>
                  <w:bookmarkEnd w:id="16"/>
                  <w:r>
                    <w:rPr>
                      <w:rFonts w:ascii="Times New Roman" w:hAnsi="Times New Roman"/>
                      <w:b/>
                      <w:bCs/>
                      <w:color w:val="auto"/>
                      <w:kern w:val="0"/>
                      <w:sz w:val="21"/>
                      <w:szCs w:val="21"/>
                      <w:u w:val="none"/>
                    </w:rPr>
                    <w:t>类别</w:t>
                  </w: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b/>
                      <w:bCs/>
                      <w:color w:val="auto"/>
                      <w:kern w:val="0"/>
                      <w:sz w:val="21"/>
                      <w:szCs w:val="21"/>
                      <w:u w:val="none"/>
                    </w:rPr>
                  </w:pPr>
                  <w:r>
                    <w:rPr>
                      <w:rFonts w:ascii="Times New Roman" w:hAnsi="Times New Roman"/>
                      <w:b/>
                      <w:bCs/>
                      <w:color w:val="auto"/>
                      <w:kern w:val="0"/>
                      <w:sz w:val="21"/>
                      <w:szCs w:val="21"/>
                      <w:u w:val="none"/>
                    </w:rPr>
                    <w:t>序号</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b/>
                      <w:bCs/>
                      <w:color w:val="auto"/>
                      <w:kern w:val="0"/>
                      <w:sz w:val="21"/>
                      <w:szCs w:val="21"/>
                      <w:u w:val="none"/>
                    </w:rPr>
                  </w:pPr>
                  <w:r>
                    <w:rPr>
                      <w:rFonts w:ascii="Times New Roman" w:hAnsi="Times New Roman"/>
                      <w:b/>
                      <w:bCs/>
                      <w:color w:val="auto"/>
                      <w:kern w:val="0"/>
                      <w:sz w:val="21"/>
                      <w:szCs w:val="21"/>
                      <w:u w:val="none"/>
                    </w:rPr>
                    <w:t>污染源</w:t>
                  </w:r>
                  <w:r>
                    <w:rPr>
                      <w:rFonts w:ascii="Times New Roman" w:hAnsi="Times New Roman" w:hint="eastAsia"/>
                      <w:b/>
                      <w:bCs/>
                      <w:color w:val="auto"/>
                      <w:kern w:val="0"/>
                      <w:sz w:val="21"/>
                      <w:szCs w:val="21"/>
                      <w:u w:val="none"/>
                    </w:rPr>
                    <w:t>/工序</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b/>
                      <w:bCs/>
                      <w:color w:val="auto"/>
                      <w:kern w:val="0"/>
                      <w:sz w:val="21"/>
                      <w:szCs w:val="21"/>
                      <w:u w:val="none"/>
                    </w:rPr>
                  </w:pPr>
                  <w:r>
                    <w:rPr>
                      <w:rFonts w:ascii="Times New Roman" w:hAnsi="Times New Roman"/>
                      <w:b/>
                      <w:bCs/>
                      <w:color w:val="auto"/>
                      <w:kern w:val="0"/>
                      <w:sz w:val="21"/>
                      <w:szCs w:val="21"/>
                      <w:u w:val="none"/>
                    </w:rPr>
                    <w:t>主要污染</w:t>
                  </w:r>
                  <w:r>
                    <w:rPr>
                      <w:rFonts w:ascii="Times New Roman" w:hAnsi="Times New Roman" w:hint="eastAsia"/>
                      <w:b/>
                      <w:bCs/>
                      <w:color w:val="auto"/>
                      <w:kern w:val="0"/>
                      <w:sz w:val="21"/>
                      <w:szCs w:val="21"/>
                      <w:u w:val="none"/>
                    </w:rPr>
                    <w:t>物</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b/>
                      <w:bCs/>
                      <w:color w:val="auto"/>
                      <w:kern w:val="0"/>
                      <w:sz w:val="21"/>
                      <w:szCs w:val="21"/>
                      <w:u w:val="none"/>
                    </w:rPr>
                  </w:pPr>
                  <w:r>
                    <w:rPr>
                      <w:rFonts w:ascii="Times New Roman" w:hAnsi="Times New Roman"/>
                      <w:b/>
                      <w:bCs/>
                      <w:color w:val="auto"/>
                      <w:kern w:val="0"/>
                      <w:sz w:val="21"/>
                      <w:szCs w:val="21"/>
                      <w:u w:val="none"/>
                    </w:rPr>
                    <w:t>治理措施</w:t>
                  </w:r>
                </w:p>
              </w:tc>
            </w:tr>
            <w:tr>
              <w:trPr>
                <w:trHeight w:val="454"/>
              </w:trPr>
              <w:tc>
                <w:tcPr>
                  <w:tcW w:w="341" w:type="pct"/>
                  <w:vMerge w:val="restart"/>
                  <w:tcBorders>
                    <w:tl2br w:val="nil"/>
                    <w:tr2bl w:val="nil"/>
                  </w:tcBorders>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eastAsia="zh-CN"/>
                    </w:rPr>
                  </w:pPr>
                  <w:r>
                    <w:rPr>
                      <w:rFonts w:hint="eastAsia"/>
                      <w:color w:val="auto"/>
                      <w:kern w:val="0"/>
                      <w:sz w:val="21"/>
                      <w:szCs w:val="21"/>
                      <w:u w:val="none"/>
                      <w:lang w:eastAsia="zh-CN"/>
                    </w:rPr>
                    <w:t>废水</w:t>
                  </w: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W1</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eastAsia="zh-CN"/>
                    </w:rPr>
                    <w:t>碱液调制</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pH</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混入皂角外售</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W2</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Style w:val="62"/>
                      <w:rFonts w:hint="eastAsia"/>
                      <w:color w:val="auto"/>
                      <w:sz w:val="21"/>
                      <w:szCs w:val="21"/>
                    </w:rPr>
                    <w:t>设备清洗用水</w:t>
                  </w:r>
                </w:p>
              </w:tc>
              <w:tc>
                <w:tcPr>
                  <w:tcW w:w="1361" w:type="pct"/>
                  <w:vMerge w:val="restar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ascii="Times New Roman" w:eastAsia="宋体" w:cs="Times New Roman" w:hAnsi="Times New Roman"/>
                      <w:color w:val="auto"/>
                      <w:kern w:val="0"/>
                      <w:sz w:val="21"/>
                      <w:szCs w:val="21"/>
                      <w:u w:val="none"/>
                      <w:lang w:val="en-US" w:eastAsia="zh-CN" w:bidi="ar-SA"/>
                    </w:rPr>
                    <w:t>pH 值、悬浮物、五日生化需氧量（BOD</w:t>
                  </w:r>
                  <w:r>
                    <w:rPr>
                      <w:rFonts w:ascii="Times New Roman" w:eastAsia="宋体" w:cs="Times New Roman" w:hAnsi="Times New Roman"/>
                      <w:color w:val="auto"/>
                      <w:kern w:val="0"/>
                      <w:sz w:val="21"/>
                      <w:szCs w:val="21"/>
                      <w:u w:val="none"/>
                      <w:vertAlign w:val="subscript"/>
                      <w:lang w:val="en-US" w:eastAsia="zh-CN" w:bidi="ar-SA"/>
                    </w:rPr>
                    <w:t>5</w:t>
                  </w:r>
                  <w:r>
                    <w:rPr>
                      <w:rFonts w:ascii="Times New Roman" w:eastAsia="宋体" w:cs="Times New Roman" w:hAnsi="Times New Roman"/>
                      <w:color w:val="auto"/>
                      <w:kern w:val="0"/>
                      <w:sz w:val="21"/>
                      <w:szCs w:val="21"/>
                      <w:u w:val="none"/>
                      <w:lang w:val="en-US" w:eastAsia="zh-CN" w:bidi="ar-SA"/>
                    </w:rPr>
                    <w:t>）、化学需氧量（COD</w:t>
                  </w:r>
                  <w:r>
                    <w:rPr>
                      <w:rFonts w:ascii="Times New Roman" w:eastAsia="宋体" w:cs="Times New Roman" w:hAnsi="Times New Roman"/>
                      <w:color w:val="auto"/>
                      <w:kern w:val="0"/>
                      <w:sz w:val="21"/>
                      <w:szCs w:val="21"/>
                      <w:u w:val="none"/>
                      <w:vertAlign w:val="subscript"/>
                      <w:lang w:val="en-US" w:eastAsia="zh-CN" w:bidi="ar-SA"/>
                    </w:rPr>
                    <w:t>Cr</w:t>
                  </w:r>
                  <w:r>
                    <w:rPr>
                      <w:rFonts w:ascii="Times New Roman" w:eastAsia="宋体" w:cs="Times New Roman" w:hAnsi="Times New Roman"/>
                      <w:color w:val="auto"/>
                      <w:kern w:val="0"/>
                      <w:sz w:val="21"/>
                      <w:szCs w:val="21"/>
                      <w:u w:val="none"/>
                      <w:lang w:val="en-US" w:eastAsia="zh-CN" w:bidi="ar-SA"/>
                    </w:rPr>
                    <w:t>）、氨</w:t>
                  </w:r>
                </w:p>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ascii="Times New Roman" w:eastAsia="宋体" w:cs="Times New Roman" w:hAnsi="Times New Roman"/>
                      <w:color w:val="auto"/>
                      <w:kern w:val="0"/>
                      <w:sz w:val="21"/>
                      <w:szCs w:val="21"/>
                      <w:u w:val="none"/>
                      <w:lang w:val="en-US" w:eastAsia="zh-CN" w:bidi="ar-SA"/>
                    </w:rPr>
                    <w:t>氮、磷酸盐（总磷）、动植物油</w:t>
                  </w:r>
                  <w:r>
                    <w:rPr>
                      <w:rFonts w:ascii="Times New Roman" w:eastAsia="宋体" w:cs="Times New Roman" w:hAnsi="Times New Roman"/>
                      <w:color w:val="auto"/>
                      <w:kern w:val="0"/>
                      <w:sz w:val="21"/>
                      <w:szCs w:val="21"/>
                      <w:u w:val="none"/>
                      <w:vertAlign w:val="superscript"/>
                      <w:lang w:val="en-US" w:eastAsia="zh-CN" w:bidi="ar-SA"/>
                    </w:rPr>
                    <w:t>d</w:t>
                  </w:r>
                  <w:r>
                    <w:rPr>
                      <w:rFonts w:ascii="Times New Roman" w:eastAsia="宋体" w:cs="Times New Roman" w:hAnsi="Times New Roman"/>
                      <w:color w:val="auto"/>
                      <w:kern w:val="0"/>
                      <w:sz w:val="21"/>
                      <w:szCs w:val="21"/>
                      <w:u w:val="none"/>
                      <w:lang w:val="en-US" w:eastAsia="zh-CN" w:bidi="ar-SA"/>
                    </w:rPr>
                    <w:t>、色度</w:t>
                  </w:r>
                  <w:r>
                    <w:rPr>
                      <w:rFonts w:ascii="Times New Roman" w:eastAsia="宋体" w:cs="Times New Roman" w:hAnsi="Times New Roman" w:hint="eastAsia"/>
                      <w:color w:val="auto"/>
                      <w:kern w:val="0"/>
                      <w:sz w:val="21"/>
                      <w:szCs w:val="21"/>
                      <w:u w:val="none"/>
                      <w:vertAlign w:val="superscript"/>
                      <w:lang w:val="en-US" w:eastAsia="zh-CN" w:bidi="ar-SA"/>
                    </w:rPr>
                    <w:t>e</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隔油、气浮、水解酸化、管网</w:t>
                  </w:r>
                </w:p>
              </w:tc>
            </w:tr>
            <w:tr>
              <w:trPr>
                <w:trHeight w:val="507"/>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W3</w:t>
                  </w:r>
                </w:p>
              </w:tc>
              <w:tc>
                <w:tcPr>
                  <w:tcW w:w="1107" w:type="pct"/>
                  <w:tcBorders>
                    <w:tl2br w:val="nil"/>
                    <w:tr2bl w:val="nil"/>
                  </w:tcBorders>
                  <w:shd w:val="clear" w:color="auto" w:fill="auto"/>
                  <w:vAlign w:val="center"/>
                </w:tcPr>
                <w:p>
                  <w:pPr>
                    <w:tabs>
                      <w:tab w:val="left" w:pos="426"/>
                    </w:tabs>
                    <w:jc w:val="center"/>
                    <w:rPr>
                      <w:rFonts w:ascii="Times New Roman" w:eastAsia="宋体" w:cs="Times New Roman" w:hAnsi="Times New Roman"/>
                      <w:color w:val="auto"/>
                      <w:kern w:val="0"/>
                      <w:sz w:val="21"/>
                      <w:szCs w:val="21"/>
                      <w:u w:val="none"/>
                      <w:lang w:val="en-US" w:eastAsia="zh-CN" w:bidi="ar-SA"/>
                    </w:rPr>
                  </w:pPr>
                  <w:r>
                    <w:rPr>
                      <w:rStyle w:val="62"/>
                      <w:rFonts w:hint="eastAsia"/>
                      <w:color w:val="auto"/>
                      <w:sz w:val="21"/>
                      <w:szCs w:val="21"/>
                    </w:rPr>
                    <w:t>地面清洗用水</w:t>
                  </w:r>
                </w:p>
              </w:tc>
              <w:tc>
                <w:tcPr>
                  <w:tcW w:w="1361" w:type="pct"/>
                  <w:vMerge/>
                  <w:tcBorders>
                    <w:tl2br w:val="nil"/>
                    <w:tr2bl w:val="nil"/>
                  </w:tcBorders>
                  <w:shd w:val="clear" w:color="auto" w:fill="auto"/>
                  <w:vAlign w:val="center"/>
                </w:tcP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隔油、气浮、水解酸化、管网</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W4</w:t>
                  </w:r>
                </w:p>
              </w:tc>
              <w:tc>
                <w:tcPr>
                  <w:tcW w:w="1107" w:type="pct"/>
                  <w:tcBorders>
                    <w:tl2br w:val="nil"/>
                    <w:tr2bl w:val="nil"/>
                  </w:tcBorders>
                  <w:shd w:val="clear" w:color="auto" w:fill="auto"/>
                  <w:vAlign w:val="center"/>
                </w:tcPr>
                <w:p>
                  <w:pPr>
                    <w:tabs>
                      <w:tab w:val="left" w:pos="426"/>
                    </w:tabs>
                    <w:jc w:val="center"/>
                    <w:rPr>
                      <w:rFonts w:ascii="Times New Roman" w:eastAsia="宋体" w:cs="Times New Roman" w:hAnsi="Times New Roman" w:hint="eastAsia"/>
                      <w:color w:val="auto"/>
                      <w:kern w:val="0"/>
                      <w:sz w:val="21"/>
                      <w:szCs w:val="21"/>
                      <w:u w:val="none"/>
                      <w:lang w:val="en-US" w:eastAsia="zh-CN" w:bidi="ar-SA"/>
                    </w:rPr>
                  </w:pPr>
                  <w:r>
                    <w:rPr>
                      <w:rStyle w:val="62"/>
                      <w:rFonts w:hint="eastAsia"/>
                      <w:color w:val="auto"/>
                      <w:sz w:val="21"/>
                      <w:szCs w:val="21"/>
                    </w:rPr>
                    <w:t>循环冷却用水</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蒸发、回用</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W5</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eastAsia="zh-CN"/>
                    </w:rPr>
                    <w:t>生</w:t>
                  </w:r>
                  <w:r>
                    <w:rPr>
                      <w:rFonts w:hint="eastAsia"/>
                      <w:color w:val="auto"/>
                      <w:kern w:val="0"/>
                      <w:sz w:val="21"/>
                      <w:szCs w:val="21"/>
                      <w:u w:val="none"/>
                      <w:lang w:val="en-US" w:eastAsia="zh-CN"/>
                    </w:rPr>
                    <w:t>活</w:t>
                  </w:r>
                  <w:r>
                    <w:rPr>
                      <w:rFonts w:hint="eastAsia"/>
                      <w:color w:val="auto"/>
                      <w:kern w:val="0"/>
                      <w:sz w:val="21"/>
                      <w:szCs w:val="21"/>
                      <w:u w:val="none"/>
                      <w:lang w:eastAsia="zh-CN"/>
                    </w:rPr>
                    <w:t>用水</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ascii="Times New Roman" w:eastAsia="宋体" w:cs="Times New Roman" w:hAnsi="Times New Roman" w:hint="eastAsia"/>
                      <w:color w:val="auto"/>
                      <w:kern w:val="0"/>
                      <w:sz w:val="21"/>
                      <w:szCs w:val="21"/>
                      <w:u w:val="none"/>
                      <w:lang w:val="en-US" w:eastAsia="zh-CN" w:bidi="ar-SA"/>
                    </w:rPr>
                    <w:t>pH 值、化学需氧量（COD</w:t>
                  </w:r>
                  <w:r>
                    <w:rPr>
                      <w:rFonts w:ascii="Times New Roman" w:eastAsia="宋体" w:cs="Times New Roman" w:hAnsi="Times New Roman" w:hint="eastAsia"/>
                      <w:color w:val="auto"/>
                      <w:kern w:val="0"/>
                      <w:sz w:val="21"/>
                      <w:szCs w:val="21"/>
                      <w:u w:val="none"/>
                      <w:vertAlign w:val="subscript"/>
                      <w:lang w:val="en-US" w:eastAsia="zh-CN" w:bidi="ar-SA"/>
                    </w:rPr>
                    <w:t>Cr</w:t>
                  </w:r>
                  <w:r>
                    <w:rPr>
                      <w:rFonts w:ascii="Times New Roman" w:eastAsia="宋体" w:cs="Times New Roman" w:hAnsi="Times New Roman" w:hint="eastAsia"/>
                      <w:color w:val="auto"/>
                      <w:kern w:val="0"/>
                      <w:sz w:val="21"/>
                      <w:szCs w:val="21"/>
                      <w:u w:val="none"/>
                      <w:lang w:val="en-US" w:eastAsia="zh-CN" w:bidi="ar-SA"/>
                    </w:rPr>
                    <w:t>）、五日生化需氧量（BOD</w:t>
                  </w:r>
                  <w:r>
                    <w:rPr>
                      <w:rFonts w:ascii="Times New Roman" w:eastAsia="宋体" w:cs="Times New Roman" w:hAnsi="Times New Roman" w:hint="eastAsia"/>
                      <w:color w:val="auto"/>
                      <w:kern w:val="0"/>
                      <w:sz w:val="21"/>
                      <w:szCs w:val="21"/>
                      <w:u w:val="none"/>
                      <w:vertAlign w:val="subscript"/>
                      <w:lang w:val="en-US" w:eastAsia="zh-CN" w:bidi="ar-SA"/>
                    </w:rPr>
                    <w:t>5</w:t>
                  </w:r>
                  <w:r>
                    <w:rPr>
                      <w:rFonts w:ascii="Times New Roman" w:eastAsia="宋体" w:cs="Times New Roman" w:hAnsi="Times New Roman" w:hint="eastAsia"/>
                      <w:color w:val="auto"/>
                      <w:kern w:val="0"/>
                      <w:sz w:val="21"/>
                      <w:szCs w:val="21"/>
                      <w:u w:val="none"/>
                      <w:lang w:val="en-US" w:eastAsia="zh-CN" w:bidi="ar-SA"/>
                    </w:rPr>
                    <w:t>）、悬浮物、氨氮、磷酸盐（总磷）</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eastAsia="zh-CN"/>
                    </w:rPr>
                    <w:t>化粪池</w:t>
                  </w:r>
                  <w:r>
                    <w:rPr>
                      <w:rFonts w:hint="eastAsia"/>
                      <w:color w:val="auto"/>
                      <w:kern w:val="0"/>
                      <w:sz w:val="21"/>
                      <w:szCs w:val="21"/>
                      <w:u w:val="none"/>
                      <w:lang w:val="en-US" w:eastAsia="zh-CN"/>
                    </w:rPr>
                    <w:t>、管网</w:t>
                  </w:r>
                </w:p>
              </w:tc>
            </w:tr>
            <w:tr>
              <w:trPr>
                <w:trHeight w:val="454"/>
              </w:trPr>
              <w:tc>
                <w:tcPr>
                  <w:tcW w:w="341" w:type="pct"/>
                  <w:vMerge w:val="restar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废气</w:t>
                  </w: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G</w:t>
                  </w:r>
                  <w:r>
                    <w:rPr>
                      <w:rFonts w:ascii="Times New Roman" w:hAnsi="Times New Roman" w:hint="eastAsia"/>
                      <w:color w:val="auto"/>
                      <w:kern w:val="0"/>
                      <w:sz w:val="21"/>
                      <w:szCs w:val="21"/>
                      <w:u w:val="none"/>
                    </w:rPr>
                    <w:t>1</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烘干废气</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eastAsia="zh-CN"/>
                    </w:rPr>
                    <w:t>颗粒物、</w:t>
                  </w:r>
                  <w:r>
                    <w:rPr>
                      <w:rFonts w:hint="eastAsia"/>
                      <w:color w:val="auto"/>
                      <w:kern w:val="0"/>
                      <w:sz w:val="21"/>
                      <w:szCs w:val="21"/>
                      <w:u w:val="none"/>
                      <w:lang w:val="en-US" w:eastAsia="zh-CN"/>
                    </w:rPr>
                    <w:t>水汽</w:t>
                  </w:r>
                </w:p>
              </w:tc>
              <w:tc>
                <w:tcPr>
                  <w:tcW w:w="1772" w:type="pct"/>
                  <w:tcBorders>
                    <w:tl2br w:val="nil"/>
                    <w:tr2bl w:val="nil"/>
                  </w:tcBorders>
                  <w:vAlign w:val="center"/>
                </w:tcPr>
                <w:p>
                  <w:pPr>
                    <w:kinsoku w:val="0"/>
                    <w:overflowPunct w:val="0"/>
                    <w:autoSpaceDE w:val="0"/>
                    <w:autoSpaceDN w:val="0"/>
                    <w:adjustRightInd w:val="0"/>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车间封闭、布袋+</w:t>
                  </w:r>
                  <w:r>
                    <w:rPr>
                      <w:color w:val="auto"/>
                      <w:kern w:val="0"/>
                      <w:sz w:val="21"/>
                      <w:szCs w:val="21"/>
                      <w:u w:val="none"/>
                      <w:lang w:val="en-US" w:eastAsia="zh-CN"/>
                    </w:rPr>
                    <w:t>活性炭</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hint="eastAsia"/>
                      <w:color w:val="auto"/>
                      <w:kern w:val="0"/>
                      <w:sz w:val="21"/>
                      <w:szCs w:val="21"/>
                      <w:u w:val="none"/>
                      <w:lang w:val="en-US" w:eastAsia="zh-CN"/>
                    </w:rPr>
                    <w:t>G2</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剥壳废气</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eastAsia="zh-CN"/>
                    </w:rPr>
                  </w:pPr>
                  <w:r>
                    <w:rPr>
                      <w:rFonts w:hint="eastAsia"/>
                      <w:color w:val="auto"/>
                      <w:kern w:val="0"/>
                      <w:sz w:val="21"/>
                      <w:szCs w:val="21"/>
                      <w:u w:val="none"/>
                      <w:lang w:eastAsia="zh-CN"/>
                    </w:rPr>
                    <w:t>颗粒物</w:t>
                  </w:r>
                </w:p>
              </w:tc>
              <w:tc>
                <w:tcPr>
                  <w:tcW w:w="1772" w:type="pct"/>
                  <w:tcBorders>
                    <w:tl2br w:val="nil"/>
                    <w:tr2bl w:val="nil"/>
                  </w:tcBorders>
                  <w:vAlign w:val="center"/>
                </w:tcPr>
                <w:p>
                  <w:pPr>
                    <w:kinsoku w:val="0"/>
                    <w:overflowPunct w:val="0"/>
                    <w:autoSpaceDE w:val="0"/>
                    <w:autoSpaceDN w:val="0"/>
                    <w:adjustRightInd w:val="0"/>
                    <w:spacing w:line="240" w:lineRule="exact"/>
                    <w:jc w:val="center"/>
                    <w:rPr>
                      <w:rFonts w:hint="eastAsia"/>
                      <w:color w:val="auto"/>
                      <w:kern w:val="0"/>
                      <w:sz w:val="21"/>
                      <w:szCs w:val="21"/>
                      <w:lang w:eastAsia="zh-CN"/>
                    </w:rPr>
                  </w:pPr>
                  <w:r>
                    <w:rPr>
                      <w:rFonts w:hint="eastAsia"/>
                      <w:color w:val="auto"/>
                      <w:kern w:val="0"/>
                      <w:sz w:val="21"/>
                      <w:szCs w:val="21"/>
                      <w:u w:val="none"/>
                      <w:lang w:val="en-US" w:eastAsia="zh-CN"/>
                    </w:rPr>
                    <w:t>车间封闭、布袋+</w:t>
                  </w:r>
                  <w:r>
                    <w:rPr>
                      <w:color w:val="auto"/>
                      <w:kern w:val="0"/>
                      <w:sz w:val="21"/>
                      <w:szCs w:val="21"/>
                      <w:u w:val="none"/>
                      <w:lang w:val="en-US" w:eastAsia="zh-CN"/>
                    </w:rPr>
                    <w:t>活性炭</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G3</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压榨废气</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eastAsia="zh-CN"/>
                    </w:rPr>
                    <w:t>颗粒物、</w:t>
                  </w:r>
                  <w:r>
                    <w:rPr>
                      <w:rFonts w:hint="eastAsia"/>
                      <w:color w:val="auto"/>
                      <w:kern w:val="0"/>
                      <w:sz w:val="21"/>
                      <w:szCs w:val="21"/>
                      <w:u w:val="none"/>
                      <w:lang w:val="en-US" w:eastAsia="zh-CN"/>
                    </w:rPr>
                    <w:t>臭气浓度</w:t>
                  </w:r>
                </w:p>
              </w:tc>
              <w:tc>
                <w:tcPr>
                  <w:tcW w:w="1772" w:type="pct"/>
                  <w:tcBorders>
                    <w:tl2br w:val="nil"/>
                    <w:tr2bl w:val="nil"/>
                  </w:tcBorders>
                  <w:vAlign w:val="center"/>
                </w:tcPr>
                <w:p>
                  <w:pPr>
                    <w:kinsoku w:val="0"/>
                    <w:overflowPunct w:val="0"/>
                    <w:autoSpaceDE w:val="0"/>
                    <w:autoSpaceDN w:val="0"/>
                    <w:adjustRightInd w:val="0"/>
                    <w:spacing w:line="240" w:lineRule="exact"/>
                    <w:jc w:val="center"/>
                    <w:rPr>
                      <w:rFonts w:ascii="Times New Roman" w:eastAsia="宋体" w:cs="Times New Roman" w:hAnsi="Times New Roman" w:hint="eastAsia"/>
                      <w:color w:val="auto"/>
                      <w:sz w:val="21"/>
                      <w:szCs w:val="21"/>
                      <w:u w:val="none"/>
                      <w:lang w:val="en-US" w:eastAsia="zh-CN"/>
                    </w:rPr>
                  </w:pPr>
                  <w:r>
                    <w:rPr>
                      <w:rFonts w:hint="eastAsia"/>
                      <w:color w:val="auto"/>
                      <w:kern w:val="0"/>
                      <w:sz w:val="21"/>
                      <w:szCs w:val="21"/>
                      <w:u w:val="none"/>
                      <w:lang w:val="en-US" w:eastAsia="zh-CN"/>
                    </w:rPr>
                    <w:t>车间封闭、布袋+</w:t>
                  </w:r>
                  <w:r>
                    <w:rPr>
                      <w:color w:val="auto"/>
                      <w:kern w:val="0"/>
                      <w:sz w:val="21"/>
                      <w:szCs w:val="21"/>
                      <w:u w:val="none"/>
                      <w:lang w:val="en-US" w:eastAsia="zh-CN"/>
                    </w:rPr>
                    <w:t>活性炭</w:t>
                  </w:r>
                </w:p>
              </w:tc>
            </w:tr>
            <w:tr>
              <w:trPr>
                <w:trHeight w:val="425"/>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G4</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精炼废气</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eastAsia="zh-CN"/>
                    </w:rPr>
                  </w:pPr>
                  <w:r>
                    <w:rPr>
                      <w:rFonts w:hint="eastAsia"/>
                      <w:color w:val="auto"/>
                      <w:kern w:val="0"/>
                      <w:sz w:val="21"/>
                      <w:szCs w:val="21"/>
                      <w:u w:val="none"/>
                      <w:lang w:eastAsia="zh-CN"/>
                    </w:rPr>
                    <w:t>颗粒物、</w:t>
                  </w:r>
                  <w:r>
                    <w:rPr>
                      <w:rFonts w:hint="eastAsia"/>
                      <w:color w:val="auto"/>
                      <w:kern w:val="0"/>
                      <w:sz w:val="21"/>
                      <w:szCs w:val="21"/>
                      <w:u w:val="none"/>
                      <w:lang w:val="en-US" w:eastAsia="zh-CN"/>
                    </w:rPr>
                    <w:t>VOCs</w:t>
                  </w:r>
                  <w:r>
                    <w:rPr>
                      <w:rFonts w:hint="eastAsia"/>
                      <w:color w:val="auto"/>
                      <w:kern w:val="0"/>
                      <w:sz w:val="21"/>
                      <w:szCs w:val="21"/>
                      <w:u w:val="none"/>
                      <w:lang w:eastAsia="zh-CN"/>
                    </w:rPr>
                    <w:t>、</w:t>
                  </w:r>
                  <w:r>
                    <w:rPr>
                      <w:rFonts w:hint="eastAsia"/>
                      <w:color w:val="auto"/>
                      <w:kern w:val="0"/>
                      <w:sz w:val="21"/>
                      <w:szCs w:val="21"/>
                      <w:u w:val="none"/>
                      <w:lang w:val="en-US" w:eastAsia="zh-CN"/>
                    </w:rPr>
                    <w:t>臭气浓度</w:t>
                  </w:r>
                </w:p>
              </w:tc>
              <w:tc>
                <w:tcPr>
                  <w:tcW w:w="1772" w:type="pct"/>
                  <w:tcBorders>
                    <w:tl2br w:val="nil"/>
                    <w:tr2bl w:val="nil"/>
                  </w:tcBorders>
                  <w:vAlign w:val="center"/>
                </w:tcPr>
                <w:p>
                  <w:pPr>
                    <w:kinsoku w:val="0"/>
                    <w:overflowPunct w:val="0"/>
                    <w:autoSpaceDE w:val="0"/>
                    <w:autoSpaceDN w:val="0"/>
                    <w:adjustRightInd w:val="0"/>
                    <w:spacing w:line="240" w:lineRule="exact"/>
                    <w:jc w:val="center"/>
                    <w:rPr>
                      <w:rFonts w:ascii="Times New Roman" w:eastAsia="宋体" w:cs="Times New Roman" w:hAnsi="Times New Roman" w:hint="eastAsia"/>
                      <w:color w:val="auto"/>
                      <w:sz w:val="21"/>
                      <w:szCs w:val="21"/>
                      <w:u w:val="none"/>
                      <w:lang w:val="en-US" w:eastAsia="zh-CN"/>
                    </w:rPr>
                  </w:pPr>
                  <w:r>
                    <w:rPr>
                      <w:rFonts w:hint="eastAsia"/>
                      <w:color w:val="auto"/>
                      <w:kern w:val="0"/>
                      <w:sz w:val="21"/>
                      <w:szCs w:val="21"/>
                      <w:u w:val="none"/>
                      <w:lang w:val="en-US" w:eastAsia="zh-CN"/>
                    </w:rPr>
                    <w:t>车间封闭、布袋+</w:t>
                  </w:r>
                  <w:r>
                    <w:rPr>
                      <w:color w:val="auto"/>
                      <w:kern w:val="0"/>
                      <w:sz w:val="21"/>
                      <w:szCs w:val="21"/>
                      <w:u w:val="none"/>
                      <w:lang w:val="en-US" w:eastAsia="zh-CN"/>
                    </w:rPr>
                    <w:t>活性炭</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G5</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吹灰/罐装</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eastAsia="zh-CN"/>
                    </w:rPr>
                  </w:pPr>
                  <w:r>
                    <w:rPr>
                      <w:rFonts w:hint="eastAsia"/>
                      <w:color w:val="auto"/>
                      <w:kern w:val="0"/>
                      <w:sz w:val="21"/>
                      <w:szCs w:val="21"/>
                      <w:u w:val="none"/>
                      <w:lang w:eastAsia="zh-CN"/>
                    </w:rPr>
                    <w:t>颗粒物</w:t>
                  </w:r>
                </w:p>
              </w:tc>
              <w:tc>
                <w:tcPr>
                  <w:tcW w:w="1772" w:type="pct"/>
                  <w:tcBorders>
                    <w:tl2br w:val="nil"/>
                    <w:tr2bl w:val="nil"/>
                  </w:tcBorders>
                  <w:vAlign w:val="center"/>
                </w:tcPr>
                <w:p>
                  <w:pPr>
                    <w:kinsoku w:val="0"/>
                    <w:overflowPunct w:val="0"/>
                    <w:autoSpaceDE w:val="0"/>
                    <w:autoSpaceDN w:val="0"/>
                    <w:adjustRightInd w:val="0"/>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自然沉降</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G6</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包装</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eastAsia="zh-CN"/>
                    </w:rPr>
                  </w:pPr>
                  <w:r>
                    <w:rPr>
                      <w:rFonts w:hint="eastAsia"/>
                      <w:color w:val="auto"/>
                      <w:kern w:val="0"/>
                      <w:sz w:val="21"/>
                      <w:szCs w:val="21"/>
                      <w:u w:val="none"/>
                      <w:lang w:eastAsia="zh-CN"/>
                    </w:rPr>
                    <w:t>颗粒物</w:t>
                  </w:r>
                </w:p>
              </w:tc>
              <w:tc>
                <w:tcPr>
                  <w:tcW w:w="1772" w:type="pct"/>
                  <w:tcBorders>
                    <w:tl2br w:val="nil"/>
                    <w:tr2bl w:val="nil"/>
                  </w:tcBorders>
                  <w:vAlign w:val="center"/>
                </w:tcPr>
                <w:p>
                  <w:pPr>
                    <w:kinsoku w:val="0"/>
                    <w:overflowPunct w:val="0"/>
                    <w:autoSpaceDE w:val="0"/>
                    <w:autoSpaceDN w:val="0"/>
                    <w:adjustRightInd w:val="0"/>
                    <w:spacing w:line="240" w:lineRule="exact"/>
                    <w:jc w:val="center"/>
                    <w:rPr>
                      <w:rFonts w:hint="eastAsia"/>
                      <w:color w:val="auto"/>
                      <w:kern w:val="0"/>
                      <w:sz w:val="21"/>
                      <w:szCs w:val="21"/>
                      <w:u w:val="none"/>
                      <w:lang w:val="en-US" w:eastAsia="zh-CN"/>
                    </w:rPr>
                  </w:pPr>
                  <w:r>
                    <w:rPr>
                      <w:rFonts w:hint="eastAsia"/>
                      <w:color w:val="auto"/>
                      <w:kern w:val="0"/>
                      <w:sz w:val="21"/>
                      <w:szCs w:val="21"/>
                      <w:u w:val="none"/>
                      <w:lang w:val="en-US" w:eastAsia="zh-CN"/>
                    </w:rPr>
                    <w:t>自然沉降</w:t>
                  </w:r>
                </w:p>
              </w:tc>
            </w:tr>
            <w:tr>
              <w:trPr>
                <w:trHeight w:val="454"/>
              </w:trPr>
              <w:tc>
                <w:tcPr>
                  <w:tcW w:w="34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噪声</w:t>
                  </w: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N</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各生产设备</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Leq(A)</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厂房隔声、基础减振</w:t>
                  </w:r>
                </w:p>
              </w:tc>
            </w:tr>
            <w:tr>
              <w:trPr>
                <w:trHeight w:val="454"/>
              </w:trPr>
              <w:tc>
                <w:tcPr>
                  <w:tcW w:w="341" w:type="pct"/>
                  <w:vMerge w:val="restar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ascii="Times New Roman" w:hAnsi="Times New Roman"/>
                      <w:color w:val="auto"/>
                      <w:kern w:val="0"/>
                      <w:sz w:val="21"/>
                      <w:szCs w:val="21"/>
                      <w:u w:val="none"/>
                    </w:rPr>
                    <w:t>固废</w:t>
                  </w: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S1</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hint="eastAsia"/>
                      <w:color w:val="auto"/>
                      <w:kern w:val="0"/>
                      <w:sz w:val="21"/>
                      <w:szCs w:val="21"/>
                      <w:u w:val="none"/>
                      <w:lang w:val="en-US" w:eastAsia="zh-CN"/>
                    </w:rPr>
                    <w:t>剥壳</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茶籽壳</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hint="eastAsia"/>
                      <w:color w:val="auto"/>
                      <w:kern w:val="0"/>
                      <w:sz w:val="21"/>
                      <w:szCs w:val="21"/>
                      <w:u w:val="none"/>
                      <w:lang w:eastAsia="zh-CN"/>
                    </w:rPr>
                  </w:pPr>
                  <w:r>
                    <w:rPr>
                      <w:rFonts w:hint="eastAsia"/>
                      <w:color w:val="auto"/>
                      <w:kern w:val="0"/>
                      <w:sz w:val="21"/>
                      <w:szCs w:val="21"/>
                      <w:u w:val="none"/>
                      <w:lang w:eastAsia="zh-CN"/>
                    </w:rPr>
                    <w:t>重新破碎</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S2</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hint="eastAsia"/>
                      <w:color w:val="auto"/>
                      <w:kern w:val="0"/>
                      <w:sz w:val="21"/>
                      <w:szCs w:val="21"/>
                      <w:u w:val="none"/>
                      <w:lang w:val="en-US" w:eastAsia="zh-CN"/>
                    </w:rPr>
                    <w:t>压榨</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茶枯</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hAnsi="Times New Roman"/>
                      <w:color w:val="auto"/>
                      <w:kern w:val="0"/>
                      <w:sz w:val="21"/>
                      <w:szCs w:val="21"/>
                      <w:u w:val="none"/>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S3</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初滤</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color w:val="auto"/>
                      <w:kern w:val="0"/>
                      <w:sz w:val="21"/>
                      <w:szCs w:val="21"/>
                      <w:u w:val="none"/>
                      <w:lang w:val="en-US" w:eastAsia="zh-CN"/>
                    </w:rPr>
                  </w:pPr>
                  <w:r>
                    <w:rPr>
                      <w:rFonts w:hint="eastAsia"/>
                      <w:color w:val="auto"/>
                      <w:kern w:val="0"/>
                      <w:sz w:val="21"/>
                      <w:szCs w:val="21"/>
                      <w:u w:val="none"/>
                      <w:lang w:val="en-US" w:eastAsia="zh-CN"/>
                    </w:rPr>
                    <w:t>过滤渣</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hint="eastAsia"/>
                      <w:color w:val="auto"/>
                      <w:kern w:val="0"/>
                      <w:sz w:val="21"/>
                      <w:szCs w:val="21"/>
                      <w:u w:val="none"/>
                      <w:lang w:eastAsia="zh-CN"/>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S4</w:t>
                  </w:r>
                </w:p>
              </w:tc>
              <w:tc>
                <w:tcPr>
                  <w:tcW w:w="1107"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脱酸/脱胶</w:t>
                  </w:r>
                </w:p>
              </w:tc>
              <w:tc>
                <w:tcPr>
                  <w:tcW w:w="1361"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皂角</w:t>
                  </w:r>
                </w:p>
              </w:tc>
              <w:tc>
                <w:tcPr>
                  <w:tcW w:w="1772" w:type="pct"/>
                  <w:tcBorders>
                    <w:tl2br w:val="nil"/>
                    <w:tr2bl w:val="nil"/>
                  </w:tcBorders>
                  <w:vAlign w:val="center"/>
                </w:tcPr>
                <w:p>
                  <w:pPr>
                    <w:kinsoku w:val="0"/>
                    <w:overflowPunct w:val="0"/>
                    <w:autoSpaceDE w:val="0"/>
                    <w:autoSpaceDN w:val="0"/>
                    <w:adjustRightInd w:val="0"/>
                    <w:snapToGrid/>
                    <w:spacing w:line="240" w:lineRule="exact"/>
                    <w:jc w:val="center"/>
                    <w:rPr>
                      <w:rFonts w:ascii="Times New Roman" w:eastAsia="宋体" w:hAnsi="Times New Roman" w:hint="eastAsia"/>
                      <w:color w:val="auto"/>
                      <w:kern w:val="0"/>
                      <w:sz w:val="21"/>
                      <w:szCs w:val="21"/>
                      <w:u w:val="none"/>
                      <w:lang w:eastAsia="zh-CN"/>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S5</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脱色过滤</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过滤渣</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S6</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脱脂过滤</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过滤渣</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val="en-US" w:eastAsia="zh-CN"/>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S7</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导热油炉</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导热油</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委托有资质单位转运</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S8</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废气处理、生产</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废活性炭</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val="en-US" w:eastAsia="zh-CN"/>
                    </w:rPr>
                  </w:pPr>
                  <w:r>
                    <w:rPr>
                      <w:rFonts w:hint="eastAsia"/>
                      <w:color w:val="auto"/>
                      <w:kern w:val="0"/>
                      <w:sz w:val="21"/>
                      <w:szCs w:val="21"/>
                      <w:u w:val="none"/>
                      <w:lang w:val="en-US" w:eastAsia="zh-CN"/>
                    </w:rPr>
                    <w:t>委托有资质单位转运</w:t>
                  </w:r>
                </w:p>
              </w:tc>
            </w:tr>
            <w:tr>
              <w:trPr>
                <w:trHeight w:val="454"/>
              </w:trPr>
              <w:tc>
                <w:tcPr>
                  <w:tcW w:w="341" w:type="pct"/>
                  <w:vMerge/>
                  <w:tcBorders>
                    <w:tl2br w:val="nil"/>
                    <w:tr2bl w:val="nil"/>
                  </w:tcBorders>
                  <w:vAlign w:val="center"/>
                </w:tcPr>
                <w:p/>
              </w:tc>
              <w:tc>
                <w:tcPr>
                  <w:tcW w:w="416"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S9</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val="en-US" w:eastAsia="zh-CN"/>
                    </w:rPr>
                    <w:t>罐装</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hint="eastAsia"/>
                      <w:color w:val="auto"/>
                      <w:kern w:val="0"/>
                      <w:sz w:val="21"/>
                      <w:szCs w:val="21"/>
                      <w:u w:val="none"/>
                      <w:lang w:val="en-US" w:eastAsia="zh-CN" w:bidi="ar-SA"/>
                    </w:rPr>
                  </w:pPr>
                  <w:r>
                    <w:rPr>
                      <w:rFonts w:hint="eastAsia"/>
                      <w:color w:val="auto"/>
                      <w:kern w:val="0"/>
                      <w:sz w:val="21"/>
                      <w:szCs w:val="21"/>
                      <w:u w:val="none"/>
                      <w:lang w:val="en-US" w:eastAsia="zh-CN"/>
                    </w:rPr>
                    <w:t>次品包装瓶</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hint="eastAsia"/>
                      <w:color w:val="auto"/>
                      <w:kern w:val="0"/>
                      <w:sz w:val="21"/>
                      <w:szCs w:val="21"/>
                      <w:u w:val="none"/>
                      <w:lang w:val="en-US" w:eastAsia="zh-CN"/>
                    </w:rPr>
                  </w:pPr>
                  <w:r>
                    <w:rPr>
                      <w:rFonts w:hint="eastAsia"/>
                      <w:color w:val="auto"/>
                      <w:kern w:val="0"/>
                      <w:sz w:val="21"/>
                      <w:szCs w:val="21"/>
                      <w:u w:val="none"/>
                      <w:lang w:val="en-US" w:eastAsia="zh-CN"/>
                    </w:rPr>
                    <w:t>外售</w:t>
                  </w:r>
                </w:p>
              </w:tc>
            </w:tr>
            <w:tr>
              <w:trPr>
                <w:trHeight w:val="454"/>
              </w:trPr>
              <w:tc>
                <w:tcPr>
                  <w:tcW w:w="341" w:type="pct"/>
                  <w:vMerge/>
                  <w:tcBorders>
                    <w:tl2br w:val="nil"/>
                    <w:tr2bl w:val="nil"/>
                  </w:tcBorders>
                  <w:vAlign w:val="center"/>
                </w:tcPr>
                <w:p/>
              </w:tc>
              <w:tc>
                <w:tcPr>
                  <w:tcW w:w="416" w:type="pct"/>
                  <w:tcBorders>
                    <w:tl2br w:val="nil"/>
                    <w:tr2bl w:val="nil"/>
                  </w:tcBorders>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S10</w:t>
                  </w:r>
                </w:p>
              </w:tc>
              <w:tc>
                <w:tcPr>
                  <w:tcW w:w="1107"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eastAsia="zh-CN"/>
                    </w:rPr>
                    <w:t>员工生活</w:t>
                  </w:r>
                </w:p>
              </w:tc>
              <w:tc>
                <w:tcPr>
                  <w:tcW w:w="1361"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rFonts w:ascii="Times New Roman" w:eastAsia="宋体" w:cs="Times New Roman" w:hAnsi="Times New Roman"/>
                      <w:color w:val="auto"/>
                      <w:kern w:val="0"/>
                      <w:sz w:val="21"/>
                      <w:szCs w:val="21"/>
                      <w:u w:val="none"/>
                      <w:lang w:val="en-US" w:eastAsia="zh-CN" w:bidi="ar-SA"/>
                    </w:rPr>
                  </w:pPr>
                  <w:r>
                    <w:rPr>
                      <w:rFonts w:hint="eastAsia"/>
                      <w:color w:val="auto"/>
                      <w:kern w:val="0"/>
                      <w:sz w:val="21"/>
                      <w:szCs w:val="21"/>
                      <w:u w:val="none"/>
                      <w:lang w:eastAsia="zh-CN"/>
                    </w:rPr>
                    <w:t>生活垃圾</w:t>
                  </w:r>
                </w:p>
              </w:tc>
              <w:tc>
                <w:tcPr>
                  <w:tcW w:w="1772" w:type="pct"/>
                  <w:tcBorders>
                    <w:tl2br w:val="nil"/>
                    <w:tr2bl w:val="nil"/>
                  </w:tcBorders>
                  <w:shd w:val="clear" w:color="auto" w:fill="auto"/>
                  <w:vAlign w:val="center"/>
                </w:tcPr>
                <w:p>
                  <w:pPr>
                    <w:kinsoku w:val="0"/>
                    <w:overflowPunct w:val="0"/>
                    <w:autoSpaceDE w:val="0"/>
                    <w:autoSpaceDN w:val="0"/>
                    <w:adjustRightInd w:val="0"/>
                    <w:snapToGrid/>
                    <w:spacing w:line="240" w:lineRule="exact"/>
                    <w:jc w:val="center"/>
                    <w:rPr>
                      <w:color w:val="auto"/>
                      <w:kern w:val="0"/>
                      <w:sz w:val="21"/>
                      <w:szCs w:val="21"/>
                      <w:u w:val="none"/>
                      <w:lang w:val="en-US" w:eastAsia="zh-CN"/>
                    </w:rPr>
                  </w:pPr>
                  <w:r>
                    <w:rPr>
                      <w:rFonts w:hint="eastAsia"/>
                      <w:color w:val="auto"/>
                      <w:kern w:val="0"/>
                      <w:sz w:val="21"/>
                      <w:szCs w:val="21"/>
                      <w:u w:val="none"/>
                      <w:lang w:val="en-US" w:eastAsia="zh-CN"/>
                    </w:rPr>
                    <w:t>环卫部门清运</w:t>
                  </w:r>
                </w:p>
              </w:tc>
            </w:tr>
          </w:tbl>
          <w:p>
            <w:pPr>
              <w:spacing w:line="360" w:lineRule="auto"/>
              <w:rPr>
                <w:color w:val="auto"/>
              </w:rPr>
            </w:pPr>
          </w:p>
        </w:tc>
      </w:tr>
      <w:tr>
        <w:trPr>
          <w:trHeight w:val="90"/>
        </w:trPr>
        <w:tc>
          <w:tcPr>
            <w:tcW w:w="778" w:type="pct"/>
            <w:gridSpan w:val="2"/>
            <w:vAlign w:val="center"/>
          </w:tcPr>
          <w:p>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Cs w:val="24"/>
              </w:rPr>
              <w:t>与项目有关的原有环境污染问题</w:t>
            </w:r>
          </w:p>
        </w:tc>
        <w:tc>
          <w:tcPr>
            <w:tcW w:w="4221" w:type="pct"/>
            <w:vAlign w:val="center"/>
          </w:tcPr>
          <w:p>
            <w:pPr>
              <w:pStyle w:val="34"/>
              <w:tabs>
                <w:tab w:val="left" w:pos="22680"/>
              </w:tabs>
              <w:jc w:val="center"/>
              <w:rPr>
                <w:rFonts w:eastAsia="宋体"/>
                <w:color w:val="auto"/>
                <w:lang w:val="en-US" w:eastAsia="zh-CN"/>
              </w:rPr>
            </w:pPr>
            <w:r>
              <w:rPr>
                <w:rFonts w:ascii="宋体" w:eastAsia="宋体" w:cs="Times New Roman" w:hAnsi="宋体" w:hint="eastAsia"/>
                <w:color w:val="auto"/>
                <w:lang w:val="en-US" w:eastAsia="zh-CN"/>
              </w:rPr>
              <w:t>项目为新建项目，无原有污染物产生</w:t>
            </w:r>
          </w:p>
        </w:tc>
      </w:tr>
    </w:tbl>
    <w:p>
      <w:pPr>
        <w:pStyle w:val="29"/>
        <w:jc w:val="center"/>
        <w:rPr>
          <w:rFonts w:ascii="黑体" w:eastAsia="黑体" w:hAnsi="黑体"/>
          <w:snapToGrid w:val="0"/>
          <w:color w:val="0000FF"/>
          <w:sz w:val="36"/>
          <w:szCs w:val="36"/>
        </w:rPr>
        <w:sectPr>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cols w:num="1" w:space="0"/>
          <w:rtlGutter/>
          <w:docGrid w:linePitch="312" w:charSpace="0"/>
        </w:sectPr>
      </w:pPr>
    </w:p>
    <w:p>
      <w:pPr>
        <w:rPr>
          <w:rFonts w:hint="eastAsia"/>
          <w:color w:val="0000FF"/>
        </w:rPr>
      </w:pPr>
    </w:p>
    <w:p>
      <w:pPr>
        <w:spacing w:line="360" w:lineRule="auto"/>
        <w:jc w:val="center"/>
        <w:outlineLvl w:val="0"/>
        <w:rPr>
          <w:rFonts w:hint="eastAsia"/>
          <w:b/>
          <w:bCs/>
          <w:color w:val="auto"/>
          <w:sz w:val="32"/>
          <w:szCs w:val="32"/>
        </w:rPr>
      </w:pPr>
      <w:bookmarkStart w:id="17" w:name="_Toc1246"/>
      <w:bookmarkStart w:id="18" w:name="_Toc26159"/>
      <w:bookmarkStart w:id="19" w:name="_Toc19666"/>
      <w:r>
        <w:rPr>
          <w:rFonts w:hint="eastAsia"/>
          <w:b/>
          <w:bCs/>
          <w:color w:val="auto"/>
          <w:sz w:val="32"/>
          <w:szCs w:val="32"/>
        </w:rPr>
        <w:t>三、区域环境质量现状、环境保护目标及评价标准</w:t>
      </w:r>
      <w:bookmarkEnd w:id="17"/>
      <w:bookmarkEnd w:id="18"/>
      <w:bookmarkEnd w:id="19"/>
    </w:p>
    <w:tbl>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800"/>
        <w:gridCol w:w="8594"/>
      </w:tblGrid>
      <w:tr>
        <w:trPr>
          <w:trHeight w:val="422"/>
        </w:trPr>
        <w:tc>
          <w:tcPr>
            <w:tcW w:w="800"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0000FF"/>
                <w:kern w:val="0"/>
                <w:szCs w:val="21"/>
              </w:rPr>
            </w:pPr>
            <w:r>
              <w:rPr>
                <w:color w:val="auto"/>
                <w:kern w:val="0"/>
                <w:szCs w:val="21"/>
              </w:rPr>
              <w:t>现状</w:t>
            </w:r>
          </w:p>
        </w:tc>
        <w:tc>
          <w:tcPr>
            <w:tcW w:w="8190" w:type="dxa"/>
            <w:vAlign w:val="center"/>
          </w:tcPr>
          <w:p>
            <w:pPr>
              <w:spacing w:line="360" w:lineRule="auto"/>
              <w:ind w:firstLineChars="200" w:firstLine="480"/>
              <w:outlineLvl w:val="0"/>
              <w:rPr>
                <w:b/>
                <w:bCs/>
                <w:color w:val="auto"/>
                <w:sz w:val="24"/>
              </w:rPr>
            </w:pPr>
            <w:bookmarkStart w:id="20" w:name="_Toc120"/>
            <w:r>
              <w:rPr>
                <w:b/>
                <w:bCs/>
                <w:color w:val="auto"/>
                <w:sz w:val="24"/>
              </w:rPr>
              <w:t>1、环境空气质量现状</w:t>
            </w:r>
            <w:bookmarkEnd w:id="20"/>
          </w:p>
          <w:p>
            <w:pPr>
              <w:spacing w:line="360" w:lineRule="auto"/>
              <w:ind w:firstLine="480"/>
              <w:rPr>
                <w:color w:val="auto"/>
                <w:sz w:val="24"/>
              </w:rPr>
            </w:pPr>
            <w:r>
              <w:rPr>
                <w:color w:val="auto"/>
                <w:sz w:val="24"/>
              </w:rPr>
              <w:t>①</w:t>
            </w:r>
            <w:r>
              <w:rPr>
                <w:bCs/>
                <w:color w:val="auto"/>
                <w:sz w:val="24"/>
              </w:rPr>
              <w:t>区域环境空气质量现状调查</w:t>
            </w:r>
          </w:p>
          <w:p>
            <w:pPr>
              <w:pStyle w:val="41"/>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cs="Times New Roman" w:hAnsi="Times New Roman"/>
                <w:color w:val="auto"/>
                <w:sz w:val="24"/>
                <w:szCs w:val="20"/>
                <w:u w:val="none"/>
              </w:rPr>
            </w:pPr>
            <w:r>
              <w:rPr>
                <w:rFonts w:cs="Times New Roman" w:hAnsi="Times New Roman" w:hint="eastAsia"/>
                <w:color w:val="auto"/>
                <w:sz w:val="24"/>
                <w:szCs w:val="20"/>
                <w:u w:val="none"/>
              </w:rPr>
              <w:t>项目所在区域的大气环境属于二类功能区，执行《环境空气质量标准》（GB3095-2012）二级标准。本项目引用《常德市生态环境局关于202</w:t>
            </w:r>
            <w:r>
              <w:rPr>
                <w:rFonts w:cs="Times New Roman" w:hAnsi="Times New Roman" w:hint="eastAsia"/>
                <w:color w:val="auto"/>
                <w:sz w:val="24"/>
                <w:szCs w:val="20"/>
                <w:u w:val="none"/>
                <w:lang w:val="en-US" w:eastAsia="zh-CN"/>
              </w:rPr>
              <w:t>4</w:t>
            </w:r>
            <w:r>
              <w:rPr>
                <w:rFonts w:cs="Times New Roman" w:hAnsi="Times New Roman" w:hint="eastAsia"/>
                <w:color w:val="auto"/>
                <w:sz w:val="24"/>
                <w:szCs w:val="20"/>
                <w:u w:val="none"/>
              </w:rPr>
              <w:t>年12月全市环境质量状况的通报》中附件2“202</w:t>
            </w:r>
            <w:r>
              <w:rPr>
                <w:rFonts w:cs="Times New Roman" w:hAnsi="Times New Roman" w:hint="eastAsia"/>
                <w:color w:val="auto"/>
                <w:sz w:val="24"/>
                <w:szCs w:val="20"/>
                <w:u w:val="none"/>
                <w:lang w:val="en-US" w:eastAsia="zh-CN"/>
              </w:rPr>
              <w:t>4</w:t>
            </w:r>
            <w:r>
              <w:rPr>
                <w:rFonts w:cs="Times New Roman" w:hAnsi="Times New Roman" w:hint="eastAsia"/>
                <w:color w:val="auto"/>
                <w:sz w:val="24"/>
                <w:szCs w:val="20"/>
                <w:u w:val="none"/>
              </w:rPr>
              <w:t>年1-12月常德市环境空气质量状况”，桃源县常规监测点空气质量现状统计如下表所示。</w:t>
            </w:r>
          </w:p>
          <w:p>
            <w:pPr>
              <w:snapToGrid w:val="0"/>
              <w:jc w:val="center"/>
              <w:rPr>
                <w:color w:val="auto"/>
                <w:szCs w:val="21"/>
                <w:u w:val="none"/>
              </w:rPr>
            </w:pPr>
            <w:r>
              <w:rPr>
                <w:b/>
                <w:bCs/>
                <w:color w:val="auto"/>
                <w:szCs w:val="21"/>
                <w:u w:val="none"/>
              </w:rPr>
              <w:t>表3-1 空气质量现状评价表（20</w:t>
            </w:r>
            <w:r>
              <w:rPr>
                <w:rFonts w:hint="eastAsia"/>
                <w:b/>
                <w:bCs/>
                <w:color w:val="auto"/>
                <w:szCs w:val="21"/>
                <w:u w:val="none"/>
                <w:lang w:val="en-US" w:eastAsia="zh-CN"/>
              </w:rPr>
              <w:t>24</w:t>
            </w:r>
            <w:r>
              <w:rPr>
                <w:b/>
                <w:bCs/>
                <w:color w:val="auto"/>
                <w:szCs w:val="21"/>
                <w:u w:val="none"/>
              </w:rPr>
              <w:t>年）</w:t>
            </w:r>
          </w:p>
          <w:tbl>
            <w:tblPr>
              <w:jc w:val="cent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948"/>
              <w:gridCol w:w="2327"/>
              <w:gridCol w:w="1351"/>
              <w:gridCol w:w="1645"/>
              <w:gridCol w:w="1082"/>
              <w:gridCol w:w="1023"/>
            </w:tblGrid>
            <w:tr>
              <w:trPr>
                <w:trHeight w:val="454"/>
              </w:trPr>
              <w:tc>
                <w:tcPr>
                  <w:tcW w:w="226"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污染物</w:t>
                  </w:r>
                </w:p>
              </w:tc>
              <w:tc>
                <w:tcPr>
                  <w:tcW w:w="554"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年评价指标</w:t>
                  </w:r>
                </w:p>
              </w:tc>
              <w:tc>
                <w:tcPr>
                  <w:tcW w:w="326"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现状浓度</w:t>
                  </w:r>
                </w:p>
              </w:tc>
              <w:tc>
                <w:tcPr>
                  <w:tcW w:w="391"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标准值/(ug/m</w:t>
                  </w:r>
                  <w:r>
                    <w:rPr>
                      <w:rFonts w:ascii="Times New Roman" w:hAnsi="Times New Roman"/>
                      <w:b/>
                      <w:bCs/>
                      <w:color w:val="auto"/>
                      <w:sz w:val="21"/>
                      <w:szCs w:val="21"/>
                      <w:vertAlign w:val="superscript"/>
                    </w:rPr>
                    <w:t>3</w:t>
                  </w:r>
                  <w:r>
                    <w:rPr>
                      <w:rFonts w:ascii="Times New Roman" w:hAnsi="Times New Roman"/>
                      <w:b/>
                      <w:bCs/>
                      <w:color w:val="auto"/>
                      <w:sz w:val="21"/>
                      <w:szCs w:val="21"/>
                    </w:rPr>
                    <w:t>)</w:t>
                  </w:r>
                </w:p>
              </w:tc>
              <w:tc>
                <w:tcPr>
                  <w:tcW w:w="261"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占标率/%</w:t>
                  </w:r>
                </w:p>
              </w:tc>
              <w:tc>
                <w:tcPr>
                  <w:tcW w:w="243" w:type="dxa"/>
                  <w:vAlign w:val="center"/>
                </w:tcPr>
                <w:p>
                  <w:pPr>
                    <w:pStyle w:val="42"/>
                    <w:tabs>
                      <w:tab w:val="left" w:pos="277"/>
                      <w:tab w:val="left" w:pos="600"/>
                      <w:tab w:val="left" w:pos="780"/>
                      <w:tab w:val="left" w:pos="2517"/>
                    </w:tabs>
                    <w:rPr>
                      <w:rFonts w:ascii="Times New Roman" w:hAnsi="Times New Roman"/>
                      <w:b/>
                      <w:bCs/>
                      <w:color w:val="auto"/>
                      <w:sz w:val="21"/>
                      <w:szCs w:val="21"/>
                    </w:rPr>
                  </w:pPr>
                  <w:r>
                    <w:rPr>
                      <w:rFonts w:ascii="Times New Roman" w:hAnsi="Times New Roman"/>
                      <w:b/>
                      <w:bCs/>
                      <w:color w:val="auto"/>
                      <w:sz w:val="21"/>
                      <w:szCs w:val="21"/>
                    </w:rPr>
                    <w:t>达标情况</w:t>
                  </w:r>
                </w:p>
              </w:tc>
            </w:tr>
            <w:tr>
              <w:trPr>
                <w:trHeight w:val="454"/>
              </w:trPr>
              <w:tc>
                <w:tcPr>
                  <w:tcW w:w="948" w:type="dxa"/>
                  <w:vAlign w:val="center"/>
                </w:tcPr>
                <w:p>
                  <w:pPr>
                    <w:pStyle w:val="48"/>
                    <w:rPr>
                      <w:rFonts w:ascii="Times New Roman" w:hAnsi="Times New Roman"/>
                      <w:color w:val="auto"/>
                      <w:sz w:val="21"/>
                      <w:szCs w:val="21"/>
                    </w:rPr>
                  </w:pPr>
                  <w:r>
                    <w:rPr>
                      <w:snapToGrid w:val="0"/>
                      <w:color w:val="auto"/>
                      <w:sz w:val="21"/>
                      <w:szCs w:val="21"/>
                    </w:rPr>
                    <w:t>SO</w:t>
                  </w:r>
                  <w:r>
                    <w:rPr>
                      <w:snapToGrid w:val="0"/>
                      <w:color w:val="auto"/>
                      <w:sz w:val="21"/>
                      <w:szCs w:val="21"/>
                      <w:vertAlign w:val="subscript"/>
                    </w:rPr>
                    <w:t>2</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年平均值</w:t>
                  </w:r>
                </w:p>
              </w:tc>
              <w:tc>
                <w:tcPr>
                  <w:tcW w:w="1351" w:type="dxa"/>
                  <w:vAlign w:val="center"/>
                </w:tcPr>
                <w:p>
                  <w:pPr>
                    <w:pStyle w:val="48"/>
                    <w:rPr>
                      <w:rFonts w:ascii="Times New Roman" w:eastAsia="宋体" w:cs="Times New Roman" w:hAnsi="Times New Roman"/>
                      <w:color w:val="auto"/>
                      <w:sz w:val="21"/>
                      <w:szCs w:val="21"/>
                    </w:rPr>
                  </w:pPr>
                  <w:r>
                    <w:rPr>
                      <w:rFonts w:hint="eastAsia"/>
                      <w:snapToGrid w:val="0"/>
                      <w:color w:val="auto"/>
                      <w:sz w:val="21"/>
                      <w:szCs w:val="21"/>
                      <w:lang w:val="en-US" w:eastAsia="zh-CN"/>
                    </w:rPr>
                    <w:t>4</w:t>
                  </w:r>
                </w:p>
              </w:tc>
              <w:tc>
                <w:tcPr>
                  <w:tcW w:w="1645" w:type="dxa"/>
                  <w:vAlign w:val="center"/>
                </w:tcPr>
                <w:p>
                  <w:pPr>
                    <w:pStyle w:val="48"/>
                    <w:rPr>
                      <w:rFonts w:ascii="Times New Roman" w:hAnsi="Times New Roman"/>
                      <w:color w:val="auto"/>
                      <w:sz w:val="21"/>
                      <w:szCs w:val="21"/>
                    </w:rPr>
                  </w:pPr>
                  <w:r>
                    <w:rPr>
                      <w:snapToGrid w:val="0"/>
                      <w:color w:val="auto"/>
                      <w:sz w:val="21"/>
                      <w:szCs w:val="21"/>
                    </w:rPr>
                    <w:t>60</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6.667</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r>
              <w:trPr>
                <w:trHeight w:val="454"/>
              </w:trPr>
              <w:tc>
                <w:tcPr>
                  <w:tcW w:w="948" w:type="dxa"/>
                  <w:vAlign w:val="center"/>
                </w:tcPr>
                <w:p>
                  <w:pPr>
                    <w:pStyle w:val="48"/>
                    <w:rPr>
                      <w:rFonts w:ascii="Times New Roman" w:hAnsi="Times New Roman"/>
                      <w:color w:val="auto"/>
                      <w:sz w:val="21"/>
                      <w:szCs w:val="21"/>
                    </w:rPr>
                  </w:pPr>
                  <w:r>
                    <w:rPr>
                      <w:snapToGrid w:val="0"/>
                      <w:color w:val="auto"/>
                      <w:sz w:val="21"/>
                      <w:szCs w:val="21"/>
                    </w:rPr>
                    <w:t>NO</w:t>
                  </w:r>
                  <w:r>
                    <w:rPr>
                      <w:snapToGrid w:val="0"/>
                      <w:color w:val="auto"/>
                      <w:sz w:val="21"/>
                      <w:szCs w:val="21"/>
                      <w:vertAlign w:val="subscript"/>
                    </w:rPr>
                    <w:t>2</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年平均质量浓度</w:t>
                  </w:r>
                </w:p>
              </w:tc>
              <w:tc>
                <w:tcPr>
                  <w:tcW w:w="1351" w:type="dxa"/>
                  <w:vAlign w:val="center"/>
                </w:tcPr>
                <w:p>
                  <w:pPr>
                    <w:pStyle w:val="48"/>
                    <w:rPr>
                      <w:rFonts w:ascii="Times New Roman" w:eastAsia="宋体" w:cs="Times New Roman" w:hAnsi="Times New Roman"/>
                      <w:color w:val="auto"/>
                      <w:sz w:val="21"/>
                      <w:szCs w:val="21"/>
                    </w:rPr>
                  </w:pPr>
                  <w:r>
                    <w:rPr>
                      <w:rFonts w:hint="eastAsia"/>
                      <w:snapToGrid w:val="0"/>
                      <w:color w:val="auto"/>
                      <w:sz w:val="21"/>
                      <w:szCs w:val="21"/>
                      <w:lang w:val="en-US" w:eastAsia="zh-CN"/>
                    </w:rPr>
                    <w:t>8</w:t>
                  </w:r>
                </w:p>
              </w:tc>
              <w:tc>
                <w:tcPr>
                  <w:tcW w:w="1645" w:type="dxa"/>
                  <w:vAlign w:val="center"/>
                </w:tcPr>
                <w:p>
                  <w:pPr>
                    <w:pStyle w:val="48"/>
                    <w:rPr>
                      <w:rFonts w:ascii="Times New Roman" w:hAnsi="Times New Roman"/>
                      <w:color w:val="auto"/>
                      <w:sz w:val="21"/>
                      <w:szCs w:val="21"/>
                    </w:rPr>
                  </w:pPr>
                  <w:r>
                    <w:rPr>
                      <w:snapToGrid w:val="0"/>
                      <w:color w:val="auto"/>
                      <w:sz w:val="21"/>
                      <w:szCs w:val="21"/>
                    </w:rPr>
                    <w:t>40</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20</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r>
              <w:trPr>
                <w:trHeight w:val="454"/>
              </w:trPr>
              <w:tc>
                <w:tcPr>
                  <w:tcW w:w="948" w:type="dxa"/>
                  <w:vAlign w:val="center"/>
                </w:tcPr>
                <w:p>
                  <w:pPr>
                    <w:pStyle w:val="48"/>
                    <w:rPr>
                      <w:rFonts w:ascii="Times New Roman" w:hAnsi="Times New Roman"/>
                      <w:color w:val="auto"/>
                      <w:sz w:val="21"/>
                      <w:szCs w:val="21"/>
                    </w:rPr>
                  </w:pPr>
                  <w:r>
                    <w:rPr>
                      <w:snapToGrid w:val="0"/>
                      <w:color w:val="auto"/>
                      <w:sz w:val="21"/>
                      <w:szCs w:val="21"/>
                    </w:rPr>
                    <w:t>PM</w:t>
                  </w:r>
                  <w:r>
                    <w:rPr>
                      <w:snapToGrid w:val="0"/>
                      <w:color w:val="auto"/>
                      <w:sz w:val="21"/>
                      <w:szCs w:val="21"/>
                      <w:vertAlign w:val="subscript"/>
                    </w:rPr>
                    <w:t>10</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年平均质量浓度</w:t>
                  </w:r>
                </w:p>
              </w:tc>
              <w:tc>
                <w:tcPr>
                  <w:tcW w:w="1351" w:type="dxa"/>
                  <w:vAlign w:val="center"/>
                </w:tcPr>
                <w:p>
                  <w:pPr>
                    <w:pStyle w:val="48"/>
                    <w:rPr>
                      <w:rFonts w:ascii="Times New Roman" w:eastAsia="宋体" w:cs="Times New Roman" w:hAnsi="Times New Roman"/>
                      <w:color w:val="auto"/>
                      <w:sz w:val="21"/>
                      <w:szCs w:val="21"/>
                      <w:lang w:val="en-US"/>
                    </w:rPr>
                  </w:pPr>
                  <w:r>
                    <w:rPr>
                      <w:rFonts w:hint="eastAsia"/>
                      <w:snapToGrid w:val="0"/>
                      <w:color w:val="auto"/>
                      <w:sz w:val="21"/>
                      <w:szCs w:val="21"/>
                      <w:lang w:val="en-US" w:eastAsia="zh-CN"/>
                    </w:rPr>
                    <w:t>46</w:t>
                  </w:r>
                </w:p>
              </w:tc>
              <w:tc>
                <w:tcPr>
                  <w:tcW w:w="1645" w:type="dxa"/>
                  <w:vAlign w:val="center"/>
                </w:tcPr>
                <w:p>
                  <w:pPr>
                    <w:pStyle w:val="48"/>
                    <w:rPr>
                      <w:rFonts w:ascii="Times New Roman" w:hAnsi="Times New Roman"/>
                      <w:color w:val="auto"/>
                      <w:sz w:val="21"/>
                      <w:szCs w:val="21"/>
                    </w:rPr>
                  </w:pPr>
                  <w:r>
                    <w:rPr>
                      <w:snapToGrid w:val="0"/>
                      <w:color w:val="auto"/>
                      <w:sz w:val="21"/>
                      <w:szCs w:val="21"/>
                    </w:rPr>
                    <w:t>70</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65.715</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r>
              <w:trPr>
                <w:trHeight w:val="454"/>
              </w:trPr>
              <w:tc>
                <w:tcPr>
                  <w:tcW w:w="948" w:type="dxa"/>
                  <w:vAlign w:val="center"/>
                </w:tcPr>
                <w:p>
                  <w:pPr>
                    <w:pStyle w:val="48"/>
                    <w:rPr>
                      <w:rFonts w:ascii="Times New Roman" w:hAnsi="Times New Roman"/>
                      <w:color w:val="auto"/>
                      <w:sz w:val="21"/>
                      <w:szCs w:val="21"/>
                    </w:rPr>
                  </w:pPr>
                  <w:r>
                    <w:rPr>
                      <w:snapToGrid w:val="0"/>
                      <w:color w:val="auto"/>
                      <w:sz w:val="21"/>
                      <w:szCs w:val="21"/>
                    </w:rPr>
                    <w:t>PM</w:t>
                  </w:r>
                  <w:r>
                    <w:rPr>
                      <w:snapToGrid w:val="0"/>
                      <w:color w:val="auto"/>
                      <w:sz w:val="21"/>
                      <w:szCs w:val="21"/>
                      <w:vertAlign w:val="subscript"/>
                    </w:rPr>
                    <w:t>2.5</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年平均质量浓度</w:t>
                  </w:r>
                </w:p>
              </w:tc>
              <w:tc>
                <w:tcPr>
                  <w:tcW w:w="1351" w:type="dxa"/>
                  <w:vAlign w:val="center"/>
                </w:tcPr>
                <w:p>
                  <w:pPr>
                    <w:pStyle w:val="48"/>
                    <w:rPr>
                      <w:rFonts w:ascii="Times New Roman" w:eastAsia="宋体" w:cs="Times New Roman" w:hAnsi="Times New Roman"/>
                      <w:color w:val="auto"/>
                      <w:sz w:val="21"/>
                      <w:szCs w:val="21"/>
                      <w:lang w:val="en-US"/>
                    </w:rPr>
                  </w:pPr>
                  <w:r>
                    <w:rPr>
                      <w:rFonts w:hint="eastAsia"/>
                      <w:snapToGrid w:val="0"/>
                      <w:color w:val="auto"/>
                      <w:sz w:val="21"/>
                      <w:szCs w:val="21"/>
                      <w:lang w:val="en-US" w:eastAsia="zh-CN"/>
                    </w:rPr>
                    <w:t>30.9</w:t>
                  </w:r>
                </w:p>
              </w:tc>
              <w:tc>
                <w:tcPr>
                  <w:tcW w:w="1645" w:type="dxa"/>
                  <w:vAlign w:val="center"/>
                </w:tcPr>
                <w:p>
                  <w:pPr>
                    <w:pStyle w:val="48"/>
                    <w:rPr>
                      <w:rFonts w:ascii="Times New Roman" w:hAnsi="Times New Roman"/>
                      <w:color w:val="auto"/>
                      <w:sz w:val="21"/>
                      <w:szCs w:val="21"/>
                    </w:rPr>
                  </w:pPr>
                  <w:r>
                    <w:rPr>
                      <w:snapToGrid w:val="0"/>
                      <w:color w:val="auto"/>
                      <w:sz w:val="21"/>
                      <w:szCs w:val="21"/>
                    </w:rPr>
                    <w:t>35</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88.286</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r>
              <w:trPr>
                <w:trHeight w:val="454"/>
              </w:trPr>
              <w:tc>
                <w:tcPr>
                  <w:tcW w:w="948" w:type="dxa"/>
                  <w:vAlign w:val="center"/>
                </w:tcPr>
                <w:p>
                  <w:pPr>
                    <w:pStyle w:val="48"/>
                    <w:rPr>
                      <w:snapToGrid w:val="0"/>
                      <w:color w:val="auto"/>
                      <w:sz w:val="21"/>
                      <w:szCs w:val="21"/>
                    </w:rPr>
                  </w:pPr>
                  <w:r>
                    <w:rPr>
                      <w:snapToGrid w:val="0"/>
                      <w:color w:val="auto"/>
                      <w:sz w:val="21"/>
                      <w:szCs w:val="21"/>
                    </w:rPr>
                    <w:t>CO</w:t>
                  </w:r>
                </w:p>
                <w:p>
                  <w:pPr>
                    <w:pStyle w:val="48"/>
                    <w:rPr>
                      <w:rFonts w:ascii="Times New Roman" w:hAnsi="Times New Roman"/>
                      <w:color w:val="auto"/>
                      <w:sz w:val="21"/>
                      <w:szCs w:val="21"/>
                    </w:rPr>
                  </w:pPr>
                  <w:r>
                    <w:rPr>
                      <w:rFonts w:hint="eastAsia"/>
                      <w:snapToGrid w:val="0"/>
                      <w:color w:val="auto"/>
                      <w:sz w:val="21"/>
                      <w:szCs w:val="21"/>
                      <w:lang w:eastAsia="zh-CN"/>
                    </w:rPr>
                    <w:t>(</w:t>
                  </w:r>
                  <w:r>
                    <w:rPr>
                      <w:snapToGrid w:val="0"/>
                      <w:color w:val="auto"/>
                      <w:sz w:val="21"/>
                      <w:szCs w:val="21"/>
                    </w:rPr>
                    <w:t>mg/m</w:t>
                  </w:r>
                  <w:r>
                    <w:rPr>
                      <w:snapToGrid w:val="0"/>
                      <w:color w:val="auto"/>
                      <w:sz w:val="21"/>
                      <w:szCs w:val="21"/>
                      <w:vertAlign w:val="superscript"/>
                    </w:rPr>
                    <w:t>3</w:t>
                  </w:r>
                  <w:r>
                    <w:rPr>
                      <w:rFonts w:hint="eastAsia"/>
                      <w:snapToGrid w:val="0"/>
                      <w:color w:val="auto"/>
                      <w:sz w:val="21"/>
                      <w:szCs w:val="21"/>
                      <w:vertAlign w:val="superscript"/>
                      <w:lang w:eastAsia="zh-CN"/>
                    </w:rPr>
                    <w:t>)</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百分之95位数日平均质量浓度</w:t>
                  </w:r>
                </w:p>
              </w:tc>
              <w:tc>
                <w:tcPr>
                  <w:tcW w:w="1351" w:type="dxa"/>
                  <w:vAlign w:val="center"/>
                </w:tcPr>
                <w:p>
                  <w:pPr>
                    <w:pStyle w:val="48"/>
                    <w:rPr>
                      <w:rFonts w:ascii="Times New Roman" w:eastAsia="宋体" w:cs="Times New Roman" w:hAnsi="Times New Roman"/>
                      <w:color w:val="auto"/>
                      <w:sz w:val="21"/>
                      <w:szCs w:val="21"/>
                      <w:lang w:val="en-US"/>
                    </w:rPr>
                  </w:pPr>
                  <w:r>
                    <w:rPr>
                      <w:rFonts w:hint="eastAsia"/>
                      <w:snapToGrid w:val="0"/>
                      <w:color w:val="auto"/>
                      <w:sz w:val="21"/>
                      <w:szCs w:val="21"/>
                      <w:lang w:val="en-US" w:eastAsia="zh-CN"/>
                    </w:rPr>
                    <w:t>1.0</w:t>
                  </w:r>
                </w:p>
              </w:tc>
              <w:tc>
                <w:tcPr>
                  <w:tcW w:w="1645" w:type="dxa"/>
                  <w:vAlign w:val="center"/>
                </w:tcPr>
                <w:p>
                  <w:pPr>
                    <w:pStyle w:val="48"/>
                    <w:rPr>
                      <w:rFonts w:ascii="Times New Roman" w:hAnsi="Times New Roman"/>
                      <w:color w:val="auto"/>
                      <w:sz w:val="21"/>
                      <w:szCs w:val="21"/>
                    </w:rPr>
                  </w:pPr>
                  <w:r>
                    <w:rPr>
                      <w:snapToGrid w:val="0"/>
                      <w:color w:val="auto"/>
                      <w:sz w:val="21"/>
                      <w:szCs w:val="21"/>
                    </w:rPr>
                    <w:t>4</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25</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r>
              <w:trPr>
                <w:trHeight w:val="454"/>
              </w:trPr>
              <w:tc>
                <w:tcPr>
                  <w:tcW w:w="948" w:type="dxa"/>
                  <w:vAlign w:val="center"/>
                </w:tcPr>
                <w:p>
                  <w:pPr>
                    <w:pStyle w:val="48"/>
                    <w:rPr>
                      <w:rFonts w:ascii="Times New Roman" w:hAnsi="Times New Roman"/>
                      <w:color w:val="auto"/>
                      <w:sz w:val="21"/>
                      <w:szCs w:val="21"/>
                    </w:rPr>
                  </w:pPr>
                  <w:r>
                    <w:rPr>
                      <w:snapToGrid w:val="0"/>
                      <w:color w:val="auto"/>
                      <w:sz w:val="21"/>
                      <w:szCs w:val="21"/>
                    </w:rPr>
                    <w:t>O</w:t>
                  </w:r>
                  <w:r>
                    <w:rPr>
                      <w:snapToGrid w:val="0"/>
                      <w:color w:val="auto"/>
                      <w:sz w:val="21"/>
                      <w:szCs w:val="21"/>
                      <w:vertAlign w:val="subscript"/>
                    </w:rPr>
                    <w:t>3</w:t>
                  </w:r>
                  <w:r>
                    <w:rPr>
                      <w:snapToGrid w:val="0"/>
                      <w:color w:val="auto"/>
                      <w:sz w:val="21"/>
                      <w:szCs w:val="21"/>
                    </w:rPr>
                    <w:t>-8h</w:t>
                  </w:r>
                </w:p>
              </w:tc>
              <w:tc>
                <w:tcPr>
                  <w:tcW w:w="2327" w:type="dxa"/>
                  <w:vAlign w:val="center"/>
                </w:tcPr>
                <w:p>
                  <w:pPr>
                    <w:pStyle w:val="54"/>
                    <w:ind w:left="360" w:hanging="360"/>
                    <w:rPr>
                      <w:rFonts w:ascii="Times New Roman" w:hAnsi="Times New Roman"/>
                      <w:color w:val="auto"/>
                      <w:sz w:val="21"/>
                      <w:szCs w:val="21"/>
                    </w:rPr>
                  </w:pPr>
                  <w:r>
                    <w:rPr>
                      <w:rFonts w:ascii="Times New Roman" w:hAnsi="Times New Roman"/>
                      <w:color w:val="auto"/>
                      <w:sz w:val="21"/>
                      <w:szCs w:val="21"/>
                    </w:rPr>
                    <w:t>百分之90位数日最大8小时平均质量浓度</w:t>
                  </w:r>
                </w:p>
              </w:tc>
              <w:tc>
                <w:tcPr>
                  <w:tcW w:w="1351" w:type="dxa"/>
                  <w:vAlign w:val="center"/>
                </w:tcPr>
                <w:p>
                  <w:pPr>
                    <w:pStyle w:val="48"/>
                    <w:rPr>
                      <w:rFonts w:ascii="Times New Roman" w:eastAsia="宋体" w:cs="Times New Roman" w:hAnsi="Times New Roman"/>
                      <w:color w:val="auto"/>
                      <w:sz w:val="21"/>
                      <w:szCs w:val="21"/>
                    </w:rPr>
                  </w:pPr>
                  <w:r>
                    <w:rPr>
                      <w:rFonts w:hint="eastAsia"/>
                      <w:snapToGrid w:val="0"/>
                      <w:color w:val="auto"/>
                      <w:sz w:val="21"/>
                      <w:szCs w:val="21"/>
                      <w:lang w:val="en-US" w:eastAsia="zh-CN"/>
                    </w:rPr>
                    <w:t>140</w:t>
                  </w:r>
                </w:p>
              </w:tc>
              <w:tc>
                <w:tcPr>
                  <w:tcW w:w="1645" w:type="dxa"/>
                  <w:vAlign w:val="center"/>
                </w:tcPr>
                <w:p>
                  <w:pPr>
                    <w:pStyle w:val="48"/>
                    <w:rPr>
                      <w:rFonts w:ascii="Times New Roman" w:hAnsi="Times New Roman"/>
                      <w:color w:val="auto"/>
                      <w:sz w:val="21"/>
                      <w:szCs w:val="21"/>
                    </w:rPr>
                  </w:pPr>
                  <w:r>
                    <w:rPr>
                      <w:snapToGrid w:val="0"/>
                      <w:color w:val="auto"/>
                      <w:sz w:val="21"/>
                      <w:szCs w:val="21"/>
                    </w:rPr>
                    <w:t>160</w:t>
                  </w:r>
                </w:p>
              </w:tc>
              <w:tc>
                <w:tcPr>
                  <w:tcW w:w="1082" w:type="dxa"/>
                  <w:vAlign w:val="center"/>
                </w:tcPr>
                <w:p>
                  <w:pPr>
                    <w:pStyle w:val="48"/>
                    <w:rPr>
                      <w:rFonts w:ascii="Times New Roman" w:eastAsia="宋体" w:hAnsi="Times New Roman"/>
                      <w:color w:val="auto"/>
                      <w:sz w:val="21"/>
                      <w:szCs w:val="21"/>
                      <w:lang w:val="en-US" w:eastAsia="zh-CN"/>
                    </w:rPr>
                  </w:pPr>
                  <w:r>
                    <w:rPr>
                      <w:rFonts w:hint="eastAsia"/>
                      <w:color w:val="auto"/>
                      <w:sz w:val="21"/>
                      <w:szCs w:val="21"/>
                      <w:lang w:val="en-US" w:eastAsia="zh-CN"/>
                    </w:rPr>
                    <w:t>87.5</w:t>
                  </w:r>
                </w:p>
              </w:tc>
              <w:tc>
                <w:tcPr>
                  <w:tcW w:w="1023" w:type="dxa"/>
                  <w:vAlign w:val="center"/>
                </w:tcPr>
                <w:p>
                  <w:pPr>
                    <w:pStyle w:val="48"/>
                    <w:rPr>
                      <w:rFonts w:ascii="Times New Roman" w:hAnsi="Times New Roman"/>
                      <w:color w:val="auto"/>
                      <w:sz w:val="21"/>
                      <w:szCs w:val="21"/>
                    </w:rPr>
                  </w:pPr>
                  <w:r>
                    <w:rPr>
                      <w:snapToGrid w:val="0"/>
                      <w:color w:val="auto"/>
                      <w:sz w:val="21"/>
                      <w:szCs w:val="21"/>
                    </w:rPr>
                    <w:t>达标</w:t>
                  </w:r>
                </w:p>
              </w:tc>
            </w:tr>
          </w:tbl>
          <w:p>
            <w:pPr>
              <w:pStyle w:val="15"/>
              <w:spacing w:line="360" w:lineRule="auto"/>
              <w:ind w:firstLineChars="200" w:firstLine="480"/>
              <w:jc w:val="both"/>
              <w:rPr>
                <w:rFonts w:cs="Times New Roman" w:hAnsi="Times New Roman"/>
                <w:bCs/>
                <w:color w:val="auto"/>
                <w:sz w:val="24"/>
              </w:rPr>
            </w:pPr>
            <w:r>
              <w:rPr>
                <w:rFonts w:cs="Times New Roman" w:hAnsi="Times New Roman" w:hint="eastAsia"/>
                <w:bCs/>
                <w:color w:val="auto"/>
                <w:sz w:val="24"/>
              </w:rPr>
              <w:t>根据表3-1，本项目所在区域</w:t>
            </w:r>
            <w:r>
              <w:rPr>
                <w:rFonts w:cs="Times New Roman" w:hAnsi="Times New Roman" w:hint="eastAsia"/>
                <w:bCs/>
                <w:color w:val="auto"/>
                <w:sz w:val="24"/>
                <w:lang w:eastAsia="zh-CN"/>
              </w:rPr>
              <w:t>桃源县</w:t>
            </w:r>
            <w:r>
              <w:rPr>
                <w:rFonts w:cs="Times New Roman" w:hAnsi="Times New Roman" w:hint="eastAsia"/>
                <w:bCs/>
                <w:color w:val="auto"/>
                <w:sz w:val="24"/>
              </w:rPr>
              <w:t>的 PM</w:t>
            </w:r>
            <w:r>
              <w:rPr>
                <w:rFonts w:cs="Times New Roman" w:hAnsi="Times New Roman" w:hint="eastAsia"/>
                <w:bCs/>
                <w:color w:val="auto"/>
                <w:sz w:val="24"/>
                <w:vertAlign w:val="subscript"/>
              </w:rPr>
              <w:t>10</w:t>
            </w:r>
            <w:r>
              <w:rPr>
                <w:rFonts w:cs="Times New Roman" w:hAnsi="Times New Roman" w:hint="eastAsia"/>
                <w:bCs/>
                <w:color w:val="auto"/>
                <w:sz w:val="24"/>
              </w:rPr>
              <w:t>、SO</w:t>
            </w:r>
            <w:r>
              <w:rPr>
                <w:rFonts w:cs="Times New Roman" w:hAnsi="Times New Roman" w:hint="eastAsia"/>
                <w:bCs/>
                <w:color w:val="auto"/>
                <w:sz w:val="24"/>
                <w:vertAlign w:val="subscript"/>
              </w:rPr>
              <w:t>2</w:t>
            </w:r>
            <w:r>
              <w:rPr>
                <w:rFonts w:cs="Times New Roman" w:hAnsi="Times New Roman" w:hint="eastAsia"/>
                <w:bCs/>
                <w:color w:val="auto"/>
                <w:sz w:val="24"/>
              </w:rPr>
              <w:t>、NO</w:t>
            </w:r>
            <w:r>
              <w:rPr>
                <w:rFonts w:cs="Times New Roman" w:hAnsi="Times New Roman" w:hint="eastAsia"/>
                <w:bCs/>
                <w:color w:val="auto"/>
                <w:sz w:val="24"/>
                <w:vertAlign w:val="subscript"/>
              </w:rPr>
              <w:t>2</w:t>
            </w:r>
            <w:r>
              <w:rPr>
                <w:rFonts w:cs="Times New Roman" w:hAnsi="Times New Roman" w:hint="eastAsia"/>
                <w:bCs/>
                <w:color w:val="auto"/>
                <w:sz w:val="24"/>
              </w:rPr>
              <w:t>、CO、O</w:t>
            </w:r>
            <w:r>
              <w:rPr>
                <w:rFonts w:cs="Times New Roman" w:hAnsi="Times New Roman" w:hint="eastAsia"/>
                <w:bCs/>
                <w:color w:val="auto"/>
                <w:sz w:val="24"/>
                <w:vertAlign w:val="subscript"/>
              </w:rPr>
              <w:t>3</w:t>
            </w:r>
            <w:r>
              <w:rPr>
                <w:rFonts w:cs="Times New Roman" w:hAnsi="Times New Roman" w:hint="eastAsia"/>
                <w:bCs/>
                <w:color w:val="auto"/>
                <w:sz w:val="24"/>
                <w:lang w:eastAsia="zh-CN"/>
              </w:rPr>
              <w:t>、</w:t>
            </w:r>
            <w:r>
              <w:rPr>
                <w:rFonts w:cs="Times New Roman" w:hAnsi="Times New Roman" w:hint="eastAsia"/>
                <w:bCs/>
                <w:color w:val="auto"/>
                <w:sz w:val="24"/>
              </w:rPr>
              <w:t>PM</w:t>
            </w:r>
            <w:r>
              <w:rPr>
                <w:rFonts w:cs="Times New Roman" w:hAnsi="Times New Roman" w:hint="eastAsia"/>
                <w:bCs/>
                <w:color w:val="auto"/>
                <w:sz w:val="24"/>
                <w:vertAlign w:val="subscript"/>
              </w:rPr>
              <w:t>2.5</w:t>
            </w:r>
            <w:r>
              <w:rPr>
                <w:rFonts w:cs="Times New Roman" w:hAnsi="Times New Roman" w:hint="eastAsia"/>
                <w:bCs/>
                <w:color w:val="auto"/>
                <w:sz w:val="24"/>
              </w:rPr>
              <w:t>环境质量达标，因此项目所在区域达标区</w:t>
            </w:r>
            <w:r>
              <w:rPr>
                <w:rFonts w:cs="Times New Roman" w:hAnsi="Times New Roman"/>
                <w:bCs/>
                <w:color w:val="auto"/>
                <w:sz w:val="24"/>
              </w:rPr>
              <w:t>。</w:t>
            </w:r>
          </w:p>
          <w:p>
            <w:pPr>
              <w:pStyle w:val="15"/>
              <w:spacing w:line="360" w:lineRule="auto"/>
              <w:ind w:firstLineChars="200" w:firstLine="480"/>
              <w:rPr>
                <w:rFonts w:cs="Times New Roman" w:hAnsi="Times New Roman" w:hint="eastAsia"/>
                <w:bCs/>
                <w:color w:val="auto"/>
                <w:sz w:val="24"/>
                <w:lang w:eastAsia="zh-CN"/>
              </w:rPr>
            </w:pPr>
            <w:r>
              <w:rPr>
                <w:rFonts w:cs="Times New Roman" w:hAnsi="Times New Roman" w:hint="eastAsia"/>
                <w:bCs/>
                <w:color w:val="auto"/>
                <w:sz w:val="24"/>
                <w:lang w:eastAsia="zh-CN"/>
              </w:rPr>
              <w:t>②特征因子</w:t>
            </w:r>
          </w:p>
          <w:p>
            <w:pPr>
              <w:widowControl w:val="0"/>
              <w:spacing w:line="360" w:lineRule="auto"/>
              <w:ind w:firstLineChars="200" w:firstLine="480"/>
              <w:jc w:val="both"/>
              <w:rPr>
                <w:rFonts w:ascii="Times New Roman" w:eastAsia="宋体" w:cs="Times New Roman" w:hAnsi="Times New Roman"/>
                <w:color w:val="auto"/>
                <w:kern w:val="2"/>
                <w:sz w:val="24"/>
                <w:szCs w:val="24"/>
                <w:lang w:val="en-US" w:eastAsia="zh-CN" w:bidi="ar-SA"/>
              </w:rPr>
            </w:pPr>
            <w:r>
              <w:rPr>
                <w:rFonts w:ascii="Times New Roman" w:eastAsia="宋体" w:cs="Times New Roman" w:hAnsi="Times New Roman" w:hint="eastAsia"/>
                <w:color w:val="auto"/>
                <w:kern w:val="2"/>
                <w:sz w:val="24"/>
                <w:szCs w:val="24"/>
                <w:lang w:val="en-US" w:eastAsia="zh-CN" w:bidi="ar-SA"/>
              </w:rPr>
              <w:t>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w:t>
            </w:r>
          </w:p>
          <w:p>
            <w:pPr>
              <w:spacing w:line="360" w:lineRule="auto"/>
              <w:ind w:firstLineChars="200" w:firstLine="480"/>
              <w:rPr>
                <w:rFonts w:ascii="Times New Roman" w:eastAsia="宋体" w:cs="Times New Roman" w:hAnsi="Times New Roman"/>
                <w:bCs/>
                <w:color w:val="auto"/>
                <w:sz w:val="24"/>
              </w:rPr>
            </w:pPr>
            <w:r>
              <w:rPr>
                <w:rFonts w:ascii="Times New Roman" w:eastAsia="宋体" w:cs="Times New Roman" w:hAnsi="Times New Roman" w:hint="eastAsia"/>
                <w:bCs/>
                <w:color w:val="auto"/>
                <w:sz w:val="24"/>
              </w:rPr>
              <w:t>引用《2238审-桃源高新技术产业开发区自行监测（2024年年度）》，湖南德环检测中心2024年12月5日~7日对漳江片区园环境空气进行了检测，其检测结果如下。引用项目位于本项目</w:t>
            </w:r>
            <w:r>
              <w:rPr>
                <w:rFonts w:ascii="Times New Roman" w:eastAsia="宋体" w:cs="Times New Roman" w:hAnsi="Times New Roman" w:hint="eastAsia"/>
                <w:bCs/>
                <w:color w:val="auto"/>
                <w:sz w:val="24"/>
                <w:lang w:val="en-US" w:eastAsia="zh-CN"/>
              </w:rPr>
              <w:t>位置均在5</w:t>
            </w:r>
            <w:r>
              <w:rPr>
                <w:rFonts w:ascii="Times New Roman" w:eastAsia="宋体" w:cs="Times New Roman" w:hAnsi="Times New Roman" w:hint="eastAsia"/>
                <w:bCs/>
                <w:color w:val="auto"/>
                <w:sz w:val="24"/>
              </w:rPr>
              <w:t>km引用有效</w:t>
            </w:r>
            <w:r>
              <w:rPr>
                <w:rFonts w:ascii="Times New Roman" w:eastAsia="宋体" w:cs="Times New Roman" w:hAnsi="Times New Roman" w:hint="eastAsia"/>
                <w:bCs/>
                <w:color w:val="auto"/>
                <w:sz w:val="24"/>
                <w:lang w:val="en-US" w:eastAsia="zh-CN"/>
              </w:rPr>
              <w:t>内</w:t>
            </w:r>
            <w:r>
              <w:rPr>
                <w:rFonts w:ascii="Times New Roman" w:eastAsia="宋体" w:cs="Times New Roman" w:hAnsi="Times New Roman"/>
                <w:bCs/>
                <w:color w:val="auto"/>
                <w:sz w:val="24"/>
              </w:rPr>
              <w:t>，现状监测结果统计见下表。</w:t>
            </w:r>
          </w:p>
          <w:p>
            <w:pPr>
              <w:spacing w:line="360" w:lineRule="auto"/>
              <w:jc w:val="center"/>
              <w:rPr>
                <w:rFonts w:ascii="Times New Roman" w:eastAsia="宋体" w:cs="Times New Roman" w:hAnsi="Times New Roman"/>
                <w:b/>
                <w:bCs/>
                <w:color w:val="auto"/>
                <w:vertAlign w:val="superscript"/>
              </w:rPr>
            </w:pPr>
            <w:r>
              <w:rPr>
                <w:rFonts w:ascii="Times New Roman" w:eastAsia="宋体" w:cs="Times New Roman" w:hAnsi="Times New Roman"/>
                <w:b/>
                <w:bCs/>
                <w:color w:val="auto"/>
              </w:rPr>
              <w:t>表 3-</w:t>
            </w:r>
            <w:r>
              <w:rPr>
                <w:rFonts w:ascii="Times New Roman" w:eastAsia="宋体" w:cs="Times New Roman" w:hAnsi="Times New Roman" w:hint="eastAsia"/>
                <w:b/>
                <w:bCs/>
                <w:color w:val="auto"/>
              </w:rPr>
              <w:t>2</w:t>
            </w:r>
            <w:r>
              <w:rPr>
                <w:rFonts w:ascii="Times New Roman" w:eastAsia="宋体" w:cs="Times New Roman" w:hAnsi="Times New Roman"/>
                <w:b/>
                <w:bCs/>
                <w:color w:val="auto"/>
              </w:rPr>
              <w:t xml:space="preserve"> 监测点空气环境质量监测数据及评价结果单位：mg/m</w:t>
            </w:r>
            <w:r>
              <w:rPr>
                <w:rFonts w:ascii="Times New Roman" w:eastAsia="宋体" w:cs="Times New Roman" w:hAnsi="Times New Roman"/>
                <w:b/>
                <w:bCs/>
                <w:color w:val="auto"/>
                <w:vertAlign w:val="superscript"/>
              </w:rPr>
              <w:t>3</w:t>
            </w:r>
          </w:p>
          <w:tbl>
            <w:tblPr>
              <w:jc w:val="center"/>
              <w:tblW w:w="4997"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0" w:type="dxa"/>
                <w:left w:w="108" w:type="dxa"/>
                <w:bottom w:w="0" w:type="dxa"/>
                <w:right w:w="108" w:type="dxa"/>
              </w:tblCellMar>
              <w:tblLook w:val="0600" w:firstRow="0" w:lastRow="0" w:firstColumn="0" w:lastColumn="0" w:noHBand="1" w:noVBand="1"/>
            </w:tblPr>
            <w:tblGrid>
              <w:gridCol w:w="1931"/>
              <w:gridCol w:w="1777"/>
              <w:gridCol w:w="1213"/>
              <w:gridCol w:w="1213"/>
              <w:gridCol w:w="1213"/>
              <w:gridCol w:w="1013"/>
            </w:tblGrid>
            <w:tr>
              <w:trPr>
                <w:trHeight w:val="454"/>
              </w:trPr>
              <w:tc>
                <w:tcPr>
                  <w:tcW w:w="1154" w:type="pct"/>
                  <w:tcBorders>
                    <w:tl2br w:val="nil"/>
                    <w:tr2bl w:val="nil"/>
                  </w:tcBorders>
                  <w:vAlign w:val="center"/>
                </w:tcPr>
                <w:p>
                  <w:pPr>
                    <w:jc w:val="center"/>
                    <w:rPr>
                      <w:rFonts w:hint="eastAsia"/>
                      <w:b/>
                      <w:bCs/>
                      <w:color w:val="auto"/>
                      <w:u w:val="none"/>
                    </w:rPr>
                  </w:pPr>
                  <w:r>
                    <w:rPr>
                      <w:rFonts w:hint="eastAsia"/>
                      <w:b/>
                      <w:bCs/>
                      <w:color w:val="auto"/>
                      <w:u w:val="none"/>
                    </w:rPr>
                    <w:t>监测点位</w:t>
                  </w:r>
                </w:p>
              </w:tc>
              <w:tc>
                <w:tcPr>
                  <w:tcW w:w="1062" w:type="pct"/>
                  <w:tcBorders>
                    <w:tl2br w:val="nil"/>
                    <w:tr2bl w:val="nil"/>
                  </w:tcBorders>
                  <w:vAlign w:val="center"/>
                </w:tcPr>
                <w:p>
                  <w:pPr>
                    <w:jc w:val="center"/>
                    <w:rPr>
                      <w:rFonts w:hint="eastAsia"/>
                      <w:b/>
                      <w:bCs/>
                      <w:color w:val="auto"/>
                      <w:u w:val="none"/>
                    </w:rPr>
                  </w:pPr>
                  <w:r>
                    <w:rPr>
                      <w:rFonts w:hint="eastAsia"/>
                      <w:b/>
                      <w:bCs/>
                      <w:color w:val="auto"/>
                      <w:u w:val="none"/>
                    </w:rPr>
                    <w:t>监测因子</w:t>
                  </w:r>
                </w:p>
              </w:tc>
              <w:tc>
                <w:tcPr>
                  <w:tcW w:w="725" w:type="pct"/>
                  <w:tcBorders>
                    <w:tl2br w:val="nil"/>
                    <w:tr2bl w:val="nil"/>
                  </w:tcBorders>
                  <w:vAlign w:val="center"/>
                </w:tcPr>
                <w:p>
                  <w:pPr>
                    <w:jc w:val="center"/>
                    <w:rPr>
                      <w:rFonts w:eastAsia="宋体"/>
                      <w:b/>
                      <w:bCs/>
                      <w:color w:val="auto"/>
                      <w:u w:val="none"/>
                      <w:lang w:val="en-US" w:eastAsia="zh-CN"/>
                    </w:rPr>
                  </w:pPr>
                  <w:r>
                    <w:rPr>
                      <w:rFonts w:hint="eastAsia"/>
                      <w:b/>
                      <w:bCs/>
                      <w:color w:val="auto"/>
                      <w:u w:val="none"/>
                      <w:lang w:val="en-US" w:eastAsia="zh-CN"/>
                    </w:rPr>
                    <w:t>12.5</w:t>
                  </w:r>
                </w:p>
              </w:tc>
              <w:tc>
                <w:tcPr>
                  <w:tcW w:w="725" w:type="pct"/>
                  <w:tcBorders>
                    <w:tl2br w:val="nil"/>
                    <w:tr2bl w:val="nil"/>
                  </w:tcBorders>
                  <w:vAlign w:val="center"/>
                </w:tcPr>
                <w:p>
                  <w:pPr>
                    <w:jc w:val="center"/>
                    <w:rPr>
                      <w:rFonts w:eastAsia="宋体"/>
                      <w:b/>
                      <w:bCs/>
                      <w:color w:val="auto"/>
                      <w:u w:val="none"/>
                      <w:lang w:val="en-US" w:eastAsia="zh-CN"/>
                    </w:rPr>
                  </w:pPr>
                  <w:r>
                    <w:rPr>
                      <w:rFonts w:hint="eastAsia"/>
                      <w:b/>
                      <w:bCs/>
                      <w:color w:val="auto"/>
                      <w:u w:val="none"/>
                      <w:lang w:val="en-US" w:eastAsia="zh-CN"/>
                    </w:rPr>
                    <w:t>12.6</w:t>
                  </w:r>
                </w:p>
              </w:tc>
              <w:tc>
                <w:tcPr>
                  <w:tcW w:w="725" w:type="pct"/>
                  <w:tcBorders>
                    <w:tl2br w:val="nil"/>
                    <w:tr2bl w:val="nil"/>
                  </w:tcBorders>
                  <w:vAlign w:val="center"/>
                </w:tcPr>
                <w:p>
                  <w:pPr>
                    <w:jc w:val="center"/>
                    <w:rPr>
                      <w:rFonts w:eastAsia="宋体"/>
                      <w:b/>
                      <w:bCs/>
                      <w:color w:val="auto"/>
                      <w:u w:val="none"/>
                      <w:lang w:val="en-US" w:eastAsia="zh-CN"/>
                    </w:rPr>
                  </w:pPr>
                  <w:r>
                    <w:rPr>
                      <w:rFonts w:hint="eastAsia"/>
                      <w:b/>
                      <w:bCs/>
                      <w:color w:val="auto"/>
                      <w:u w:val="none"/>
                      <w:lang w:val="en-US" w:eastAsia="zh-CN"/>
                    </w:rPr>
                    <w:t>12.7</w:t>
                  </w:r>
                </w:p>
              </w:tc>
              <w:tc>
                <w:tcPr>
                  <w:tcW w:w="605" w:type="pct"/>
                  <w:tcBorders>
                    <w:tl2br w:val="nil"/>
                    <w:tr2bl w:val="nil"/>
                  </w:tcBorders>
                  <w:vAlign w:val="center"/>
                </w:tcPr>
                <w:p>
                  <w:pPr>
                    <w:jc w:val="center"/>
                    <w:rPr>
                      <w:rFonts w:eastAsia="宋体"/>
                      <w:b/>
                      <w:bCs/>
                      <w:color w:val="auto"/>
                      <w:u w:val="none"/>
                      <w:lang w:val="en-US" w:eastAsia="zh-CN"/>
                    </w:rPr>
                  </w:pPr>
                  <w:r>
                    <w:rPr>
                      <w:rFonts w:hint="eastAsia"/>
                      <w:b/>
                      <w:bCs/>
                      <w:color w:val="auto"/>
                      <w:u w:val="none"/>
                      <w:lang w:val="en-US" w:eastAsia="zh-CN"/>
                    </w:rPr>
                    <w:t>标准值</w:t>
                  </w:r>
                </w:p>
              </w:tc>
            </w:tr>
            <w:tr>
              <w:trPr>
                <w:trHeight w:val="454"/>
              </w:trPr>
              <w:tc>
                <w:tcPr>
                  <w:tcW w:w="1154" w:type="pct"/>
                  <w:vMerge w:val="restar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漳江片区园区内东南部科创大厦G1点</w:t>
                  </w:r>
                </w:p>
              </w:tc>
              <w:tc>
                <w:tcPr>
                  <w:tcW w:w="1062" w:type="pct"/>
                  <w:tcBorders>
                    <w:tl2br w:val="nil"/>
                    <w:tr2bl w:val="nil"/>
                  </w:tcBorders>
                  <w:vAlign w:val="center"/>
                </w:tcPr>
                <w:p>
                  <w:pPr>
                    <w:jc w:val="center"/>
                    <w:rPr>
                      <w:rFonts w:hint="eastAsia"/>
                      <w:color w:val="auto"/>
                      <w:u w:val="none"/>
                    </w:rPr>
                  </w:pPr>
                  <w:r>
                    <w:rPr>
                      <w:rFonts w:ascii="Times New Roman" w:cs="Times New Roman" w:hAnsi="Times New Roman" w:hint="eastAsia"/>
                      <w:bCs/>
                      <w:color w:val="auto"/>
                      <w:sz w:val="24"/>
                      <w:lang w:val="en-US" w:eastAsia="zh-CN"/>
                    </w:rPr>
                    <w:t>TSP</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0.059</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0.065</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0.066</w:t>
                  </w:r>
                </w:p>
              </w:tc>
              <w:tc>
                <w:tcPr>
                  <w:tcW w:w="60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0.3</w:t>
                  </w:r>
                </w:p>
              </w:tc>
            </w:tr>
            <w:tr>
              <w:trPr>
                <w:trHeight w:val="454"/>
              </w:trPr>
              <w:tc>
                <w:tcPr>
                  <w:tcW w:w="1154" w:type="pct"/>
                  <w:vMerge/>
                  <w:tcBorders>
                    <w:tl2br w:val="nil"/>
                    <w:tr2bl w:val="nil"/>
                  </w:tcBorders>
                  <w:vAlign w:val="center"/>
                </w:tcPr>
                <w:p/>
              </w:tc>
              <w:tc>
                <w:tcPr>
                  <w:tcW w:w="1062"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非甲烷总烃</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0.54</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0.46</w:t>
                  </w:r>
                </w:p>
              </w:tc>
              <w:tc>
                <w:tcPr>
                  <w:tcW w:w="72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0.53</w:t>
                  </w:r>
                </w:p>
              </w:tc>
              <w:tc>
                <w:tcPr>
                  <w:tcW w:w="605" w:type="pc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0.6(8h)</w:t>
                  </w:r>
                </w:p>
              </w:tc>
            </w:tr>
            <w:tr>
              <w:trPr>
                <w:trHeight w:val="454"/>
              </w:trPr>
              <w:tc>
                <w:tcPr>
                  <w:tcW w:w="1154" w:type="pct"/>
                  <w:vMerge w:val="restart"/>
                  <w:tcBorders>
                    <w:tl2br w:val="nil"/>
                    <w:tr2bl w:val="nil"/>
                  </w:tcBorders>
                  <w:vAlign w:val="center"/>
                </w:tcPr>
                <w:p>
                  <w:pPr>
                    <w:jc w:val="center"/>
                    <w:rPr>
                      <w:rFonts w:eastAsia="宋体"/>
                      <w:color w:val="auto"/>
                      <w:u w:val="none"/>
                      <w:lang w:val="en-US" w:eastAsia="zh-CN"/>
                    </w:rPr>
                  </w:pPr>
                  <w:r>
                    <w:rPr>
                      <w:rFonts w:hint="eastAsia"/>
                      <w:color w:val="auto"/>
                      <w:u w:val="none"/>
                      <w:lang w:val="en-US" w:eastAsia="zh-CN"/>
                    </w:rPr>
                    <w:t>漳江片区外北侧300m青林乡政府G2点</w:t>
                  </w:r>
                </w:p>
              </w:tc>
              <w:tc>
                <w:tcPr>
                  <w:tcW w:w="1062"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u w:val="none"/>
                      <w:lang w:val="en-US" w:eastAsia="zh-CN" w:bidi="ar-SA"/>
                    </w:rPr>
                  </w:pPr>
                  <w:r>
                    <w:rPr>
                      <w:rFonts w:ascii="Times New Roman" w:cs="Times New Roman" w:hAnsi="Times New Roman" w:hint="eastAsia"/>
                      <w:bCs/>
                      <w:color w:val="auto"/>
                      <w:sz w:val="24"/>
                      <w:lang w:val="en-US" w:eastAsia="zh-CN"/>
                    </w:rPr>
                    <w:t>TSP</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0.061</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0.068</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0.065</w:t>
                  </w:r>
                </w:p>
              </w:tc>
              <w:tc>
                <w:tcPr>
                  <w:tcW w:w="60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u w:val="none"/>
                      <w:lang w:val="en-US" w:eastAsia="zh-CN" w:bidi="ar-SA"/>
                    </w:rPr>
                  </w:pPr>
                  <w:r>
                    <w:rPr>
                      <w:rFonts w:hint="eastAsia"/>
                      <w:color w:val="auto"/>
                      <w:u w:val="none"/>
                      <w:lang w:val="en-US" w:eastAsia="zh-CN"/>
                    </w:rPr>
                    <w:t>0.3</w:t>
                  </w:r>
                </w:p>
              </w:tc>
            </w:tr>
            <w:tr>
              <w:trPr>
                <w:trHeight w:val="454"/>
              </w:trPr>
              <w:tc>
                <w:tcPr>
                  <w:tcW w:w="1154" w:type="pct"/>
                  <w:vMerge/>
                  <w:tcBorders>
                    <w:tl2br w:val="nil"/>
                    <w:tr2bl w:val="nil"/>
                  </w:tcBorders>
                  <w:vAlign w:val="center"/>
                </w:tcPr>
                <w:p/>
              </w:tc>
              <w:tc>
                <w:tcPr>
                  <w:tcW w:w="1062"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u w:val="none"/>
                      <w:lang w:val="en-US" w:eastAsia="zh-CN" w:bidi="ar-SA"/>
                    </w:rPr>
                  </w:pPr>
                  <w:r>
                    <w:rPr>
                      <w:rFonts w:hint="eastAsia"/>
                      <w:color w:val="auto"/>
                      <w:u w:val="none"/>
                      <w:lang w:val="en-US" w:eastAsia="zh-CN"/>
                    </w:rPr>
                    <w:t>非甲烷总烃</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0.59</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0.54</w:t>
                  </w:r>
                </w:p>
              </w:tc>
              <w:tc>
                <w:tcPr>
                  <w:tcW w:w="725" w:type="pct"/>
                  <w:tcBorders>
                    <w:tl2br w:val="nil"/>
                    <w:tr2bl w:val="nil"/>
                  </w:tcBorders>
                  <w:vAlign w:val="center"/>
                </w:tcPr>
                <w:p>
                  <w:pPr>
                    <w:jc w:val="center"/>
                    <w:rPr>
                      <w:rFonts w:ascii="Times New Roman" w:eastAsia="宋体" w:cs="Times New Roman" w:hAnsi="Times New Roman"/>
                      <w:color w:val="auto"/>
                      <w:u w:val="none"/>
                      <w:lang w:val="en-US" w:eastAsia="zh-CN"/>
                    </w:rPr>
                  </w:pPr>
                  <w:r>
                    <w:rPr>
                      <w:rFonts w:ascii="Times New Roman" w:eastAsia="宋体" w:cs="Times New Roman" w:hAnsi="Times New Roman" w:hint="eastAsia"/>
                      <w:color w:val="auto"/>
                      <w:u w:val="none"/>
                      <w:lang w:val="en-US" w:eastAsia="zh-CN"/>
                    </w:rPr>
                    <w:t>0.57</w:t>
                  </w:r>
                </w:p>
              </w:tc>
              <w:tc>
                <w:tcPr>
                  <w:tcW w:w="605" w:type="pct"/>
                  <w:tcBorders>
                    <w:tl2br w:val="nil"/>
                    <w:tr2bl w:val="nil"/>
                  </w:tcBorders>
                  <w:shd w:val="clear" w:color="auto" w:fill="auto"/>
                  <w:vAlign w:val="center"/>
                </w:tcPr>
                <w:p>
                  <w:pPr>
                    <w:jc w:val="center"/>
                    <w:rPr>
                      <w:rFonts w:ascii="Times New Roman" w:eastAsia="宋体" w:cs="Times New Roman" w:hAnsi="Times New Roman" w:hint="eastAsia"/>
                      <w:color w:val="auto"/>
                      <w:kern w:val="2"/>
                      <w:sz w:val="21"/>
                      <w:szCs w:val="24"/>
                      <w:u w:val="none"/>
                      <w:lang w:val="en-US" w:eastAsia="zh-CN" w:bidi="ar-SA"/>
                    </w:rPr>
                  </w:pPr>
                  <w:r>
                    <w:rPr>
                      <w:rFonts w:hint="eastAsia"/>
                      <w:color w:val="auto"/>
                      <w:u w:val="none"/>
                      <w:lang w:val="en-US" w:eastAsia="zh-CN"/>
                    </w:rPr>
                    <w:t>0.6(8h)</w:t>
                  </w:r>
                </w:p>
              </w:tc>
            </w:tr>
          </w:tbl>
          <w:p>
            <w:pPr>
              <w:pStyle w:val="15"/>
              <w:spacing w:line="360" w:lineRule="auto"/>
              <w:ind w:firstLineChars="200" w:firstLine="480"/>
              <w:jc w:val="both"/>
              <w:rPr>
                <w:bCs/>
                <w:color w:val="auto"/>
                <w:sz w:val="24"/>
              </w:rPr>
            </w:pPr>
            <w:r>
              <w:rPr>
                <w:rFonts w:ascii="Times New Roman" w:cs="Times New Roman" w:hAnsi="Times New Roman"/>
                <w:bCs/>
                <w:color w:val="auto"/>
                <w:sz w:val="24"/>
                <w:lang w:eastAsia="zh-CN"/>
              </w:rPr>
              <w:t>从上表可知，监测点位</w:t>
            </w:r>
            <w:r>
              <w:rPr>
                <w:rFonts w:ascii="Times New Roman" w:cs="Times New Roman" w:hAnsi="Times New Roman" w:hint="eastAsia"/>
                <w:bCs/>
                <w:color w:val="auto"/>
                <w:sz w:val="24"/>
                <w:lang w:val="en-US" w:eastAsia="zh-CN"/>
              </w:rPr>
              <w:t>TVOC</w:t>
            </w:r>
            <w:r>
              <w:rPr>
                <w:rFonts w:ascii="Times New Roman" w:cs="Times New Roman" w:hAnsi="Times New Roman"/>
                <w:bCs/>
                <w:color w:val="auto"/>
                <w:sz w:val="24"/>
                <w:lang w:eastAsia="zh-CN"/>
              </w:rPr>
              <w:t>满足《环境影响评价技术导则</w:t>
            </w:r>
            <w:r>
              <w:rPr>
                <w:rFonts w:ascii="Times New Roman" w:cs="Times New Roman" w:hAnsi="Times New Roman"/>
                <w:bCs/>
                <w:color w:val="auto"/>
                <w:sz w:val="24"/>
                <w:lang w:val="en-US" w:eastAsia="zh-CN"/>
              </w:rPr>
              <w:t xml:space="preserve">  大气环境</w:t>
            </w:r>
            <w:r>
              <w:rPr>
                <w:rFonts w:ascii="Times New Roman" w:cs="Times New Roman" w:hAnsi="Times New Roman"/>
                <w:bCs/>
                <w:color w:val="auto"/>
                <w:sz w:val="24"/>
                <w:lang w:eastAsia="zh-CN"/>
              </w:rPr>
              <w:t>》（</w:t>
            </w:r>
            <w:r>
              <w:rPr>
                <w:rFonts w:ascii="Times New Roman" w:cs="Times New Roman" w:hAnsi="Times New Roman"/>
                <w:bCs/>
                <w:color w:val="auto"/>
                <w:sz w:val="24"/>
                <w:lang w:val="en-US" w:eastAsia="zh-CN"/>
              </w:rPr>
              <w:t>HJ 2.2—2018</w:t>
            </w:r>
            <w:r>
              <w:rPr>
                <w:rFonts w:ascii="Times New Roman" w:cs="Times New Roman" w:hAnsi="Times New Roman"/>
                <w:bCs/>
                <w:color w:val="auto"/>
                <w:sz w:val="24"/>
                <w:lang w:eastAsia="zh-CN"/>
              </w:rPr>
              <w:t>）附录</w:t>
            </w:r>
            <w:r>
              <w:rPr>
                <w:rFonts w:ascii="Times New Roman" w:cs="Times New Roman" w:hAnsi="Times New Roman"/>
                <w:bCs/>
                <w:color w:val="auto"/>
                <w:sz w:val="24"/>
                <w:lang w:val="en-US" w:eastAsia="zh-CN"/>
              </w:rPr>
              <w:t>D</w:t>
            </w:r>
            <w:r>
              <w:rPr>
                <w:rFonts w:ascii="Times New Roman" w:cs="Times New Roman" w:hAnsi="Times New Roman" w:hint="eastAsia"/>
                <w:bCs/>
                <w:color w:val="auto"/>
                <w:sz w:val="24"/>
                <w:lang w:val="en-US" w:eastAsia="zh-CN"/>
              </w:rPr>
              <w:t>，TSP</w:t>
            </w:r>
            <w:r>
              <w:rPr>
                <w:rFonts w:ascii="Times New Roman" w:cs="Times New Roman" w:hAnsi="Times New Roman"/>
                <w:bCs/>
                <w:color w:val="auto"/>
                <w:sz w:val="24"/>
                <w:lang w:eastAsia="zh-CN"/>
              </w:rPr>
              <w:t>满足</w:t>
            </w:r>
            <w:r>
              <w:rPr>
                <w:rFonts w:ascii="Times New Roman" w:cs="Times New Roman" w:hAnsi="Times New Roman"/>
                <w:bCs/>
                <w:color w:val="auto"/>
                <w:sz w:val="24"/>
                <w:lang w:val="en-US" w:eastAsia="zh-CN"/>
              </w:rPr>
              <w:t>《环境空气质量标准》（GB3095-2012）二级浓度限值</w:t>
            </w:r>
            <w:r>
              <w:rPr>
                <w:rFonts w:ascii="Times New Roman" w:eastAsia="宋体" w:cs="Times New Roman" w:hAnsi="Times New Roman" w:hint="eastAsia"/>
                <w:color w:val="auto"/>
                <w:kern w:val="2"/>
                <w:sz w:val="24"/>
                <w:szCs w:val="24"/>
                <w:lang w:val="en-US" w:eastAsia="zh-CN" w:bidi="ar-SA"/>
              </w:rPr>
              <w:t>。</w:t>
            </w:r>
          </w:p>
          <w:p>
            <w:pPr>
              <w:pStyle w:val="26"/>
              <w:widowControl w:val="0"/>
              <w:spacing w:line="360" w:lineRule="auto"/>
              <w:rPr>
                <w:rFonts w:ascii="Times New Roman" w:cs="Times New Roman" w:hAnsi="Times New Roman"/>
                <w:color w:val="auto"/>
                <w:sz w:val="24"/>
                <w:lang w:val="en-GB"/>
              </w:rPr>
            </w:pPr>
            <w:r>
              <w:rPr>
                <w:b/>
                <w:color w:val="auto"/>
                <w:sz w:val="24"/>
              </w:rPr>
              <w:t>2、地表水质量现状</w:t>
            </w:r>
          </w:p>
          <w:p>
            <w:pPr>
              <w:spacing w:line="360" w:lineRule="auto"/>
              <w:ind w:firstLineChars="200" w:firstLine="480"/>
              <w:rPr>
                <w:color w:val="0000FF"/>
                <w:sz w:val="24"/>
              </w:rPr>
            </w:pPr>
            <w:r>
              <w:rPr>
                <w:rFonts w:ascii="Times New Roman" w:eastAsia="宋体" w:cs="Times New Roman" w:hAnsi="Times New Roman" w:hint="eastAsia"/>
                <w:bCs/>
                <w:color w:val="auto"/>
                <w:kern w:val="2"/>
                <w:sz w:val="24"/>
                <w:szCs w:val="20"/>
                <w:lang w:val="en-US" w:eastAsia="zh-CN" w:bidi="ar-SA"/>
              </w:rPr>
              <w:t>为了解评价区域地表水环境质量现状，本次评价引用《常德市2024年12月国省控水质监测断面水质状况》 中常德市生态环境监测中心于2024年1月-12月对黄潭州、陈家冲河段断面的检测数据，具体见下图</w:t>
            </w:r>
            <w:r>
              <w:rPr>
                <w:color w:val="0000FF"/>
                <w:sz w:val="24"/>
              </w:rPr>
              <w:t>：</w:t>
            </w:r>
          </w:p>
          <w:p>
            <w:pPr>
              <w:pStyle w:val="26"/>
              <w:widowControl w:val="0"/>
              <w:spacing w:line="360" w:lineRule="auto"/>
              <w:ind w:left="0" w:firstLineChars="0" w:firstLine="0"/>
              <w:rPr>
                <w:rFonts w:hint="eastAsia"/>
                <w:b/>
                <w:color w:val="0000FF"/>
                <w:sz w:val="24"/>
                <w:lang w:val="en-US" w:eastAsia="zh-CN"/>
              </w:rPr>
            </w:pPr>
            <w:r>
              <w:rPr>
                <w:sz w:val="21"/>
              </w:rPr>
              <mc:AlternateContent>
                <mc:Choice Requires="wps">
                  <w:drawing>
                    <wp:anchor distT="0" distB="0" distL="114300" distR="114300" simplePos="0" relativeHeight="38" behindDoc="0" locked="0" layoutInCell="1" hidden="0" allowOverlap="1">
                      <wp:simplePos x="0" y="0"/>
                      <wp:positionH relativeFrom="column">
                        <wp:posOffset>32385</wp:posOffset>
                      </wp:positionH>
                      <wp:positionV relativeFrom="paragraph">
                        <wp:posOffset>2078989</wp:posOffset>
                      </wp:positionV>
                      <wp:extent cx="5207000" cy="401955"/>
                      <wp:effectExtent l="6350" t="6350" r="6350" b="10795"/>
                      <wp:wrapNone/>
                      <wp:docPr id="2" name="矩形 2"/>
                      <wp:cNvGraphicFramePr>
                        <a:graphicFrameLocks noChangeAspect="0"/>
                      </wp:cNvGraphicFramePr>
                      <a:graphic>
                        <a:graphicData uri="http://schemas.microsoft.com/office/word/2010/wordprocessingShape">
                          <wps:wsp>
                            <wps:cNvSpPr/>
                            <wps:spPr>
                              <a:xfrm rot="0">
                                <a:off x="0" y="0"/>
                                <a:ext cx="5207000" cy="401955"/>
                              </a:xfrm>
                              <a:prstGeom prst="rect"/>
                              <a:noFill/>
                              <a:ln w="12700" cmpd="sng" cap="flat">
                                <a:solidFill>
                                  <a:srgbClr val="2E54A1"/>
                                </a:solidFill>
                                <a:prstDash val="solid"/>
                                <a:miter/>
                              </a:ln>
                            </wps:spPr>
                            <wps:bodyPr vert="horz" wrap="square" lIns="91440" tIns="45720" rIns="91440" bIns="45720" anchor="ctr" anchorCtr="0" upright="0">
                              <a:noAutofit/>
                            </wps:bodyPr>
                          </wps:wsp>
                        </a:graphicData>
                      </a:graphic>
                    </wp:anchor>
                  </w:drawing>
                </mc:Choice>
                <mc:Fallback>
                  <w:pict>
                    <v:rect type="#_x0000_t1" id="矩形 2" o:spid="_x0000_s11" filled="f" stroked="t" strokeweight="1.0pt" style="position:absolute;margin-left:2.55pt;margin-top:163.69992pt;width:410.0pt;height:31.65001pt;z-index:38;mso-position-horizontal:absolute;mso-position-vertical:absolute;">
                      <v:stroke color="#2E54A1"/>
                    </v:rect>
                  </w:pict>
                </mc:Fallback>
              </mc:AlternateContent>
            </w:r>
            <w:r>
              <w:drawing>
                <wp:inline distT="0" distB="0" distL="114300" distR="114300">
                  <wp:extent cx="5320029" cy="3420109"/>
                  <wp:effectExtent l="0" t="0" r="0" b="1"/>
                  <wp:docPr id="34" name="图片 4"/>
                  <wp:cNvGraphicFramePr>
                    <a:graphicFrameLocks noChangeAspect="1"/>
                  </wp:cNvGraphicFramePr>
                  <a:graphic>
                    <a:graphicData uri="http://schemas.openxmlformats.org/drawingml/2006/picture">
                      <pic:pic>
                        <pic:nvPicPr>
                          <pic:cNvPr id="13" name="图片 4 13"/>
                          <pic:cNvPicPr/>
                        </pic:nvPicPr>
                        <pic:blipFill>
                          <a:blip r:embed="rId11"/>
                          <a:stretch>
                            <a:fillRect/>
                          </a:stretch>
                        </pic:blipFill>
                        <pic:spPr>
                          <a:xfrm rot="0">
                            <a:off x="0" y="0"/>
                            <a:ext cx="5320029" cy="3420109"/>
                          </a:xfrm>
                          <a:prstGeom prst="rect"/>
                          <a:noFill/>
                          <a:ln cmpd="sng" cap="flat">
                            <a:noFill/>
                            <a:prstDash val="solid"/>
                            <a:round/>
                          </a:ln>
                        </pic:spPr>
                      </pic:pic>
                    </a:graphicData>
                  </a:graphic>
                </wp:inline>
              </w:drawing>
            </w:r>
          </w:p>
          <w:p>
            <w:pPr>
              <w:pStyle w:val="26"/>
              <w:widowControl w:val="0"/>
              <w:spacing w:line="360" w:lineRule="auto"/>
              <w:rPr>
                <w:rFonts w:ascii="Times New Roman" w:cs="Times New Roman" w:hAnsi="Times New Roman"/>
                <w:color w:val="auto"/>
                <w:sz w:val="24"/>
                <w:lang w:val="en-GB"/>
              </w:rPr>
            </w:pPr>
            <w:r>
              <w:rPr>
                <w:rFonts w:hint="eastAsia"/>
                <w:b/>
                <w:color w:val="auto"/>
                <w:sz w:val="24"/>
                <w:lang w:val="en-US" w:eastAsia="zh-CN"/>
              </w:rPr>
              <w:t>3</w:t>
            </w:r>
            <w:r>
              <w:rPr>
                <w:b/>
                <w:color w:val="auto"/>
                <w:sz w:val="24"/>
              </w:rPr>
              <w:t>、</w:t>
            </w:r>
            <w:r>
              <w:rPr>
                <w:rFonts w:hint="eastAsia"/>
                <w:b/>
                <w:color w:val="auto"/>
                <w:sz w:val="24"/>
                <w:lang w:eastAsia="zh-CN"/>
              </w:rPr>
              <w:t>声环境</w:t>
            </w:r>
            <w:r>
              <w:rPr>
                <w:b/>
                <w:color w:val="auto"/>
                <w:sz w:val="24"/>
              </w:rPr>
              <w:t>质量现状</w:t>
            </w:r>
          </w:p>
          <w:p>
            <w:pPr>
              <w:spacing w:line="360" w:lineRule="auto"/>
              <w:ind w:firstLineChars="200" w:firstLine="480"/>
              <w:rPr>
                <w:rFonts w:ascii="Times New Roman" w:eastAsia="宋体" w:cs="Times New Roman" w:hAnsi="Times New Roman" w:hint="eastAsia"/>
                <w:color w:val="auto"/>
                <w:sz w:val="24"/>
                <w:u w:val="single"/>
                <w:lang w:val="en-US" w:eastAsia="zh-CN"/>
              </w:rPr>
            </w:pPr>
            <w:r>
              <w:rPr>
                <w:rFonts w:ascii="Times New Roman" w:eastAsia="宋体" w:cs="Times New Roman" w:hAnsi="Times New Roman" w:hint="eastAsia"/>
                <w:color w:val="auto"/>
                <w:sz w:val="24"/>
                <w:u w:val="single"/>
                <w:lang w:eastAsia="zh-CN"/>
              </w:rPr>
              <w:t>本项目</w:t>
            </w:r>
            <w:r>
              <w:rPr>
                <w:rFonts w:ascii="Times New Roman" w:eastAsia="宋体" w:cs="Times New Roman" w:hAnsi="Times New Roman" w:hint="eastAsia"/>
                <w:color w:val="auto"/>
                <w:sz w:val="24"/>
                <w:u w:val="single"/>
                <w:lang w:val="en-US" w:eastAsia="zh-CN"/>
              </w:rPr>
              <w:t>50m范围内</w:t>
            </w:r>
            <w:r>
              <w:rPr>
                <w:rFonts w:cs="Times New Roman" w:hint="eastAsia"/>
                <w:color w:val="auto"/>
                <w:sz w:val="24"/>
                <w:u w:val="single"/>
                <w:lang w:val="en-US" w:eastAsia="zh-CN"/>
              </w:rPr>
              <w:t>有1处</w:t>
            </w:r>
            <w:r>
              <w:rPr>
                <w:rFonts w:ascii="Times New Roman" w:eastAsia="宋体" w:cs="Times New Roman" w:hAnsi="Times New Roman" w:hint="eastAsia"/>
                <w:color w:val="auto"/>
                <w:sz w:val="24"/>
                <w:u w:val="single"/>
                <w:lang w:val="en-US" w:eastAsia="zh-CN"/>
              </w:rPr>
              <w:t>声环境敏感点，</w:t>
            </w:r>
            <w:r>
              <w:rPr>
                <w:rFonts w:cs="Times New Roman" w:hint="eastAsia"/>
                <w:color w:val="auto"/>
                <w:sz w:val="24"/>
                <w:u w:val="single"/>
                <w:lang w:val="en-US" w:eastAsia="zh-CN"/>
              </w:rPr>
              <w:t>已进行噪声现状监测</w:t>
            </w:r>
            <w:r>
              <w:rPr>
                <w:rFonts w:ascii="Times New Roman" w:eastAsia="宋体" w:cs="Times New Roman" w:hAnsi="Times New Roman" w:hint="eastAsia"/>
                <w:color w:val="auto"/>
                <w:sz w:val="24"/>
                <w:u w:val="single"/>
                <w:lang w:val="en-US" w:eastAsia="zh-CN"/>
              </w:rPr>
              <w:t>。</w:t>
            </w:r>
          </w:p>
          <w:p>
            <w:pPr>
              <w:spacing w:line="360" w:lineRule="auto"/>
              <w:jc w:val="center"/>
              <w:rPr>
                <w:rFonts w:ascii="Times New Roman" w:eastAsia="宋体" w:cs="Times New Roman" w:hAnsi="Times New Roman"/>
                <w:b/>
                <w:bCs/>
                <w:color w:val="auto"/>
                <w:u w:val="single"/>
                <w:vertAlign w:val="superscript"/>
              </w:rPr>
            </w:pPr>
            <w:r>
              <w:rPr>
                <w:rFonts w:ascii="Times New Roman" w:eastAsia="宋体" w:cs="Times New Roman" w:hAnsi="Times New Roman"/>
                <w:b/>
                <w:bCs/>
                <w:color w:val="auto"/>
                <w:u w:val="single"/>
              </w:rPr>
              <w:t>表 3-</w:t>
            </w:r>
            <w:r>
              <w:rPr>
                <w:rFonts w:cs="Times New Roman" w:hint="eastAsia"/>
                <w:b/>
                <w:bCs/>
                <w:color w:val="auto"/>
                <w:u w:val="single"/>
                <w:lang w:val="en-US" w:eastAsia="zh-CN"/>
              </w:rPr>
              <w:t>3</w:t>
            </w:r>
            <w:r>
              <w:rPr>
                <w:rFonts w:ascii="Times New Roman" w:eastAsia="宋体" w:cs="Times New Roman" w:hAnsi="Times New Roman"/>
                <w:b/>
                <w:bCs/>
                <w:color w:val="auto"/>
                <w:u w:val="single"/>
              </w:rPr>
              <w:t xml:space="preserve"> 监测点</w:t>
            </w:r>
            <w:r>
              <w:rPr>
                <w:rFonts w:cs="Times New Roman" w:hint="eastAsia"/>
                <w:b/>
                <w:bCs/>
                <w:color w:val="auto"/>
                <w:u w:val="single"/>
                <w:lang w:val="en-US" w:eastAsia="zh-CN"/>
              </w:rPr>
              <w:t>环境噪声</w:t>
            </w:r>
            <w:r>
              <w:rPr>
                <w:rFonts w:ascii="Times New Roman" w:eastAsia="宋体" w:cs="Times New Roman" w:hAnsi="Times New Roman"/>
                <w:b/>
                <w:bCs/>
                <w:color w:val="auto"/>
                <w:u w:val="single"/>
              </w:rPr>
              <w:t>监测数据及评价结果单位：mg/m</w:t>
            </w:r>
            <w:r>
              <w:rPr>
                <w:rFonts w:ascii="Times New Roman" w:eastAsia="宋体" w:cs="Times New Roman" w:hAnsi="Times New Roman"/>
                <w:b/>
                <w:bCs/>
                <w:color w:val="auto"/>
                <w:u w:val="single"/>
                <w:vertAlign w:val="superscript"/>
              </w:rPr>
              <w:t>3</w:t>
            </w:r>
          </w:p>
          <w:tbl>
            <w:tblPr>
              <w:jc w:val="left"/>
              <w:tblInd w:w="0" w:type="dxa"/>
              <w:tblW w:w="4999"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0" w:type="dxa"/>
                <w:left w:w="108" w:type="dxa"/>
                <w:bottom w:w="0" w:type="dxa"/>
                <w:right w:w="108" w:type="dxa"/>
              </w:tblCellMar>
              <w:tblLook w:val="0600" w:firstRow="0" w:lastRow="0" w:firstColumn="0" w:lastColumn="0" w:noHBand="1" w:noVBand="1"/>
            </w:tblPr>
            <w:tblGrid>
              <w:gridCol w:w="2202"/>
              <w:gridCol w:w="1282"/>
              <w:gridCol w:w="1223"/>
              <w:gridCol w:w="1330"/>
              <w:gridCol w:w="1158"/>
              <w:gridCol w:w="1171"/>
            </w:tblGrid>
            <w:tr>
              <w:trPr>
                <w:trHeight w:val="454"/>
              </w:trPr>
              <w:tc>
                <w:tcPr>
                  <w:tcW w:w="1316" w:type="pct"/>
                  <w:vMerge w:val="restar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检测点位</w:t>
                  </w:r>
                </w:p>
              </w:tc>
              <w:tc>
                <w:tcPr>
                  <w:tcW w:w="766" w:type="pct"/>
                  <w:vMerge w:val="restart"/>
                  <w:tcBorders>
                    <w:tl2br w:val="nil"/>
                    <w:tr2bl w:val="nil"/>
                  </w:tcBorders>
                  <w:noWrap/>
                  <w:vAlign w:val="center"/>
                </w:tcPr>
                <w:p>
                  <w:pPr>
                    <w:jc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检测</w:t>
                  </w:r>
                  <w:r>
                    <w:rPr>
                      <w:rFonts w:ascii="Times New Roman" w:eastAsia="宋体" w:cs="Times New Roman" w:hAnsi="Times New Roman" w:hint="eastAsia"/>
                      <w:b/>
                      <w:bCs/>
                      <w:i w:val="0"/>
                      <w:iCs w:val="0"/>
                      <w:color w:val="000000"/>
                      <w:kern w:val="0"/>
                      <w:sz w:val="21"/>
                      <w:szCs w:val="21"/>
                      <w:u w:val="none"/>
                      <w:lang w:val="en-US" w:eastAsia="zh-CN"/>
                    </w:rPr>
                    <w:t>时间</w:t>
                  </w:r>
                </w:p>
              </w:tc>
              <w:tc>
                <w:tcPr>
                  <w:tcW w:w="2917" w:type="pct"/>
                  <w:gridSpan w:val="4"/>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kern w:val="0"/>
                      <w:sz w:val="21"/>
                      <w:szCs w:val="21"/>
                      <w:u w:val="none"/>
                      <w:lang w:val="en-US" w:eastAsia="zh-CN"/>
                    </w:rPr>
                  </w:pPr>
                  <w:r>
                    <w:rPr>
                      <w:rFonts w:ascii="Times New Roman" w:eastAsia="宋体" w:cs="Times New Roman" w:hAnsi="Times New Roman"/>
                      <w:b/>
                      <w:bCs/>
                      <w:i w:val="0"/>
                      <w:iCs w:val="0"/>
                      <w:color w:val="000000"/>
                      <w:kern w:val="0"/>
                      <w:sz w:val="21"/>
                      <w:szCs w:val="21"/>
                      <w:u w:val="none"/>
                      <w:lang w:val="en-US" w:eastAsia="zh-CN"/>
                    </w:rPr>
                    <w:t>检测结果</w:t>
                  </w:r>
                  <w:r>
                    <w:rPr>
                      <w:rFonts w:ascii="Times New Roman" w:eastAsia="宋体" w:cs="Times New Roman" w:hAnsi="Times New Roman"/>
                      <w:b/>
                      <w:bCs/>
                      <w:color w:val="0C0C0C"/>
                      <w:sz w:val="21"/>
                      <w:szCs w:val="21"/>
                      <w:lang w:val="en-US" w:eastAsia="zh-CN"/>
                    </w:rPr>
                    <w:t>Leq</w:t>
                  </w:r>
                  <w:r>
                    <w:rPr>
                      <w:rFonts w:ascii="Times New Roman" w:eastAsia="宋体" w:cs="Times New Roman" w:hAnsi="Times New Roman" w:hint="eastAsia"/>
                      <w:b/>
                      <w:bCs/>
                      <w:color w:val="0C0C0C"/>
                      <w:sz w:val="21"/>
                      <w:szCs w:val="21"/>
                      <w:lang w:val="en-US" w:eastAsia="zh-CN"/>
                    </w:rPr>
                    <w:t>[</w:t>
                  </w:r>
                  <w:r>
                    <w:rPr>
                      <w:rFonts w:ascii="Times New Roman" w:eastAsia="宋体" w:cs="Times New Roman" w:hAnsi="Times New Roman"/>
                      <w:b/>
                      <w:bCs/>
                      <w:color w:val="0C0C0C"/>
                      <w:sz w:val="21"/>
                      <w:szCs w:val="21"/>
                      <w:lang w:val="en-US" w:eastAsia="zh-CN"/>
                    </w:rPr>
                    <w:t>dB</w:t>
                  </w:r>
                  <w:r>
                    <w:rPr>
                      <w:rFonts w:ascii="Times New Roman" w:eastAsia="宋体" w:cs="Times New Roman" w:hAnsi="Times New Roman" w:hint="eastAsia"/>
                      <w:b/>
                      <w:bCs/>
                      <w:color w:val="0C0C0C"/>
                      <w:sz w:val="21"/>
                      <w:szCs w:val="21"/>
                      <w:lang w:val="en-US" w:eastAsia="zh-CN"/>
                    </w:rPr>
                    <w:t>(A)]</w:t>
                  </w:r>
                </w:p>
              </w:tc>
            </w:tr>
            <w:tr>
              <w:trPr>
                <w:trHeight w:val="454"/>
              </w:trPr>
              <w:tc>
                <w:tcPr>
                  <w:tcW w:w="1316" w:type="pct"/>
                  <w:vMerge/>
                  <w:tcBorders>
                    <w:tl2br w:val="nil"/>
                    <w:tr2bl w:val="nil"/>
                  </w:tcBorders>
                  <w:noWrap/>
                  <w:vAlign w:val="center"/>
                </w:tcPr>
                <w:p/>
              </w:tc>
              <w:tc>
                <w:tcPr>
                  <w:tcW w:w="766" w:type="pct"/>
                  <w:vMerge/>
                  <w:tcBorders>
                    <w:tl2br w:val="nil"/>
                    <w:tr2bl w:val="nil"/>
                  </w:tcBorders>
                  <w:noWrap/>
                  <w:vAlign w:val="center"/>
                </w:tcPr>
                <w:p/>
              </w:tc>
              <w:tc>
                <w:tcPr>
                  <w:tcW w:w="731"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b/>
                      <w:bCs/>
                      <w:i w:val="0"/>
                      <w:iCs w:val="0"/>
                      <w:color w:val="000000"/>
                      <w:kern w:val="0"/>
                      <w:sz w:val="21"/>
                      <w:szCs w:val="21"/>
                      <w:u w:val="none"/>
                      <w:lang w:val="en-US" w:eastAsia="zh-CN"/>
                    </w:rPr>
                    <w:t>昼间</w:t>
                  </w:r>
                </w:p>
              </w:tc>
              <w:tc>
                <w:tcPr>
                  <w:tcW w:w="795"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kern w:val="0"/>
                      <w:sz w:val="21"/>
                      <w:szCs w:val="21"/>
                      <w:u w:val="none"/>
                      <w:lang w:val="en-US" w:eastAsia="zh-CN"/>
                    </w:rPr>
                  </w:pPr>
                  <w:r>
                    <w:rPr>
                      <w:rFonts w:ascii="Times New Roman" w:eastAsia="宋体" w:cs="Times New Roman" w:hAnsi="Times New Roman"/>
                      <w:b/>
                      <w:bCs/>
                      <w:i w:val="0"/>
                      <w:iCs w:val="0"/>
                      <w:color w:val="000000"/>
                      <w:kern w:val="0"/>
                      <w:sz w:val="21"/>
                      <w:szCs w:val="21"/>
                      <w:u w:val="none"/>
                      <w:lang w:val="en-US" w:eastAsia="zh-CN"/>
                    </w:rPr>
                    <w:t>夜间</w:t>
                  </w:r>
                </w:p>
              </w:tc>
              <w:tc>
                <w:tcPr>
                  <w:tcW w:w="692"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sz w:val="21"/>
                      <w:szCs w:val="21"/>
                      <w:u w:val="none"/>
                    </w:rPr>
                  </w:pPr>
                  <w:r>
                    <w:rPr>
                      <w:rFonts w:ascii="Times New Roman" w:eastAsia="宋体" w:cs="Times New Roman" w:hAnsi="Times New Roman" w:hint="eastAsia"/>
                      <w:b/>
                      <w:bCs/>
                      <w:i w:val="0"/>
                      <w:iCs w:val="0"/>
                      <w:color w:val="000000"/>
                      <w:kern w:val="0"/>
                      <w:sz w:val="21"/>
                      <w:szCs w:val="21"/>
                      <w:u w:val="none"/>
                      <w:lang w:val="en-US" w:eastAsia="zh-CN"/>
                    </w:rPr>
                    <w:t>昼</w:t>
                  </w:r>
                  <w:r>
                    <w:rPr>
                      <w:rFonts w:ascii="Times New Roman" w:eastAsia="宋体" w:cs="Times New Roman" w:hAnsi="Times New Roman"/>
                      <w:b/>
                      <w:bCs/>
                      <w:i w:val="0"/>
                      <w:iCs w:val="0"/>
                      <w:color w:val="000000"/>
                      <w:kern w:val="0"/>
                      <w:sz w:val="21"/>
                      <w:szCs w:val="21"/>
                      <w:u w:val="none"/>
                      <w:lang w:val="en-US" w:eastAsia="zh-CN"/>
                    </w:rPr>
                    <w:t>间</w:t>
                  </w:r>
                </w:p>
              </w:tc>
              <w:tc>
                <w:tcPr>
                  <w:tcW w:w="697"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bCs/>
                      <w:i w:val="0"/>
                      <w:iCs w:val="0"/>
                      <w:color w:val="000000"/>
                      <w:kern w:val="0"/>
                      <w:sz w:val="21"/>
                      <w:szCs w:val="21"/>
                      <w:u w:val="none"/>
                      <w:lang w:val="en-US" w:eastAsia="zh-CN"/>
                    </w:rPr>
                  </w:pPr>
                  <w:r>
                    <w:rPr>
                      <w:rFonts w:ascii="Times New Roman" w:eastAsia="宋体" w:cs="Times New Roman" w:hAnsi="Times New Roman"/>
                      <w:b/>
                      <w:bCs/>
                      <w:i w:val="0"/>
                      <w:iCs w:val="0"/>
                      <w:color w:val="000000"/>
                      <w:kern w:val="0"/>
                      <w:sz w:val="21"/>
                      <w:szCs w:val="21"/>
                      <w:u w:val="none"/>
                      <w:lang w:val="en-US" w:eastAsia="zh-CN"/>
                    </w:rPr>
                    <w:t>夜间</w:t>
                  </w:r>
                </w:p>
              </w:tc>
            </w:tr>
            <w:tr>
              <w:trPr>
                <w:trHeight w:val="340"/>
              </w:trPr>
              <w:tc>
                <w:tcPr>
                  <w:tcW w:w="1316" w:type="pct"/>
                  <w:tcBorders>
                    <w:tl2br w:val="nil"/>
                    <w:tr2bl w:val="nil"/>
                  </w:tcBorders>
                  <w:noWrap/>
                  <w:vAlign w:val="center"/>
                </w:tcPr>
                <w:p>
                  <w:pPr>
                    <w:jc w:val="center"/>
                    <w:rPr>
                      <w:rFonts w:ascii="Times New Roman" w:eastAsia="宋体" w:cs="Times New Roman" w:hAnsi="Times New Roman"/>
                      <w:b w:val="0"/>
                      <w:color w:val="000000"/>
                      <w:kern w:val="2"/>
                      <w:sz w:val="21"/>
                      <w:szCs w:val="21"/>
                      <w:lang w:val="en-US" w:eastAsia="zh-CN" w:bidi="ar-SA"/>
                      <w:highlight w:val="none"/>
                    </w:rPr>
                  </w:pPr>
                  <w:r>
                    <w:rPr>
                      <w:rFonts w:ascii="Times New Roman" w:eastAsia="宋体" w:cs="Times New Roman" w:hAnsi="Times New Roman"/>
                      <w:b w:val="0"/>
                      <w:color w:val="000000"/>
                      <w:kern w:val="2"/>
                      <w:sz w:val="21"/>
                      <w:szCs w:val="21"/>
                      <w:lang w:val="en-US" w:eastAsia="zh-CN" w:bidi="ar-SA"/>
                      <w:highlight w:val="none"/>
                    </w:rPr>
                    <w:t>居民点噪声1</w:t>
                  </w:r>
                </w:p>
              </w:tc>
              <w:tc>
                <w:tcPr>
                  <w:tcW w:w="766" w:type="pct"/>
                  <w:tcBorders>
                    <w:tl2br w:val="nil"/>
                    <w:tr2bl w:val="nil"/>
                  </w:tcBorders>
                  <w:noWrap/>
                  <w:vAlign w:val="center"/>
                </w:tcPr>
                <w:p>
                  <w:pPr>
                    <w:jc w:val="center"/>
                    <w:rPr>
                      <w:rFonts w:ascii="Times New Roman" w:eastAsia="宋体" w:cs="Times New Roman" w:hAnsi="Times New Roman"/>
                      <w:b w:val="0"/>
                      <w:i w:val="0"/>
                      <w:iCs w:val="0"/>
                      <w:color w:val="000000"/>
                      <w:kern w:val="0"/>
                      <w:sz w:val="21"/>
                      <w:szCs w:val="21"/>
                      <w:u w:val="none"/>
                      <w:lang w:val="en-US" w:eastAsia="zh-CN"/>
                    </w:rPr>
                  </w:pPr>
                  <w:r>
                    <w:rPr>
                      <w:rFonts w:ascii="Times New Roman" w:eastAsia="宋体" w:cs="Times New Roman" w:hAnsi="Times New Roman" w:hint="eastAsia"/>
                      <w:b w:val="0"/>
                      <w:bCs w:val="0"/>
                      <w:color w:val="000000"/>
                      <w:sz w:val="21"/>
                      <w:szCs w:val="21"/>
                      <w:lang w:val="en-US" w:eastAsia="zh-CN"/>
                      <w:highlight w:val="none"/>
                    </w:rPr>
                    <w:t>2025.12.09</w:t>
                  </w:r>
                </w:p>
              </w:tc>
              <w:tc>
                <w:tcPr>
                  <w:tcW w:w="731"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val="0"/>
                      <w:bCs/>
                      <w:i w:val="0"/>
                      <w:iCs w:val="0"/>
                      <w:color w:val="000000"/>
                      <w:kern w:val="2"/>
                      <w:sz w:val="21"/>
                      <w:szCs w:val="21"/>
                      <w:u w:val="none"/>
                      <w:lang w:val="en-US" w:eastAsia="zh-CN" w:bidi="ar-SA"/>
                      <w:highlight w:val="none"/>
                    </w:rPr>
                  </w:pPr>
                  <w:r>
                    <w:rPr>
                      <w:rFonts w:ascii="Times New Roman" w:eastAsia="宋体" w:cs="Times New Roman" w:hAnsi="Times New Roman" w:hint="eastAsia"/>
                      <w:b w:val="0"/>
                      <w:bCs/>
                      <w:i w:val="0"/>
                      <w:iCs w:val="0"/>
                      <w:color w:val="000000"/>
                      <w:kern w:val="2"/>
                      <w:sz w:val="21"/>
                      <w:szCs w:val="21"/>
                      <w:u w:val="none"/>
                      <w:lang w:val="en-US" w:eastAsia="zh-CN" w:bidi="ar-SA"/>
                      <w:highlight w:val="none"/>
                    </w:rPr>
                    <w:t>51</w:t>
                  </w:r>
                </w:p>
              </w:tc>
              <w:tc>
                <w:tcPr>
                  <w:tcW w:w="795"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val="0"/>
                      <w:bCs/>
                      <w:i w:val="0"/>
                      <w:iCs w:val="0"/>
                      <w:color w:val="000000"/>
                      <w:kern w:val="2"/>
                      <w:sz w:val="21"/>
                      <w:szCs w:val="21"/>
                      <w:u w:val="none"/>
                      <w:lang w:val="en-US" w:eastAsia="zh-CN" w:bidi="ar-SA"/>
                      <w:highlight w:val="none"/>
                    </w:rPr>
                  </w:pPr>
                  <w:r>
                    <w:rPr>
                      <w:rFonts w:ascii="Times New Roman" w:eastAsia="宋体" w:cs="Times New Roman" w:hAnsi="Times New Roman" w:hint="eastAsia"/>
                      <w:b w:val="0"/>
                      <w:bCs/>
                      <w:i w:val="0"/>
                      <w:iCs w:val="0"/>
                      <w:color w:val="000000"/>
                      <w:kern w:val="2"/>
                      <w:sz w:val="21"/>
                      <w:szCs w:val="21"/>
                      <w:u w:val="none"/>
                      <w:lang w:val="en-US" w:eastAsia="zh-CN" w:bidi="ar-SA"/>
                      <w:highlight w:val="none"/>
                    </w:rPr>
                    <w:t>48</w:t>
                  </w:r>
                </w:p>
              </w:tc>
              <w:tc>
                <w:tcPr>
                  <w:tcW w:w="692"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val="0"/>
                      <w:bCs/>
                      <w:i w:val="0"/>
                      <w:iCs w:val="0"/>
                      <w:color w:val="000000"/>
                      <w:kern w:val="2"/>
                      <w:sz w:val="21"/>
                      <w:szCs w:val="21"/>
                      <w:u w:val="none"/>
                      <w:lang w:val="en-US" w:eastAsia="zh-CN" w:bidi="ar-SA"/>
                      <w:highlight w:val="none"/>
                    </w:rPr>
                  </w:pPr>
                  <w:r>
                    <w:rPr>
                      <w:rFonts w:ascii="Times New Roman" w:eastAsia="宋体" w:cs="Times New Roman" w:hAnsi="Times New Roman" w:hint="eastAsia"/>
                      <w:b w:val="0"/>
                      <w:bCs/>
                      <w:i w:val="0"/>
                      <w:iCs w:val="0"/>
                      <w:color w:val="000000"/>
                      <w:kern w:val="2"/>
                      <w:sz w:val="21"/>
                      <w:szCs w:val="21"/>
                      <w:u w:val="none"/>
                      <w:lang w:val="en-US" w:eastAsia="zh-CN" w:bidi="ar-SA"/>
                      <w:highlight w:val="none"/>
                    </w:rPr>
                    <w:t>60</w:t>
                  </w:r>
                </w:p>
              </w:tc>
              <w:tc>
                <w:tcPr>
                  <w:tcW w:w="697" w:type="pct"/>
                  <w:tcBorders>
                    <w:tl2br w:val="nil"/>
                    <w:tr2bl w:val="nil"/>
                  </w:tcBorders>
                  <w:noWrap/>
                  <w:vAlign w:val="center"/>
                </w:tcPr>
                <w:p>
                  <w:pPr>
                    <w:keepNext w:val="0"/>
                    <w:keepLines w:val="0"/>
                    <w:widowControl/>
                    <w:suppressLineNumbers w:val="0"/>
                    <w:jc w:val="center"/>
                    <w:textAlignment w:val="center"/>
                    <w:rPr>
                      <w:rFonts w:ascii="Times New Roman" w:eastAsia="宋体" w:cs="Times New Roman" w:hAnsi="Times New Roman"/>
                      <w:b w:val="0"/>
                      <w:bCs/>
                      <w:i w:val="0"/>
                      <w:iCs w:val="0"/>
                      <w:color w:val="000000"/>
                      <w:kern w:val="2"/>
                      <w:sz w:val="21"/>
                      <w:szCs w:val="21"/>
                      <w:u w:val="none"/>
                      <w:lang w:val="en-US" w:eastAsia="zh-CN" w:bidi="ar-SA"/>
                      <w:highlight w:val="none"/>
                    </w:rPr>
                  </w:pPr>
                  <w:r>
                    <w:rPr>
                      <w:rFonts w:ascii="Times New Roman" w:eastAsia="宋体" w:cs="Times New Roman" w:hAnsi="Times New Roman" w:hint="eastAsia"/>
                      <w:b w:val="0"/>
                      <w:bCs/>
                      <w:i w:val="0"/>
                      <w:iCs w:val="0"/>
                      <w:color w:val="000000"/>
                      <w:kern w:val="2"/>
                      <w:sz w:val="21"/>
                      <w:szCs w:val="21"/>
                      <w:u w:val="none"/>
                      <w:lang w:val="en-US" w:eastAsia="zh-CN" w:bidi="ar-SA"/>
                      <w:highlight w:val="none"/>
                    </w:rPr>
                    <w:t>50</w:t>
                  </w:r>
                </w:p>
              </w:tc>
            </w:tr>
            <w:tr>
              <w:trPr>
                <w:trHeight w:val="340"/>
              </w:trPr>
              <w:tc>
                <w:tcPr>
                  <w:tcW w:w="5000" w:type="pct"/>
                  <w:gridSpan w:val="6"/>
                  <w:tcBorders>
                    <w:tl2br w:val="nil"/>
                    <w:tr2bl w:val="nil"/>
                  </w:tcBorders>
                  <w:noWrap/>
                  <w:vAlign w:val="center"/>
                </w:tcPr>
                <w:p>
                  <w:pPr>
                    <w:jc w:val="left"/>
                    <w:rPr>
                      <w:rFonts w:ascii="Times New Roman" w:eastAsia="宋体" w:cs="Times New Roman" w:hAnsi="Times New Roman" w:hint="eastAsia"/>
                      <w:b w:val="0"/>
                      <w:bCs w:val="0"/>
                      <w:color w:val="000000"/>
                      <w:sz w:val="21"/>
                      <w:szCs w:val="21"/>
                      <w:lang w:val="en-US" w:eastAsia="zh-CN"/>
                      <w:highlight w:val="none"/>
                    </w:rPr>
                  </w:pPr>
                  <w:r>
                    <w:rPr>
                      <w:rFonts w:ascii="Times New Roman" w:eastAsia="宋体" w:cs="Times New Roman" w:hAnsi="Times New Roman" w:hint="eastAsia"/>
                      <w:b w:val="0"/>
                      <w:bCs w:val="0"/>
                      <w:i w:val="0"/>
                      <w:iCs w:val="0"/>
                      <w:color w:val="000000"/>
                      <w:sz w:val="21"/>
                      <w:szCs w:val="21"/>
                      <w:u w:val="none"/>
                      <w:lang w:val="en-US" w:eastAsia="zh-CN"/>
                    </w:rPr>
                    <w:t>备注：</w:t>
                  </w:r>
                  <w:r>
                    <w:rPr>
                      <w:rFonts w:ascii="Times New Roman" w:eastAsia="宋体" w:cs="Times New Roman" w:hAnsi="Times New Roman" w:hint="eastAsia"/>
                      <w:b w:val="0"/>
                      <w:bCs w:val="0"/>
                      <w:color w:val="000000"/>
                      <w:sz w:val="21"/>
                      <w:szCs w:val="21"/>
                      <w:lang w:val="en-US" w:eastAsia="zh-CN"/>
                      <w:highlight w:val="none"/>
                    </w:rPr>
                    <w:t>1.采样点位由委托单位提供。</w:t>
                  </w:r>
                </w:p>
                <w:p>
                  <w:pPr>
                    <w:ind w:firstLineChars="300" w:firstLine="630"/>
                    <w:jc w:val="left"/>
                    <w:rPr>
                      <w:rFonts w:ascii="Times New Roman" w:eastAsia="宋体" w:cs="Times New Roman" w:hAnsi="Times New Roman"/>
                      <w:i w:val="0"/>
                      <w:iCs w:val="0"/>
                      <w:color w:val="000000"/>
                      <w:sz w:val="21"/>
                      <w:szCs w:val="21"/>
                      <w:u w:val="none"/>
                      <w:lang w:val="en-US"/>
                    </w:rPr>
                  </w:pPr>
                  <w:r>
                    <w:rPr>
                      <w:rFonts w:ascii="Times New Roman" w:eastAsia="宋体" w:cs="Times New Roman" w:hAnsi="Times New Roman" w:hint="eastAsia"/>
                      <w:b w:val="0"/>
                      <w:bCs w:val="0"/>
                      <w:color w:val="000000"/>
                      <w:sz w:val="21"/>
                      <w:szCs w:val="21"/>
                      <w:lang w:val="en-US" w:eastAsia="zh-CN"/>
                      <w:highlight w:val="none"/>
                    </w:rPr>
                    <w:t>2.环境噪声《声环境质量标准》（B3096-2008）</w:t>
                  </w:r>
                  <w:r>
                    <w:rPr>
                      <w:rFonts w:ascii="Times New Roman" w:eastAsia="宋体" w:cs="Times New Roman" w:hAnsi="Times New Roman"/>
                      <w:b w:val="0"/>
                      <w:bCs w:val="0"/>
                      <w:color w:val="000000"/>
                      <w:sz w:val="21"/>
                      <w:szCs w:val="21"/>
                      <w:lang w:val="en-US" w:eastAsia="zh-CN"/>
                      <w:highlight w:val="none"/>
                    </w:rPr>
                    <w:t>中</w:t>
                  </w:r>
                  <w:r>
                    <w:rPr>
                      <w:rFonts w:ascii="Times New Roman" w:eastAsia="宋体" w:cs="Times New Roman" w:hAnsi="Times New Roman" w:hint="eastAsia"/>
                      <w:b w:val="0"/>
                      <w:bCs w:val="0"/>
                      <w:color w:val="000000"/>
                      <w:sz w:val="21"/>
                      <w:szCs w:val="21"/>
                      <w:lang w:val="en-US" w:eastAsia="zh-CN"/>
                      <w:highlight w:val="none"/>
                    </w:rPr>
                    <w:t>2</w:t>
                  </w:r>
                  <w:r>
                    <w:rPr>
                      <w:rFonts w:ascii="Times New Roman" w:eastAsia="宋体" w:cs="Times New Roman" w:hAnsi="Times New Roman"/>
                      <w:b w:val="0"/>
                      <w:bCs w:val="0"/>
                      <w:color w:val="000000"/>
                      <w:sz w:val="21"/>
                      <w:szCs w:val="21"/>
                      <w:lang w:val="en-US" w:eastAsia="zh-CN"/>
                      <w:highlight w:val="none"/>
                    </w:rPr>
                    <w:t>类标准限值</w:t>
                  </w:r>
                  <w:r>
                    <w:rPr>
                      <w:rFonts w:ascii="Times New Roman" w:eastAsia="宋体" w:cs="Times New Roman" w:hAnsi="Times New Roman" w:hint="eastAsia"/>
                      <w:b w:val="0"/>
                      <w:bCs w:val="0"/>
                      <w:color w:val="000000"/>
                      <w:sz w:val="21"/>
                      <w:szCs w:val="21"/>
                      <w:lang w:val="en-US" w:eastAsia="zh-CN"/>
                      <w:highlight w:val="none"/>
                    </w:rPr>
                    <w:t>。</w:t>
                  </w:r>
                </w:p>
              </w:tc>
            </w:tr>
          </w:tbl>
          <w:p>
            <w:pPr>
              <w:spacing w:line="360" w:lineRule="auto"/>
              <w:ind w:firstLineChars="200" w:firstLine="480"/>
              <w:rPr>
                <w:rFonts w:ascii="Times New Roman" w:eastAsia="宋体" w:cs="Times New Roman" w:hAnsi="Times New Roman"/>
                <w:color w:val="auto"/>
                <w:sz w:val="24"/>
                <w:lang w:val="en-US" w:eastAsia="zh-CN"/>
              </w:rPr>
            </w:pPr>
            <w:r>
              <w:rPr>
                <w:rFonts w:cs="Times New Roman" w:hint="eastAsia"/>
                <w:color w:val="auto"/>
                <w:sz w:val="24"/>
                <w:lang w:val="en-US" w:eastAsia="zh-CN"/>
              </w:rPr>
              <w:t>周边声环境敏感点噪声满足《声环境质量标准》（B3096-2008）中2类标准限值。</w:t>
            </w:r>
          </w:p>
          <w:p>
            <w:pPr>
              <w:spacing w:line="360" w:lineRule="auto"/>
              <w:ind w:firstLineChars="200" w:firstLine="480"/>
              <w:outlineLvl w:val="0"/>
              <w:rPr>
                <w:b/>
                <w:bCs/>
                <w:color w:val="auto"/>
                <w:sz w:val="24"/>
              </w:rPr>
            </w:pPr>
            <w:bookmarkStart w:id="21" w:name="_Toc279"/>
            <w:bookmarkStart w:id="22" w:name="_Toc19943"/>
            <w:bookmarkStart w:id="23" w:name="_Toc17799"/>
            <w:bookmarkStart w:id="24" w:name="_Toc286"/>
            <w:bookmarkStart w:id="25" w:name="_Toc30591"/>
            <w:r>
              <w:rPr>
                <w:rFonts w:hint="eastAsia"/>
                <w:b/>
                <w:bCs/>
                <w:color w:val="auto"/>
                <w:sz w:val="24"/>
              </w:rPr>
              <w:t>4、生态环境</w:t>
            </w:r>
            <w:bookmarkEnd w:id="21"/>
            <w:bookmarkEnd w:id="22"/>
            <w:bookmarkEnd w:id="23"/>
            <w:bookmarkEnd w:id="24"/>
            <w:bookmarkEnd w:id="25"/>
          </w:p>
          <w:p>
            <w:pPr>
              <w:widowControl/>
              <w:adjustRightInd w:val="0"/>
              <w:snapToGrid w:val="0"/>
              <w:spacing w:line="360" w:lineRule="auto"/>
              <w:ind w:firstLineChars="200" w:firstLine="480"/>
              <w:rPr>
                <w:color w:val="auto"/>
                <w:sz w:val="24"/>
                <w:szCs w:val="20"/>
              </w:rPr>
            </w:pPr>
            <w:r>
              <w:rPr>
                <w:rFonts w:hint="eastAsia"/>
                <w:color w:val="auto"/>
                <w:sz w:val="24"/>
                <w:szCs w:val="20"/>
              </w:rPr>
              <w:t>根据《建设项目环境影响报告表编制技术指南（污染影响类）》（试行），本项目无须开展生态现状调查。</w:t>
            </w:r>
          </w:p>
          <w:p>
            <w:pPr>
              <w:spacing w:line="360" w:lineRule="auto"/>
              <w:ind w:firstLineChars="200" w:firstLine="480"/>
              <w:outlineLvl w:val="0"/>
              <w:rPr>
                <w:b/>
                <w:bCs/>
                <w:color w:val="auto"/>
                <w:sz w:val="24"/>
              </w:rPr>
            </w:pPr>
            <w:bookmarkStart w:id="26" w:name="_Toc13751"/>
            <w:bookmarkStart w:id="27" w:name="_Toc29502"/>
            <w:bookmarkStart w:id="28" w:name="_Toc19554"/>
            <w:bookmarkStart w:id="29" w:name="_Toc11787"/>
            <w:bookmarkStart w:id="30" w:name="_Toc24468"/>
            <w:r>
              <w:rPr>
                <w:rFonts w:hint="eastAsia"/>
                <w:b/>
                <w:bCs/>
                <w:color w:val="auto"/>
                <w:sz w:val="24"/>
              </w:rPr>
              <w:t>5、地下水、土壤环境</w:t>
            </w:r>
            <w:bookmarkEnd w:id="26"/>
            <w:bookmarkEnd w:id="27"/>
            <w:bookmarkEnd w:id="28"/>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Chars="200" w:firstLine="480"/>
              <w:jc w:val="both"/>
              <w:textAlignment w:val="auto"/>
              <w:rPr>
                <w:color w:val="0000FF"/>
                <w:kern w:val="0"/>
                <w:szCs w:val="21"/>
              </w:rPr>
            </w:pPr>
            <w:r>
              <w:rPr>
                <w:rFonts w:ascii="Times New Roman" w:eastAsia="宋体" w:cs="Times New Roman" w:hAnsi="Times New Roman" w:hint="eastAsia"/>
                <w:color w:val="auto"/>
                <w:sz w:val="24"/>
              </w:rPr>
              <w:t>本项目运营过程用地范围内地面均进行水泥硬化，因此基本无地下水和土壤污染途径，根据《建设项目环境影响报告表编制技术指南（污染影响类）》（试行），本项目无须开展地下水、土壤现状调查。</w:t>
            </w:r>
          </w:p>
        </w:tc>
      </w:tr>
      <w:tr>
        <w:trPr>
          <w:trHeight w:val="7190"/>
        </w:trPr>
        <w:tc>
          <w:tcPr>
            <w:tcW w:w="800"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0000FF"/>
                <w:kern w:val="0"/>
                <w:szCs w:val="21"/>
              </w:rPr>
            </w:pPr>
            <w:r>
              <w:rPr>
                <w:color w:val="auto"/>
                <w:kern w:val="0"/>
                <w:szCs w:val="21"/>
              </w:rPr>
              <w:t>目标</w:t>
            </w:r>
          </w:p>
        </w:tc>
        <w:tc>
          <w:tcPr>
            <w:tcW w:w="8190" w:type="dxa"/>
            <w:vAlign w:val="center"/>
          </w:tcPr>
          <w:p>
            <w:pPr>
              <w:pStyle w:val="43"/>
              <w:adjustRightInd/>
              <w:spacing w:line="360" w:lineRule="auto"/>
              <w:rPr>
                <w:rStyle w:val="44"/>
                <w:rFonts w:ascii="Times New Roman" w:hAnsi="Times New Roman"/>
                <w:b/>
                <w:color w:val="auto"/>
                <w:sz w:val="21"/>
                <w:szCs w:val="21"/>
                <w:u w:val="none"/>
              </w:rPr>
            </w:pPr>
            <w:r>
              <w:rPr>
                <w:rStyle w:val="44"/>
                <w:rFonts w:ascii="Times New Roman" w:hAnsi="Times New Roman"/>
                <w:b/>
                <w:color w:val="auto"/>
                <w:sz w:val="21"/>
                <w:szCs w:val="21"/>
                <w:u w:val="none"/>
              </w:rPr>
              <w:t>表</w:t>
            </w:r>
            <w:r>
              <w:rPr>
                <w:rStyle w:val="44"/>
                <w:rFonts w:ascii="Times New Roman" w:hAnsi="Times New Roman" w:hint="eastAsia"/>
                <w:b/>
                <w:color w:val="auto"/>
                <w:sz w:val="21"/>
                <w:szCs w:val="21"/>
                <w:u w:val="none"/>
                <w:lang w:val="en-US" w:eastAsia="zh-CN"/>
              </w:rPr>
              <w:t>3-4</w:t>
            </w:r>
            <w:r>
              <w:rPr>
                <w:rStyle w:val="44"/>
                <w:rFonts w:ascii="Times New Roman" w:hAnsi="Times New Roman"/>
                <w:b/>
                <w:color w:val="auto"/>
                <w:sz w:val="21"/>
                <w:szCs w:val="21"/>
                <w:u w:val="none"/>
              </w:rPr>
              <w:t xml:space="preserve"> 项目主要环境保护目标</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605"/>
              <w:gridCol w:w="1105"/>
              <w:gridCol w:w="906"/>
              <w:gridCol w:w="985"/>
              <w:gridCol w:w="1080"/>
              <w:gridCol w:w="1399"/>
              <w:gridCol w:w="1163"/>
              <w:gridCol w:w="1122"/>
            </w:tblGrid>
            <w:tr>
              <w:trPr>
                <w:trHeight w:val="454"/>
              </w:trPr>
              <w:tc>
                <w:tcPr>
                  <w:tcW w:w="124" w:type="dxa"/>
                  <w:vMerge w:val="restart"/>
                  <w:vAlign w:val="center"/>
                </w:tcPr>
                <w:p>
                  <w:pPr>
                    <w:jc w:val="center"/>
                    <w:rPr>
                      <w:b/>
                      <w:color w:val="auto"/>
                      <w:szCs w:val="21"/>
                      <w:u w:val="none"/>
                    </w:rPr>
                  </w:pPr>
                  <w:r>
                    <w:rPr>
                      <w:b/>
                      <w:color w:val="auto"/>
                      <w:szCs w:val="21"/>
                      <w:u w:val="none"/>
                    </w:rPr>
                    <w:t>名称</w:t>
                  </w:r>
                </w:p>
              </w:tc>
              <w:tc>
                <w:tcPr>
                  <w:tcW w:w="267" w:type="dxa"/>
                  <w:vMerge w:val="restart"/>
                  <w:vAlign w:val="center"/>
                </w:tcPr>
                <w:p>
                  <w:pPr>
                    <w:jc w:val="center"/>
                    <w:rPr>
                      <w:b/>
                      <w:color w:val="auto"/>
                      <w:szCs w:val="21"/>
                      <w:u w:val="none"/>
                    </w:rPr>
                  </w:pPr>
                  <w:r>
                    <w:rPr>
                      <w:b/>
                      <w:color w:val="auto"/>
                      <w:szCs w:val="21"/>
                      <w:u w:val="none"/>
                    </w:rPr>
                    <w:t>保护对象</w:t>
                  </w:r>
                </w:p>
              </w:tc>
              <w:tc>
                <w:tcPr>
                  <w:tcW w:w="457" w:type="dxa"/>
                  <w:gridSpan w:val="2"/>
                  <w:vAlign w:val="center"/>
                </w:tcPr>
                <w:p>
                  <w:pPr>
                    <w:jc w:val="center"/>
                    <w:rPr>
                      <w:rFonts w:eastAsia="宋体"/>
                      <w:b/>
                      <w:color w:val="auto"/>
                      <w:szCs w:val="21"/>
                      <w:u w:val="none"/>
                      <w:lang w:val="en-US" w:eastAsia="zh-CN"/>
                    </w:rPr>
                  </w:pPr>
                  <w:r>
                    <w:rPr>
                      <w:rFonts w:hint="eastAsia"/>
                      <w:b/>
                      <w:color w:val="auto"/>
                      <w:szCs w:val="21"/>
                      <w:u w:val="none"/>
                      <w:lang w:val="en-US" w:eastAsia="zh-CN"/>
                    </w:rPr>
                    <w:t>坐标</w:t>
                  </w:r>
                </w:p>
              </w:tc>
              <w:tc>
                <w:tcPr>
                  <w:tcW w:w="261" w:type="dxa"/>
                  <w:vMerge w:val="restart"/>
                  <w:vAlign w:val="center"/>
                </w:tcPr>
                <w:p>
                  <w:pPr>
                    <w:jc w:val="center"/>
                    <w:rPr>
                      <w:b/>
                      <w:color w:val="auto"/>
                      <w:szCs w:val="21"/>
                      <w:u w:val="none"/>
                    </w:rPr>
                  </w:pPr>
                  <w:r>
                    <w:rPr>
                      <w:b/>
                      <w:color w:val="auto"/>
                      <w:szCs w:val="21"/>
                      <w:u w:val="none"/>
                    </w:rPr>
                    <w:t>保护内容/规模</w:t>
                  </w:r>
                </w:p>
              </w:tc>
              <w:tc>
                <w:tcPr>
                  <w:tcW w:w="338" w:type="dxa"/>
                  <w:vMerge w:val="restart"/>
                  <w:vAlign w:val="center"/>
                </w:tcPr>
                <w:p>
                  <w:pPr>
                    <w:jc w:val="center"/>
                    <w:rPr>
                      <w:b/>
                      <w:color w:val="auto"/>
                      <w:szCs w:val="21"/>
                      <w:u w:val="none"/>
                    </w:rPr>
                  </w:pPr>
                  <w:r>
                    <w:rPr>
                      <w:b/>
                      <w:color w:val="auto"/>
                      <w:szCs w:val="21"/>
                      <w:u w:val="none"/>
                    </w:rPr>
                    <w:t>环境功能区</w:t>
                  </w:r>
                </w:p>
              </w:tc>
              <w:tc>
                <w:tcPr>
                  <w:tcW w:w="281" w:type="dxa"/>
                  <w:vMerge w:val="restart"/>
                  <w:vAlign w:val="center"/>
                </w:tcPr>
                <w:p>
                  <w:pPr>
                    <w:jc w:val="center"/>
                    <w:rPr>
                      <w:b/>
                      <w:color w:val="auto"/>
                      <w:szCs w:val="21"/>
                      <w:u w:val="none"/>
                    </w:rPr>
                  </w:pPr>
                  <w:r>
                    <w:rPr>
                      <w:b/>
                      <w:color w:val="auto"/>
                      <w:szCs w:val="21"/>
                      <w:u w:val="none"/>
                    </w:rPr>
                    <w:t>相对厂址方位</w:t>
                  </w:r>
                </w:p>
              </w:tc>
              <w:tc>
                <w:tcPr>
                  <w:tcW w:w="271" w:type="dxa"/>
                  <w:vMerge w:val="restart"/>
                  <w:vAlign w:val="center"/>
                </w:tcPr>
                <w:p>
                  <w:pPr>
                    <w:jc w:val="center"/>
                    <w:rPr>
                      <w:b/>
                      <w:color w:val="auto"/>
                      <w:szCs w:val="21"/>
                      <w:u w:val="none"/>
                    </w:rPr>
                  </w:pPr>
                  <w:r>
                    <w:rPr>
                      <w:b/>
                      <w:color w:val="auto"/>
                      <w:szCs w:val="21"/>
                      <w:u w:val="none"/>
                    </w:rPr>
                    <w:t>相对厂界距离</w:t>
                  </w:r>
                </w:p>
              </w:tc>
            </w:tr>
            <w:tr>
              <w:trPr>
                <w:trHeight w:val="454"/>
              </w:trPr>
              <w:tc>
                <w:tcPr>
                  <w:tcW w:w="124" w:type="dxa"/>
                  <w:vMerge/>
                  <w:vAlign w:val="center"/>
                </w:tcPr>
                <w:p/>
              </w:tc>
              <w:tc>
                <w:tcPr>
                  <w:tcW w:w="267" w:type="dxa"/>
                  <w:vMerge/>
                  <w:vAlign w:val="center"/>
                </w:tcPr>
                <w:p/>
              </w:tc>
              <w:tc>
                <w:tcPr>
                  <w:tcW w:w="219" w:type="dxa"/>
                  <w:vAlign w:val="center"/>
                </w:tcPr>
                <w:p>
                  <w:pPr>
                    <w:jc w:val="center"/>
                    <w:rPr>
                      <w:rFonts w:eastAsia="宋体" w:hint="eastAsia"/>
                      <w:b/>
                      <w:i/>
                      <w:iCs/>
                      <w:color w:val="auto"/>
                      <w:szCs w:val="21"/>
                      <w:u w:val="none"/>
                      <w:lang w:val="en-US" w:eastAsia="zh-CN"/>
                    </w:rPr>
                  </w:pPr>
                  <w:r>
                    <w:rPr>
                      <w:rFonts w:hint="eastAsia"/>
                      <w:b/>
                      <w:i/>
                      <w:iCs/>
                      <w:color w:val="auto"/>
                      <w:szCs w:val="21"/>
                      <w:u w:val="none"/>
                      <w:lang w:val="en-US" w:eastAsia="zh-CN"/>
                    </w:rPr>
                    <w:t>X</w:t>
                  </w:r>
                </w:p>
              </w:tc>
              <w:tc>
                <w:tcPr>
                  <w:tcW w:w="238" w:type="dxa"/>
                  <w:vAlign w:val="center"/>
                </w:tcPr>
                <w:p>
                  <w:pPr>
                    <w:jc w:val="center"/>
                    <w:rPr>
                      <w:rFonts w:eastAsia="宋体" w:hint="eastAsia"/>
                      <w:b/>
                      <w:i/>
                      <w:iCs/>
                      <w:color w:val="auto"/>
                      <w:szCs w:val="21"/>
                      <w:u w:val="none"/>
                      <w:lang w:val="en-US" w:eastAsia="zh-CN"/>
                    </w:rPr>
                  </w:pPr>
                  <w:r>
                    <w:rPr>
                      <w:rFonts w:hint="eastAsia"/>
                      <w:b/>
                      <w:i/>
                      <w:iCs/>
                      <w:color w:val="auto"/>
                      <w:szCs w:val="21"/>
                      <w:u w:val="none"/>
                      <w:lang w:val="en-US" w:eastAsia="zh-CN"/>
                    </w:rPr>
                    <w:t>Y</w:t>
                  </w:r>
                </w:p>
              </w:tc>
              <w:tc>
                <w:tcPr>
                  <w:tcW w:w="261" w:type="dxa"/>
                  <w:vMerge/>
                  <w:vAlign w:val="center"/>
                </w:tcPr>
                <w:p/>
              </w:tc>
              <w:tc>
                <w:tcPr>
                  <w:tcW w:w="338" w:type="dxa"/>
                  <w:vMerge/>
                  <w:vAlign w:val="center"/>
                </w:tcPr>
                <w:p/>
              </w:tc>
              <w:tc>
                <w:tcPr>
                  <w:tcW w:w="281" w:type="dxa"/>
                  <w:vMerge/>
                  <w:vAlign w:val="center"/>
                </w:tcPr>
                <w:p/>
              </w:tc>
              <w:tc>
                <w:tcPr>
                  <w:tcW w:w="271" w:type="dxa"/>
                  <w:vMerge/>
                  <w:vAlign w:val="center"/>
                </w:tcPr>
                <w:p/>
              </w:tc>
            </w:tr>
            <w:tr>
              <w:trPr>
                <w:trHeight w:val="454"/>
              </w:trPr>
              <w:tc>
                <w:tcPr>
                  <w:tcW w:w="124" w:type="dxa"/>
                  <w:vMerge w:val="restart"/>
                  <w:vAlign w:val="center"/>
                </w:tcPr>
                <w:p>
                  <w:pPr>
                    <w:jc w:val="center"/>
                    <w:rPr>
                      <w:bCs/>
                      <w:color w:val="auto"/>
                      <w:szCs w:val="21"/>
                      <w:u w:val="none"/>
                    </w:rPr>
                  </w:pPr>
                  <w:r>
                    <w:rPr>
                      <w:bCs/>
                      <w:color w:val="auto"/>
                      <w:szCs w:val="21"/>
                      <w:u w:val="none"/>
                    </w:rPr>
                    <w:t>环境空气</w:t>
                  </w:r>
                </w:p>
              </w:tc>
              <w:tc>
                <w:tcPr>
                  <w:tcW w:w="267" w:type="dxa"/>
                  <w:vAlign w:val="center"/>
                </w:tcPr>
                <w:p>
                  <w:pPr>
                    <w:jc w:val="center"/>
                    <w:rPr>
                      <w:rFonts w:eastAsia="宋体"/>
                      <w:bCs/>
                      <w:color w:val="auto"/>
                      <w:szCs w:val="21"/>
                      <w:u w:val="none"/>
                      <w:lang w:val="en-US" w:eastAsia="zh-CN"/>
                    </w:rPr>
                  </w:pPr>
                  <w:r>
                    <w:rPr>
                      <w:rFonts w:hint="eastAsia"/>
                      <w:bCs/>
                      <w:color w:val="auto"/>
                      <w:szCs w:val="21"/>
                      <w:u w:val="none"/>
                      <w:lang w:val="en-US" w:eastAsia="zh-CN"/>
                    </w:rPr>
                    <w:t>居民点1</w:t>
                  </w:r>
                </w:p>
              </w:tc>
              <w:tc>
                <w:tcPr>
                  <w:tcW w:w="219" w:type="dxa"/>
                  <w:vAlign w:val="center"/>
                </w:tcPr>
                <w:p>
                  <w:pPr>
                    <w:pageBreakBefore w:val="0"/>
                    <w:widowControl w:val="0"/>
                    <w:kinsoku/>
                    <w:overflowPunct/>
                    <w:bidi w:val="0"/>
                    <w:jc w:val="center"/>
                    <w:rPr>
                      <w:rFonts w:hint="eastAsia"/>
                      <w:color w:val="auto"/>
                      <w:szCs w:val="21"/>
                      <w:u w:val="none"/>
                      <w:lang w:val="en-US" w:eastAsia="zh-CN"/>
                    </w:rPr>
                  </w:pPr>
                  <w:r>
                    <w:rPr>
                      <w:rFonts w:hint="eastAsia"/>
                      <w:color w:val="auto"/>
                      <w:szCs w:val="21"/>
                      <w:u w:val="none"/>
                      <w:lang w:val="en-US" w:eastAsia="zh-CN"/>
                    </w:rPr>
                    <w:t>-350.37</w:t>
                  </w:r>
                </w:p>
              </w:tc>
              <w:tc>
                <w:tcPr>
                  <w:tcW w:w="238" w:type="dxa"/>
                  <w:vAlign w:val="center"/>
                </w:tcPr>
                <w:p>
                  <w:pPr>
                    <w:pageBreakBefore w:val="0"/>
                    <w:widowControl w:val="0"/>
                    <w:kinsoku/>
                    <w:overflowPunct/>
                    <w:bidi w:val="0"/>
                    <w:jc w:val="center"/>
                    <w:rPr>
                      <w:rFonts w:hint="eastAsia"/>
                      <w:color w:val="auto"/>
                      <w:szCs w:val="21"/>
                      <w:u w:val="none"/>
                      <w:lang w:val="en-US" w:eastAsia="zh-CN"/>
                    </w:rPr>
                  </w:pPr>
                  <w:r>
                    <w:rPr>
                      <w:rFonts w:hint="eastAsia"/>
                      <w:color w:val="auto"/>
                      <w:szCs w:val="21"/>
                      <w:u w:val="none"/>
                      <w:lang w:val="en-US" w:eastAsia="zh-CN"/>
                    </w:rPr>
                    <w:t>126.91</w:t>
                  </w:r>
                </w:p>
              </w:tc>
              <w:tc>
                <w:tcPr>
                  <w:tcW w:w="261" w:type="dxa"/>
                  <w:vAlign w:val="center"/>
                </w:tcPr>
                <w:p>
                  <w:pPr>
                    <w:jc w:val="center"/>
                    <w:rPr>
                      <w:bCs/>
                      <w:color w:val="auto"/>
                      <w:szCs w:val="21"/>
                      <w:u w:val="none"/>
                    </w:rPr>
                  </w:pPr>
                  <w:r>
                    <w:rPr>
                      <w:rFonts w:hint="eastAsia"/>
                      <w:color w:val="auto"/>
                      <w:szCs w:val="21"/>
                      <w:u w:val="none"/>
                      <w:lang w:val="en-US" w:eastAsia="zh-CN"/>
                    </w:rPr>
                    <w:t>12</w:t>
                  </w:r>
                  <w:r>
                    <w:rPr>
                      <w:color w:val="auto"/>
                      <w:szCs w:val="21"/>
                      <w:u w:val="none"/>
                    </w:rPr>
                    <w:t>户</w:t>
                  </w:r>
                  <w:r>
                    <w:rPr>
                      <w:rFonts w:hint="eastAsia"/>
                      <w:color w:val="auto"/>
                      <w:kern w:val="0"/>
                      <w:szCs w:val="21"/>
                      <w:u w:val="none"/>
                      <w:lang w:val="en-US" w:eastAsia="zh-CN"/>
                    </w:rPr>
                    <w:t>60</w:t>
                  </w:r>
                  <w:r>
                    <w:rPr>
                      <w:color w:val="auto"/>
                      <w:kern w:val="0"/>
                      <w:szCs w:val="21"/>
                      <w:u w:val="none"/>
                    </w:rPr>
                    <w:t>人</w:t>
                  </w:r>
                </w:p>
              </w:tc>
              <w:tc>
                <w:tcPr>
                  <w:tcW w:w="338" w:type="dxa"/>
                  <w:vMerge w:val="restart"/>
                  <w:vAlign w:val="center"/>
                </w:tcPr>
                <w:p>
                  <w:pPr>
                    <w:jc w:val="center"/>
                    <w:rPr>
                      <w:bCs/>
                      <w:color w:val="auto"/>
                      <w:szCs w:val="21"/>
                      <w:u w:val="none"/>
                    </w:rPr>
                  </w:pPr>
                  <w:r>
                    <w:rPr>
                      <w:color w:val="auto"/>
                      <w:kern w:val="0"/>
                      <w:szCs w:val="21"/>
                      <w:u w:val="none"/>
                    </w:rPr>
                    <w:t>GB3095-2012及2018年8月修改单中的二级标准</w:t>
                  </w:r>
                </w:p>
              </w:tc>
              <w:tc>
                <w:tcPr>
                  <w:tcW w:w="281" w:type="dxa"/>
                  <w:vAlign w:val="center"/>
                </w:tcPr>
                <w:p>
                  <w:pPr>
                    <w:jc w:val="center"/>
                    <w:rPr>
                      <w:rFonts w:eastAsia="宋体"/>
                      <w:bCs/>
                      <w:color w:val="auto"/>
                      <w:szCs w:val="21"/>
                      <w:u w:val="none"/>
                      <w:lang w:val="en-US" w:eastAsia="zh-CN"/>
                    </w:rPr>
                  </w:pPr>
                  <w:r>
                    <w:rPr>
                      <w:rFonts w:hint="eastAsia"/>
                      <w:bCs/>
                      <w:color w:val="auto"/>
                      <w:szCs w:val="21"/>
                      <w:u w:val="none"/>
                      <w:lang w:val="en-US" w:eastAsia="zh-CN"/>
                    </w:rPr>
                    <w:t>西北</w:t>
                  </w:r>
                </w:p>
              </w:tc>
              <w:tc>
                <w:tcPr>
                  <w:tcW w:w="271" w:type="dxa"/>
                  <w:vAlign w:val="center"/>
                </w:tcPr>
                <w:p>
                  <w:pPr>
                    <w:jc w:val="center"/>
                    <w:rPr>
                      <w:bCs/>
                      <w:color w:val="auto"/>
                      <w:szCs w:val="21"/>
                      <w:u w:val="none"/>
                    </w:rPr>
                  </w:pPr>
                  <w:r>
                    <w:rPr>
                      <w:rFonts w:hint="eastAsia"/>
                      <w:color w:val="auto"/>
                      <w:kern w:val="0"/>
                      <w:szCs w:val="21"/>
                      <w:u w:val="none"/>
                      <w:lang w:val="en-US" w:eastAsia="zh-CN"/>
                    </w:rPr>
                    <w:t>336~500</w:t>
                  </w:r>
                  <w:r>
                    <w:rPr>
                      <w:color w:val="auto"/>
                      <w:kern w:val="0"/>
                      <w:szCs w:val="21"/>
                      <w:u w:val="none"/>
                    </w:rPr>
                    <w:t>m</w:t>
                  </w:r>
                </w:p>
              </w:tc>
            </w:tr>
            <w:tr>
              <w:trPr>
                <w:trHeight w:val="454"/>
              </w:trPr>
              <w:tc>
                <w:tcPr>
                  <w:tcW w:w="124" w:type="dxa"/>
                  <w:vMerge/>
                  <w:vAlign w:val="center"/>
                </w:tcPr>
                <w:p/>
              </w:tc>
              <w:tc>
                <w:tcPr>
                  <w:tcW w:w="267" w:type="dxa"/>
                  <w:vAlign w:val="center"/>
                </w:tcPr>
                <w:p>
                  <w:pPr>
                    <w:jc w:val="center"/>
                    <w:rPr>
                      <w:rFonts w:hint="eastAsia"/>
                      <w:color w:val="auto"/>
                      <w:kern w:val="0"/>
                      <w:szCs w:val="21"/>
                      <w:u w:val="none"/>
                      <w:lang w:eastAsia="zh-CN"/>
                    </w:rPr>
                  </w:pPr>
                  <w:r>
                    <w:rPr>
                      <w:rFonts w:hint="eastAsia"/>
                      <w:bCs/>
                      <w:color w:val="auto"/>
                      <w:szCs w:val="21"/>
                      <w:u w:val="none"/>
                      <w:lang w:val="en-US" w:eastAsia="zh-CN"/>
                    </w:rPr>
                    <w:t>居民点2</w:t>
                  </w:r>
                </w:p>
              </w:tc>
              <w:tc>
                <w:tcPr>
                  <w:tcW w:w="219" w:type="dxa"/>
                  <w:shd w:val="clear" w:color="auto" w:fill="auto"/>
                  <w:vAlign w:val="center"/>
                </w:tcPr>
                <w:p>
                  <w:pPr>
                    <w:pageBreakBefore w:val="0"/>
                    <w:widowControl w:val="0"/>
                    <w:kinsoku/>
                    <w:overflowPunct/>
                    <w:bidi w:val="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kern w:val="0"/>
                      <w:sz w:val="21"/>
                      <w:szCs w:val="21"/>
                      <w:lang w:val="en-US" w:eastAsia="zh-CN"/>
                    </w:rPr>
                    <w:t>-51.9</w:t>
                  </w:r>
                </w:p>
              </w:tc>
              <w:tc>
                <w:tcPr>
                  <w:tcW w:w="238" w:type="dxa"/>
                  <w:shd w:val="clear" w:color="auto" w:fill="auto"/>
                  <w:vAlign w:val="center"/>
                </w:tcPr>
                <w:p>
                  <w:pPr>
                    <w:pageBreakBefore w:val="0"/>
                    <w:widowControl w:val="0"/>
                    <w:kinsoku/>
                    <w:overflowPunct/>
                    <w:bidi w:val="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kern w:val="0"/>
                      <w:sz w:val="21"/>
                      <w:szCs w:val="21"/>
                      <w:lang w:val="en-US" w:eastAsia="zh-CN"/>
                    </w:rPr>
                    <w:t>65.8</w:t>
                  </w:r>
                </w:p>
              </w:tc>
              <w:tc>
                <w:tcPr>
                  <w:tcW w:w="261" w:type="dxa"/>
                  <w:vAlign w:val="center"/>
                </w:tcPr>
                <w:p>
                  <w:pPr>
                    <w:jc w:val="center"/>
                    <w:rPr>
                      <w:rFonts w:hint="eastAsia"/>
                      <w:color w:val="auto"/>
                      <w:szCs w:val="21"/>
                      <w:u w:val="none"/>
                      <w:lang w:val="en-US" w:eastAsia="zh-CN"/>
                    </w:rPr>
                  </w:pPr>
                  <w:r>
                    <w:rPr>
                      <w:rFonts w:hint="eastAsia"/>
                      <w:color w:val="auto"/>
                      <w:szCs w:val="21"/>
                      <w:u w:val="none"/>
                      <w:lang w:val="en-US" w:eastAsia="zh-CN"/>
                    </w:rPr>
                    <w:t>10</w:t>
                  </w:r>
                  <w:r>
                    <w:rPr>
                      <w:color w:val="auto"/>
                      <w:szCs w:val="21"/>
                      <w:u w:val="none"/>
                    </w:rPr>
                    <w:t>户</w:t>
                  </w:r>
                  <w:r>
                    <w:rPr>
                      <w:rFonts w:hint="eastAsia"/>
                      <w:color w:val="auto"/>
                      <w:kern w:val="0"/>
                      <w:szCs w:val="21"/>
                      <w:u w:val="none"/>
                      <w:lang w:val="en-US" w:eastAsia="zh-CN"/>
                    </w:rPr>
                    <w:t>50</w:t>
                  </w:r>
                  <w:r>
                    <w:rPr>
                      <w:color w:val="auto"/>
                      <w:kern w:val="0"/>
                      <w:szCs w:val="21"/>
                      <w:u w:val="none"/>
                    </w:rPr>
                    <w:t>人</w:t>
                  </w:r>
                </w:p>
              </w:tc>
              <w:tc>
                <w:tcPr>
                  <w:tcW w:w="338" w:type="dxa"/>
                  <w:vMerge/>
                  <w:vAlign w:val="center"/>
                </w:tcPr>
                <w:p/>
              </w:tc>
              <w:tc>
                <w:tcPr>
                  <w:tcW w:w="281" w:type="dxa"/>
                  <w:vAlign w:val="center"/>
                </w:tcPr>
                <w:p>
                  <w:pPr>
                    <w:jc w:val="center"/>
                    <w:rPr>
                      <w:rFonts w:hint="eastAsia"/>
                      <w:color w:val="auto"/>
                      <w:kern w:val="0"/>
                      <w:szCs w:val="21"/>
                      <w:u w:val="none"/>
                      <w:lang w:eastAsia="zh-CN"/>
                    </w:rPr>
                  </w:pPr>
                  <w:r>
                    <w:rPr>
                      <w:rFonts w:hint="eastAsia"/>
                      <w:bCs/>
                      <w:color w:val="auto"/>
                      <w:szCs w:val="21"/>
                      <w:u w:val="none"/>
                      <w:lang w:val="en-US" w:eastAsia="zh-CN"/>
                    </w:rPr>
                    <w:t>北</w:t>
                  </w:r>
                </w:p>
              </w:tc>
              <w:tc>
                <w:tcPr>
                  <w:tcW w:w="271" w:type="dxa"/>
                  <w:vAlign w:val="center"/>
                </w:tcPr>
                <w:p>
                  <w:pPr>
                    <w:jc w:val="center"/>
                    <w:rPr>
                      <w:color w:val="auto"/>
                      <w:kern w:val="0"/>
                      <w:szCs w:val="21"/>
                      <w:u w:val="none"/>
                      <w:lang w:val="en-US" w:eastAsia="zh-CN"/>
                    </w:rPr>
                  </w:pPr>
                  <w:r>
                    <w:rPr>
                      <w:rFonts w:hint="eastAsia"/>
                      <w:color w:val="auto"/>
                      <w:kern w:val="0"/>
                      <w:szCs w:val="21"/>
                      <w:u w:val="none"/>
                      <w:lang w:val="en-US" w:eastAsia="zh-CN"/>
                    </w:rPr>
                    <w:t>50~256m</w:t>
                  </w:r>
                </w:p>
              </w:tc>
            </w:tr>
            <w:tr>
              <w:trPr>
                <w:trHeight w:val="454"/>
              </w:trPr>
              <w:tc>
                <w:tcPr>
                  <w:tcW w:w="124" w:type="dxa"/>
                  <w:vMerge/>
                  <w:vAlign w:val="center"/>
                </w:tcPr>
                <w:p/>
              </w:tc>
              <w:tc>
                <w:tcPr>
                  <w:tcW w:w="267" w:type="dxa"/>
                  <w:vAlign w:val="center"/>
                </w:tcPr>
                <w:p>
                  <w:pPr>
                    <w:jc w:val="center"/>
                    <w:rPr>
                      <w:rFonts w:hint="eastAsia"/>
                      <w:color w:val="auto"/>
                      <w:kern w:val="0"/>
                      <w:szCs w:val="21"/>
                      <w:u w:val="none"/>
                      <w:lang w:eastAsia="zh-CN"/>
                    </w:rPr>
                  </w:pPr>
                  <w:r>
                    <w:rPr>
                      <w:rFonts w:hint="eastAsia"/>
                      <w:bCs/>
                      <w:color w:val="auto"/>
                      <w:szCs w:val="21"/>
                      <w:u w:val="none"/>
                      <w:lang w:val="en-US" w:eastAsia="zh-CN"/>
                    </w:rPr>
                    <w:t>居民点3</w:t>
                  </w:r>
                </w:p>
              </w:tc>
              <w:tc>
                <w:tcPr>
                  <w:tcW w:w="219" w:type="dxa"/>
                  <w:vAlign w:val="center"/>
                </w:tcPr>
                <w:p>
                  <w:pPr>
                    <w:jc w:val="center"/>
                    <w:rPr>
                      <w:rFonts w:hint="eastAsia"/>
                      <w:color w:val="auto"/>
                      <w:szCs w:val="21"/>
                      <w:u w:val="none"/>
                      <w:lang w:val="en-US" w:eastAsia="zh-CN"/>
                    </w:rPr>
                  </w:pPr>
                  <w:r>
                    <w:rPr>
                      <w:rFonts w:hint="eastAsia"/>
                      <w:color w:val="auto"/>
                      <w:szCs w:val="21"/>
                      <w:u w:val="none"/>
                      <w:lang w:val="en-US" w:eastAsia="zh-CN"/>
                    </w:rPr>
                    <w:t>-32.91</w:t>
                  </w:r>
                </w:p>
              </w:tc>
              <w:tc>
                <w:tcPr>
                  <w:tcW w:w="238" w:type="dxa"/>
                  <w:vAlign w:val="center"/>
                </w:tcPr>
                <w:p>
                  <w:pPr>
                    <w:jc w:val="center"/>
                    <w:rPr>
                      <w:rFonts w:hint="eastAsia"/>
                      <w:color w:val="auto"/>
                      <w:szCs w:val="21"/>
                      <w:u w:val="none"/>
                      <w:lang w:val="en-US" w:eastAsia="zh-CN"/>
                    </w:rPr>
                  </w:pPr>
                  <w:r>
                    <w:rPr>
                      <w:rFonts w:hint="eastAsia"/>
                      <w:color w:val="auto"/>
                      <w:szCs w:val="21"/>
                      <w:u w:val="none"/>
                      <w:lang w:val="en-US" w:eastAsia="zh-CN"/>
                    </w:rPr>
                    <w:t>407.86</w:t>
                  </w:r>
                </w:p>
              </w:tc>
              <w:tc>
                <w:tcPr>
                  <w:tcW w:w="261" w:type="dxa"/>
                  <w:vAlign w:val="center"/>
                </w:tcPr>
                <w:p>
                  <w:pPr>
                    <w:jc w:val="center"/>
                    <w:rPr>
                      <w:rFonts w:eastAsia="宋体"/>
                      <w:color w:val="auto"/>
                      <w:szCs w:val="21"/>
                      <w:u w:val="none"/>
                      <w:lang w:val="en-US" w:eastAsia="zh-CN"/>
                    </w:rPr>
                  </w:pPr>
                  <w:r>
                    <w:rPr>
                      <w:rFonts w:hint="eastAsia"/>
                      <w:color w:val="auto"/>
                      <w:szCs w:val="21"/>
                      <w:u w:val="none"/>
                      <w:lang w:val="en-US" w:eastAsia="zh-CN"/>
                    </w:rPr>
                    <w:t>15户75人</w:t>
                  </w:r>
                </w:p>
              </w:tc>
              <w:tc>
                <w:tcPr>
                  <w:tcW w:w="338" w:type="dxa"/>
                  <w:vMerge/>
                  <w:vAlign w:val="center"/>
                </w:tcPr>
                <w:p/>
              </w:tc>
              <w:tc>
                <w:tcPr>
                  <w:tcW w:w="281" w:type="dxa"/>
                  <w:vAlign w:val="center"/>
                </w:tcPr>
                <w:p>
                  <w:pPr>
                    <w:jc w:val="center"/>
                    <w:rPr>
                      <w:rFonts w:hint="eastAsia"/>
                      <w:color w:val="0000FF"/>
                      <w:kern w:val="0"/>
                      <w:szCs w:val="21"/>
                      <w:u w:val="none"/>
                      <w:lang w:eastAsia="zh-CN"/>
                    </w:rPr>
                  </w:pPr>
                  <w:r>
                    <w:rPr>
                      <w:rFonts w:hint="eastAsia"/>
                      <w:bCs/>
                      <w:color w:val="auto"/>
                      <w:szCs w:val="21"/>
                      <w:u w:val="none"/>
                      <w:lang w:val="en-US" w:eastAsia="zh-CN"/>
                    </w:rPr>
                    <w:t>北</w:t>
                  </w:r>
                </w:p>
              </w:tc>
              <w:tc>
                <w:tcPr>
                  <w:tcW w:w="271" w:type="dxa"/>
                  <w:vAlign w:val="center"/>
                </w:tcPr>
                <w:p>
                  <w:pPr>
                    <w:jc w:val="center"/>
                    <w:rPr>
                      <w:color w:val="0000FF"/>
                      <w:kern w:val="0"/>
                      <w:szCs w:val="21"/>
                      <w:u w:val="none"/>
                      <w:lang w:val="en-US" w:eastAsia="zh-CN"/>
                    </w:rPr>
                  </w:pPr>
                  <w:r>
                    <w:rPr>
                      <w:rFonts w:hint="eastAsia"/>
                      <w:color w:val="auto"/>
                      <w:kern w:val="0"/>
                      <w:szCs w:val="21"/>
                      <w:u w:val="none"/>
                      <w:lang w:val="en-US" w:eastAsia="zh-CN"/>
                    </w:rPr>
                    <w:t>389~500</w:t>
                  </w:r>
                  <w:r>
                    <w:rPr>
                      <w:color w:val="auto"/>
                      <w:kern w:val="0"/>
                      <w:szCs w:val="21"/>
                      <w:u w:val="none"/>
                    </w:rPr>
                    <w:t>m</w:t>
                  </w:r>
                </w:p>
              </w:tc>
            </w:tr>
            <w:tr>
              <w:trPr>
                <w:trHeight w:val="468"/>
              </w:trPr>
              <w:tc>
                <w:tcPr>
                  <w:tcW w:w="124" w:type="dxa"/>
                  <w:vMerge/>
                  <w:vAlign w:val="center"/>
                </w:tcPr>
                <w:p/>
              </w:tc>
              <w:tc>
                <w:tcPr>
                  <w:tcW w:w="267" w:type="dxa"/>
                  <w:vAlign w:val="center"/>
                </w:tcPr>
                <w:p>
                  <w:pPr>
                    <w:jc w:val="center"/>
                    <w:rPr>
                      <w:rFonts w:hint="eastAsia"/>
                      <w:color w:val="auto"/>
                      <w:kern w:val="0"/>
                      <w:szCs w:val="21"/>
                      <w:u w:val="none"/>
                      <w:lang w:eastAsia="zh-CN"/>
                    </w:rPr>
                  </w:pPr>
                  <w:r>
                    <w:rPr>
                      <w:rFonts w:hint="eastAsia"/>
                      <w:bCs/>
                      <w:color w:val="auto"/>
                      <w:szCs w:val="21"/>
                      <w:u w:val="none"/>
                      <w:lang w:val="en-US" w:eastAsia="zh-CN"/>
                    </w:rPr>
                    <w:t>居民点4</w:t>
                  </w:r>
                </w:p>
              </w:tc>
              <w:tc>
                <w:tcPr>
                  <w:tcW w:w="219" w:type="dxa"/>
                  <w:vAlign w:val="center"/>
                </w:tcPr>
                <w:p>
                  <w:pPr>
                    <w:jc w:val="center"/>
                    <w:rPr>
                      <w:rFonts w:hint="eastAsia"/>
                      <w:color w:val="auto"/>
                      <w:szCs w:val="21"/>
                      <w:u w:val="none"/>
                      <w:lang w:val="en-US" w:eastAsia="zh-CN"/>
                    </w:rPr>
                  </w:pPr>
                  <w:r>
                    <w:rPr>
                      <w:rFonts w:hint="eastAsia"/>
                      <w:color w:val="auto"/>
                      <w:szCs w:val="21"/>
                      <w:u w:val="none"/>
                      <w:lang w:val="en-US" w:eastAsia="zh-CN"/>
                    </w:rPr>
                    <w:t>220.22</w:t>
                  </w:r>
                </w:p>
              </w:tc>
              <w:tc>
                <w:tcPr>
                  <w:tcW w:w="238" w:type="dxa"/>
                  <w:vAlign w:val="center"/>
                </w:tcPr>
                <w:p>
                  <w:pPr>
                    <w:jc w:val="center"/>
                    <w:rPr>
                      <w:rFonts w:hint="eastAsia"/>
                      <w:color w:val="auto"/>
                      <w:szCs w:val="21"/>
                      <w:u w:val="none"/>
                      <w:lang w:val="en-US" w:eastAsia="zh-CN"/>
                    </w:rPr>
                  </w:pPr>
                  <w:r>
                    <w:rPr>
                      <w:rFonts w:hint="eastAsia"/>
                      <w:color w:val="auto"/>
                      <w:szCs w:val="21"/>
                      <w:u w:val="none"/>
                      <w:lang w:val="en-US" w:eastAsia="zh-CN"/>
                    </w:rPr>
                    <w:t>-351.78</w:t>
                  </w:r>
                </w:p>
              </w:tc>
              <w:tc>
                <w:tcPr>
                  <w:tcW w:w="261" w:type="dxa"/>
                  <w:vAlign w:val="center"/>
                </w:tcPr>
                <w:p>
                  <w:pPr>
                    <w:jc w:val="center"/>
                    <w:rPr>
                      <w:color w:val="auto"/>
                      <w:szCs w:val="21"/>
                      <w:u w:val="none"/>
                    </w:rPr>
                  </w:pPr>
                  <w:r>
                    <w:rPr>
                      <w:rFonts w:hint="eastAsia"/>
                      <w:color w:val="auto"/>
                      <w:szCs w:val="21"/>
                      <w:u w:val="none"/>
                      <w:lang w:val="en-US" w:eastAsia="zh-CN"/>
                    </w:rPr>
                    <w:t>3</w:t>
                  </w:r>
                  <w:r>
                    <w:rPr>
                      <w:color w:val="auto"/>
                      <w:szCs w:val="21"/>
                      <w:u w:val="none"/>
                    </w:rPr>
                    <w:t>户</w:t>
                  </w:r>
                  <w:r>
                    <w:rPr>
                      <w:rFonts w:hint="eastAsia"/>
                      <w:color w:val="auto"/>
                      <w:kern w:val="0"/>
                      <w:szCs w:val="21"/>
                      <w:u w:val="none"/>
                      <w:lang w:val="en-US" w:eastAsia="zh-CN"/>
                    </w:rPr>
                    <w:t>15</w:t>
                  </w:r>
                  <w:r>
                    <w:rPr>
                      <w:color w:val="auto"/>
                      <w:kern w:val="0"/>
                      <w:szCs w:val="21"/>
                      <w:u w:val="none"/>
                    </w:rPr>
                    <w:t>人</w:t>
                  </w:r>
                </w:p>
              </w:tc>
              <w:tc>
                <w:tcPr>
                  <w:tcW w:w="338" w:type="dxa"/>
                  <w:vMerge/>
                  <w:vAlign w:val="center"/>
                </w:tcPr>
                <w:p/>
              </w:tc>
              <w:tc>
                <w:tcPr>
                  <w:tcW w:w="281" w:type="dxa"/>
                  <w:vAlign w:val="center"/>
                </w:tcPr>
                <w:p>
                  <w:pPr>
                    <w:jc w:val="center"/>
                    <w:rPr>
                      <w:rFonts w:hint="eastAsia"/>
                      <w:color w:val="auto"/>
                      <w:kern w:val="0"/>
                      <w:szCs w:val="21"/>
                      <w:u w:val="none"/>
                      <w:lang w:eastAsia="zh-CN"/>
                    </w:rPr>
                  </w:pPr>
                  <w:r>
                    <w:rPr>
                      <w:rFonts w:hint="eastAsia"/>
                      <w:color w:val="auto"/>
                      <w:kern w:val="0"/>
                      <w:szCs w:val="21"/>
                      <w:u w:val="none"/>
                      <w:lang w:eastAsia="zh-CN"/>
                    </w:rPr>
                    <w:t>东南</w:t>
                  </w:r>
                </w:p>
              </w:tc>
              <w:tc>
                <w:tcPr>
                  <w:tcW w:w="271" w:type="dxa"/>
                  <w:vAlign w:val="center"/>
                </w:tcPr>
                <w:p>
                  <w:pPr>
                    <w:jc w:val="center"/>
                    <w:rPr>
                      <w:color w:val="auto"/>
                      <w:kern w:val="0"/>
                      <w:szCs w:val="21"/>
                      <w:u w:val="none"/>
                      <w:lang w:val="en-US" w:eastAsia="zh-CN"/>
                    </w:rPr>
                  </w:pPr>
                  <w:r>
                    <w:rPr>
                      <w:rFonts w:hint="eastAsia"/>
                      <w:color w:val="auto"/>
                      <w:kern w:val="0"/>
                      <w:szCs w:val="21"/>
                      <w:u w:val="none"/>
                      <w:lang w:val="en-US" w:eastAsia="zh-CN"/>
                    </w:rPr>
                    <w:t>368~423</w:t>
                  </w:r>
                  <w:r>
                    <w:rPr>
                      <w:color w:val="auto"/>
                      <w:kern w:val="0"/>
                      <w:szCs w:val="21"/>
                      <w:u w:val="none"/>
                    </w:rPr>
                    <w:t>m</w:t>
                  </w:r>
                </w:p>
              </w:tc>
            </w:tr>
            <w:tr>
              <w:trPr>
                <w:trHeight w:val="454"/>
              </w:trPr>
              <w:tc>
                <w:tcPr>
                  <w:tcW w:w="124" w:type="dxa"/>
                  <w:vAlign w:val="center"/>
                </w:tcPr>
                <w:p>
                  <w:pPr>
                    <w:jc w:val="center"/>
                    <w:rPr>
                      <w:bCs/>
                      <w:color w:val="auto"/>
                      <w:szCs w:val="21"/>
                      <w:u w:val="none"/>
                    </w:rPr>
                  </w:pPr>
                  <w:r>
                    <w:rPr>
                      <w:bCs/>
                      <w:color w:val="auto"/>
                      <w:szCs w:val="21"/>
                      <w:u w:val="none"/>
                    </w:rPr>
                    <w:t>水环境</w:t>
                  </w:r>
                </w:p>
              </w:tc>
              <w:tc>
                <w:tcPr>
                  <w:tcW w:w="267" w:type="dxa"/>
                  <w:vAlign w:val="center"/>
                </w:tcPr>
                <w:p>
                  <w:pPr>
                    <w:widowControl/>
                    <w:jc w:val="center"/>
                    <w:rPr>
                      <w:rFonts w:eastAsia="宋体" w:hint="eastAsia"/>
                      <w:color w:val="auto"/>
                      <w:kern w:val="13"/>
                      <w:szCs w:val="21"/>
                      <w:u w:val="none"/>
                      <w:lang w:eastAsia="zh-CN"/>
                    </w:rPr>
                  </w:pPr>
                  <w:r>
                    <w:rPr>
                      <w:rFonts w:hint="eastAsia"/>
                      <w:color w:val="auto"/>
                      <w:kern w:val="0"/>
                      <w:szCs w:val="21"/>
                      <w:u w:val="none"/>
                      <w:lang w:val="en-US" w:eastAsia="zh-CN"/>
                    </w:rPr>
                    <w:t>/</w:t>
                  </w:r>
                </w:p>
              </w:tc>
              <w:tc>
                <w:tcPr>
                  <w:tcW w:w="219" w:type="dxa"/>
                  <w:vAlign w:val="center"/>
                </w:tcPr>
                <w:p>
                  <w:pPr>
                    <w:jc w:val="center"/>
                    <w:rPr>
                      <w:bCs/>
                      <w:color w:val="auto"/>
                      <w:szCs w:val="21"/>
                      <w:u w:val="none"/>
                      <w:lang w:val="en-US" w:eastAsia="zh-CN"/>
                    </w:rPr>
                  </w:pPr>
                  <w:r>
                    <w:rPr>
                      <w:rFonts w:hint="eastAsia"/>
                      <w:bCs/>
                      <w:color w:val="auto"/>
                      <w:szCs w:val="21"/>
                      <w:u w:val="none"/>
                      <w:lang w:val="en-US" w:eastAsia="zh-CN"/>
                    </w:rPr>
                    <w:t>/</w:t>
                  </w:r>
                </w:p>
              </w:tc>
              <w:tc>
                <w:tcPr>
                  <w:tcW w:w="238" w:type="dxa"/>
                  <w:vAlign w:val="center"/>
                </w:tcPr>
                <w:p>
                  <w:pPr>
                    <w:jc w:val="center"/>
                    <w:rPr>
                      <w:bCs/>
                      <w:color w:val="auto"/>
                      <w:szCs w:val="21"/>
                      <w:u w:val="none"/>
                      <w:lang w:val="en-US" w:eastAsia="zh-CN"/>
                    </w:rPr>
                  </w:pPr>
                  <w:r>
                    <w:rPr>
                      <w:rFonts w:hint="eastAsia"/>
                      <w:bCs/>
                      <w:color w:val="auto"/>
                      <w:szCs w:val="21"/>
                      <w:u w:val="none"/>
                      <w:lang w:val="en-US" w:eastAsia="zh-CN"/>
                    </w:rPr>
                    <w:t>/</w:t>
                  </w:r>
                </w:p>
              </w:tc>
              <w:tc>
                <w:tcPr>
                  <w:tcW w:w="261" w:type="dxa"/>
                  <w:vAlign w:val="center"/>
                </w:tcPr>
                <w:p>
                  <w:pPr>
                    <w:jc w:val="center"/>
                    <w:rPr>
                      <w:rFonts w:eastAsia="宋体" w:hint="eastAsia"/>
                      <w:color w:val="auto"/>
                      <w:kern w:val="13"/>
                      <w:szCs w:val="21"/>
                      <w:u w:val="none"/>
                      <w:lang w:eastAsia="zh-CN"/>
                    </w:rPr>
                  </w:pPr>
                  <w:r>
                    <w:rPr>
                      <w:rFonts w:hint="eastAsia"/>
                      <w:bCs/>
                      <w:color w:val="auto"/>
                      <w:szCs w:val="21"/>
                      <w:u w:val="none"/>
                      <w:lang w:val="en-US" w:eastAsia="zh-CN"/>
                    </w:rPr>
                    <w:t>/</w:t>
                  </w:r>
                </w:p>
              </w:tc>
              <w:tc>
                <w:tcPr>
                  <w:tcW w:w="338" w:type="dxa"/>
                  <w:vAlign w:val="center"/>
                </w:tcPr>
                <w:p>
                  <w:pPr>
                    <w:widowControl/>
                    <w:jc w:val="center"/>
                    <w:rPr>
                      <w:rFonts w:eastAsia="宋体" w:hint="eastAsia"/>
                      <w:bCs/>
                      <w:color w:val="auto"/>
                      <w:szCs w:val="21"/>
                      <w:u w:val="none"/>
                      <w:lang w:eastAsia="zh-CN"/>
                    </w:rPr>
                  </w:pPr>
                  <w:r>
                    <w:rPr>
                      <w:rFonts w:hint="eastAsia"/>
                      <w:color w:val="auto"/>
                      <w:kern w:val="0"/>
                      <w:szCs w:val="21"/>
                      <w:u w:val="none"/>
                      <w:lang w:val="en-US" w:eastAsia="zh-CN"/>
                    </w:rPr>
                    <w:t>/</w:t>
                  </w:r>
                </w:p>
              </w:tc>
              <w:tc>
                <w:tcPr>
                  <w:tcW w:w="281" w:type="dxa"/>
                  <w:vAlign w:val="center"/>
                </w:tcPr>
                <w:p>
                  <w:pPr>
                    <w:jc w:val="center"/>
                    <w:rPr>
                      <w:color w:val="auto"/>
                      <w:szCs w:val="21"/>
                      <w:u w:val="none"/>
                    </w:rPr>
                  </w:pPr>
                  <w:r>
                    <w:rPr>
                      <w:rFonts w:hint="eastAsia"/>
                      <w:bCs/>
                      <w:color w:val="auto"/>
                      <w:szCs w:val="21"/>
                      <w:u w:val="none"/>
                      <w:lang w:val="en-US" w:eastAsia="zh-CN"/>
                    </w:rPr>
                    <w:t>/</w:t>
                  </w:r>
                </w:p>
              </w:tc>
              <w:tc>
                <w:tcPr>
                  <w:tcW w:w="271" w:type="dxa"/>
                  <w:vAlign w:val="center"/>
                </w:tcPr>
                <w:p>
                  <w:pPr>
                    <w:widowControl/>
                    <w:jc w:val="center"/>
                    <w:rPr>
                      <w:rFonts w:eastAsia="宋体"/>
                      <w:color w:val="auto"/>
                      <w:kern w:val="0"/>
                      <w:szCs w:val="21"/>
                      <w:u w:val="none"/>
                      <w:lang w:val="en-US" w:eastAsia="zh-CN"/>
                    </w:rPr>
                  </w:pPr>
                  <w:r>
                    <w:rPr>
                      <w:rFonts w:hint="eastAsia"/>
                      <w:color w:val="auto"/>
                      <w:kern w:val="0"/>
                      <w:szCs w:val="21"/>
                      <w:u w:val="none"/>
                      <w:lang w:val="en-US" w:eastAsia="zh-CN"/>
                    </w:rPr>
                    <w:t>/</w:t>
                  </w:r>
                </w:p>
              </w:tc>
            </w:tr>
            <w:tr>
              <w:trPr>
                <w:trHeight w:val="454"/>
              </w:trPr>
              <w:tc>
                <w:tcPr>
                  <w:tcW w:w="124" w:type="dxa"/>
                  <w:vAlign w:val="center"/>
                </w:tcPr>
                <w:p>
                  <w:pPr>
                    <w:jc w:val="center"/>
                    <w:rPr>
                      <w:bCs/>
                      <w:color w:val="auto"/>
                      <w:szCs w:val="21"/>
                      <w:u w:val="none"/>
                    </w:rPr>
                  </w:pPr>
                  <w:r>
                    <w:rPr>
                      <w:bCs/>
                      <w:color w:val="auto"/>
                      <w:szCs w:val="21"/>
                      <w:u w:val="none"/>
                    </w:rPr>
                    <w:t>声环境</w:t>
                  </w:r>
                </w:p>
              </w:tc>
              <w:tc>
                <w:tcPr>
                  <w:tcW w:w="267" w:type="dxa"/>
                  <w:shd w:val="clear" w:color="auto" w:fill="auto"/>
                  <w:vAlign w:val="center"/>
                </w:tcPr>
                <w:p>
                  <w:pPr>
                    <w:jc w:val="center"/>
                    <w:rPr>
                      <w:rFonts w:ascii="Times New Roman" w:eastAsia="宋体" w:cs="Times New Roman" w:hAnsi="Times New Roman" w:hint="eastAsia"/>
                      <w:bCs/>
                      <w:color w:val="auto"/>
                      <w:kern w:val="2"/>
                      <w:sz w:val="21"/>
                      <w:szCs w:val="21"/>
                      <w:u w:val="none"/>
                      <w:lang w:val="en-US" w:eastAsia="zh-CN" w:bidi="ar-SA"/>
                    </w:rPr>
                  </w:pPr>
                  <w:r>
                    <w:rPr>
                      <w:rFonts w:hint="eastAsia"/>
                      <w:bCs/>
                      <w:color w:val="auto"/>
                      <w:szCs w:val="21"/>
                      <w:u w:val="none"/>
                      <w:lang w:val="en-US" w:eastAsia="zh-CN"/>
                    </w:rPr>
                    <w:t>声环境敏感点1</w:t>
                  </w:r>
                </w:p>
              </w:tc>
              <w:tc>
                <w:tcPr>
                  <w:tcW w:w="219" w:type="dxa"/>
                  <w:shd w:val="clear" w:color="auto" w:fill="auto"/>
                  <w:vAlign w:val="center"/>
                </w:tcPr>
                <w:p>
                  <w:pPr>
                    <w:pageBreakBefore w:val="0"/>
                    <w:widowControl w:val="0"/>
                    <w:kinsoku/>
                    <w:overflowPunct/>
                    <w:bidi w:val="0"/>
                    <w:jc w:val="center"/>
                    <w:rPr>
                      <w:rFonts w:hint="eastAsia"/>
                      <w:color w:val="auto"/>
                      <w:szCs w:val="21"/>
                      <w:u w:val="none"/>
                      <w:lang w:val="en-US" w:eastAsia="zh-CN"/>
                    </w:rPr>
                  </w:pPr>
                  <w:r>
                    <w:rPr>
                      <w:rFonts w:ascii="Times New Roman" w:eastAsia="宋体" w:cs="Times New Roman" w:hAnsi="Times New Roman" w:hint="eastAsia"/>
                      <w:color w:val="auto"/>
                      <w:kern w:val="0"/>
                      <w:sz w:val="21"/>
                      <w:szCs w:val="21"/>
                      <w:lang w:val="en-US" w:eastAsia="zh-CN"/>
                    </w:rPr>
                    <w:t>-51.9</w:t>
                  </w:r>
                </w:p>
              </w:tc>
              <w:tc>
                <w:tcPr>
                  <w:tcW w:w="238" w:type="dxa"/>
                  <w:shd w:val="clear" w:color="auto" w:fill="auto"/>
                  <w:vAlign w:val="center"/>
                </w:tcPr>
                <w:p>
                  <w:pPr>
                    <w:pageBreakBefore w:val="0"/>
                    <w:widowControl w:val="0"/>
                    <w:kinsoku/>
                    <w:overflowPunct/>
                    <w:bidi w:val="0"/>
                    <w:jc w:val="center"/>
                    <w:rPr>
                      <w:rFonts w:hint="eastAsia"/>
                      <w:color w:val="auto"/>
                      <w:szCs w:val="21"/>
                      <w:u w:val="none"/>
                      <w:lang w:val="en-US" w:eastAsia="zh-CN"/>
                    </w:rPr>
                  </w:pPr>
                  <w:r>
                    <w:rPr>
                      <w:rFonts w:ascii="Times New Roman" w:eastAsia="宋体" w:cs="Times New Roman" w:hAnsi="Times New Roman" w:hint="eastAsia"/>
                      <w:color w:val="auto"/>
                      <w:kern w:val="0"/>
                      <w:sz w:val="21"/>
                      <w:szCs w:val="21"/>
                      <w:lang w:val="en-US" w:eastAsia="zh-CN"/>
                    </w:rPr>
                    <w:t>65.8</w:t>
                  </w:r>
                </w:p>
              </w:tc>
              <w:tc>
                <w:tcPr>
                  <w:tcW w:w="261" w:type="dxa"/>
                  <w:shd w:val="clear" w:color="auto" w:fill="auto"/>
                  <w:vAlign w:val="center"/>
                </w:tcPr>
                <w:p>
                  <w:pPr>
                    <w:jc w:val="center"/>
                    <w:rPr>
                      <w:rFonts w:ascii="Times New Roman" w:eastAsia="宋体" w:cs="Times New Roman" w:hAnsi="Times New Roman" w:hint="eastAsia"/>
                      <w:bCs/>
                      <w:color w:val="auto"/>
                      <w:kern w:val="2"/>
                      <w:sz w:val="21"/>
                      <w:szCs w:val="21"/>
                      <w:u w:val="none"/>
                      <w:lang w:val="en-US" w:eastAsia="zh-CN" w:bidi="ar-SA"/>
                    </w:rPr>
                  </w:pPr>
                  <w:r>
                    <w:rPr>
                      <w:rFonts w:hint="eastAsia"/>
                      <w:color w:val="auto"/>
                      <w:szCs w:val="21"/>
                      <w:u w:val="none"/>
                      <w:lang w:val="en-US" w:eastAsia="zh-CN"/>
                    </w:rPr>
                    <w:t>1</w:t>
                  </w:r>
                  <w:r>
                    <w:rPr>
                      <w:color w:val="auto"/>
                      <w:szCs w:val="21"/>
                      <w:u w:val="none"/>
                    </w:rPr>
                    <w:t>户</w:t>
                  </w:r>
                  <w:r>
                    <w:rPr>
                      <w:rFonts w:hint="eastAsia"/>
                      <w:color w:val="auto"/>
                      <w:kern w:val="0"/>
                      <w:szCs w:val="21"/>
                      <w:u w:val="none"/>
                      <w:lang w:val="en-US" w:eastAsia="zh-CN"/>
                    </w:rPr>
                    <w:t>5</w:t>
                  </w:r>
                  <w:r>
                    <w:rPr>
                      <w:color w:val="auto"/>
                      <w:kern w:val="0"/>
                      <w:szCs w:val="21"/>
                      <w:u w:val="none"/>
                    </w:rPr>
                    <w:t>人</w:t>
                  </w:r>
                </w:p>
              </w:tc>
              <w:tc>
                <w:tcPr>
                  <w:tcW w:w="338" w:type="dxa"/>
                  <w:vAlign w:val="center"/>
                </w:tcPr>
                <w:p>
                  <w:pPr>
                    <w:jc w:val="center"/>
                    <w:rPr>
                      <w:rFonts w:eastAsia="宋体" w:hint="eastAsia"/>
                      <w:color w:val="0000FF"/>
                      <w:kern w:val="0"/>
                      <w:szCs w:val="21"/>
                      <w:u w:val="none"/>
                      <w:lang w:val="en-US" w:eastAsia="zh-CN"/>
                    </w:rPr>
                  </w:pPr>
                </w:p>
              </w:tc>
              <w:tc>
                <w:tcPr>
                  <w:tcW w:w="281" w:type="dxa"/>
                  <w:vAlign w:val="center"/>
                </w:tcPr>
                <w:p>
                  <w:pPr>
                    <w:jc w:val="center"/>
                    <w:rPr>
                      <w:rFonts w:eastAsia="宋体" w:hint="eastAsia"/>
                      <w:color w:val="0000FF"/>
                      <w:kern w:val="0"/>
                      <w:szCs w:val="21"/>
                      <w:u w:val="none"/>
                      <w:lang w:val="en-US" w:eastAsia="zh-CN"/>
                    </w:rPr>
                  </w:pPr>
                  <w:r>
                    <w:rPr>
                      <w:rFonts w:hint="eastAsia"/>
                      <w:bCs/>
                      <w:color w:val="auto"/>
                      <w:szCs w:val="21"/>
                      <w:u w:val="none"/>
                      <w:lang w:val="en-US" w:eastAsia="zh-CN"/>
                    </w:rPr>
                    <w:t>北</w:t>
                  </w:r>
                </w:p>
              </w:tc>
              <w:tc>
                <w:tcPr>
                  <w:tcW w:w="271" w:type="dxa"/>
                  <w:vAlign w:val="center"/>
                </w:tcPr>
                <w:p>
                  <w:pPr>
                    <w:jc w:val="center"/>
                    <w:rPr>
                      <w:rFonts w:eastAsia="宋体" w:hint="eastAsia"/>
                      <w:color w:val="0000FF"/>
                      <w:kern w:val="0"/>
                      <w:szCs w:val="21"/>
                      <w:u w:val="none"/>
                      <w:lang w:val="en-US" w:eastAsia="zh-CN"/>
                    </w:rPr>
                  </w:pPr>
                  <w:r>
                    <w:rPr>
                      <w:rFonts w:hint="eastAsia"/>
                      <w:color w:val="auto"/>
                      <w:kern w:val="0"/>
                      <w:szCs w:val="21"/>
                      <w:u w:val="none"/>
                      <w:lang w:val="en-US" w:eastAsia="zh-CN"/>
                    </w:rPr>
                    <w:t>50m</w:t>
                  </w:r>
                </w:p>
              </w:tc>
            </w:tr>
            <w:tr>
              <w:trPr>
                <w:trHeight w:val="454"/>
              </w:trPr>
              <w:tc>
                <w:tcPr>
                  <w:tcW w:w="124" w:type="dxa"/>
                  <w:vAlign w:val="center"/>
                </w:tcPr>
                <w:p>
                  <w:pPr>
                    <w:jc w:val="center"/>
                    <w:rPr>
                      <w:bCs/>
                      <w:color w:val="auto"/>
                      <w:szCs w:val="21"/>
                      <w:u w:val="none"/>
                    </w:rPr>
                  </w:pPr>
                  <w:r>
                    <w:rPr>
                      <w:bCs/>
                      <w:color w:val="auto"/>
                      <w:szCs w:val="21"/>
                      <w:u w:val="none"/>
                    </w:rPr>
                    <w:t>地下水</w:t>
                  </w:r>
                </w:p>
              </w:tc>
              <w:tc>
                <w:tcPr>
                  <w:tcW w:w="1875" w:type="dxa"/>
                  <w:gridSpan w:val="7"/>
                  <w:vAlign w:val="center"/>
                </w:tcPr>
                <w:p>
                  <w:pPr>
                    <w:jc w:val="center"/>
                    <w:rPr>
                      <w:color w:val="auto"/>
                      <w:kern w:val="0"/>
                      <w:szCs w:val="21"/>
                      <w:u w:val="none"/>
                    </w:rPr>
                  </w:pPr>
                  <w:r>
                    <w:rPr>
                      <w:color w:val="auto"/>
                      <w:kern w:val="0"/>
                      <w:szCs w:val="21"/>
                      <w:u w:val="none"/>
                    </w:rPr>
                    <w:t>500m范围内无地下水集中式</w:t>
                  </w:r>
                  <w:r>
                    <w:rPr>
                      <w:rFonts w:hint="eastAsia"/>
                      <w:color w:val="auto"/>
                      <w:kern w:val="0"/>
                      <w:szCs w:val="21"/>
                      <w:u w:val="none"/>
                      <w:lang w:eastAsia="zh-CN"/>
                    </w:rPr>
                    <w:t>饮用水</w:t>
                  </w:r>
                  <w:r>
                    <w:rPr>
                      <w:color w:val="auto"/>
                      <w:kern w:val="0"/>
                      <w:szCs w:val="21"/>
                      <w:u w:val="none"/>
                    </w:rPr>
                    <w:t>水源和热水、矿泉水、温泉等特殊地下水资源</w:t>
                  </w:r>
                </w:p>
              </w:tc>
            </w:tr>
            <w:tr>
              <w:trPr>
                <w:trHeight w:val="454"/>
              </w:trPr>
              <w:tc>
                <w:tcPr>
                  <w:tcW w:w="124" w:type="dxa"/>
                  <w:vAlign w:val="center"/>
                </w:tcPr>
                <w:p>
                  <w:pPr>
                    <w:jc w:val="center"/>
                    <w:rPr>
                      <w:rFonts w:eastAsia="宋体" w:hint="eastAsia"/>
                      <w:bCs/>
                      <w:color w:val="auto"/>
                      <w:szCs w:val="21"/>
                      <w:u w:val="none"/>
                      <w:lang w:eastAsia="zh-CN"/>
                    </w:rPr>
                  </w:pPr>
                  <w:r>
                    <w:rPr>
                      <w:rFonts w:hint="eastAsia"/>
                      <w:bCs/>
                      <w:color w:val="auto"/>
                      <w:szCs w:val="21"/>
                      <w:u w:val="none"/>
                      <w:lang w:eastAsia="zh-CN"/>
                    </w:rPr>
                    <w:t>生态环境</w:t>
                  </w:r>
                </w:p>
              </w:tc>
              <w:tc>
                <w:tcPr>
                  <w:tcW w:w="1875" w:type="dxa"/>
                  <w:gridSpan w:val="7"/>
                  <w:vAlign w:val="center"/>
                </w:tcPr>
                <w:p>
                  <w:pPr>
                    <w:jc w:val="center"/>
                    <w:rPr>
                      <w:rFonts w:eastAsia="宋体" w:hint="eastAsia"/>
                      <w:color w:val="auto"/>
                      <w:kern w:val="0"/>
                      <w:szCs w:val="21"/>
                      <w:u w:val="none"/>
                      <w:lang w:eastAsia="zh-CN"/>
                    </w:rPr>
                  </w:pPr>
                  <w:r>
                    <w:rPr>
                      <w:rFonts w:hint="eastAsia"/>
                      <w:color w:val="auto"/>
                      <w:kern w:val="0"/>
                      <w:szCs w:val="21"/>
                      <w:u w:val="none"/>
                      <w:lang w:eastAsia="zh-CN"/>
                    </w:rPr>
                    <w:t>项目新增用地范围内无生态环境保护目标</w:t>
                  </w:r>
                </w:p>
              </w:tc>
            </w:tr>
          </w:tbl>
          <w:p>
            <w:pPr>
              <w:pStyle w:val="36"/>
              <w:rPr>
                <w:rFonts w:ascii="Times New Roman" w:cs="Times New Roman" w:hAnsi="Times New Roman"/>
                <w:color w:val="0000FF"/>
              </w:rPr>
            </w:pPr>
          </w:p>
        </w:tc>
      </w:tr>
      <w:tr>
        <w:trPr>
          <w:trHeight w:val="700"/>
        </w:trPr>
        <w:tc>
          <w:tcPr>
            <w:tcW w:w="800"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0000FF"/>
                <w:kern w:val="0"/>
                <w:szCs w:val="21"/>
              </w:rPr>
            </w:pPr>
            <w:r>
              <w:rPr>
                <w:color w:val="auto"/>
                <w:kern w:val="0"/>
                <w:szCs w:val="21"/>
              </w:rPr>
              <w:t>准</w:t>
            </w:r>
          </w:p>
        </w:tc>
        <w:tc>
          <w:tcPr>
            <w:tcW w:w="8190" w:type="dxa"/>
            <w:vAlign w:val="center"/>
          </w:tcPr>
          <w:p>
            <w:pPr>
              <w:spacing w:beforeLines="50" w:before="120" w:line="360" w:lineRule="auto"/>
              <w:ind w:firstLineChars="150" w:firstLine="360"/>
              <w:rPr>
                <w:b/>
                <w:color w:val="auto"/>
                <w:sz w:val="24"/>
                <w:u w:val="none"/>
              </w:rPr>
            </w:pPr>
            <w:r>
              <w:rPr>
                <w:b/>
                <w:color w:val="auto"/>
                <w:sz w:val="24"/>
                <w:u w:val="none"/>
              </w:rPr>
              <w:t>1、废水排放标准</w:t>
            </w:r>
          </w:p>
          <w:p>
            <w:pPr>
              <w:spacing w:beforeLines="50" w:before="120" w:line="360" w:lineRule="auto"/>
              <w:ind w:firstLineChars="150" w:firstLine="360"/>
              <w:rPr>
                <w:rFonts w:ascii="Times New Roman" w:cs="Times New Roman" w:hAnsi="Times New Roman"/>
                <w:color w:val="auto"/>
                <w:sz w:val="24"/>
                <w:u w:val="single"/>
                <w:lang w:val="en-GB" w:eastAsia="zh-CN"/>
              </w:rPr>
            </w:pPr>
            <w:r>
              <w:rPr>
                <w:rFonts w:ascii="Times New Roman" w:cs="Times New Roman" w:hAnsi="Times New Roman" w:hint="eastAsia"/>
                <w:color w:val="auto"/>
                <w:sz w:val="24"/>
                <w:u w:val="single"/>
                <w:lang w:eastAsia="zh-CN"/>
              </w:rPr>
              <w:t>项目</w:t>
            </w:r>
            <w:r>
              <w:rPr>
                <w:rFonts w:cs="Times New Roman" w:hint="eastAsia"/>
                <w:color w:val="auto"/>
                <w:sz w:val="24"/>
                <w:u w:val="single"/>
                <w:lang w:eastAsia="zh-CN"/>
              </w:rPr>
              <w:t>生活污水经化粪池处理后</w:t>
            </w:r>
            <w:r>
              <w:rPr>
                <w:rFonts w:cs="Times New Roman" w:hint="eastAsia"/>
                <w:color w:val="auto"/>
                <w:sz w:val="24"/>
                <w:u w:val="single"/>
                <w:lang w:val="en-US" w:eastAsia="zh-CN"/>
              </w:rPr>
              <w:t>与经过隔油、气浮、水解酸化处理后的生产废水通过同一排口（DW001）进入园区管网执行《食品加工制造业水污染物排放标准》（GB46817—2025）及桃源县第二污水处理厂进水水质要求</w:t>
            </w:r>
            <w:r>
              <w:rPr>
                <w:rFonts w:ascii="Times New Roman" w:cs="Times New Roman" w:hAnsi="Times New Roman"/>
                <w:color w:val="auto"/>
                <w:sz w:val="24"/>
                <w:u w:val="single"/>
                <w:lang w:val="en-GB" w:eastAsia="zh-CN"/>
              </w:rPr>
              <w:t>。</w:t>
            </w:r>
          </w:p>
          <w:p>
            <w:pPr>
              <w:jc w:val="center"/>
              <w:rPr>
                <w:rFonts w:ascii="Times New Roman" w:hAnsi="Times New Roman"/>
                <w:b/>
                <w:bCs/>
                <w:color w:val="auto"/>
                <w:u w:val="single"/>
              </w:rPr>
            </w:pPr>
            <w:r>
              <w:rPr>
                <w:rFonts w:ascii="Times New Roman" w:hAnsi="Times New Roman"/>
                <w:b/>
                <w:bCs/>
                <w:color w:val="auto"/>
                <w:u w:val="single"/>
              </w:rPr>
              <w:t>表3-</w:t>
            </w:r>
            <w:r>
              <w:rPr>
                <w:rFonts w:hint="eastAsia"/>
                <w:b/>
                <w:bCs/>
                <w:color w:val="auto"/>
                <w:u w:val="single"/>
                <w:lang w:val="en-US" w:eastAsia="zh-CN"/>
              </w:rPr>
              <w:t>5</w:t>
            </w:r>
            <w:r>
              <w:rPr>
                <w:rFonts w:ascii="Times New Roman" w:hAnsi="Times New Roman"/>
                <w:b/>
                <w:bCs/>
                <w:color w:val="auto"/>
                <w:u w:val="single"/>
              </w:rPr>
              <w:t xml:space="preserve">  废水排放标准   单位：mg/L（pH除外）</w:t>
            </w:r>
          </w:p>
          <w:tbl>
            <w:tblPr>
              <w:jc w:val="left"/>
              <w:tblInd w:w="0" w:type="dxa"/>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675"/>
              <w:gridCol w:w="1156"/>
              <w:gridCol w:w="1156"/>
              <w:gridCol w:w="1156"/>
              <w:gridCol w:w="1156"/>
              <w:gridCol w:w="904"/>
              <w:gridCol w:w="1156"/>
            </w:tblGrid>
            <w:tr>
              <w:trPr>
                <w:trHeight w:val="454"/>
              </w:trPr>
              <w:tc>
                <w:tcPr>
                  <w:tcW w:w="400" w:type="dxa"/>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污染因子</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pH</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COD</w:t>
                  </w:r>
                  <w:r>
                    <w:rPr>
                      <w:rFonts w:ascii="Times New Roman" w:eastAsia="宋体" w:cs="Times New Roman" w:hAnsi="Times New Roman" w:hint="eastAsia"/>
                      <w:color w:val="auto"/>
                      <w:szCs w:val="21"/>
                      <w:vertAlign w:val="subscript"/>
                      <w:lang w:val="en-US" w:eastAsia="zh-CN"/>
                    </w:rPr>
                    <w:t>Cr</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BOD</w:t>
                  </w:r>
                  <w:r>
                    <w:rPr>
                      <w:rFonts w:ascii="Times New Roman" w:eastAsia="宋体" w:cs="Times New Roman" w:hAnsi="Times New Roman" w:hint="eastAsia"/>
                      <w:color w:val="auto"/>
                      <w:szCs w:val="21"/>
                      <w:vertAlign w:val="subscript"/>
                      <w:lang w:val="en-US" w:eastAsia="zh-CN"/>
                    </w:rPr>
                    <w:t>5</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SS</w:t>
                  </w:r>
                </w:p>
              </w:tc>
              <w:tc>
                <w:tcPr>
                  <w:tcW w:w="21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氨氮</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动植物油</w:t>
                  </w:r>
                </w:p>
              </w:tc>
            </w:tr>
            <w:tr>
              <w:trPr>
                <w:trHeight w:val="454"/>
              </w:trPr>
              <w:tc>
                <w:tcPr>
                  <w:tcW w:w="400" w:type="dxa"/>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GB46817—2025标准限值</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6~9</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500</w:t>
                  </w:r>
                </w:p>
              </w:tc>
              <w:tc>
                <w:tcPr>
                  <w:tcW w:w="27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350</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400</w:t>
                  </w:r>
                </w:p>
              </w:tc>
              <w:tc>
                <w:tcPr>
                  <w:tcW w:w="21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45</w:t>
                  </w:r>
                </w:p>
              </w:tc>
              <w:tc>
                <w:tcPr>
                  <w:tcW w:w="27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100</w:t>
                  </w:r>
                </w:p>
              </w:tc>
            </w:tr>
            <w:tr>
              <w:trPr>
                <w:trHeight w:val="454"/>
              </w:trPr>
              <w:tc>
                <w:tcPr>
                  <w:tcW w:w="400" w:type="dxa"/>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桃源县第二污水处理厂进水水质要求</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6~9</w:t>
                  </w:r>
                </w:p>
              </w:tc>
              <w:tc>
                <w:tcPr>
                  <w:tcW w:w="27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320</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cs="Times New Roman" w:hint="eastAsia"/>
                      <w:color w:val="auto"/>
                      <w:szCs w:val="21"/>
                      <w:lang w:val="en-US" w:eastAsia="zh-CN"/>
                    </w:rPr>
                    <w:t>155</w:t>
                  </w:r>
                </w:p>
              </w:tc>
              <w:tc>
                <w:tcPr>
                  <w:tcW w:w="27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265</w:t>
                  </w:r>
                </w:p>
              </w:tc>
              <w:tc>
                <w:tcPr>
                  <w:tcW w:w="21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30</w:t>
                  </w:r>
                </w:p>
              </w:tc>
              <w:tc>
                <w:tcPr>
                  <w:tcW w:w="276" w:type="dxa"/>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w:t>
                  </w:r>
                </w:p>
              </w:tc>
            </w:tr>
            <w:tr>
              <w:trPr>
                <w:trHeight w:val="454"/>
              </w:trPr>
              <w:tc>
                <w:tcPr>
                  <w:tcW w:w="400" w:type="dxa"/>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本项目执行标准值</w:t>
                  </w:r>
                </w:p>
              </w:tc>
              <w:tc>
                <w:tcPr>
                  <w:tcW w:w="276" w:type="dxa"/>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6~9</w:t>
                  </w:r>
                </w:p>
              </w:tc>
              <w:tc>
                <w:tcPr>
                  <w:tcW w:w="276" w:type="dxa"/>
                  <w:vAlign w:val="center"/>
                </w:tcPr>
                <w:p>
                  <w:pPr>
                    <w:snapToGrid w:val="0"/>
                    <w:jc w:val="center"/>
                    <w:rPr>
                      <w:rFonts w:cs="Times New Roman" w:hint="eastAsia"/>
                      <w:color w:val="auto"/>
                      <w:szCs w:val="21"/>
                      <w:lang w:val="en-US" w:eastAsia="zh-CN"/>
                    </w:rPr>
                  </w:pPr>
                  <w:r>
                    <w:rPr>
                      <w:rFonts w:cs="Times New Roman" w:hint="eastAsia"/>
                      <w:color w:val="auto"/>
                      <w:szCs w:val="21"/>
                      <w:lang w:val="en-US" w:eastAsia="zh-CN"/>
                    </w:rPr>
                    <w:t>320</w:t>
                  </w:r>
                </w:p>
              </w:tc>
              <w:tc>
                <w:tcPr>
                  <w:tcW w:w="276" w:type="dxa"/>
                  <w:vAlign w:val="center"/>
                </w:tcPr>
                <w:p>
                  <w:pPr>
                    <w:snapToGrid w:val="0"/>
                    <w:jc w:val="center"/>
                    <w:rPr>
                      <w:rFonts w:cs="Times New Roman" w:hint="eastAsia"/>
                      <w:color w:val="auto"/>
                      <w:szCs w:val="21"/>
                      <w:lang w:val="en-US" w:eastAsia="zh-CN"/>
                    </w:rPr>
                  </w:pPr>
                  <w:r>
                    <w:rPr>
                      <w:rFonts w:cs="Times New Roman" w:hint="eastAsia"/>
                      <w:color w:val="auto"/>
                      <w:szCs w:val="21"/>
                      <w:lang w:val="en-US" w:eastAsia="zh-CN"/>
                    </w:rPr>
                    <w:t>155</w:t>
                  </w:r>
                </w:p>
              </w:tc>
              <w:tc>
                <w:tcPr>
                  <w:tcW w:w="276" w:type="dxa"/>
                  <w:shd w:val="clear" w:color="auto" w:fill="auto"/>
                  <w:vAlign w:val="center"/>
                </w:tcPr>
                <w:p>
                  <w:pPr>
                    <w:snapToGrid w:val="0"/>
                    <w:jc w:val="center"/>
                    <w:rPr>
                      <w:rFonts w:ascii="Times New Roman" w:eastAsia="宋体" w:cs="Times New Roman" w:hAnsi="Times New Roman" w:hint="eastAsia"/>
                      <w:color w:val="auto"/>
                      <w:kern w:val="2"/>
                      <w:sz w:val="21"/>
                      <w:szCs w:val="21"/>
                      <w:lang w:val="en-US" w:eastAsia="zh-CN" w:bidi="ar-SA"/>
                    </w:rPr>
                  </w:pPr>
                  <w:r>
                    <w:rPr>
                      <w:rFonts w:cs="Times New Roman" w:hint="eastAsia"/>
                      <w:color w:val="auto"/>
                      <w:szCs w:val="21"/>
                      <w:lang w:val="en-US" w:eastAsia="zh-CN"/>
                    </w:rPr>
                    <w:t>265</w:t>
                  </w:r>
                </w:p>
              </w:tc>
              <w:tc>
                <w:tcPr>
                  <w:tcW w:w="216" w:type="dxa"/>
                  <w:vAlign w:val="center"/>
                </w:tcPr>
                <w:p>
                  <w:pPr>
                    <w:snapToGrid w:val="0"/>
                    <w:jc w:val="center"/>
                    <w:rPr>
                      <w:rFonts w:cs="Times New Roman" w:hint="eastAsia"/>
                      <w:color w:val="auto"/>
                      <w:szCs w:val="21"/>
                      <w:lang w:val="en-US" w:eastAsia="zh-CN"/>
                    </w:rPr>
                  </w:pPr>
                  <w:r>
                    <w:rPr>
                      <w:rFonts w:cs="Times New Roman" w:hint="eastAsia"/>
                      <w:color w:val="auto"/>
                      <w:szCs w:val="21"/>
                      <w:lang w:val="en-US" w:eastAsia="zh-CN"/>
                    </w:rPr>
                    <w:t>30</w:t>
                  </w:r>
                </w:p>
              </w:tc>
              <w:tc>
                <w:tcPr>
                  <w:tcW w:w="276" w:type="dxa"/>
                  <w:vAlign w:val="center"/>
                </w:tcPr>
                <w:p>
                  <w:pPr>
                    <w:snapToGrid w:val="0"/>
                    <w:jc w:val="center"/>
                    <w:rPr>
                      <w:rFonts w:cs="Times New Roman"/>
                      <w:color w:val="auto"/>
                      <w:szCs w:val="21"/>
                      <w:lang w:val="en-US" w:eastAsia="zh-CN"/>
                    </w:rPr>
                  </w:pPr>
                  <w:r>
                    <w:rPr>
                      <w:rFonts w:cs="Times New Roman" w:hint="eastAsia"/>
                      <w:color w:val="auto"/>
                      <w:szCs w:val="21"/>
                      <w:lang w:val="en-US" w:eastAsia="zh-CN"/>
                    </w:rPr>
                    <w:t>100</w:t>
                  </w:r>
                </w:p>
              </w:tc>
            </w:tr>
          </w:tbl>
          <w:p>
            <w:pPr>
              <w:spacing w:beforeLines="50" w:before="120" w:line="360" w:lineRule="auto"/>
              <w:ind w:firstLineChars="150" w:firstLine="360"/>
              <w:rPr>
                <w:b/>
                <w:color w:val="auto"/>
                <w:sz w:val="24"/>
                <w:u w:val="none"/>
              </w:rPr>
            </w:pPr>
            <w:r>
              <w:rPr>
                <w:b/>
                <w:color w:val="auto"/>
                <w:sz w:val="24"/>
                <w:u w:val="none"/>
              </w:rPr>
              <w:t>2、废气排放标准</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hint="eastAsia"/>
                <w:color w:val="auto"/>
                <w:sz w:val="24"/>
                <w:szCs w:val="24"/>
                <w:u w:val="none"/>
                <w:lang w:eastAsia="zh-CN"/>
              </w:rPr>
            </w:pPr>
            <w:r>
              <w:rPr>
                <w:rFonts w:hint="eastAsia"/>
                <w:color w:val="auto"/>
                <w:sz w:val="24"/>
                <w:szCs w:val="24"/>
                <w:u w:val="none"/>
                <w:lang w:val="en-US" w:eastAsia="zh-CN"/>
              </w:rPr>
              <w:t>项目产生的颗粒物、VOCs执行《大气污染物综合排放标准》(GB16297-1996)标准，氨、硫化氢、臭气浓度执行</w:t>
            </w:r>
            <w:r>
              <w:rPr>
                <w:rFonts w:hAnsi="宋体"/>
                <w:color w:val="auto"/>
                <w:sz w:val="24"/>
              </w:rPr>
              <w:t>《恶臭污染物排放标准》</w:t>
            </w:r>
            <w:r>
              <w:rPr>
                <w:rFonts w:hAnsi="宋体" w:hint="eastAsia"/>
                <w:color w:val="auto"/>
                <w:sz w:val="24"/>
              </w:rPr>
              <w:t>(</w:t>
            </w:r>
            <w:r>
              <w:rPr>
                <w:rFonts w:hAnsi="宋体"/>
                <w:color w:val="auto"/>
                <w:sz w:val="24"/>
              </w:rPr>
              <w:t>GB14554-</w:t>
            </w:r>
            <w:r>
              <w:rPr>
                <w:rFonts w:hAnsi="宋体" w:hint="eastAsia"/>
                <w:color w:val="auto"/>
                <w:sz w:val="24"/>
                <w:lang w:val="en-US" w:eastAsia="zh-CN"/>
              </w:rPr>
              <w:t>19</w:t>
            </w:r>
            <w:r>
              <w:rPr>
                <w:rFonts w:hAnsi="宋体"/>
                <w:color w:val="auto"/>
                <w:sz w:val="24"/>
              </w:rPr>
              <w:t>93</w:t>
            </w:r>
            <w:r>
              <w:rPr>
                <w:rFonts w:hAnsi="宋体" w:hint="eastAsia"/>
                <w:color w:val="auto"/>
                <w:sz w:val="24"/>
              </w:rPr>
              <w:t>)二</w:t>
            </w:r>
            <w:r>
              <w:rPr>
                <w:rFonts w:hAnsi="宋体"/>
                <w:color w:val="auto"/>
                <w:sz w:val="24"/>
              </w:rPr>
              <w:t>级标准</w:t>
            </w:r>
            <w:r>
              <w:rPr>
                <w:rFonts w:hint="eastAsia"/>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150" w:firstLine="315"/>
              <w:jc w:val="center"/>
              <w:textAlignment w:val="auto"/>
              <w:outlineLvl w:val="0"/>
              <w:rPr>
                <w:rFonts w:ascii="Times New Roman" w:eastAsia="宋体" w:hAnsi="Times New Roman" w:hint="eastAsia"/>
                <w:b/>
                <w:bCs/>
                <w:color w:val="auto"/>
                <w:sz w:val="21"/>
                <w:szCs w:val="21"/>
                <w:u w:val="none"/>
                <w:lang w:val="en-GB"/>
              </w:rPr>
            </w:pPr>
            <w:bookmarkStart w:id="31" w:name="_Toc6348"/>
            <w:r>
              <w:rPr>
                <w:rFonts w:ascii="Times New Roman" w:hAnsi="Times New Roman" w:hint="eastAsia"/>
                <w:b/>
                <w:color w:val="auto"/>
                <w:szCs w:val="21"/>
                <w:u w:val="none"/>
                <w:lang w:eastAsia="zh-CN"/>
              </w:rPr>
              <w:t>表</w:t>
            </w:r>
            <w:r>
              <w:rPr>
                <w:rFonts w:ascii="Times New Roman" w:hAnsi="Times New Roman" w:hint="eastAsia"/>
                <w:b/>
                <w:color w:val="auto"/>
                <w:szCs w:val="21"/>
                <w:u w:val="none"/>
                <w:lang w:val="en-US" w:eastAsia="zh-CN"/>
              </w:rPr>
              <w:t xml:space="preserve"> </w:t>
            </w:r>
            <w:r>
              <w:rPr>
                <w:rFonts w:hint="eastAsia"/>
                <w:b/>
                <w:color w:val="auto"/>
                <w:szCs w:val="21"/>
                <w:u w:val="none"/>
                <w:lang w:val="en-US" w:eastAsia="zh-CN"/>
              </w:rPr>
              <w:t>3</w:t>
            </w:r>
            <w:r>
              <w:rPr>
                <w:rFonts w:ascii="Times New Roman" w:hAnsi="Times New Roman" w:hint="eastAsia"/>
                <w:b/>
                <w:color w:val="auto"/>
                <w:szCs w:val="21"/>
                <w:u w:val="none"/>
                <w:lang w:val="en-US" w:eastAsia="zh-CN"/>
              </w:rPr>
              <w:t>-</w:t>
            </w:r>
            <w:r>
              <w:rPr>
                <w:rFonts w:hint="eastAsia"/>
                <w:b/>
                <w:color w:val="auto"/>
                <w:szCs w:val="21"/>
                <w:u w:val="none"/>
                <w:lang w:val="en-US" w:eastAsia="zh-CN"/>
              </w:rPr>
              <w:t>6</w:t>
            </w:r>
            <w:r>
              <w:rPr>
                <w:rFonts w:ascii="Times New Roman" w:hAnsi="Times New Roman" w:hint="eastAsia"/>
                <w:b/>
                <w:color w:val="auto"/>
                <w:szCs w:val="21"/>
                <w:u w:val="none"/>
                <w:lang w:val="en-US" w:eastAsia="zh-CN"/>
              </w:rPr>
              <w:t xml:space="preserve"> </w:t>
            </w:r>
            <w:r>
              <w:rPr>
                <w:rFonts w:hint="eastAsia"/>
                <w:b/>
                <w:color w:val="auto"/>
                <w:szCs w:val="21"/>
              </w:rPr>
              <w:t>大气污染物</w:t>
            </w:r>
            <w:r>
              <w:rPr>
                <w:rFonts w:hint="eastAsia"/>
                <w:b/>
                <w:color w:val="auto"/>
                <w:szCs w:val="21"/>
                <w:lang w:val="en-US" w:eastAsia="zh-CN"/>
              </w:rPr>
              <w:t>有组织</w:t>
            </w:r>
            <w:r>
              <w:rPr>
                <w:rFonts w:ascii="Times New Roman" w:eastAsia="宋体" w:hAnsi="Times New Roman" w:hint="eastAsia"/>
                <w:b/>
                <w:bCs/>
                <w:color w:val="auto"/>
                <w:sz w:val="21"/>
                <w:szCs w:val="21"/>
                <w:u w:val="none"/>
                <w:lang w:val="en-GB"/>
              </w:rPr>
              <w:t>排放标准</w:t>
            </w:r>
            <w:bookmarkEnd w:id="31"/>
          </w:p>
          <w:tbl>
            <w:tblPr>
              <w:jc w:val="left"/>
              <w:tblInd w:w="0" w:type="dxa"/>
              <w:tblW w:w="4996"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0" w:type="dxa"/>
                <w:left w:w="0" w:type="dxa"/>
                <w:bottom w:w="0" w:type="dxa"/>
                <w:right w:w="0" w:type="dxa"/>
              </w:tblCellMar>
              <w:tblLook w:val="0600" w:firstRow="0" w:lastRow="0" w:firstColumn="0" w:lastColumn="0" w:noHBand="1" w:noVBand="1"/>
            </w:tblPr>
            <w:tblGrid>
              <w:gridCol w:w="366"/>
              <w:gridCol w:w="1047"/>
              <w:gridCol w:w="1338"/>
              <w:gridCol w:w="973"/>
              <w:gridCol w:w="788"/>
              <w:gridCol w:w="1110"/>
              <w:gridCol w:w="1042"/>
              <w:gridCol w:w="1696"/>
            </w:tblGrid>
            <w:tr>
              <w:trPr>
                <w:trHeight w:val="454"/>
              </w:trPr>
              <w:tc>
                <w:tcPr>
                  <w:tcW w:w="219" w:type="pct"/>
                  <w:vMerge w:val="restart"/>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序号</w:t>
                  </w:r>
                </w:p>
              </w:tc>
              <w:tc>
                <w:tcPr>
                  <w:tcW w:w="626" w:type="pct"/>
                  <w:vMerge w:val="restart"/>
                  <w:vAlign w:val="center"/>
                </w:tcPr>
                <w:p>
                  <w:pPr>
                    <w:snapToGrid w:val="0"/>
                    <w:jc w:val="center"/>
                    <w:rPr>
                      <w:rFonts w:ascii="Times New Roman" w:eastAsia="宋体" w:cs="Times New Roman" w:hAnsi="Times New Roman"/>
                      <w:b/>
                      <w:bCs/>
                      <w:color w:val="auto"/>
                      <w:szCs w:val="21"/>
                      <w:lang w:val="en-US" w:eastAsia="zh-CN"/>
                    </w:rPr>
                  </w:pPr>
                  <w:r>
                    <w:rPr>
                      <w:rFonts w:cs="Times New Roman" w:hint="eastAsia"/>
                      <w:b/>
                      <w:bCs/>
                      <w:color w:val="auto"/>
                      <w:szCs w:val="21"/>
                      <w:lang w:val="en-US" w:eastAsia="zh-CN"/>
                    </w:rPr>
                    <w:t>排放位置</w:t>
                  </w:r>
                </w:p>
              </w:tc>
              <w:tc>
                <w:tcPr>
                  <w:tcW w:w="800" w:type="pct"/>
                  <w:vMerge w:val="restart"/>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污染物</w:t>
                  </w:r>
                </w:p>
              </w:tc>
              <w:tc>
                <w:tcPr>
                  <w:tcW w:w="2340" w:type="pct"/>
                  <w:gridSpan w:val="4"/>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有组织排放限值</w:t>
                  </w:r>
                  <w:r>
                    <w:rPr>
                      <w:rFonts w:hint="eastAsia"/>
                      <w:b/>
                      <w:bCs/>
                      <w:color w:val="auto"/>
                      <w:kern w:val="2"/>
                      <w:sz w:val="21"/>
                      <w:szCs w:val="21"/>
                      <w:u w:val="none"/>
                      <w:lang w:val="en-US" w:eastAsia="zh-CN"/>
                    </w:rPr>
                    <w:t>（≥20m）</w:t>
                  </w:r>
                </w:p>
              </w:tc>
              <w:tc>
                <w:tcPr>
                  <w:tcW w:w="1013" w:type="pct"/>
                  <w:vMerge w:val="restart"/>
                  <w:vAlign w:val="center"/>
                </w:tcPr>
                <w:p>
                  <w:pPr>
                    <w:snapToGrid w:val="0"/>
                    <w:jc w:val="center"/>
                    <w:rPr>
                      <w:rFonts w:ascii="Times New Roman" w:eastAsia="宋体" w:cs="Times New Roman" w:hAnsi="Times New Roman" w:hint="eastAsia"/>
                      <w:b/>
                      <w:bCs/>
                      <w:color w:val="auto"/>
                      <w:szCs w:val="21"/>
                      <w:lang w:val="en-US" w:eastAsia="zh-CN"/>
                    </w:rPr>
                  </w:pPr>
                  <w:r>
                    <w:rPr>
                      <w:rFonts w:ascii="Times New Roman" w:eastAsia="宋体" w:cs="Times New Roman" w:hAnsi="Times New Roman" w:hint="eastAsia"/>
                      <w:b/>
                      <w:bCs/>
                      <w:color w:val="auto"/>
                      <w:szCs w:val="21"/>
                      <w:lang w:val="en-US" w:eastAsia="zh-CN"/>
                    </w:rPr>
                    <w:t>标准来源</w:t>
                  </w:r>
                </w:p>
              </w:tc>
            </w:tr>
            <w:tr>
              <w:trPr>
                <w:trHeight w:val="454"/>
              </w:trPr>
              <w:tc>
                <w:tcPr>
                  <w:tcW w:w="219" w:type="pct"/>
                  <w:vMerge/>
                  <w:vAlign w:val="center"/>
                </w:tcPr>
                <w:p/>
              </w:tc>
              <w:tc>
                <w:tcPr>
                  <w:tcW w:w="626" w:type="pct"/>
                  <w:vMerge/>
                  <w:vAlign w:val="center"/>
                </w:tcPr>
                <w:p/>
              </w:tc>
              <w:tc>
                <w:tcPr>
                  <w:tcW w:w="800" w:type="pct"/>
                  <w:vMerge/>
                  <w:vAlign w:val="center"/>
                </w:tcPr>
                <w:p/>
              </w:tc>
              <w:tc>
                <w:tcPr>
                  <w:tcW w:w="582" w:type="pct"/>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排放浓度</w:t>
                  </w:r>
                </w:p>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mg/m³</w:t>
                  </w:r>
                </w:p>
              </w:tc>
              <w:tc>
                <w:tcPr>
                  <w:tcW w:w="471" w:type="pct"/>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排气筒高度m</w:t>
                  </w:r>
                </w:p>
              </w:tc>
              <w:tc>
                <w:tcPr>
                  <w:tcW w:w="664" w:type="pct"/>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排放速率</w:t>
                  </w:r>
                </w:p>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kg/h</w:t>
                  </w:r>
                </w:p>
              </w:tc>
              <w:tc>
                <w:tcPr>
                  <w:tcW w:w="621" w:type="pct"/>
                  <w:vAlign w:val="center"/>
                </w:tcPr>
                <w:p>
                  <w:pPr>
                    <w:snapToGrid w:val="0"/>
                    <w:jc w:val="center"/>
                    <w:rPr>
                      <w:rFonts w:ascii="Times New Roman" w:eastAsia="宋体" w:cs="Times New Roman" w:hAnsi="Times New Roman"/>
                      <w:color w:val="0000FF"/>
                      <w:szCs w:val="21"/>
                      <w:lang w:val="en-US" w:eastAsia="zh-CN"/>
                    </w:rPr>
                  </w:pPr>
                  <w:r>
                    <w:rPr>
                      <w:rFonts w:cs="Times New Roman" w:hint="eastAsia"/>
                      <w:color w:val="auto"/>
                      <w:szCs w:val="21"/>
                      <w:lang w:val="en-US" w:eastAsia="zh-CN"/>
                    </w:rPr>
                    <w:t>监控位置</w:t>
                  </w:r>
                </w:p>
              </w:tc>
              <w:tc>
                <w:tcPr>
                  <w:tcW w:w="1013" w:type="pct"/>
                  <w:vMerge/>
                  <w:vAlign w:val="center"/>
                </w:tcPr>
                <w:p/>
              </w:tc>
            </w:tr>
            <w:tr>
              <w:trPr>
                <w:trHeight w:val="454"/>
              </w:trPr>
              <w:tc>
                <w:tcPr>
                  <w:tcW w:w="219" w:type="pct"/>
                  <w:vMerge w:val="restart"/>
                  <w:vAlign w:val="center"/>
                </w:tcPr>
                <w:p>
                  <w:pPr>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1</w:t>
                  </w:r>
                </w:p>
              </w:tc>
              <w:tc>
                <w:tcPr>
                  <w:tcW w:w="626" w:type="pct"/>
                  <w:vMerge w:val="restart"/>
                  <w:shd w:val="clear" w:color="auto" w:fill="auto"/>
                  <w:vAlign w:val="center"/>
                </w:tcPr>
                <w:p>
                  <w:pPr>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DA001</w:t>
                  </w:r>
                </w:p>
              </w:tc>
              <w:tc>
                <w:tcPr>
                  <w:tcW w:w="800" w:type="pct"/>
                  <w:vAlign w:val="center"/>
                </w:tcPr>
                <w:p>
                  <w:pPr>
                    <w:widowControl w:val="0"/>
                    <w:adjustRightInd/>
                    <w:snapToGrid/>
                    <w:spacing w:after="0"/>
                    <w:jc w:val="center"/>
                    <w:rPr>
                      <w:rFonts w:cs="Times New Roman" w:hint="eastAsia"/>
                      <w:color w:val="auto"/>
                      <w:szCs w:val="21"/>
                      <w:lang w:val="en-US" w:eastAsia="zh-CN"/>
                    </w:rPr>
                  </w:pPr>
                  <w:r>
                    <w:rPr>
                      <w:rFonts w:ascii="Times New Roman" w:eastAsia="宋体" w:cs="Times New Roman" w:hAnsi="Times New Roman" w:hint="eastAsia"/>
                      <w:color w:val="auto"/>
                      <w:kern w:val="2"/>
                      <w:sz w:val="21"/>
                      <w:szCs w:val="21"/>
                      <w:u w:val="none"/>
                      <w:lang w:val="en-US" w:eastAsia="zh-CN"/>
                    </w:rPr>
                    <w:t>颗粒物</w:t>
                  </w:r>
                </w:p>
              </w:tc>
              <w:tc>
                <w:tcPr>
                  <w:tcW w:w="582" w:type="pct"/>
                  <w:shd w:val="clear" w:color="auto" w:fill="auto"/>
                  <w:vAlign w:val="center"/>
                </w:tcPr>
                <w:p>
                  <w:pPr>
                    <w:widowControl w:val="0"/>
                    <w:adjustRightInd/>
                    <w:snapToGrid/>
                    <w:spacing w:after="0"/>
                    <w:jc w:val="center"/>
                    <w:rPr>
                      <w:rFonts w:ascii="Times New Roman" w:eastAsia="宋体" w:cs="Times New Roman" w:hAnsi="Times New Roman"/>
                      <w:color w:val="auto"/>
                      <w:kern w:val="2"/>
                      <w:sz w:val="21"/>
                      <w:szCs w:val="21"/>
                      <w:lang w:val="en-US" w:eastAsia="zh-CN" w:bidi="ar-SA"/>
                    </w:rPr>
                  </w:pPr>
                  <w:r>
                    <w:rPr>
                      <w:rFonts w:ascii="Times New Roman" w:eastAsia="宋体" w:cs="Times New Roman" w:hAnsi="Times New Roman" w:hint="eastAsia"/>
                      <w:color w:val="auto"/>
                      <w:kern w:val="2"/>
                      <w:sz w:val="21"/>
                      <w:szCs w:val="21"/>
                      <w:u w:val="none"/>
                      <w:lang w:val="en-US" w:eastAsia="zh-CN"/>
                    </w:rPr>
                    <w:t>120</w:t>
                  </w:r>
                </w:p>
              </w:tc>
              <w:tc>
                <w:tcPr>
                  <w:tcW w:w="471" w:type="pct"/>
                  <w:shd w:val="clear" w:color="auto" w:fill="auto"/>
                  <w:vAlign w:val="center"/>
                </w:tcPr>
                <w:p>
                  <w:pPr>
                    <w:snapToGrid w:val="0"/>
                    <w:jc w:val="center"/>
                    <w:rPr>
                      <w:rFonts w:ascii="Times New Roman" w:eastAsia="宋体" w:cs="Times New Roman" w:hAnsi="Times New Roman" w:hint="eastAsia"/>
                      <w:color w:val="auto"/>
                      <w:kern w:val="2"/>
                      <w:sz w:val="21"/>
                      <w:szCs w:val="21"/>
                      <w:lang w:val="en-US" w:eastAsia="zh-CN" w:bidi="ar-SA"/>
                    </w:rPr>
                  </w:pPr>
                  <w:r>
                    <w:rPr>
                      <w:rFonts w:cs="Times New Roman" w:hint="eastAsia"/>
                      <w:color w:val="auto"/>
                      <w:szCs w:val="21"/>
                      <w:lang w:val="en-US" w:eastAsia="zh-CN"/>
                    </w:rPr>
                    <w:t>20</w:t>
                  </w:r>
                </w:p>
              </w:tc>
              <w:tc>
                <w:tcPr>
                  <w:tcW w:w="664" w:type="pct"/>
                  <w:shd w:val="clear" w:color="auto" w:fill="auto"/>
                  <w:vAlign w:val="center"/>
                </w:tcPr>
                <w:p>
                  <w:pPr>
                    <w:widowControl w:val="0"/>
                    <w:adjustRightInd/>
                    <w:snapToGrid/>
                    <w:spacing w:after="0"/>
                    <w:jc w:val="center"/>
                    <w:rPr>
                      <w:rFonts w:ascii="Times New Roman" w:eastAsia="宋体" w:cs="Times New Roman" w:hAnsi="Times New Roman"/>
                      <w:color w:val="auto"/>
                      <w:kern w:val="2"/>
                      <w:sz w:val="21"/>
                      <w:szCs w:val="21"/>
                      <w:lang w:val="en-US" w:eastAsia="zh-CN" w:bidi="ar-SA"/>
                    </w:rPr>
                  </w:pPr>
                  <w:r>
                    <w:rPr>
                      <w:rFonts w:hint="eastAsia"/>
                      <w:color w:val="auto"/>
                      <w:kern w:val="2"/>
                      <w:sz w:val="21"/>
                      <w:szCs w:val="21"/>
                      <w:u w:val="none"/>
                      <w:lang w:val="en-US" w:eastAsia="zh-CN"/>
                    </w:rPr>
                    <w:t>5.9</w:t>
                  </w:r>
                </w:p>
              </w:tc>
              <w:tc>
                <w:tcPr>
                  <w:tcW w:w="621" w:type="pct"/>
                  <w:shd w:val="clear" w:color="auto" w:fill="auto"/>
                  <w:vAlign w:val="center"/>
                </w:tcPr>
                <w:p>
                  <w:pPr>
                    <w:snapToGrid w:val="0"/>
                    <w:jc w:val="center"/>
                    <w:rPr>
                      <w:rFonts w:ascii="Times New Roman" w:eastAsia="宋体" w:cs="Times New Roman" w:hAnsi="Times New Roman"/>
                      <w:color w:val="auto"/>
                      <w:kern w:val="2"/>
                      <w:sz w:val="21"/>
                      <w:szCs w:val="21"/>
                      <w:lang w:val="en-US" w:eastAsia="zh-CN" w:bidi="ar-SA"/>
                    </w:rPr>
                  </w:pPr>
                  <w:r>
                    <w:rPr>
                      <w:rFonts w:cs="Times New Roman" w:hint="eastAsia"/>
                      <w:color w:val="auto"/>
                      <w:kern w:val="2"/>
                      <w:sz w:val="21"/>
                      <w:szCs w:val="21"/>
                      <w:lang w:val="en-US" w:eastAsia="zh-CN" w:bidi="ar-SA"/>
                    </w:rPr>
                    <w:t>/</w:t>
                  </w:r>
                </w:p>
              </w:tc>
              <w:tc>
                <w:tcPr>
                  <w:tcW w:w="1013" w:type="pct"/>
                  <w:vMerge w:val="restart"/>
                  <w:shd w:val="clear" w:color="auto" w:fill="auto"/>
                  <w:vAlign w:val="center"/>
                </w:tcPr>
                <w:p>
                  <w:pPr>
                    <w:snapToGrid w:val="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lang w:val="en-US" w:eastAsia="zh-CN" w:bidi="ar-SA"/>
                    </w:rPr>
                    <w:t>GB16279-1996</w:t>
                  </w:r>
                </w:p>
              </w:tc>
            </w:tr>
            <w:tr>
              <w:trPr>
                <w:trHeight w:val="594"/>
              </w:trPr>
              <w:tc>
                <w:tcPr>
                  <w:tcW w:w="219" w:type="pct"/>
                  <w:vMerge/>
                  <w:vAlign w:val="center"/>
                </w:tcPr>
                <w:p/>
              </w:tc>
              <w:tc>
                <w:tcPr>
                  <w:tcW w:w="626" w:type="pct"/>
                  <w:vMerge/>
                  <w:shd w:val="clear" w:color="auto" w:fill="auto"/>
                  <w:vAlign w:val="center"/>
                </w:tcPr>
                <w:p/>
              </w:tc>
              <w:tc>
                <w:tcPr>
                  <w:tcW w:w="800" w:type="pct"/>
                  <w:vAlign w:val="center"/>
                </w:tcPr>
                <w:p>
                  <w:pPr>
                    <w:widowControl w:val="0"/>
                    <w:adjustRightInd/>
                    <w:snapToGrid/>
                    <w:spacing w:after="0"/>
                    <w:jc w:val="center"/>
                    <w:rPr>
                      <w:rFonts w:cs="Times New Roman"/>
                      <w:color w:val="auto"/>
                      <w:szCs w:val="21"/>
                      <w:lang w:val="en-US" w:eastAsia="zh-CN"/>
                    </w:rPr>
                  </w:pPr>
                  <w:r>
                    <w:rPr>
                      <w:rFonts w:cs="Times New Roman" w:hint="eastAsia"/>
                      <w:color w:val="auto"/>
                      <w:kern w:val="2"/>
                      <w:sz w:val="21"/>
                      <w:szCs w:val="21"/>
                      <w:u w:val="none"/>
                      <w:lang w:val="en-US" w:eastAsia="zh-CN"/>
                    </w:rPr>
                    <w:t>非甲烷总烃</w:t>
                  </w:r>
                </w:p>
              </w:tc>
              <w:tc>
                <w:tcPr>
                  <w:tcW w:w="582" w:type="pct"/>
                  <w:shd w:val="clear" w:color="auto" w:fill="auto"/>
                  <w:vAlign w:val="center"/>
                </w:tcPr>
                <w:p>
                  <w:pPr>
                    <w:widowControl w:val="0"/>
                    <w:adjustRightInd/>
                    <w:snapToGrid/>
                    <w:spacing w:after="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kern w:val="2"/>
                      <w:sz w:val="21"/>
                      <w:szCs w:val="21"/>
                      <w:u w:val="none"/>
                      <w:lang w:val="en-US" w:eastAsia="zh-CN"/>
                    </w:rPr>
                    <w:t>120</w:t>
                  </w:r>
                </w:p>
              </w:tc>
              <w:tc>
                <w:tcPr>
                  <w:tcW w:w="471" w:type="pct"/>
                  <w:shd w:val="clear" w:color="auto" w:fill="auto"/>
                  <w:vAlign w:val="center"/>
                </w:tcPr>
                <w:p>
                  <w:pPr>
                    <w:snapToGrid w:val="0"/>
                    <w:jc w:val="center"/>
                    <w:rPr>
                      <w:rFonts w:ascii="Times New Roman" w:eastAsia="宋体" w:cs="Times New Roman" w:hAnsi="Times New Roman" w:hint="eastAsia"/>
                      <w:color w:val="auto"/>
                      <w:kern w:val="2"/>
                      <w:sz w:val="21"/>
                      <w:szCs w:val="21"/>
                      <w:lang w:val="en-US" w:eastAsia="zh-CN" w:bidi="ar-SA"/>
                    </w:rPr>
                  </w:pPr>
                  <w:r>
                    <w:rPr>
                      <w:rFonts w:cs="Times New Roman" w:hint="eastAsia"/>
                      <w:color w:val="auto"/>
                      <w:szCs w:val="21"/>
                      <w:lang w:val="en-US" w:eastAsia="zh-CN"/>
                    </w:rPr>
                    <w:t>20</w:t>
                  </w:r>
                </w:p>
              </w:tc>
              <w:tc>
                <w:tcPr>
                  <w:tcW w:w="664" w:type="pct"/>
                  <w:shd w:val="clear" w:color="auto" w:fill="auto"/>
                  <w:vAlign w:val="center"/>
                </w:tcPr>
                <w:p>
                  <w:pPr>
                    <w:widowControl w:val="0"/>
                    <w:adjustRightInd/>
                    <w:snapToGrid/>
                    <w:spacing w:after="0"/>
                    <w:jc w:val="center"/>
                    <w:rPr>
                      <w:rFonts w:cs="Times New Roman" w:hint="eastAsia"/>
                      <w:color w:val="auto"/>
                      <w:kern w:val="2"/>
                      <w:sz w:val="21"/>
                      <w:szCs w:val="21"/>
                      <w:lang w:val="en-US" w:eastAsia="zh-CN" w:bidi="ar-SA"/>
                    </w:rPr>
                  </w:pPr>
                  <w:r>
                    <w:rPr>
                      <w:rFonts w:hint="eastAsia"/>
                      <w:color w:val="auto"/>
                      <w:kern w:val="2"/>
                      <w:sz w:val="21"/>
                      <w:szCs w:val="21"/>
                      <w:u w:val="none"/>
                      <w:lang w:val="en-US" w:eastAsia="zh-CN"/>
                    </w:rPr>
                    <w:t>17</w:t>
                  </w:r>
                </w:p>
              </w:tc>
              <w:tc>
                <w:tcPr>
                  <w:tcW w:w="621" w:type="pct"/>
                  <w:shd w:val="clear" w:color="auto" w:fill="auto"/>
                  <w:vAlign w:val="center"/>
                </w:tcPr>
                <w:p>
                  <w:pPr>
                    <w:snapToGrid w:val="0"/>
                    <w:jc w:val="center"/>
                    <w:rPr>
                      <w:rFonts w:cs="Times New Roman"/>
                      <w:color w:val="auto"/>
                      <w:kern w:val="2"/>
                      <w:sz w:val="21"/>
                      <w:szCs w:val="21"/>
                      <w:lang w:val="en-US" w:eastAsia="zh-CN" w:bidi="ar-SA"/>
                    </w:rPr>
                  </w:pPr>
                  <w:r>
                    <w:rPr>
                      <w:rFonts w:cs="Times New Roman" w:hint="eastAsia"/>
                      <w:color w:val="auto"/>
                      <w:kern w:val="2"/>
                      <w:sz w:val="21"/>
                      <w:szCs w:val="21"/>
                      <w:lang w:val="en-US" w:eastAsia="zh-CN" w:bidi="ar-SA"/>
                    </w:rPr>
                    <w:t>/</w:t>
                  </w:r>
                </w:p>
              </w:tc>
              <w:tc>
                <w:tcPr>
                  <w:tcW w:w="1013" w:type="pct"/>
                  <w:vMerge/>
                  <w:shd w:val="clear" w:color="auto" w:fill="auto"/>
                  <w:vAlign w:val="center"/>
                </w:tcPr>
                <w:p/>
              </w:tc>
            </w:tr>
            <w:tr>
              <w:trPr>
                <w:trHeight w:val="594"/>
              </w:trPr>
              <w:tc>
                <w:tcPr>
                  <w:tcW w:w="845" w:type="pct"/>
                  <w:gridSpan w:val="2"/>
                  <w:vAlign w:val="center"/>
                </w:tcPr>
                <w:p>
                  <w:pPr>
                    <w:snapToGrid w:val="0"/>
                    <w:jc w:val="center"/>
                    <w:rPr>
                      <w:rFonts w:cs="Times New Roman"/>
                      <w:color w:val="auto"/>
                      <w:szCs w:val="21"/>
                      <w:lang w:val="en-US" w:eastAsia="zh-CN"/>
                    </w:rPr>
                  </w:pPr>
                  <w:r>
                    <w:rPr>
                      <w:rFonts w:cs="Times New Roman" w:hint="eastAsia"/>
                      <w:color w:val="auto"/>
                      <w:szCs w:val="21"/>
                      <w:lang w:val="en-US" w:eastAsia="zh-CN"/>
                    </w:rPr>
                    <w:t>备注</w:t>
                  </w:r>
                </w:p>
              </w:tc>
              <w:tc>
                <w:tcPr>
                  <w:tcW w:w="4154" w:type="pct"/>
                  <w:gridSpan w:val="6"/>
                  <w:shd w:val="clear" w:color="auto" w:fill="auto"/>
                  <w:vAlign w:val="center"/>
                </w:tcPr>
                <w:p>
                  <w:pPr>
                    <w:snapToGrid w:val="0"/>
                    <w:jc w:val="center"/>
                    <w:rPr>
                      <w:rFonts w:ascii="Times New Roman" w:eastAsia="宋体" w:hAnsi="Times New Roman"/>
                      <w:color w:val="auto"/>
                      <w:kern w:val="2"/>
                      <w:sz w:val="21"/>
                      <w:szCs w:val="21"/>
                      <w:u w:val="none"/>
                      <w:lang w:val="en-US" w:eastAsia="zh-CN"/>
                    </w:rPr>
                  </w:pPr>
                  <w:r>
                    <w:rPr>
                      <w:rFonts w:hint="eastAsia"/>
                      <w:color w:val="auto"/>
                      <w:kern w:val="2"/>
                      <w:sz w:val="21"/>
                      <w:szCs w:val="21"/>
                      <w:u w:val="none"/>
                      <w:lang w:val="en-US" w:eastAsia="zh-CN"/>
                    </w:rPr>
                    <w:t>执行</w:t>
                  </w:r>
                  <w:r>
                    <w:rPr>
                      <w:rFonts w:ascii="Times New Roman" w:eastAsia="宋体" w:cs="Times New Roman" w:hAnsi="Times New Roman" w:hint="eastAsia"/>
                      <w:color w:val="auto"/>
                      <w:kern w:val="2"/>
                      <w:sz w:val="21"/>
                      <w:szCs w:val="21"/>
                      <w:lang w:val="en-US" w:eastAsia="zh-CN" w:bidi="ar-SA"/>
                    </w:rPr>
                    <w:t>GB16279-1996</w:t>
                  </w:r>
                  <w:r>
                    <w:rPr>
                      <w:rFonts w:cs="Times New Roman" w:hint="eastAsia"/>
                      <w:color w:val="auto"/>
                      <w:kern w:val="2"/>
                      <w:sz w:val="21"/>
                      <w:szCs w:val="21"/>
                      <w:lang w:val="en-US" w:eastAsia="zh-CN" w:bidi="ar-SA"/>
                    </w:rPr>
                    <w:t>的污染物排气筒无法满足高于周边200m范围内最高建筑物5m的要求，因此排放速率要求后期严格50%</w:t>
                  </w:r>
                </w:p>
              </w:tc>
            </w:tr>
          </w:tbl>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150" w:firstLine="315"/>
              <w:jc w:val="center"/>
              <w:textAlignment w:val="auto"/>
              <w:outlineLvl w:val="0"/>
              <w:rPr>
                <w:rFonts w:ascii="Times New Roman" w:eastAsia="宋体" w:hAnsi="Times New Roman" w:hint="eastAsia"/>
                <w:b/>
                <w:bCs/>
                <w:color w:val="auto"/>
                <w:sz w:val="21"/>
                <w:szCs w:val="21"/>
                <w:u w:val="none"/>
                <w:lang w:val="en-GB"/>
              </w:rPr>
            </w:pPr>
            <w:r>
              <w:rPr>
                <w:b/>
                <w:color w:val="auto"/>
                <w:szCs w:val="21"/>
                <w:u w:val="none"/>
              </w:rPr>
              <w:t>表 3-</w:t>
            </w:r>
            <w:r>
              <w:rPr>
                <w:rFonts w:hint="eastAsia"/>
                <w:b/>
                <w:color w:val="auto"/>
                <w:szCs w:val="21"/>
                <w:u w:val="none"/>
                <w:lang w:val="en-US" w:eastAsia="zh-CN"/>
              </w:rPr>
              <w:t>7</w:t>
            </w:r>
            <w:r>
              <w:rPr>
                <w:b/>
                <w:color w:val="auto"/>
                <w:szCs w:val="21"/>
                <w:u w:val="none"/>
              </w:rPr>
              <w:t xml:space="preserve"> </w:t>
            </w:r>
            <w:r>
              <w:rPr>
                <w:rFonts w:hint="eastAsia"/>
                <w:b/>
                <w:color w:val="auto"/>
                <w:szCs w:val="21"/>
              </w:rPr>
              <w:t>大气污染物</w:t>
            </w:r>
            <w:r>
              <w:rPr>
                <w:rFonts w:hint="eastAsia"/>
                <w:b/>
                <w:color w:val="auto"/>
                <w:szCs w:val="21"/>
                <w:lang w:val="en-US" w:eastAsia="zh-CN"/>
              </w:rPr>
              <w:t>无组织</w:t>
            </w:r>
            <w:r>
              <w:rPr>
                <w:rFonts w:ascii="Times New Roman" w:eastAsia="宋体" w:hAnsi="Times New Roman" w:hint="eastAsia"/>
                <w:b/>
                <w:bCs/>
                <w:color w:val="auto"/>
                <w:sz w:val="21"/>
                <w:szCs w:val="21"/>
                <w:u w:val="none"/>
                <w:lang w:val="en-GB"/>
              </w:rPr>
              <w:t>排放标准</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517"/>
              <w:gridCol w:w="1059"/>
              <w:gridCol w:w="1365"/>
              <w:gridCol w:w="1516"/>
              <w:gridCol w:w="2906"/>
            </w:tblGrid>
            <w:tr>
              <w:trPr>
                <w:trHeight w:val="474"/>
              </w:trPr>
              <w:tc>
                <w:tcPr>
                  <w:tcW w:w="907" w:type="pct"/>
                  <w:vMerge w:val="restart"/>
                  <w:vAlign w:val="center"/>
                </w:tcPr>
                <w:p>
                  <w:pPr>
                    <w:widowControl w:val="0"/>
                    <w:adjustRightInd/>
                    <w:snapToGrid/>
                    <w:spacing w:after="0"/>
                    <w:jc w:val="center"/>
                    <w:rPr>
                      <w:rFonts w:ascii="Times New Roman" w:eastAsia="宋体" w:hAnsi="Times New Roman"/>
                      <w:b/>
                      <w:bCs/>
                      <w:color w:val="auto"/>
                      <w:kern w:val="2"/>
                      <w:sz w:val="21"/>
                      <w:szCs w:val="21"/>
                      <w:u w:val="none"/>
                    </w:rPr>
                  </w:pPr>
                  <w:r>
                    <w:rPr>
                      <w:rFonts w:cs="Times New Roman" w:hint="eastAsia"/>
                      <w:b/>
                      <w:bCs/>
                      <w:color w:val="auto"/>
                      <w:szCs w:val="21"/>
                      <w:lang w:val="en-US" w:eastAsia="zh-CN"/>
                    </w:rPr>
                    <w:t>排放位置</w:t>
                  </w:r>
                </w:p>
              </w:tc>
              <w:tc>
                <w:tcPr>
                  <w:tcW w:w="633" w:type="pct"/>
                  <w:vMerge w:val="restart"/>
                  <w:vAlign w:val="center"/>
                </w:tcPr>
                <w:p>
                  <w:pPr>
                    <w:widowControl w:val="0"/>
                    <w:adjustRightInd/>
                    <w:snapToGrid/>
                    <w:spacing w:after="0"/>
                    <w:jc w:val="center"/>
                    <w:rPr>
                      <w:rFonts w:ascii="Times New Roman" w:eastAsia="宋体" w:hAnsi="Times New Roman" w:hint="eastAsia"/>
                      <w:b/>
                      <w:bCs/>
                      <w:color w:val="auto"/>
                      <w:kern w:val="2"/>
                      <w:sz w:val="21"/>
                      <w:szCs w:val="21"/>
                      <w:u w:val="none"/>
                    </w:rPr>
                  </w:pPr>
                  <w:r>
                    <w:rPr>
                      <w:rFonts w:ascii="Times New Roman" w:eastAsia="宋体" w:hAnsi="Times New Roman" w:hint="eastAsia"/>
                      <w:b/>
                      <w:bCs/>
                      <w:color w:val="auto"/>
                      <w:kern w:val="2"/>
                      <w:sz w:val="21"/>
                      <w:szCs w:val="21"/>
                      <w:u w:val="none"/>
                    </w:rPr>
                    <w:t>污染物项目</w:t>
                  </w:r>
                </w:p>
              </w:tc>
              <w:tc>
                <w:tcPr>
                  <w:tcW w:w="1722" w:type="pct"/>
                  <w:gridSpan w:val="2"/>
                  <w:vAlign w:val="center"/>
                </w:tcPr>
                <w:p>
                  <w:pPr>
                    <w:widowControl w:val="0"/>
                    <w:adjustRightInd/>
                    <w:snapToGrid/>
                    <w:spacing w:after="0"/>
                    <w:jc w:val="center"/>
                    <w:rPr>
                      <w:rFonts w:ascii="Times New Roman" w:eastAsia="宋体" w:hAnsi="Times New Roman" w:hint="eastAsia"/>
                      <w:b/>
                      <w:bCs/>
                      <w:color w:val="auto"/>
                      <w:kern w:val="2"/>
                      <w:sz w:val="21"/>
                      <w:szCs w:val="21"/>
                      <w:u w:val="none"/>
                      <w:lang w:val="en-US" w:eastAsia="zh-CN"/>
                    </w:rPr>
                  </w:pPr>
                  <w:r>
                    <w:rPr>
                      <w:rFonts w:hint="eastAsia"/>
                      <w:b/>
                      <w:bCs/>
                      <w:color w:val="auto"/>
                      <w:kern w:val="2"/>
                      <w:sz w:val="21"/>
                      <w:szCs w:val="21"/>
                      <w:u w:val="none"/>
                      <w:lang w:val="en-US" w:eastAsia="zh-CN"/>
                    </w:rPr>
                    <w:t>无组织</w:t>
                  </w:r>
                </w:p>
              </w:tc>
              <w:tc>
                <w:tcPr>
                  <w:tcW w:w="1737" w:type="pct"/>
                  <w:vMerge w:val="restart"/>
                  <w:vAlign w:val="center"/>
                </w:tcPr>
                <w:p>
                  <w:pPr>
                    <w:widowControl w:val="0"/>
                    <w:adjustRightInd/>
                    <w:snapToGrid/>
                    <w:spacing w:after="0"/>
                    <w:jc w:val="center"/>
                    <w:rPr>
                      <w:rFonts w:hint="eastAsia"/>
                      <w:b/>
                      <w:bCs/>
                      <w:color w:val="auto"/>
                      <w:kern w:val="2"/>
                      <w:sz w:val="21"/>
                      <w:szCs w:val="21"/>
                      <w:u w:val="none"/>
                      <w:lang w:val="en-US" w:eastAsia="zh-CN"/>
                    </w:rPr>
                  </w:pPr>
                  <w:r>
                    <w:rPr>
                      <w:rFonts w:ascii="Times New Roman" w:eastAsia="宋体" w:cs="Times New Roman" w:hAnsi="Times New Roman" w:hint="eastAsia"/>
                      <w:b/>
                      <w:bCs/>
                      <w:color w:val="auto"/>
                      <w:szCs w:val="21"/>
                      <w:lang w:val="en-US" w:eastAsia="zh-CN"/>
                    </w:rPr>
                    <w:t>标准来源</w:t>
                  </w:r>
                </w:p>
              </w:tc>
            </w:tr>
            <w:tr>
              <w:trPr>
                <w:trHeight w:val="454"/>
              </w:trPr>
              <w:tc>
                <w:tcPr>
                  <w:tcW w:w="907" w:type="pct"/>
                  <w:vMerge/>
                  <w:vAlign w:val="center"/>
                </w:tcPr>
                <w:p/>
              </w:tc>
              <w:tc>
                <w:tcPr>
                  <w:tcW w:w="633" w:type="pct"/>
                  <w:vMerge/>
                  <w:vAlign w:val="center"/>
                </w:tcPr>
                <w:p/>
              </w:tc>
              <w:tc>
                <w:tcPr>
                  <w:tcW w:w="816" w:type="pct"/>
                  <w:vAlign w:val="center"/>
                </w:tcPr>
                <w:p>
                  <w:pPr>
                    <w:widowControl w:val="0"/>
                    <w:adjustRightInd/>
                    <w:snapToGrid/>
                    <w:spacing w:after="0"/>
                    <w:jc w:val="center"/>
                    <w:rPr>
                      <w:rFonts w:ascii="Times New Roman" w:eastAsia="宋体" w:hAnsi="Times New Roman"/>
                      <w:b/>
                      <w:bCs/>
                      <w:color w:val="auto"/>
                      <w:kern w:val="2"/>
                      <w:sz w:val="21"/>
                      <w:szCs w:val="21"/>
                      <w:u w:val="none"/>
                    </w:rPr>
                  </w:pPr>
                  <w:r>
                    <w:rPr>
                      <w:rFonts w:ascii="Times New Roman" w:eastAsia="宋体" w:hAnsi="Times New Roman"/>
                      <w:b/>
                      <w:bCs/>
                      <w:color w:val="auto"/>
                      <w:kern w:val="2"/>
                      <w:sz w:val="21"/>
                      <w:szCs w:val="21"/>
                      <w:u w:val="none"/>
                    </w:rPr>
                    <w:t>厂界浓度限值（mg/m</w:t>
                  </w:r>
                  <w:r>
                    <w:rPr>
                      <w:rFonts w:ascii="Times New Roman" w:eastAsia="宋体" w:hAnsi="Times New Roman"/>
                      <w:b/>
                      <w:bCs/>
                      <w:color w:val="auto"/>
                      <w:kern w:val="2"/>
                      <w:sz w:val="21"/>
                      <w:szCs w:val="21"/>
                      <w:u w:val="none"/>
                      <w:vertAlign w:val="superscript"/>
                    </w:rPr>
                    <w:t>3</w:t>
                  </w:r>
                  <w:r>
                    <w:rPr>
                      <w:rFonts w:ascii="Times New Roman" w:eastAsia="宋体" w:hAnsi="Times New Roman"/>
                      <w:b/>
                      <w:bCs/>
                      <w:color w:val="auto"/>
                      <w:kern w:val="2"/>
                      <w:sz w:val="21"/>
                      <w:szCs w:val="21"/>
                      <w:u w:val="none"/>
                    </w:rPr>
                    <w:t>）</w:t>
                  </w:r>
                </w:p>
              </w:tc>
              <w:tc>
                <w:tcPr>
                  <w:tcW w:w="906" w:type="pct"/>
                  <w:vAlign w:val="center"/>
                </w:tcPr>
                <w:p>
                  <w:pPr>
                    <w:widowControl w:val="0"/>
                    <w:adjustRightInd/>
                    <w:snapToGrid/>
                    <w:spacing w:after="0"/>
                    <w:jc w:val="center"/>
                    <w:rPr>
                      <w:rFonts w:ascii="Times New Roman" w:eastAsia="宋体" w:hAnsi="Times New Roman"/>
                      <w:b/>
                      <w:bCs/>
                      <w:color w:val="auto"/>
                      <w:kern w:val="2"/>
                      <w:sz w:val="21"/>
                      <w:szCs w:val="21"/>
                      <w:u w:val="none"/>
                    </w:rPr>
                  </w:pPr>
                  <w:r>
                    <w:rPr>
                      <w:rFonts w:ascii="Times New Roman" w:eastAsia="宋体" w:hAnsi="Times New Roman" w:hint="eastAsia"/>
                      <w:b/>
                      <w:bCs/>
                      <w:color w:val="auto"/>
                      <w:kern w:val="2"/>
                      <w:sz w:val="21"/>
                      <w:szCs w:val="21"/>
                      <w:u w:val="none"/>
                    </w:rPr>
                    <w:t>无组织排放监控位置</w:t>
                  </w:r>
                </w:p>
              </w:tc>
              <w:tc>
                <w:tcPr>
                  <w:tcW w:w="1737" w:type="pct"/>
                  <w:vMerge/>
                  <w:vAlign w:val="center"/>
                </w:tcPr>
                <w:p/>
              </w:tc>
            </w:tr>
            <w:tr>
              <w:trPr>
                <w:trHeight w:val="454"/>
              </w:trPr>
              <w:tc>
                <w:tcPr>
                  <w:tcW w:w="907" w:type="pct"/>
                  <w:vMerge w:val="restart"/>
                  <w:vAlign w:val="center"/>
                </w:tcPr>
                <w:p>
                  <w:pPr>
                    <w:widowControl w:val="0"/>
                    <w:adjustRightInd/>
                    <w:snapToGrid/>
                    <w:spacing w:after="0"/>
                    <w:jc w:val="center"/>
                    <w:rPr>
                      <w:rFonts w:ascii="Times New Roman" w:eastAsia="宋体" w:hAnsi="Times New Roman" w:hint="eastAsia"/>
                      <w:color w:val="auto"/>
                      <w:kern w:val="2"/>
                      <w:sz w:val="21"/>
                      <w:szCs w:val="21"/>
                      <w:u w:val="none"/>
                      <w:lang w:eastAsia="zh-CN"/>
                    </w:rPr>
                  </w:pPr>
                  <w:r>
                    <w:rPr>
                      <w:rFonts w:hint="eastAsia"/>
                      <w:color w:val="auto"/>
                      <w:kern w:val="2"/>
                      <w:sz w:val="21"/>
                      <w:szCs w:val="21"/>
                      <w:u w:val="none"/>
                      <w:lang w:val="en-US" w:eastAsia="zh-CN"/>
                    </w:rPr>
                    <w:t>厂界</w:t>
                  </w:r>
                </w:p>
              </w:tc>
              <w:tc>
                <w:tcPr>
                  <w:tcW w:w="633" w:type="pct"/>
                  <w:vAlign w:val="center"/>
                </w:tcPr>
                <w:p>
                  <w:pPr>
                    <w:widowControl w:val="0"/>
                    <w:adjustRightInd/>
                    <w:snapToGrid/>
                    <w:spacing w:after="0"/>
                    <w:jc w:val="center"/>
                    <w:rPr>
                      <w:rFonts w:ascii="Times New Roman" w:eastAsia="宋体" w:cs="Times New Roman" w:hAnsi="Times New Roman" w:hint="eastAsia"/>
                      <w:color w:val="auto"/>
                      <w:kern w:val="2"/>
                      <w:sz w:val="21"/>
                      <w:szCs w:val="21"/>
                      <w:u w:val="none"/>
                      <w:lang w:val="en-US" w:eastAsia="zh-CN"/>
                    </w:rPr>
                  </w:pPr>
                  <w:r>
                    <w:rPr>
                      <w:rFonts w:ascii="Times New Roman" w:eastAsia="宋体" w:cs="Times New Roman" w:hAnsi="Times New Roman" w:hint="eastAsia"/>
                      <w:color w:val="auto"/>
                      <w:kern w:val="2"/>
                      <w:sz w:val="21"/>
                      <w:szCs w:val="21"/>
                      <w:u w:val="none"/>
                      <w:lang w:val="en-US" w:eastAsia="zh-CN"/>
                    </w:rPr>
                    <w:t>颗粒物</w:t>
                  </w:r>
                </w:p>
              </w:tc>
              <w:tc>
                <w:tcPr>
                  <w:tcW w:w="816" w:type="pct"/>
                  <w:vAlign w:val="center"/>
                </w:tcPr>
                <w:p>
                  <w:pPr>
                    <w:widowControl w:val="0"/>
                    <w:adjustRightInd/>
                    <w:snapToGrid/>
                    <w:spacing w:after="0"/>
                    <w:jc w:val="center"/>
                    <w:rPr>
                      <w:rFonts w:ascii="Times New Roman" w:eastAsia="宋体" w:hAnsi="Times New Roman"/>
                      <w:color w:val="auto"/>
                      <w:kern w:val="2"/>
                      <w:sz w:val="21"/>
                      <w:szCs w:val="21"/>
                      <w:u w:val="none"/>
                      <w:lang w:val="en-US" w:eastAsia="zh-CN"/>
                    </w:rPr>
                  </w:pPr>
                  <w:r>
                    <w:rPr>
                      <w:rFonts w:hint="eastAsia"/>
                      <w:color w:val="auto"/>
                      <w:kern w:val="2"/>
                      <w:sz w:val="21"/>
                      <w:szCs w:val="21"/>
                      <w:u w:val="none"/>
                      <w:lang w:val="en-US" w:eastAsia="zh-CN"/>
                    </w:rPr>
                    <w:t>1</w:t>
                  </w:r>
                </w:p>
              </w:tc>
              <w:tc>
                <w:tcPr>
                  <w:tcW w:w="906" w:type="pct"/>
                  <w:vAlign w:val="center"/>
                </w:tcPr>
                <w:p>
                  <w:pPr>
                    <w:widowControl w:val="0"/>
                    <w:adjustRightInd/>
                    <w:snapToGrid/>
                    <w:spacing w:after="0"/>
                    <w:jc w:val="center"/>
                    <w:rPr>
                      <w:rFonts w:hint="eastAsia"/>
                      <w:color w:val="auto"/>
                      <w:kern w:val="2"/>
                      <w:sz w:val="21"/>
                      <w:szCs w:val="21"/>
                      <w:u w:val="none"/>
                      <w:lang w:val="en-US" w:eastAsia="zh-CN"/>
                    </w:rPr>
                  </w:pPr>
                  <w:r>
                    <w:rPr>
                      <w:rFonts w:hint="eastAsia"/>
                      <w:color w:val="auto"/>
                      <w:kern w:val="2"/>
                      <w:sz w:val="21"/>
                      <w:szCs w:val="21"/>
                      <w:u w:val="none"/>
                      <w:lang w:val="en-US" w:eastAsia="zh-CN"/>
                    </w:rPr>
                    <w:t>周界外浓度最高点</w:t>
                  </w:r>
                </w:p>
              </w:tc>
              <w:tc>
                <w:tcPr>
                  <w:tcW w:w="1737" w:type="pct"/>
                  <w:vMerge w:val="restart"/>
                  <w:vAlign w:val="center"/>
                </w:tcPr>
                <w:p>
                  <w:pPr>
                    <w:widowControl w:val="0"/>
                    <w:adjustRightInd/>
                    <w:snapToGrid/>
                    <w:spacing w:after="0"/>
                    <w:jc w:val="center"/>
                    <w:rPr>
                      <w:rFonts w:hint="eastAsia"/>
                      <w:color w:val="auto"/>
                      <w:kern w:val="2"/>
                      <w:sz w:val="21"/>
                      <w:szCs w:val="21"/>
                      <w:u w:val="none"/>
                      <w:lang w:val="en-US" w:eastAsia="zh-CN"/>
                    </w:rPr>
                  </w:pPr>
                  <w:r>
                    <w:rPr>
                      <w:rFonts w:ascii="Times New Roman" w:eastAsia="宋体" w:hAnsi="Times New Roman" w:hint="eastAsia"/>
                      <w:color w:val="auto"/>
                      <w:kern w:val="2"/>
                      <w:sz w:val="21"/>
                      <w:szCs w:val="21"/>
                      <w:u w:val="none"/>
                    </w:rPr>
                    <w:t>GB16297-1996</w:t>
                  </w:r>
                </w:p>
              </w:tc>
            </w:tr>
            <w:tr>
              <w:trPr>
                <w:trHeight w:val="454"/>
              </w:trPr>
              <w:tc>
                <w:tcPr>
                  <w:tcW w:w="907" w:type="pct"/>
                  <w:vMerge/>
                  <w:vAlign w:val="center"/>
                </w:tcPr>
                <w:p/>
              </w:tc>
              <w:tc>
                <w:tcPr>
                  <w:tcW w:w="633" w:type="pct"/>
                  <w:vAlign w:val="center"/>
                </w:tcPr>
                <w:p>
                  <w:pPr>
                    <w:widowControl w:val="0"/>
                    <w:adjustRightInd/>
                    <w:snapToGrid/>
                    <w:spacing w:after="0"/>
                    <w:jc w:val="center"/>
                    <w:rPr>
                      <w:rFonts w:ascii="Times New Roman" w:eastAsia="宋体" w:cs="Times New Roman" w:hAnsi="Times New Roman" w:hint="eastAsia"/>
                      <w:color w:val="auto"/>
                      <w:kern w:val="2"/>
                      <w:sz w:val="21"/>
                      <w:szCs w:val="21"/>
                      <w:u w:val="none"/>
                      <w:lang w:val="en-US" w:eastAsia="zh-CN"/>
                    </w:rPr>
                  </w:pPr>
                  <w:r>
                    <w:rPr>
                      <w:rFonts w:ascii="Times New Roman" w:eastAsia="宋体" w:cs="Times New Roman" w:hAnsi="Times New Roman" w:hint="eastAsia"/>
                      <w:color w:val="auto"/>
                      <w:kern w:val="2"/>
                      <w:sz w:val="21"/>
                      <w:szCs w:val="21"/>
                      <w:u w:val="none"/>
                      <w:lang w:val="en-US" w:eastAsia="zh-CN"/>
                    </w:rPr>
                    <w:t>VOCs</w:t>
                  </w:r>
                </w:p>
              </w:tc>
              <w:tc>
                <w:tcPr>
                  <w:tcW w:w="816" w:type="pct"/>
                  <w:vAlign w:val="center"/>
                </w:tcPr>
                <w:p>
                  <w:pPr>
                    <w:widowControl w:val="0"/>
                    <w:adjustRightInd/>
                    <w:snapToGrid/>
                    <w:spacing w:after="0"/>
                    <w:jc w:val="center"/>
                    <w:rPr>
                      <w:color w:val="auto"/>
                      <w:kern w:val="2"/>
                      <w:sz w:val="21"/>
                      <w:szCs w:val="21"/>
                      <w:u w:val="none"/>
                      <w:lang w:val="en-US" w:eastAsia="zh-CN"/>
                    </w:rPr>
                  </w:pPr>
                  <w:r>
                    <w:rPr>
                      <w:rFonts w:hint="eastAsia"/>
                      <w:color w:val="auto"/>
                      <w:kern w:val="2"/>
                      <w:sz w:val="21"/>
                      <w:szCs w:val="21"/>
                      <w:u w:val="none"/>
                      <w:lang w:val="en-US" w:eastAsia="zh-CN"/>
                    </w:rPr>
                    <w:t>4</w:t>
                  </w:r>
                </w:p>
              </w:tc>
              <w:tc>
                <w:tcPr>
                  <w:tcW w:w="906" w:type="pct"/>
                  <w:vAlign w:val="center"/>
                </w:tcPr>
                <w:p>
                  <w:pPr>
                    <w:widowControl w:val="0"/>
                    <w:adjustRightInd/>
                    <w:snapToGrid/>
                    <w:spacing w:after="0"/>
                    <w:jc w:val="center"/>
                    <w:rPr>
                      <w:rFonts w:hint="eastAsia"/>
                      <w:color w:val="auto"/>
                      <w:kern w:val="2"/>
                      <w:sz w:val="21"/>
                      <w:szCs w:val="21"/>
                      <w:u w:val="none"/>
                      <w:lang w:val="en-US" w:eastAsia="zh-CN"/>
                    </w:rPr>
                  </w:pPr>
                  <w:r>
                    <w:rPr>
                      <w:rFonts w:hint="eastAsia"/>
                      <w:color w:val="auto"/>
                      <w:kern w:val="2"/>
                      <w:sz w:val="21"/>
                      <w:szCs w:val="21"/>
                      <w:u w:val="none"/>
                      <w:lang w:val="en-US" w:eastAsia="zh-CN"/>
                    </w:rPr>
                    <w:t>周界外浓度最高点</w:t>
                  </w:r>
                </w:p>
              </w:tc>
              <w:tc>
                <w:tcPr>
                  <w:tcW w:w="1737" w:type="pct"/>
                  <w:vMerge/>
                  <w:vAlign w:val="center"/>
                </w:tcPr>
                <w:p/>
              </w:tc>
            </w:tr>
            <w:tr>
              <w:trPr>
                <w:trHeight w:val="454"/>
              </w:trPr>
              <w:tc>
                <w:tcPr>
                  <w:tcW w:w="907" w:type="pct"/>
                  <w:vMerge/>
                  <w:vAlign w:val="center"/>
                </w:tcPr>
                <w:p/>
              </w:tc>
              <w:tc>
                <w:tcPr>
                  <w:tcW w:w="633" w:type="pct"/>
                  <w:vAlign w:val="center"/>
                </w:tcPr>
                <w:p>
                  <w:pPr>
                    <w:widowControl w:val="0"/>
                    <w:adjustRightInd/>
                    <w:snapToGrid/>
                    <w:spacing w:after="0"/>
                    <w:jc w:val="center"/>
                    <w:rPr>
                      <w:rFonts w:ascii="Times New Roman" w:eastAsia="宋体" w:cs="Times New Roman" w:hAnsi="Times New Roman"/>
                      <w:color w:val="auto"/>
                      <w:kern w:val="2"/>
                      <w:sz w:val="21"/>
                      <w:szCs w:val="21"/>
                      <w:u w:val="none"/>
                      <w:lang w:val="en-US" w:eastAsia="zh-CN"/>
                    </w:rPr>
                  </w:pPr>
                  <w:r>
                    <w:rPr>
                      <w:rFonts w:cs="Times New Roman" w:hint="eastAsia"/>
                      <w:color w:val="auto"/>
                      <w:kern w:val="2"/>
                      <w:sz w:val="21"/>
                      <w:szCs w:val="21"/>
                      <w:u w:val="none"/>
                      <w:lang w:val="en-US" w:eastAsia="zh-CN"/>
                    </w:rPr>
                    <w:t>臭气浓度</w:t>
                  </w:r>
                </w:p>
              </w:tc>
              <w:tc>
                <w:tcPr>
                  <w:tcW w:w="816" w:type="pct"/>
                  <w:vAlign w:val="center"/>
                </w:tcPr>
                <w:p>
                  <w:pPr>
                    <w:widowControl w:val="0"/>
                    <w:adjustRightInd/>
                    <w:snapToGrid/>
                    <w:spacing w:after="0"/>
                    <w:jc w:val="center"/>
                    <w:rPr>
                      <w:color w:val="auto"/>
                      <w:kern w:val="2"/>
                      <w:sz w:val="21"/>
                      <w:szCs w:val="21"/>
                      <w:u w:val="none"/>
                      <w:lang w:val="en-US" w:eastAsia="zh-CN"/>
                    </w:rPr>
                  </w:pPr>
                  <w:r>
                    <w:rPr>
                      <w:rFonts w:hint="eastAsia"/>
                      <w:color w:val="auto"/>
                      <w:kern w:val="2"/>
                      <w:sz w:val="21"/>
                      <w:szCs w:val="21"/>
                      <w:u w:val="none"/>
                      <w:lang w:val="en-US" w:eastAsia="zh-CN"/>
                    </w:rPr>
                    <w:t>20</w:t>
                  </w:r>
                </w:p>
              </w:tc>
              <w:tc>
                <w:tcPr>
                  <w:tcW w:w="906" w:type="pct"/>
                  <w:vAlign w:val="center"/>
                </w:tcPr>
                <w:p>
                  <w:pPr>
                    <w:widowControl w:val="0"/>
                    <w:adjustRightInd/>
                    <w:snapToGrid/>
                    <w:spacing w:after="0"/>
                    <w:jc w:val="center"/>
                    <w:rPr>
                      <w:color w:val="auto"/>
                      <w:kern w:val="2"/>
                      <w:sz w:val="21"/>
                      <w:szCs w:val="21"/>
                      <w:u w:val="none"/>
                      <w:lang w:val="en-US" w:eastAsia="zh-CN"/>
                    </w:rPr>
                  </w:pPr>
                  <w:r>
                    <w:rPr>
                      <w:rFonts w:hint="eastAsia"/>
                      <w:color w:val="auto"/>
                      <w:kern w:val="2"/>
                      <w:sz w:val="21"/>
                      <w:szCs w:val="21"/>
                      <w:u w:val="none"/>
                      <w:lang w:val="en-US" w:eastAsia="zh-CN"/>
                    </w:rPr>
                    <w:t>/</w:t>
                  </w:r>
                </w:p>
              </w:tc>
              <w:tc>
                <w:tcPr>
                  <w:tcW w:w="1737" w:type="pct"/>
                  <w:vMerge w:val="restart"/>
                  <w:vAlign w:val="center"/>
                </w:tcPr>
                <w:p>
                  <w:pPr>
                    <w:widowControl w:val="0"/>
                    <w:adjustRightInd/>
                    <w:snapToGrid/>
                    <w:spacing w:after="0"/>
                    <w:jc w:val="center"/>
                    <w:rPr>
                      <w:rFonts w:hint="eastAsia"/>
                      <w:color w:val="auto"/>
                      <w:kern w:val="2"/>
                      <w:sz w:val="21"/>
                      <w:szCs w:val="21"/>
                      <w:u w:val="none"/>
                      <w:lang w:val="en-US" w:eastAsia="zh-CN"/>
                    </w:rPr>
                  </w:pPr>
                  <w:r>
                    <w:rPr>
                      <w:rFonts w:ascii="Times New Roman" w:eastAsia="宋体" w:hAnsi="Times New Roman" w:hint="eastAsia"/>
                      <w:color w:val="auto"/>
                      <w:kern w:val="2"/>
                      <w:sz w:val="21"/>
                      <w:szCs w:val="21"/>
                      <w:u w:val="none"/>
                    </w:rPr>
                    <w:t>GB14554-1993</w:t>
                  </w:r>
                </w:p>
              </w:tc>
            </w:tr>
            <w:tr>
              <w:trPr>
                <w:trHeight w:val="454"/>
              </w:trPr>
              <w:tc>
                <w:tcPr>
                  <w:tcW w:w="907" w:type="pct"/>
                  <w:vMerge/>
                  <w:vAlign w:val="center"/>
                </w:tcPr>
                <w:p/>
              </w:tc>
              <w:tc>
                <w:tcPr>
                  <w:tcW w:w="633" w:type="pct"/>
                  <w:shd w:val="clear" w:color="auto" w:fill="auto"/>
                  <w:vAlign w:val="center"/>
                </w:tcPr>
                <w:p>
                  <w:pPr>
                    <w:widowControl w:val="0"/>
                    <w:adjustRightInd/>
                    <w:snapToGrid/>
                    <w:spacing w:after="0"/>
                    <w:jc w:val="center"/>
                    <w:rPr>
                      <w:rFonts w:ascii="Times New Roman" w:eastAsia="宋体" w:cs="Times New Roman" w:hAnsi="Times New Roman" w:hint="eastAsia"/>
                      <w:color w:val="auto"/>
                      <w:kern w:val="2"/>
                      <w:sz w:val="21"/>
                      <w:szCs w:val="21"/>
                      <w:u w:val="none"/>
                      <w:lang w:val="en-US" w:eastAsia="zh-CN" w:bidi="ar-SA"/>
                    </w:rPr>
                  </w:pPr>
                  <w:r>
                    <w:rPr>
                      <w:rFonts w:cs="Times New Roman" w:hint="eastAsia"/>
                      <w:color w:val="auto"/>
                      <w:kern w:val="2"/>
                      <w:sz w:val="21"/>
                      <w:szCs w:val="21"/>
                      <w:u w:val="none"/>
                      <w:lang w:val="en-US" w:eastAsia="zh-CN"/>
                    </w:rPr>
                    <w:t>氨</w:t>
                  </w:r>
                </w:p>
              </w:tc>
              <w:tc>
                <w:tcPr>
                  <w:tcW w:w="816" w:type="pct"/>
                  <w:shd w:val="clear" w:color="auto" w:fill="auto"/>
                  <w:vAlign w:val="center"/>
                </w:tcPr>
                <w:p>
                  <w:pPr>
                    <w:widowControl w:val="0"/>
                    <w:adjustRightInd/>
                    <w:snapToGrid/>
                    <w:spacing w:after="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1.5</w:t>
                  </w:r>
                </w:p>
              </w:tc>
              <w:tc>
                <w:tcPr>
                  <w:tcW w:w="906" w:type="pct"/>
                  <w:shd w:val="clear" w:color="auto" w:fill="auto"/>
                  <w:vAlign w:val="center"/>
                </w:tcPr>
                <w:p>
                  <w:pPr>
                    <w:widowControl w:val="0"/>
                    <w:adjustRightInd/>
                    <w:snapToGrid/>
                    <w:spacing w:after="0"/>
                    <w:jc w:val="center"/>
                    <w:rPr>
                      <w:rFonts w:ascii="Times New Roman" w:eastAsia="宋体" w:cs="Times New Roman" w:hAnsi="Times New Roman"/>
                      <w:color w:val="auto"/>
                      <w:kern w:val="2"/>
                      <w:sz w:val="21"/>
                      <w:szCs w:val="21"/>
                      <w:u w:val="none"/>
                      <w:lang w:val="en-US" w:eastAsia="zh-CN" w:bidi="ar-SA"/>
                    </w:rPr>
                  </w:pPr>
                  <w:r>
                    <w:rPr>
                      <w:rFonts w:hint="eastAsia"/>
                      <w:color w:val="auto"/>
                      <w:kern w:val="2"/>
                      <w:sz w:val="21"/>
                      <w:szCs w:val="21"/>
                      <w:u w:val="none"/>
                      <w:lang w:val="en-US" w:eastAsia="zh-CN"/>
                    </w:rPr>
                    <w:t>/</w:t>
                  </w:r>
                </w:p>
              </w:tc>
              <w:tc>
                <w:tcPr>
                  <w:tcW w:w="1737" w:type="pct"/>
                  <w:vMerge/>
                  <w:vAlign w:val="center"/>
                </w:tcPr>
                <w:p/>
              </w:tc>
            </w:tr>
            <w:tr>
              <w:trPr>
                <w:trHeight w:val="454"/>
              </w:trPr>
              <w:tc>
                <w:tcPr>
                  <w:tcW w:w="907" w:type="pct"/>
                  <w:vMerge/>
                  <w:vAlign w:val="center"/>
                </w:tcPr>
                <w:p/>
              </w:tc>
              <w:tc>
                <w:tcPr>
                  <w:tcW w:w="633" w:type="pct"/>
                  <w:shd w:val="clear" w:color="auto" w:fill="auto"/>
                  <w:vAlign w:val="center"/>
                </w:tcPr>
                <w:p>
                  <w:pPr>
                    <w:widowControl w:val="0"/>
                    <w:adjustRightInd/>
                    <w:snapToGrid/>
                    <w:spacing w:after="0"/>
                    <w:jc w:val="center"/>
                    <w:rPr>
                      <w:rFonts w:ascii="Times New Roman" w:eastAsia="宋体"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rPr>
                    <w:t>硫化氢</w:t>
                  </w:r>
                </w:p>
              </w:tc>
              <w:tc>
                <w:tcPr>
                  <w:tcW w:w="816" w:type="pct"/>
                  <w:shd w:val="clear" w:color="auto" w:fill="auto"/>
                  <w:vAlign w:val="center"/>
                </w:tcPr>
                <w:p>
                  <w:pPr>
                    <w:widowControl w:val="0"/>
                    <w:adjustRightInd/>
                    <w:snapToGrid/>
                    <w:spacing w:after="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0.06</w:t>
                  </w:r>
                </w:p>
              </w:tc>
              <w:tc>
                <w:tcPr>
                  <w:tcW w:w="906" w:type="pct"/>
                  <w:shd w:val="clear" w:color="auto" w:fill="auto"/>
                  <w:vAlign w:val="center"/>
                </w:tcPr>
                <w:p>
                  <w:pPr>
                    <w:widowControl w:val="0"/>
                    <w:adjustRightInd/>
                    <w:snapToGrid/>
                    <w:spacing w:after="0"/>
                    <w:jc w:val="center"/>
                    <w:rPr>
                      <w:rFonts w:ascii="Times New Roman" w:eastAsia="宋体" w:cs="Times New Roman" w:hAnsi="Times New Roman" w:hint="eastAsia"/>
                      <w:color w:val="auto"/>
                      <w:kern w:val="2"/>
                      <w:sz w:val="21"/>
                      <w:szCs w:val="21"/>
                      <w:u w:val="none"/>
                      <w:lang w:val="en-US" w:eastAsia="zh-CN" w:bidi="ar-SA"/>
                    </w:rPr>
                  </w:pPr>
                  <w:r>
                    <w:rPr>
                      <w:rFonts w:hint="eastAsia"/>
                      <w:color w:val="auto"/>
                      <w:kern w:val="2"/>
                      <w:sz w:val="21"/>
                      <w:szCs w:val="21"/>
                      <w:u w:val="none"/>
                      <w:lang w:val="en-US" w:eastAsia="zh-CN"/>
                    </w:rPr>
                    <w:t>/</w:t>
                  </w:r>
                </w:p>
              </w:tc>
              <w:tc>
                <w:tcPr>
                  <w:tcW w:w="1737" w:type="pct"/>
                  <w:vMerge/>
                  <w:vAlign w:val="center"/>
                </w:tcPr>
                <w:p/>
              </w:tc>
            </w:tr>
          </w:tbl>
          <w:p>
            <w:pPr>
              <w:spacing w:beforeLines="50" w:before="120" w:line="360" w:lineRule="auto"/>
              <w:ind w:firstLineChars="150" w:firstLine="360"/>
              <w:rPr>
                <w:b/>
                <w:color w:val="auto"/>
                <w:sz w:val="24"/>
                <w:u w:val="none"/>
              </w:rPr>
            </w:pPr>
            <w:r>
              <w:rPr>
                <w:b/>
                <w:color w:val="auto"/>
                <w:sz w:val="24"/>
                <w:u w:val="none"/>
              </w:rPr>
              <w:t>3、噪声排放标准</w:t>
            </w:r>
          </w:p>
          <w:p>
            <w:pPr>
              <w:pStyle w:val="45"/>
              <w:spacing w:line="360" w:lineRule="auto"/>
              <w:ind w:firstLineChars="200" w:firstLine="480"/>
              <w:rPr>
                <w:color w:val="auto"/>
                <w:sz w:val="24"/>
                <w:u w:val="none"/>
              </w:rPr>
            </w:pPr>
            <w:r>
              <w:rPr>
                <w:color w:val="auto"/>
                <w:sz w:val="24"/>
                <w:u w:val="none"/>
              </w:rPr>
              <w:t>施工期：建设项目施工期噪声排放执行《</w:t>
            </w:r>
            <w:r>
              <w:rPr>
                <w:rFonts w:hint="eastAsia"/>
                <w:color w:val="auto"/>
                <w:sz w:val="24"/>
                <w:u w:val="none"/>
                <w:lang w:eastAsia="zh-CN"/>
              </w:rPr>
              <w:t>建筑施工噪声排放标准</w:t>
            </w:r>
            <w:r>
              <w:rPr>
                <w:color w:val="auto"/>
                <w:sz w:val="24"/>
                <w:u w:val="none"/>
              </w:rPr>
              <w:t>》（</w:t>
            </w:r>
            <w:r>
              <w:rPr>
                <w:rFonts w:hint="eastAsia"/>
                <w:color w:val="auto"/>
                <w:sz w:val="24"/>
                <w:u w:val="none"/>
                <w:lang w:eastAsia="zh-CN"/>
              </w:rPr>
              <w:t>GB 12523-2025</w:t>
            </w:r>
            <w:r>
              <w:rPr>
                <w:color w:val="auto"/>
                <w:sz w:val="24"/>
                <w:u w:val="none"/>
              </w:rPr>
              <w:t>）。</w:t>
            </w:r>
          </w:p>
          <w:p>
            <w:pPr>
              <w:pStyle w:val="45"/>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cs="Times New Roman" w:hAnsi="Times New Roman"/>
                <w:color w:val="auto"/>
                <w:sz w:val="24"/>
                <w:u w:val="none"/>
              </w:rPr>
            </w:pPr>
            <w:r>
              <w:rPr>
                <w:color w:val="auto"/>
                <w:sz w:val="24"/>
                <w:u w:val="none"/>
              </w:rPr>
              <w:t>运营期：项目厂界噪声执行《工业企业厂界环境噪声排放标准》（GB12348-2008）</w:t>
            </w:r>
            <w:r>
              <w:rPr>
                <w:rFonts w:hint="eastAsia"/>
                <w:color w:val="auto"/>
                <w:sz w:val="24"/>
                <w:u w:val="none"/>
                <w:lang w:val="en-US" w:eastAsia="zh-CN"/>
              </w:rPr>
              <w:t>3</w:t>
            </w:r>
            <w:r>
              <w:rPr>
                <w:color w:val="auto"/>
                <w:sz w:val="24"/>
                <w:u w:val="none"/>
              </w:rPr>
              <w:t>类标准。具体标准限值见下表</w:t>
            </w:r>
            <w:r>
              <w:rPr>
                <w:rFonts w:ascii="Times New Roman" w:cs="Times New Roman" w:hAnsi="Times New Roman"/>
                <w:color w:val="auto"/>
                <w:sz w:val="24"/>
                <w:u w:val="none"/>
              </w:rPr>
              <w:t>。</w:t>
            </w:r>
          </w:p>
          <w:p>
            <w:pPr>
              <w:spacing w:beforeLines="50" w:before="120" w:line="360" w:lineRule="auto"/>
              <w:jc w:val="center"/>
              <w:rPr>
                <w:b/>
                <w:color w:val="auto"/>
                <w:szCs w:val="21"/>
                <w:u w:val="none"/>
              </w:rPr>
            </w:pPr>
            <w:r>
              <w:rPr>
                <w:b/>
                <w:color w:val="auto"/>
                <w:szCs w:val="21"/>
                <w:u w:val="none"/>
              </w:rPr>
              <w:t>表 3-</w:t>
            </w:r>
            <w:r>
              <w:rPr>
                <w:rFonts w:hint="eastAsia"/>
                <w:b/>
                <w:color w:val="auto"/>
                <w:szCs w:val="21"/>
                <w:u w:val="none"/>
                <w:lang w:val="en-US" w:eastAsia="zh-CN"/>
              </w:rPr>
              <w:t>8</w:t>
            </w:r>
            <w:r>
              <w:rPr>
                <w:b/>
                <w:color w:val="auto"/>
                <w:szCs w:val="21"/>
                <w:u w:val="none"/>
              </w:rPr>
              <w:t xml:space="preserve"> 建筑施工场界环境噪声排放限值</w:t>
            </w:r>
            <w:r>
              <w:rPr>
                <w:rFonts w:hint="eastAsia"/>
                <w:b/>
                <w:color w:val="auto"/>
                <w:szCs w:val="21"/>
                <w:u w:val="none"/>
                <w:lang w:val="en-US" w:eastAsia="zh-CN"/>
              </w:rPr>
              <w:t xml:space="preserve">  </w:t>
            </w:r>
            <w:r>
              <w:rPr>
                <w:b/>
                <w:color w:val="auto"/>
                <w:szCs w:val="21"/>
                <w:u w:val="none"/>
              </w:rPr>
              <w:t>单位：dB（A）</w:t>
            </w:r>
          </w:p>
          <w:tbl>
            <w:tblPr>
              <w:jc w:val="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386"/>
              <w:gridCol w:w="3981"/>
            </w:tblGrid>
            <w:tr>
              <w:trPr>
                <w:trHeight w:val="462"/>
              </w:trPr>
              <w:tc>
                <w:tcPr>
                  <w:tcW w:w="5000" w:type="pct"/>
                  <w:gridSpan w:val="2"/>
                  <w:vAlign w:val="center"/>
                </w:tcPr>
                <w:p>
                  <w:pPr>
                    <w:adjustRightInd w:val="0"/>
                    <w:snapToGrid w:val="0"/>
                    <w:jc w:val="center"/>
                    <w:rPr>
                      <w:b/>
                      <w:bCs/>
                      <w:color w:val="auto"/>
                      <w:szCs w:val="21"/>
                      <w:u w:val="none"/>
                    </w:rPr>
                  </w:pPr>
                  <w:r>
                    <w:rPr>
                      <w:b/>
                      <w:bCs/>
                      <w:color w:val="auto"/>
                      <w:szCs w:val="21"/>
                      <w:u w:val="none"/>
                    </w:rPr>
                    <w:t>标准限值</w:t>
                  </w:r>
                </w:p>
              </w:tc>
            </w:tr>
            <w:tr>
              <w:trPr>
                <w:trHeight w:val="462"/>
              </w:trPr>
              <w:tc>
                <w:tcPr>
                  <w:tcW w:w="2621" w:type="pct"/>
                  <w:vAlign w:val="center"/>
                </w:tcPr>
                <w:p>
                  <w:pPr>
                    <w:adjustRightInd w:val="0"/>
                    <w:snapToGrid w:val="0"/>
                    <w:jc w:val="center"/>
                    <w:rPr>
                      <w:b/>
                      <w:bCs/>
                      <w:color w:val="auto"/>
                      <w:szCs w:val="21"/>
                      <w:u w:val="none"/>
                    </w:rPr>
                  </w:pPr>
                  <w:r>
                    <w:rPr>
                      <w:b/>
                      <w:bCs/>
                      <w:color w:val="auto"/>
                      <w:szCs w:val="21"/>
                      <w:u w:val="none"/>
                    </w:rPr>
                    <w:t>昼间</w:t>
                  </w:r>
                </w:p>
              </w:tc>
              <w:tc>
                <w:tcPr>
                  <w:tcW w:w="2378" w:type="pct"/>
                  <w:vAlign w:val="center"/>
                </w:tcPr>
                <w:p>
                  <w:pPr>
                    <w:adjustRightInd w:val="0"/>
                    <w:snapToGrid w:val="0"/>
                    <w:jc w:val="center"/>
                    <w:rPr>
                      <w:b/>
                      <w:bCs/>
                      <w:color w:val="auto"/>
                      <w:szCs w:val="21"/>
                      <w:u w:val="none"/>
                    </w:rPr>
                  </w:pPr>
                  <w:r>
                    <w:rPr>
                      <w:b/>
                      <w:bCs/>
                      <w:color w:val="auto"/>
                      <w:szCs w:val="21"/>
                      <w:u w:val="none"/>
                    </w:rPr>
                    <w:t>夜间</w:t>
                  </w:r>
                </w:p>
              </w:tc>
            </w:tr>
            <w:tr>
              <w:trPr>
                <w:trHeight w:val="468"/>
              </w:trPr>
              <w:tc>
                <w:tcPr>
                  <w:tcW w:w="2621" w:type="pct"/>
                  <w:vAlign w:val="center"/>
                </w:tcPr>
                <w:p>
                  <w:pPr>
                    <w:adjustRightInd w:val="0"/>
                    <w:snapToGrid w:val="0"/>
                    <w:jc w:val="center"/>
                    <w:rPr>
                      <w:color w:val="auto"/>
                      <w:szCs w:val="21"/>
                      <w:u w:val="none"/>
                    </w:rPr>
                  </w:pPr>
                  <w:r>
                    <w:rPr>
                      <w:color w:val="auto"/>
                      <w:szCs w:val="21"/>
                      <w:u w:val="none"/>
                    </w:rPr>
                    <w:t>70</w:t>
                  </w:r>
                </w:p>
              </w:tc>
              <w:tc>
                <w:tcPr>
                  <w:tcW w:w="2378" w:type="pct"/>
                  <w:vAlign w:val="center"/>
                </w:tcPr>
                <w:p>
                  <w:pPr>
                    <w:adjustRightInd w:val="0"/>
                    <w:snapToGrid w:val="0"/>
                    <w:jc w:val="center"/>
                    <w:rPr>
                      <w:color w:val="auto"/>
                      <w:szCs w:val="21"/>
                      <w:u w:val="none"/>
                    </w:rPr>
                  </w:pPr>
                  <w:r>
                    <w:rPr>
                      <w:color w:val="auto"/>
                      <w:szCs w:val="21"/>
                      <w:u w:val="none"/>
                    </w:rPr>
                    <w:t>55</w:t>
                  </w:r>
                </w:p>
              </w:tc>
            </w:tr>
          </w:tbl>
          <w:p>
            <w:pPr>
              <w:keepNext w:val="0"/>
              <w:keepLines w:val="0"/>
              <w:pageBreakBefore w:val="0"/>
              <w:widowControl w:val="0"/>
              <w:kinsoku/>
              <w:wordWrap/>
              <w:overflowPunct/>
              <w:topLinePunct w:val="0"/>
              <w:autoSpaceDE/>
              <w:autoSpaceDN/>
              <w:bidi w:val="0"/>
              <w:adjustRightInd/>
              <w:snapToGrid/>
              <w:spacing w:beforeLines="50" w:before="120" w:line="360" w:lineRule="auto"/>
              <w:jc w:val="center"/>
              <w:textAlignment w:val="auto"/>
              <w:rPr>
                <w:rFonts w:ascii="Times New Roman" w:cs="Times New Roman" w:hAnsi="Times New Roman"/>
                <w:b/>
                <w:color w:val="auto"/>
                <w:szCs w:val="21"/>
                <w:u w:val="none"/>
              </w:rPr>
            </w:pPr>
            <w:r>
              <w:rPr>
                <w:rFonts w:ascii="Times New Roman" w:cs="Times New Roman" w:hAnsi="Times New Roman"/>
                <w:b/>
                <w:color w:val="auto"/>
                <w:szCs w:val="21"/>
                <w:u w:val="none"/>
              </w:rPr>
              <w:t>表</w:t>
            </w:r>
            <w:r>
              <w:rPr>
                <w:rFonts w:ascii="Times New Roman" w:cs="Times New Roman" w:hAnsi="Times New Roman" w:hint="eastAsia"/>
                <w:b/>
                <w:color w:val="auto"/>
                <w:szCs w:val="21"/>
                <w:u w:val="none"/>
                <w:lang w:val="en-US" w:eastAsia="zh-CN"/>
              </w:rPr>
              <w:t xml:space="preserve"> </w:t>
            </w:r>
            <w:r>
              <w:rPr>
                <w:rFonts w:cs="Times New Roman" w:hint="eastAsia"/>
                <w:b/>
                <w:color w:val="auto"/>
                <w:szCs w:val="21"/>
                <w:u w:val="none"/>
                <w:lang w:val="en-US" w:eastAsia="zh-CN"/>
              </w:rPr>
              <w:t>3</w:t>
            </w:r>
            <w:r>
              <w:rPr>
                <w:rFonts w:ascii="Times New Roman" w:cs="Times New Roman" w:hAnsi="Times New Roman" w:hint="eastAsia"/>
                <w:b/>
                <w:color w:val="auto"/>
                <w:szCs w:val="21"/>
                <w:u w:val="none"/>
                <w:lang w:val="en-US" w:eastAsia="zh-CN"/>
              </w:rPr>
              <w:t>-</w:t>
            </w:r>
            <w:r>
              <w:rPr>
                <w:rFonts w:cs="Times New Roman" w:hint="eastAsia"/>
                <w:b/>
                <w:color w:val="auto"/>
                <w:szCs w:val="21"/>
                <w:u w:val="none"/>
                <w:lang w:val="en-US" w:eastAsia="zh-CN"/>
              </w:rPr>
              <w:t>9</w:t>
            </w:r>
            <w:r>
              <w:rPr>
                <w:rFonts w:ascii="Times New Roman" w:cs="Times New Roman" w:hAnsi="Times New Roman"/>
                <w:b/>
                <w:color w:val="auto"/>
                <w:szCs w:val="21"/>
                <w:u w:val="none"/>
              </w:rPr>
              <w:t xml:space="preserve"> 工业企业厂界噪声限值</w:t>
            </w:r>
            <w:r>
              <w:rPr>
                <w:rFonts w:cs="Times New Roman" w:hint="eastAsia"/>
                <w:b/>
                <w:color w:val="auto"/>
                <w:szCs w:val="21"/>
                <w:u w:val="none"/>
                <w:lang w:val="en-US" w:eastAsia="zh-CN"/>
              </w:rPr>
              <w:t xml:space="preserve">  </w:t>
            </w:r>
            <w:r>
              <w:rPr>
                <w:rFonts w:ascii="Times New Roman" w:cs="Times New Roman" w:hAnsi="Times New Roman"/>
                <w:b/>
                <w:color w:val="auto"/>
                <w:szCs w:val="21"/>
                <w:u w:val="none"/>
              </w:rPr>
              <w:t>单位：dB</w:t>
            </w:r>
            <w:r>
              <w:rPr>
                <w:rFonts w:ascii="Times New Roman" w:cs="Times New Roman" w:hAnsi="Times New Roman" w:hint="eastAsia"/>
                <w:b/>
                <w:color w:val="auto"/>
                <w:szCs w:val="21"/>
                <w:u w:val="none"/>
                <w:lang w:eastAsia="zh-CN"/>
              </w:rPr>
              <w:t>（</w:t>
            </w:r>
            <w:r>
              <w:rPr>
                <w:rFonts w:ascii="Times New Roman" w:cs="Times New Roman" w:hAnsi="Times New Roman" w:hint="eastAsia"/>
                <w:b/>
                <w:color w:val="auto"/>
                <w:szCs w:val="21"/>
                <w:u w:val="none"/>
                <w:lang w:val="en-US" w:eastAsia="zh-CN"/>
              </w:rPr>
              <w:t>A</w:t>
            </w:r>
            <w:r>
              <w:rPr>
                <w:rFonts w:ascii="Times New Roman" w:cs="Times New Roman" w:hAnsi="Times New Roman" w:hint="eastAsia"/>
                <w:b/>
                <w:color w:val="auto"/>
                <w:szCs w:val="21"/>
                <w:u w:val="none"/>
                <w:lang w:eastAsia="zh-CN"/>
              </w:rPr>
              <w:t>）</w:t>
            </w:r>
          </w:p>
          <w:tbl>
            <w:tblPr>
              <w:jc w:val="cente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4227"/>
              <w:gridCol w:w="2169"/>
              <w:gridCol w:w="1968"/>
            </w:tblGrid>
            <w:tr>
              <w:trPr>
                <w:trHeight w:val="454"/>
              </w:trPr>
              <w:tc>
                <w:tcPr>
                  <w:tcW w:w="2526" w:type="pct"/>
                  <w:vAlign w:val="center"/>
                </w:tcPr>
                <w:p>
                  <w:pPr>
                    <w:adjustRightInd w:val="0"/>
                    <w:snapToGrid w:val="0"/>
                    <w:jc w:val="center"/>
                    <w:rPr>
                      <w:rFonts w:ascii="Times New Roman" w:cs="Times New Roman" w:hAnsi="Times New Roman" w:hint="eastAsia"/>
                      <w:b/>
                      <w:bCs/>
                      <w:color w:val="auto"/>
                      <w:szCs w:val="21"/>
                      <w:u w:val="none"/>
                      <w:lang w:eastAsia="zh-CN"/>
                    </w:rPr>
                  </w:pPr>
                  <w:r>
                    <w:rPr>
                      <w:rFonts w:ascii="Times New Roman" w:cs="Times New Roman" w:hAnsi="Times New Roman"/>
                      <w:b/>
                      <w:bCs/>
                      <w:color w:val="auto"/>
                      <w:szCs w:val="21"/>
                      <w:u w:val="none"/>
                    </w:rPr>
                    <w:t>GB12348-2008</w:t>
                  </w:r>
                </w:p>
              </w:tc>
              <w:tc>
                <w:tcPr>
                  <w:tcW w:w="1296" w:type="pct"/>
                  <w:vAlign w:val="center"/>
                </w:tcPr>
                <w:p>
                  <w:pPr>
                    <w:adjustRightInd w:val="0"/>
                    <w:snapToGrid w:val="0"/>
                    <w:jc w:val="center"/>
                    <w:rPr>
                      <w:rFonts w:ascii="Times New Roman" w:cs="Times New Roman" w:hAnsi="Times New Roman"/>
                      <w:b/>
                      <w:bCs/>
                      <w:color w:val="auto"/>
                      <w:szCs w:val="21"/>
                      <w:u w:val="none"/>
                    </w:rPr>
                  </w:pPr>
                  <w:r>
                    <w:rPr>
                      <w:rFonts w:ascii="Times New Roman" w:cs="Times New Roman" w:hAnsi="Times New Roman"/>
                      <w:b/>
                      <w:bCs/>
                      <w:color w:val="auto"/>
                      <w:szCs w:val="21"/>
                      <w:u w:val="none"/>
                    </w:rPr>
                    <w:t>昼间</w:t>
                  </w:r>
                </w:p>
              </w:tc>
              <w:tc>
                <w:tcPr>
                  <w:tcW w:w="1176" w:type="pct"/>
                  <w:vAlign w:val="center"/>
                </w:tcPr>
                <w:p>
                  <w:pPr>
                    <w:adjustRightInd w:val="0"/>
                    <w:snapToGrid w:val="0"/>
                    <w:jc w:val="center"/>
                    <w:rPr>
                      <w:rFonts w:ascii="Times New Roman" w:cs="Times New Roman" w:hAnsi="Times New Roman"/>
                      <w:b/>
                      <w:bCs/>
                      <w:color w:val="auto"/>
                      <w:szCs w:val="21"/>
                      <w:u w:val="none"/>
                    </w:rPr>
                  </w:pPr>
                  <w:r>
                    <w:rPr>
                      <w:rFonts w:ascii="Times New Roman" w:cs="Times New Roman" w:hAnsi="Times New Roman"/>
                      <w:b/>
                      <w:bCs/>
                      <w:color w:val="auto"/>
                      <w:szCs w:val="21"/>
                      <w:u w:val="none"/>
                    </w:rPr>
                    <w:t>夜间</w:t>
                  </w:r>
                </w:p>
              </w:tc>
            </w:tr>
            <w:tr>
              <w:trPr>
                <w:trHeight w:val="454"/>
              </w:trPr>
              <w:tc>
                <w:tcPr>
                  <w:tcW w:w="2526" w:type="pct"/>
                  <w:vAlign w:val="center"/>
                </w:tcPr>
                <w:p>
                  <w:pPr>
                    <w:adjustRightInd w:val="0"/>
                    <w:snapToGrid w:val="0"/>
                    <w:jc w:val="center"/>
                    <w:rPr>
                      <w:rFonts w:ascii="Times New Roman" w:cs="Times New Roman" w:hAnsi="Times New Roman" w:hint="eastAsia"/>
                      <w:color w:val="auto"/>
                      <w:spacing w:val="-20"/>
                      <w:szCs w:val="21"/>
                      <w:u w:val="none"/>
                      <w:lang w:val="en-US" w:eastAsia="zh-CN"/>
                    </w:rPr>
                  </w:pPr>
                  <w:r>
                    <w:rPr>
                      <w:rFonts w:cs="Times New Roman" w:hint="eastAsia"/>
                      <w:color w:val="auto"/>
                      <w:spacing w:val="-20"/>
                      <w:szCs w:val="21"/>
                      <w:u w:val="none"/>
                      <w:lang w:val="en-US" w:eastAsia="zh-CN"/>
                    </w:rPr>
                    <w:t>3</w:t>
                  </w:r>
                  <w:r>
                    <w:rPr>
                      <w:rFonts w:ascii="Times New Roman" w:cs="Times New Roman" w:hAnsi="Times New Roman"/>
                      <w:color w:val="auto"/>
                      <w:szCs w:val="21"/>
                      <w:u w:val="none"/>
                    </w:rPr>
                    <w:t>类</w:t>
                  </w:r>
                </w:p>
              </w:tc>
              <w:tc>
                <w:tcPr>
                  <w:tcW w:w="1296" w:type="pct"/>
                  <w:vAlign w:val="center"/>
                </w:tcPr>
                <w:p>
                  <w:pPr>
                    <w:adjustRightInd w:val="0"/>
                    <w:snapToGrid w:val="0"/>
                    <w:jc w:val="center"/>
                    <w:rPr>
                      <w:rFonts w:ascii="Times New Roman" w:eastAsia="宋体" w:cs="Times New Roman" w:hAnsi="Times New Roman" w:hint="eastAsia"/>
                      <w:color w:val="auto"/>
                      <w:szCs w:val="21"/>
                      <w:u w:val="none"/>
                      <w:lang w:eastAsia="zh-CN"/>
                    </w:rPr>
                  </w:pPr>
                  <w:r>
                    <w:rPr>
                      <w:rFonts w:ascii="Times New Roman" w:cs="Times New Roman" w:hAnsi="Times New Roman"/>
                      <w:color w:val="auto"/>
                      <w:szCs w:val="21"/>
                      <w:u w:val="none"/>
                    </w:rPr>
                    <w:t>6</w:t>
                  </w:r>
                  <w:r>
                    <w:rPr>
                      <w:rFonts w:cs="Times New Roman" w:hint="eastAsia"/>
                      <w:color w:val="auto"/>
                      <w:szCs w:val="21"/>
                      <w:u w:val="none"/>
                      <w:lang w:val="en-US" w:eastAsia="zh-CN"/>
                    </w:rPr>
                    <w:t>5</w:t>
                  </w:r>
                </w:p>
              </w:tc>
              <w:tc>
                <w:tcPr>
                  <w:tcW w:w="1176" w:type="pct"/>
                  <w:vAlign w:val="center"/>
                </w:tcPr>
                <w:p>
                  <w:pPr>
                    <w:adjustRightInd w:val="0"/>
                    <w:snapToGrid w:val="0"/>
                    <w:jc w:val="center"/>
                    <w:rPr>
                      <w:rFonts w:ascii="Times New Roman" w:eastAsia="宋体" w:cs="Times New Roman" w:hAnsi="Times New Roman" w:hint="eastAsia"/>
                      <w:color w:val="auto"/>
                      <w:szCs w:val="21"/>
                      <w:u w:val="none"/>
                      <w:lang w:eastAsia="zh-CN"/>
                    </w:rPr>
                  </w:pPr>
                  <w:r>
                    <w:rPr>
                      <w:rFonts w:ascii="Times New Roman" w:cs="Times New Roman" w:hAnsi="Times New Roman"/>
                      <w:color w:val="auto"/>
                      <w:szCs w:val="21"/>
                      <w:u w:val="none"/>
                    </w:rPr>
                    <w:t>5</w:t>
                  </w:r>
                  <w:r>
                    <w:rPr>
                      <w:rFonts w:cs="Times New Roman" w:hint="eastAsia"/>
                      <w:color w:val="auto"/>
                      <w:szCs w:val="21"/>
                      <w:u w:val="none"/>
                      <w:lang w:val="en-US" w:eastAsia="zh-CN"/>
                    </w:rPr>
                    <w:t>5</w:t>
                  </w:r>
                </w:p>
              </w:tc>
            </w:tr>
          </w:tbl>
          <w:p>
            <w:pPr>
              <w:spacing w:beforeLines="50" w:before="120" w:line="360" w:lineRule="auto"/>
              <w:ind w:firstLineChars="150" w:firstLine="360"/>
              <w:rPr>
                <w:b/>
                <w:color w:val="auto"/>
                <w:sz w:val="24"/>
                <w:u w:val="none"/>
              </w:rPr>
            </w:pPr>
            <w:r>
              <w:rPr>
                <w:b/>
                <w:color w:val="auto"/>
                <w:sz w:val="24"/>
                <w:u w:val="none"/>
              </w:rPr>
              <w:t>4、固体废物排放标准</w:t>
            </w:r>
          </w:p>
          <w:p>
            <w:pPr>
              <w:spacing w:line="360" w:lineRule="auto"/>
              <w:ind w:firstLineChars="200" w:firstLine="472"/>
              <w:contextualSpacing/>
              <w:rPr>
                <w:color w:val="0000FF"/>
                <w:kern w:val="0"/>
                <w:sz w:val="24"/>
                <w:u w:val="none"/>
              </w:rPr>
            </w:pPr>
            <w:r>
              <w:rPr>
                <w:color w:val="auto"/>
                <w:spacing w:val="-2"/>
                <w:sz w:val="24"/>
                <w:u w:val="none"/>
              </w:rPr>
              <w:t>一般固体废弃物执行《一般工业固体废物贮存和填埋污染控制标准》（GB18599-2020）；</w:t>
            </w:r>
            <w:r>
              <w:rPr>
                <w:rFonts w:ascii="Times New Roman" w:eastAsia="宋体" w:cs="Times New Roman" w:hAnsi="Times New Roman"/>
                <w:color w:val="auto"/>
                <w:spacing w:val="-2"/>
                <w:kern w:val="2"/>
                <w:sz w:val="24"/>
                <w:szCs w:val="24"/>
                <w:lang w:val="en-US" w:eastAsia="zh-CN"/>
              </w:rPr>
              <w:t>危险废物执行《危险废物贮存污染控制标准》（GB18597-20</w:t>
            </w:r>
            <w:r>
              <w:rPr>
                <w:rFonts w:cs="Times New Roman" w:hint="eastAsia"/>
                <w:color w:val="auto"/>
                <w:spacing w:val="-2"/>
                <w:kern w:val="2"/>
                <w:sz w:val="24"/>
                <w:szCs w:val="24"/>
                <w:lang w:val="en-US" w:eastAsia="zh-CN"/>
              </w:rPr>
              <w:t>23</w:t>
            </w:r>
            <w:r>
              <w:rPr>
                <w:rFonts w:ascii="Times New Roman" w:eastAsia="宋体" w:cs="Times New Roman" w:hAnsi="Times New Roman"/>
                <w:color w:val="auto"/>
                <w:spacing w:val="-2"/>
                <w:kern w:val="2"/>
                <w:sz w:val="24"/>
                <w:szCs w:val="24"/>
                <w:lang w:val="en-US" w:eastAsia="zh-CN"/>
              </w:rPr>
              <w:t>）</w:t>
            </w:r>
            <w:r>
              <w:rPr>
                <w:rFonts w:ascii="Times New Roman" w:eastAsia="宋体" w:cs="Times New Roman" w:hAnsi="Times New Roman" w:hint="eastAsia"/>
                <w:color w:val="auto"/>
                <w:spacing w:val="-2"/>
                <w:kern w:val="2"/>
                <w:sz w:val="24"/>
                <w:szCs w:val="24"/>
                <w:lang w:val="en-US" w:eastAsia="zh-CN"/>
              </w:rPr>
              <w:t>；</w:t>
            </w:r>
            <w:r>
              <w:rPr>
                <w:color w:val="auto"/>
                <w:spacing w:val="-2"/>
                <w:sz w:val="24"/>
                <w:u w:val="none"/>
              </w:rPr>
              <w:t>生活垃圾</w:t>
            </w:r>
            <w:r>
              <w:rPr>
                <w:rFonts w:hint="eastAsia"/>
                <w:color w:val="auto"/>
                <w:spacing w:val="-2"/>
                <w:sz w:val="24"/>
                <w:u w:val="none"/>
                <w:lang w:eastAsia="zh-CN"/>
              </w:rPr>
              <w:t>由环卫部门清运</w:t>
            </w:r>
            <w:r>
              <w:rPr>
                <w:color w:val="auto"/>
                <w:sz w:val="24"/>
                <w:u w:val="none"/>
              </w:rPr>
              <w:t>。</w:t>
            </w:r>
          </w:p>
        </w:tc>
      </w:tr>
      <w:tr>
        <w:trPr>
          <w:trHeight w:val="2180"/>
        </w:trPr>
        <w:tc>
          <w:tcPr>
            <w:tcW w:w="800" w:type="dxa"/>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0000FF"/>
                <w:kern w:val="0"/>
                <w:szCs w:val="21"/>
              </w:rPr>
            </w:pPr>
            <w:r>
              <w:rPr>
                <w:color w:val="auto"/>
                <w:kern w:val="0"/>
                <w:szCs w:val="21"/>
              </w:rPr>
              <w:t>指标</w:t>
            </w:r>
          </w:p>
        </w:tc>
        <w:tc>
          <w:tcPr>
            <w:tcW w:w="8190" w:type="dxa"/>
            <w:vAlign w:val="center"/>
          </w:tcPr>
          <w:p>
            <w:pPr>
              <w:spacing w:beforeLines="50" w:before="120" w:line="360" w:lineRule="auto"/>
              <w:ind w:firstLineChars="150" w:firstLine="360"/>
              <w:rPr>
                <w:b/>
                <w:color w:val="auto"/>
                <w:sz w:val="24"/>
              </w:rPr>
            </w:pPr>
            <w:r>
              <w:rPr>
                <w:b/>
                <w:color w:val="auto"/>
                <w:sz w:val="24"/>
              </w:rPr>
              <w:t>1</w:t>
            </w:r>
            <w:r>
              <w:rPr>
                <w:rFonts w:hint="eastAsia"/>
                <w:b/>
                <w:color w:val="auto"/>
                <w:sz w:val="24"/>
              </w:rPr>
              <w:t>、总量控制的原则和控制因子</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contextualSpacing/>
              <w:textAlignment w:val="auto"/>
              <w:rPr>
                <w:color w:val="auto"/>
                <w:sz w:val="24"/>
              </w:rPr>
            </w:pPr>
            <w:r>
              <w:rPr>
                <w:rFonts w:hint="eastAsia"/>
                <w:color w:val="auto"/>
                <w:sz w:val="24"/>
              </w:rPr>
              <w:t>根据《湖南省“十四五”生态环境保护规划的通知》（湘政办发[2021]61号）确定项目纳入总量控制的污染物为化学需氧量（COD）、氨氮（NH</w:t>
            </w:r>
            <w:r>
              <w:rPr>
                <w:rFonts w:hint="eastAsia"/>
                <w:color w:val="auto"/>
                <w:sz w:val="24"/>
                <w:vertAlign w:val="subscript"/>
              </w:rPr>
              <w:t>3</w:t>
            </w:r>
            <w:r>
              <w:rPr>
                <w:rFonts w:hint="eastAsia"/>
                <w:color w:val="auto"/>
                <w:sz w:val="24"/>
              </w:rPr>
              <w:t>-N）、二氧化硫（SO</w:t>
            </w:r>
            <w:r>
              <w:rPr>
                <w:rFonts w:hint="eastAsia"/>
                <w:color w:val="auto"/>
                <w:sz w:val="24"/>
                <w:vertAlign w:val="subscript"/>
              </w:rPr>
              <w:t>2</w:t>
            </w:r>
            <w:r>
              <w:rPr>
                <w:rFonts w:hint="eastAsia"/>
                <w:color w:val="auto"/>
                <w:sz w:val="24"/>
              </w:rPr>
              <w:t>）、氮氧化物（NO</w:t>
            </w:r>
            <w:r>
              <w:rPr>
                <w:rFonts w:hint="eastAsia"/>
                <w:color w:val="auto"/>
                <w:sz w:val="24"/>
                <w:lang w:val="en-US" w:eastAsia="zh-CN"/>
              </w:rPr>
              <w:t>x</w:t>
            </w:r>
            <w:r>
              <w:rPr>
                <w:rFonts w:hint="eastAsia"/>
                <w:color w:val="auto"/>
                <w:sz w:val="24"/>
              </w:rPr>
              <w:t>），部分重点区域和重点行业新增烟粉尘、VOCs、总氮、总磷四项控制指标：</w:t>
            </w:r>
          </w:p>
          <w:p>
            <w:pPr>
              <w:keepNext w:val="0"/>
              <w:keepLines w:val="0"/>
              <w:pageBreakBefore w:val="0"/>
              <w:widowControl w:val="0"/>
              <w:kinsoku/>
              <w:wordWrap/>
              <w:overflowPunct/>
              <w:topLinePunct w:val="0"/>
              <w:autoSpaceDE/>
              <w:autoSpaceDN/>
              <w:bidi w:val="0"/>
              <w:adjustRightInd/>
              <w:snapToGrid/>
              <w:spacing w:line="360" w:lineRule="auto"/>
              <w:ind w:firstLineChars="150" w:firstLine="360"/>
              <w:textAlignment w:val="auto"/>
              <w:rPr>
                <w:b/>
                <w:color w:val="auto"/>
                <w:sz w:val="24"/>
              </w:rPr>
            </w:pPr>
            <w:r>
              <w:rPr>
                <w:rFonts w:hint="eastAsia"/>
                <w:b/>
                <w:color w:val="auto"/>
                <w:sz w:val="24"/>
                <w:lang w:val="en-US" w:eastAsia="zh-CN"/>
              </w:rPr>
              <w:t>2</w:t>
            </w:r>
            <w:r>
              <w:rPr>
                <w:rFonts w:hint="eastAsia"/>
                <w:b/>
                <w:color w:val="auto"/>
                <w:sz w:val="24"/>
              </w:rPr>
              <w:t xml:space="preserve">、污染物排放总量控制指标 </w:t>
            </w:r>
          </w:p>
          <w:p>
            <w:pPr>
              <w:pStyle w:val="27"/>
              <w:adjustRightInd w:val="0"/>
              <w:snapToGrid w:val="0"/>
              <w:spacing w:line="360" w:lineRule="auto"/>
              <w:ind w:leftChars="0" w:left="0" w:firstLineChars="200" w:firstLine="480"/>
              <w:rPr>
                <w:rFonts w:ascii="Times New Roman" w:eastAsia="宋体" w:cs="Times New Roman" w:hAnsi="Times New Roman"/>
                <w:b w:val="0"/>
                <w:bCs w:val="0"/>
                <w:color w:val="auto"/>
                <w:sz w:val="24"/>
                <w:szCs w:val="24"/>
                <w:u w:val="none"/>
                <w:lang w:val="en-US" w:eastAsia="zh-CN"/>
                <w:highlight w:val="none"/>
              </w:rPr>
            </w:pPr>
            <w:r>
              <w:rPr>
                <w:rFonts w:ascii="Times New Roman" w:eastAsia="宋体" w:cs="Times New Roman" w:hAnsi="Times New Roman" w:hint="eastAsia"/>
                <w:b/>
                <w:bCs/>
                <w:color w:val="auto"/>
                <w:sz w:val="24"/>
                <w:szCs w:val="24"/>
                <w:u w:val="none"/>
                <w:lang w:val="en-US" w:eastAsia="zh-CN"/>
                <w:highlight w:val="none"/>
              </w:rPr>
              <w:t>（1）废气</w:t>
            </w:r>
          </w:p>
          <w:p>
            <w:pPr>
              <w:pStyle w:val="27"/>
              <w:adjustRightInd w:val="0"/>
              <w:snapToGrid w:val="0"/>
              <w:spacing w:line="360" w:lineRule="auto"/>
              <w:ind w:leftChars="0" w:left="0" w:firstLineChars="200" w:firstLine="480"/>
              <w:rPr>
                <w:rFonts w:ascii="Times New Roman" w:eastAsia="宋体" w:cs="Times New Roman" w:hAnsi="Times New Roman"/>
                <w:b w:val="0"/>
                <w:bCs w:val="0"/>
                <w:color w:val="auto"/>
                <w:sz w:val="24"/>
                <w:szCs w:val="24"/>
                <w:u w:val="none"/>
                <w:lang w:val="en-US" w:eastAsia="zh-CN"/>
                <w:highlight w:val="none"/>
              </w:rPr>
            </w:pPr>
            <w:r>
              <w:rPr>
                <w:rFonts w:ascii="Times New Roman" w:eastAsia="宋体" w:cs="Times New Roman" w:hAnsi="Times New Roman" w:hint="eastAsia"/>
                <w:b w:val="0"/>
                <w:bCs w:val="0"/>
                <w:color w:val="auto"/>
                <w:sz w:val="24"/>
                <w:szCs w:val="24"/>
                <w:u w:val="none"/>
                <w:lang w:val="en-US" w:eastAsia="zh-CN"/>
                <w:highlight w:val="none"/>
              </w:rPr>
              <w:t>非甲烷总烃</w:t>
            </w:r>
            <w:r>
              <w:rPr>
                <w:rFonts w:cs="Times New Roman" w:hint="eastAsia"/>
                <w:b w:val="0"/>
                <w:bCs w:val="0"/>
                <w:color w:val="auto"/>
                <w:sz w:val="24"/>
                <w:szCs w:val="24"/>
                <w:u w:val="none"/>
                <w:lang w:val="en-US" w:eastAsia="zh-CN"/>
                <w:highlight w:val="none"/>
              </w:rPr>
              <w:t>根据“四、主要环境影响和保护措施 （一）废气”计算结果约为0.004t/a。</w:t>
            </w:r>
          </w:p>
          <w:p>
            <w:pPr>
              <w:pStyle w:val="58"/>
              <w:outlineLvl w:val="9"/>
              <w:rPr>
                <w:rFonts w:eastAsia="宋体"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废水</w:t>
            </w:r>
          </w:p>
          <w:p>
            <w:pPr>
              <w:pStyle w:val="58"/>
              <w:outlineLvl w:val="9"/>
              <w:rPr>
                <w:rFonts w:eastAsia="宋体"/>
                <w:color w:val="auto"/>
                <w:sz w:val="24"/>
                <w:lang w:val="en-US" w:eastAsia="zh-CN"/>
              </w:rPr>
            </w:pPr>
            <w:r>
              <w:rPr>
                <w:rFonts w:eastAsia="宋体" w:hint="eastAsia"/>
                <w:color w:val="auto"/>
                <w:sz w:val="24"/>
                <w:lang w:val="en-US" w:eastAsia="zh-CN"/>
              </w:rPr>
              <w:t>根据</w:t>
            </w:r>
            <w:r>
              <w:rPr>
                <w:rFonts w:cs="Times New Roman" w:hint="eastAsia"/>
                <w:b w:val="0"/>
                <w:bCs w:val="0"/>
                <w:color w:val="auto"/>
                <w:sz w:val="24"/>
                <w:szCs w:val="24"/>
                <w:u w:val="none"/>
                <w:lang w:val="en-US" w:eastAsia="zh-CN"/>
                <w:highlight w:val="none"/>
              </w:rPr>
              <w:t>“四、主要环境影响和保护措施 （一）废水”计算结果废水量为115.2t/a。</w:t>
            </w:r>
          </w:p>
          <w:p>
            <w:pPr>
              <w:pStyle w:val="58"/>
              <w:outlineLvl w:val="9"/>
              <w:rPr>
                <w:rFonts w:ascii="Times New Roman" w:eastAsia="宋体" w:cs="Times New Roman" w:hAnsi="Times New Roman"/>
                <w:b/>
                <w:bCs/>
                <w:color w:val="auto"/>
                <w:lang w:val="en-US" w:eastAsia="zh-CN"/>
              </w:rPr>
            </w:pPr>
            <w:r>
              <w:rPr>
                <w:rFonts w:ascii="Times New Roman" w:eastAsia="宋体" w:cs="Times New Roman" w:hAnsi="Times New Roman" w:hint="eastAsia"/>
                <w:b/>
                <w:bCs/>
                <w:color w:val="auto"/>
                <w:lang w:val="en-US" w:eastAsia="zh-CN"/>
              </w:rPr>
              <w:t>（3）综述</w:t>
            </w:r>
          </w:p>
          <w:p>
            <w:pPr>
              <w:keepNext w:val="0"/>
              <w:keepLines w:val="0"/>
              <w:pageBreakBefore w:val="0"/>
              <w:widowControl w:val="0"/>
              <w:kinsoku/>
              <w:wordWrap/>
              <w:overflowPunct/>
              <w:topLinePunct w:val="0"/>
              <w:autoSpaceDE/>
              <w:autoSpaceDN/>
              <w:bidi w:val="0"/>
              <w:adjustRightInd/>
              <w:snapToGrid/>
              <w:spacing w:line="360" w:lineRule="auto"/>
              <w:ind w:firstLineChars="150" w:firstLine="360"/>
              <w:textAlignment w:val="auto"/>
              <w:rPr>
                <w:rFonts w:hint="eastAsia"/>
                <w:color w:val="auto"/>
                <w:sz w:val="24"/>
                <w:lang w:val="en-US" w:eastAsia="zh-CN"/>
              </w:rPr>
            </w:pPr>
            <w:r>
              <w:rPr>
                <w:rFonts w:hint="eastAsia"/>
                <w:color w:val="auto"/>
                <w:sz w:val="24"/>
                <w:lang w:val="en-US" w:eastAsia="zh-CN"/>
              </w:rPr>
              <w:t>根据《</w:t>
            </w:r>
            <w:r>
              <w:rPr>
                <w:rFonts w:hint="eastAsia"/>
                <w:color w:val="auto"/>
                <w:sz w:val="24"/>
              </w:rPr>
              <w:t>常德市建设项目新增主要污染物排放总量管理方案》</w:t>
            </w:r>
            <w:r>
              <w:rPr>
                <w:rFonts w:hint="eastAsia"/>
                <w:color w:val="auto"/>
                <w:sz w:val="24"/>
                <w:lang w:val="en-US" w:eastAsia="zh-CN"/>
              </w:rPr>
              <w:t>要求，NOx、VOCs和COD单项主要污染物的新增量小于0.1吨/年（含0.1吨/年）以及NH</w:t>
            </w:r>
            <w:r>
              <w:rPr>
                <w:rFonts w:hint="eastAsia"/>
                <w:color w:val="auto"/>
                <w:sz w:val="24"/>
                <w:vertAlign w:val="subscript"/>
                <w:lang w:val="en-US" w:eastAsia="zh-CN"/>
              </w:rPr>
              <w:t>3</w:t>
            </w:r>
            <w:r>
              <w:rPr>
                <w:rFonts w:hint="eastAsia"/>
                <w:color w:val="auto"/>
                <w:sz w:val="24"/>
                <w:lang w:val="en-US" w:eastAsia="zh-CN"/>
              </w:rPr>
              <w:t>-N的新增量小于0.01吨/年（含0.01吨/年）的建设项目，新增总量由政府（以生态环境部门为主）统筹削减替代来源，建设单位需在报批环评文件时无需提交建设项目新增总量削减替代来源说明。</w:t>
            </w:r>
          </w:p>
          <w:p>
            <w:pPr>
              <w:keepNext w:val="0"/>
              <w:keepLines w:val="0"/>
              <w:pageBreakBefore w:val="0"/>
              <w:widowControl w:val="0"/>
              <w:kinsoku/>
              <w:wordWrap/>
              <w:overflowPunct/>
              <w:topLinePunct w:val="0"/>
              <w:autoSpaceDE/>
              <w:autoSpaceDN/>
              <w:bidi w:val="0"/>
              <w:adjustRightInd/>
              <w:snapToGrid/>
              <w:spacing w:line="360" w:lineRule="auto"/>
              <w:ind w:firstLineChars="150" w:firstLine="360"/>
              <w:textAlignment w:val="auto"/>
              <w:rPr>
                <w:rStyle w:val="32"/>
                <w:color w:val="0000FF"/>
                <w:kern w:val="0"/>
                <w:szCs w:val="20"/>
                <w:u w:val="none"/>
              </w:rPr>
            </w:pPr>
            <w:r>
              <w:rPr>
                <w:rFonts w:hint="eastAsia"/>
                <w:color w:val="auto"/>
                <w:sz w:val="24"/>
                <w:lang w:val="en-US" w:eastAsia="zh-CN"/>
              </w:rPr>
              <w:t>由于常德市整体为大气环境不达标区，因此桃源县VOCs、二氧化硫和氮氧化物需进行倍量削减，建议控制指标如下</w:t>
            </w:r>
            <w:r>
              <w:rPr>
                <w:rFonts w:ascii="Times New Roman" w:eastAsia="宋体" w:cs="Times New Roman" w:hAnsi="Times New Roman" w:hint="eastAsia"/>
                <w:color w:val="auto"/>
                <w:sz w:val="24"/>
                <w:u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b/>
                <w:color w:val="auto"/>
                <w:szCs w:val="21"/>
                <w:lang w:val="en-US" w:eastAsia="zh-CN"/>
              </w:rPr>
            </w:pPr>
            <w:r>
              <w:rPr>
                <w:b/>
                <w:color w:val="auto"/>
                <w:szCs w:val="21"/>
              </w:rPr>
              <w:t>表</w:t>
            </w:r>
            <w:r>
              <w:rPr>
                <w:rFonts w:hint="eastAsia"/>
                <w:b/>
                <w:color w:val="auto"/>
                <w:szCs w:val="21"/>
              </w:rPr>
              <w:t xml:space="preserve"> 3-</w:t>
            </w:r>
            <w:r>
              <w:rPr>
                <w:rFonts w:hint="eastAsia"/>
                <w:b/>
                <w:color w:val="auto"/>
                <w:szCs w:val="21"/>
                <w:lang w:val="en-US" w:eastAsia="zh-CN"/>
              </w:rPr>
              <w:t>11</w:t>
            </w:r>
            <w:r>
              <w:rPr>
                <w:b/>
                <w:color w:val="auto"/>
                <w:szCs w:val="21"/>
              </w:rPr>
              <w:t xml:space="preserve"> </w:t>
            </w:r>
            <w:r>
              <w:rPr>
                <w:rFonts w:hint="eastAsia"/>
                <w:b/>
                <w:color w:val="auto"/>
                <w:szCs w:val="21"/>
                <w:lang w:val="en-US" w:eastAsia="zh-CN"/>
              </w:rPr>
              <w:t>建议控制指标汇总（t/a）</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691"/>
              <w:gridCol w:w="3142"/>
              <w:gridCol w:w="1691"/>
              <w:gridCol w:w="1841"/>
            </w:tblGrid>
            <w:tr>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ascii="Times New Roman" w:eastAsia="宋体" w:cs="Times New Roman" w:hAnsi="Times New Roman" w:hint="eastAsia"/>
                      <w:b/>
                      <w:bCs/>
                      <w:color w:val="auto"/>
                      <w:szCs w:val="21"/>
                      <w:u w:val="none"/>
                      <w:lang w:val="en-US" w:eastAsia="zh-CN"/>
                    </w:rPr>
                  </w:pPr>
                  <w:r>
                    <w:rPr>
                      <w:rFonts w:ascii="Times New Roman" w:eastAsia="宋体" w:cs="Times New Roman" w:hAnsi="Times New Roman" w:hint="eastAsia"/>
                      <w:b/>
                      <w:bCs/>
                      <w:color w:val="auto"/>
                      <w:szCs w:val="21"/>
                      <w:u w:val="none"/>
                      <w:lang w:val="en-US" w:eastAsia="zh-CN"/>
                    </w:rPr>
                    <w:t>项目</w:t>
                  </w:r>
                </w:p>
              </w:tc>
              <w:tc>
                <w:tcPr>
                  <w:tcW w:w="75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pacing w:val="-20"/>
                      <w:szCs w:val="21"/>
                      <w:u w:val="none"/>
                      <w:lang w:val="en-US" w:eastAsia="zh-CN"/>
                    </w:rPr>
                  </w:pPr>
                  <w:r>
                    <w:rPr>
                      <w:rFonts w:cs="Times New Roman" w:hint="eastAsia"/>
                      <w:color w:val="auto"/>
                      <w:spacing w:val="-20"/>
                      <w:szCs w:val="21"/>
                      <w:u w:val="none"/>
                      <w:lang w:val="en-US" w:eastAsia="zh-CN"/>
                    </w:rPr>
                    <w:t>核算量</w:t>
                  </w:r>
                </w:p>
              </w:tc>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hint="eastAsia"/>
                      <w:color w:val="auto"/>
                      <w:spacing w:val="-20"/>
                      <w:szCs w:val="21"/>
                      <w:u w:val="none"/>
                      <w:lang w:val="en-US" w:eastAsia="zh-CN"/>
                    </w:rPr>
                  </w:pPr>
                  <w:r>
                    <w:rPr>
                      <w:rFonts w:cs="Times New Roman" w:hint="eastAsia"/>
                      <w:color w:val="auto"/>
                      <w:spacing w:val="-20"/>
                      <w:szCs w:val="21"/>
                      <w:u w:val="none"/>
                      <w:lang w:val="en-US" w:eastAsia="zh-CN"/>
                    </w:rPr>
                    <w:t>建议控制量</w:t>
                  </w:r>
                </w:p>
              </w:tc>
              <w:tc>
                <w:tcPr>
                  <w:tcW w:w="440"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pacing w:val="-20"/>
                      <w:szCs w:val="21"/>
                      <w:u w:val="none"/>
                      <w:lang w:val="en-US" w:eastAsia="zh-CN"/>
                    </w:rPr>
                  </w:pPr>
                  <w:r>
                    <w:rPr>
                      <w:rFonts w:cs="Times New Roman" w:hint="eastAsia"/>
                      <w:color w:val="auto"/>
                      <w:spacing w:val="-20"/>
                      <w:szCs w:val="21"/>
                      <w:u w:val="none"/>
                      <w:lang w:val="en-US" w:eastAsia="zh-CN"/>
                    </w:rPr>
                    <w:t>备注</w:t>
                  </w:r>
                </w:p>
              </w:tc>
            </w:tr>
            <w:tr>
              <w:trPr>
                <w:trHeight w:val="90"/>
              </w:trPr>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color w:val="auto"/>
                      <w:sz w:val="24"/>
                      <w:lang w:val="en-US" w:eastAsia="zh-CN"/>
                    </w:rPr>
                  </w:pPr>
                  <w:r>
                    <w:rPr>
                      <w:rFonts w:hint="eastAsia"/>
                      <w:color w:val="auto"/>
                      <w:sz w:val="24"/>
                      <w:lang w:val="en-US" w:eastAsia="zh-CN"/>
                    </w:rPr>
                    <w:t>VOCs（以非甲烷总烃表征）</w:t>
                  </w:r>
                </w:p>
              </w:tc>
              <w:tc>
                <w:tcPr>
                  <w:tcW w:w="75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0.004</w:t>
                  </w:r>
                </w:p>
              </w:tc>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0.008</w:t>
                  </w:r>
                </w:p>
              </w:tc>
              <w:tc>
                <w:tcPr>
                  <w:tcW w:w="440"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hint="eastAsia"/>
                      <w:color w:val="auto"/>
                      <w:szCs w:val="21"/>
                      <w:u w:val="none"/>
                      <w:lang w:val="en-US" w:eastAsia="zh-CN"/>
                    </w:rPr>
                  </w:pPr>
                  <w:r>
                    <w:rPr>
                      <w:rFonts w:cs="Times New Roman" w:hint="eastAsia"/>
                      <w:color w:val="auto"/>
                      <w:szCs w:val="21"/>
                      <w:u w:val="none"/>
                      <w:lang w:val="en-US" w:eastAsia="zh-CN"/>
                    </w:rPr>
                    <w:t>倍量削减</w:t>
                  </w:r>
                </w:p>
              </w:tc>
            </w:tr>
            <w:tr>
              <w:trPr>
                <w:trHeight w:val="246"/>
              </w:trPr>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hint="eastAsia"/>
                      <w:color w:val="auto"/>
                      <w:sz w:val="24"/>
                      <w:lang w:val="en-US" w:eastAsia="zh-CN"/>
                    </w:rPr>
                  </w:pPr>
                  <w:r>
                    <w:rPr>
                      <w:rFonts w:hint="eastAsia"/>
                      <w:color w:val="auto"/>
                      <w:sz w:val="24"/>
                      <w:lang w:val="en-US" w:eastAsia="zh-CN"/>
                    </w:rPr>
                    <w:t>COD</w:t>
                  </w:r>
                </w:p>
              </w:tc>
              <w:tc>
                <w:tcPr>
                  <w:tcW w:w="75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115.2×50×10</w:t>
                  </w:r>
                  <w:r>
                    <w:rPr>
                      <w:rFonts w:cs="Times New Roman" w:hint="eastAsia"/>
                      <w:color w:val="auto"/>
                      <w:szCs w:val="21"/>
                      <w:u w:val="none"/>
                      <w:vertAlign w:val="superscript"/>
                      <w:lang w:val="en-US" w:eastAsia="zh-CN"/>
                    </w:rPr>
                    <w:t>-6</w:t>
                  </w:r>
                  <w:r>
                    <w:rPr>
                      <w:rFonts w:cs="Times New Roman" w:hint="eastAsia"/>
                      <w:color w:val="auto"/>
                      <w:szCs w:val="21"/>
                      <w:u w:val="none"/>
                      <w:vertAlign w:val="baseline"/>
                      <w:lang w:val="en-US" w:eastAsia="zh-CN"/>
                    </w:rPr>
                    <w:t>≈</w:t>
                  </w:r>
                  <w:r>
                    <w:rPr>
                      <w:rFonts w:cs="Times New Roman" w:hint="eastAsia"/>
                      <w:color w:val="auto"/>
                      <w:szCs w:val="21"/>
                      <w:u w:val="none"/>
                      <w:lang w:val="en-US" w:eastAsia="zh-CN"/>
                    </w:rPr>
                    <w:t>0.006</w:t>
                  </w:r>
                </w:p>
              </w:tc>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0.006</w:t>
                  </w:r>
                </w:p>
              </w:tc>
              <w:tc>
                <w:tcPr>
                  <w:tcW w:w="440"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w:t>
                  </w:r>
                </w:p>
              </w:tc>
            </w:tr>
            <w:tr>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hint="eastAsia"/>
                      <w:color w:val="auto"/>
                      <w:sz w:val="24"/>
                      <w:lang w:val="en-US" w:eastAsia="zh-CN"/>
                    </w:rPr>
                  </w:pPr>
                  <w:r>
                    <w:rPr>
                      <w:rFonts w:hint="eastAsia"/>
                      <w:color w:val="auto"/>
                      <w:sz w:val="24"/>
                      <w:lang w:val="en-US" w:eastAsia="zh-CN"/>
                    </w:rPr>
                    <w:t>氨氮</w:t>
                  </w:r>
                </w:p>
              </w:tc>
              <w:tc>
                <w:tcPr>
                  <w:tcW w:w="75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115.2×8×10</w:t>
                  </w:r>
                  <w:r>
                    <w:rPr>
                      <w:rFonts w:cs="Times New Roman" w:hint="eastAsia"/>
                      <w:color w:val="auto"/>
                      <w:szCs w:val="21"/>
                      <w:u w:val="none"/>
                      <w:vertAlign w:val="superscript"/>
                      <w:lang w:val="en-US" w:eastAsia="zh-CN"/>
                    </w:rPr>
                    <w:t>-6</w:t>
                  </w:r>
                  <w:r>
                    <w:rPr>
                      <w:rFonts w:cs="Times New Roman" w:hint="eastAsia"/>
                      <w:color w:val="auto"/>
                      <w:szCs w:val="21"/>
                      <w:u w:val="none"/>
                      <w:vertAlign w:val="baseline"/>
                      <w:lang w:val="en-US" w:eastAsia="zh-CN"/>
                    </w:rPr>
                    <w:t>≈</w:t>
                  </w:r>
                  <w:r>
                    <w:rPr>
                      <w:rFonts w:cs="Times New Roman" w:hint="eastAsia"/>
                      <w:color w:val="auto"/>
                      <w:szCs w:val="21"/>
                      <w:u w:val="none"/>
                      <w:lang w:val="en-US" w:eastAsia="zh-CN"/>
                    </w:rPr>
                    <w:t>0.001</w:t>
                  </w:r>
                </w:p>
              </w:tc>
              <w:tc>
                <w:tcPr>
                  <w:tcW w:w="404"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color w:val="auto"/>
                      <w:szCs w:val="21"/>
                      <w:u w:val="none"/>
                      <w:lang w:val="en-US" w:eastAsia="zh-CN"/>
                    </w:rPr>
                  </w:pPr>
                  <w:r>
                    <w:rPr>
                      <w:rFonts w:cs="Times New Roman" w:hint="eastAsia"/>
                      <w:color w:val="auto"/>
                      <w:szCs w:val="21"/>
                      <w:u w:val="none"/>
                      <w:lang w:val="en-US" w:eastAsia="zh-CN"/>
                    </w:rPr>
                    <w:t>0.001</w:t>
                  </w:r>
                </w:p>
              </w:tc>
              <w:tc>
                <w:tcPr>
                  <w:tcW w:w="440"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rPr>
                      <w:rFonts w:cs="Times New Roman" w:hint="eastAsia"/>
                      <w:color w:val="auto"/>
                      <w:szCs w:val="21"/>
                      <w:u w:val="none"/>
                      <w:lang w:val="en-US" w:eastAsia="zh-CN"/>
                    </w:rPr>
                  </w:pPr>
                  <w:r>
                    <w:rPr>
                      <w:rFonts w:cs="Times New Roman" w:hint="eastAsia"/>
                      <w:color w:val="auto"/>
                      <w:szCs w:val="21"/>
                      <w:u w:val="none"/>
                      <w:lang w:val="en-US" w:eastAsia="zh-CN"/>
                    </w:rPr>
                    <w:t>/</w:t>
                  </w:r>
                </w:p>
              </w:tc>
            </w:tr>
          </w:tbl>
          <w:p>
            <w:pPr>
              <w:spacing w:line="360" w:lineRule="auto"/>
              <w:ind w:firstLineChars="200" w:firstLine="420"/>
              <w:rPr>
                <w:color w:val="0000FF"/>
                <w:kern w:val="0"/>
                <w:szCs w:val="21"/>
                <w:u w:val="none"/>
              </w:rPr>
            </w:pPr>
          </w:p>
        </w:tc>
      </w:tr>
    </w:tbl>
    <w:p>
      <w:pPr>
        <w:pStyle w:val="29"/>
        <w:jc w:val="center"/>
        <w:outlineLvl w:val="0"/>
        <w:rPr>
          <w:rFonts w:ascii="黑体" w:eastAsia="黑体" w:hAnsi="黑体"/>
          <w:snapToGrid w:val="0"/>
          <w:color w:val="0000FF"/>
          <w:sz w:val="36"/>
          <w:szCs w:val="36"/>
        </w:rPr>
        <w:sectPr>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cols w:num="1" w:space="0"/>
          <w:rtlGutter/>
          <w:docGrid w:linePitch="312" w:charSpace="0"/>
        </w:sectPr>
      </w:pPr>
      <w:r>
        <w:rPr>
          <w:rFonts w:ascii="黑体" w:eastAsia="黑体" w:hAnsi="黑体"/>
          <w:snapToGrid w:val="0"/>
          <w:color w:val="0000FF"/>
          <w:sz w:val="36"/>
          <w:szCs w:val="36"/>
        </w:rPr>
        <w:br w:type="page"/>
      </w:r>
      <w:bookmarkStart w:id="32" w:name="_Toc7016"/>
      <w:bookmarkStart w:id="33" w:name="_Toc5479"/>
    </w:p>
    <w:p>
      <w:pPr>
        <w:pStyle w:val="29"/>
        <w:jc w:val="center"/>
        <w:outlineLvl w:val="0"/>
        <w:rPr>
          <w:rFonts w:ascii="黑体" w:eastAsia="黑体" w:hAnsi="黑体"/>
          <w:snapToGrid w:val="0"/>
          <w:color w:val="auto"/>
          <w:sz w:val="30"/>
          <w:szCs w:val="30"/>
        </w:rPr>
      </w:pPr>
      <w:bookmarkStart w:id="34" w:name="_Toc16223"/>
      <w:r>
        <w:rPr>
          <w:rFonts w:ascii="Times New Roman" w:hAnsi="Times New Roman" w:hint="eastAsia"/>
          <w:b/>
          <w:bCs/>
          <w:color w:val="auto"/>
          <w:kern w:val="2"/>
          <w:sz w:val="32"/>
          <w:szCs w:val="32"/>
        </w:rPr>
        <w:t>四、主要环境影响和保护措施</w:t>
      </w:r>
      <w:bookmarkEnd w:id="32"/>
      <w:bookmarkEnd w:id="33"/>
      <w:bookmarkEnd w:id="34"/>
    </w:p>
    <w:tbl>
      <w:tblPr>
        <w:jc w:val="center"/>
        <w:tblW w:w="506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500"/>
        <w:gridCol w:w="14289"/>
      </w:tblGrid>
      <w:tr>
        <w:trPr>
          <w:trHeight w:val="2457"/>
        </w:trPr>
        <w:tc>
          <w:tcPr>
            <w:tcW w:w="169" w:type="pct"/>
            <w:tcMar>
              <w:left w:w="28" w:type="dxa"/>
              <w:right w:w="28" w:type="dxa"/>
            </w:tcMar>
            <w:vAlign w:val="center"/>
          </w:tcPr>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施工</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期环</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境影</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响和</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保护</w:t>
            </w:r>
          </w:p>
          <w:p>
            <w:pPr>
              <w:pageBreakBefore w:val="0"/>
              <w:widowControl w:val="0"/>
              <w:kinsoku/>
              <w:overflowPunct/>
              <w:bidi w:val="0"/>
              <w:adjustRightInd w:val="0"/>
              <w:snapToGrid w:val="0"/>
              <w:jc w:val="center"/>
              <w:rPr>
                <w:rFonts w:cs="宋体" w:hint="eastAsia"/>
                <w:bCs/>
                <w:color w:val="0000FF"/>
                <w:szCs w:val="21"/>
              </w:rPr>
            </w:pPr>
            <w:r>
              <w:rPr>
                <w:rFonts w:ascii="宋体" w:cs="宋体" w:hAnsi="宋体" w:hint="eastAsia"/>
                <w:bCs/>
                <w:color w:val="auto"/>
                <w:sz w:val="24"/>
              </w:rPr>
              <w:t>措施</w:t>
            </w:r>
          </w:p>
        </w:tc>
        <w:tc>
          <w:tcPr>
            <w:tcW w:w="4830" w:type="pct"/>
            <w:vAlign w:val="center"/>
          </w:tcPr>
          <w:p>
            <w:pPr>
              <w:pageBreakBefore w:val="0"/>
              <w:widowControl/>
              <w:kinsoku/>
              <w:overflowPunct/>
              <w:bidi w:val="0"/>
              <w:snapToGrid w:val="0"/>
              <w:spacing w:line="360" w:lineRule="auto"/>
              <w:ind w:firstLineChars="200" w:firstLine="480"/>
              <w:contextualSpacing/>
              <w:jc w:val="left"/>
              <w:textAlignment w:val="center"/>
              <w:rPr>
                <w:b/>
                <w:bCs/>
                <w:color w:val="auto"/>
                <w:kern w:val="0"/>
                <w:sz w:val="24"/>
              </w:rPr>
            </w:pPr>
            <w:r>
              <w:rPr>
                <w:b/>
                <w:bCs/>
                <w:color w:val="auto"/>
                <w:kern w:val="0"/>
                <w:sz w:val="24"/>
              </w:rPr>
              <w:t>（一）</w:t>
            </w:r>
            <w:r>
              <w:rPr>
                <w:rFonts w:hint="eastAsia"/>
                <w:b/>
                <w:bCs/>
                <w:color w:val="auto"/>
                <w:kern w:val="0"/>
                <w:sz w:val="24"/>
              </w:rPr>
              <w:t>废水</w:t>
            </w:r>
            <w:r>
              <w:rPr>
                <w:b/>
                <w:bCs/>
                <w:color w:val="auto"/>
                <w:kern w:val="0"/>
                <w:sz w:val="24"/>
              </w:rPr>
              <w:t>环境影响</w:t>
            </w:r>
            <w:r>
              <w:rPr>
                <w:rFonts w:hint="eastAsia"/>
                <w:b/>
                <w:bCs/>
                <w:color w:val="auto"/>
                <w:kern w:val="0"/>
                <w:sz w:val="24"/>
              </w:rPr>
              <w:t>及</w:t>
            </w:r>
            <w:r>
              <w:rPr>
                <w:b/>
                <w:bCs/>
                <w:color w:val="auto"/>
                <w:kern w:val="0"/>
                <w:sz w:val="24"/>
              </w:rPr>
              <w:t>防治措施</w:t>
            </w:r>
          </w:p>
          <w:p>
            <w:pPr>
              <w:pStyle w:val="36"/>
              <w:pageBreakBefore w:val="0"/>
              <w:widowControl w:val="0"/>
              <w:kinsoku/>
              <w:overflowPunct/>
              <w:autoSpaceDE w:val="0"/>
              <w:autoSpaceDN w:val="0"/>
              <w:bidi w:val="0"/>
              <w:adjustRightInd/>
              <w:spacing w:line="360" w:lineRule="auto"/>
              <w:ind w:firstLineChars="200" w:firstLine="480"/>
              <w:rPr>
                <w:rFonts w:ascii="Times New Roman" w:eastAsia="宋体" w:cs="宋体" w:hAnsi="Times New Roman"/>
                <w:color w:val="auto"/>
              </w:rPr>
            </w:pPr>
            <w:r>
              <w:rPr>
                <w:rFonts w:ascii="Times New Roman" w:eastAsia="宋体" w:cs="宋体" w:hAnsi="Times New Roman"/>
                <w:color w:val="auto"/>
              </w:rPr>
              <w:t>施工期产生废水包括施工人员的生活废水和施工本身产生的废水，施工废水主要为泥浆废水、建筑养护排水、设备清洗及进出车辆冲洗水。</w:t>
            </w:r>
          </w:p>
          <w:p>
            <w:pPr>
              <w:pStyle w:val="36"/>
              <w:pageBreakBefore w:val="0"/>
              <w:widowControl w:val="0"/>
              <w:kinsoku/>
              <w:overflowPunct/>
              <w:autoSpaceDE w:val="0"/>
              <w:autoSpaceDN w:val="0"/>
              <w:bidi w:val="0"/>
              <w:adjustRightInd/>
              <w:spacing w:line="360" w:lineRule="auto"/>
              <w:ind w:firstLineChars="200" w:firstLine="480"/>
              <w:rPr>
                <w:rFonts w:ascii="Times New Roman" w:eastAsia="宋体" w:cs="宋体" w:hAnsi="Times New Roman"/>
                <w:color w:val="auto"/>
                <w:lang w:val="en-US" w:eastAsia="zh-CN"/>
              </w:rPr>
            </w:pPr>
            <w:r>
              <w:rPr>
                <w:rFonts w:ascii="Times New Roman" w:eastAsia="宋体" w:cs="宋体" w:hAnsi="Times New Roman"/>
                <w:color w:val="auto"/>
              </w:rPr>
              <w:t>项目施工期不设施工营地，施工期间生活设施依托</w:t>
            </w:r>
            <w:r>
              <w:rPr>
                <w:rFonts w:ascii="Times New Roman" w:eastAsia="宋体" w:cs="宋体" w:hAnsi="Times New Roman" w:hint="eastAsia"/>
                <w:color w:val="auto"/>
                <w:lang w:eastAsia="zh-CN"/>
              </w:rPr>
              <w:t>周边居民区</w:t>
            </w:r>
            <w:r>
              <w:rPr>
                <w:rFonts w:ascii="Times New Roman" w:eastAsia="宋体" w:cs="宋体" w:hAnsi="Times New Roman"/>
                <w:color w:val="auto"/>
              </w:rPr>
              <w:t>，生活废水</w:t>
            </w:r>
            <w:r>
              <w:rPr>
                <w:rFonts w:ascii="Times New Roman" w:eastAsia="宋体" w:cs="宋体" w:hAnsi="Times New Roman" w:hint="eastAsia"/>
                <w:color w:val="auto"/>
              </w:rPr>
              <w:t>通过</w:t>
            </w:r>
            <w:r>
              <w:rPr>
                <w:rFonts w:ascii="Times New Roman" w:eastAsia="宋体" w:cs="宋体" w:hAnsi="Times New Roman" w:hint="eastAsia"/>
                <w:color w:val="auto"/>
                <w:lang w:eastAsia="zh-CN"/>
              </w:rPr>
              <w:t>周边居民</w:t>
            </w:r>
            <w:r>
              <w:rPr>
                <w:rFonts w:ascii="Times New Roman" w:eastAsia="宋体" w:cs="宋体" w:hAnsi="Times New Roman" w:hint="eastAsia"/>
                <w:color w:val="auto"/>
              </w:rPr>
              <w:t>现有</w:t>
            </w:r>
            <w:r>
              <w:rPr>
                <w:rFonts w:ascii="Times New Roman" w:eastAsia="宋体" w:cs="宋体" w:hAnsi="Times New Roman" w:hint="eastAsia"/>
                <w:color w:val="auto"/>
                <w:lang w:eastAsia="zh-CN"/>
              </w:rPr>
              <w:t>化粪池</w:t>
            </w:r>
            <w:r>
              <w:rPr>
                <w:rFonts w:ascii="Times New Roman" w:eastAsia="宋体" w:cs="宋体" w:hAnsi="Times New Roman" w:hint="eastAsia"/>
                <w:color w:val="auto"/>
              </w:rPr>
              <w:t>处理后</w:t>
            </w:r>
            <w:r>
              <w:rPr>
                <w:rFonts w:ascii="Times New Roman" w:eastAsia="宋体" w:cs="宋体" w:hAnsi="Times New Roman" w:hint="eastAsia"/>
                <w:color w:val="auto"/>
                <w:lang w:eastAsia="zh-CN"/>
              </w:rPr>
              <w:t>作为农肥</w:t>
            </w:r>
            <w:r>
              <w:rPr>
                <w:rFonts w:ascii="Times New Roman" w:eastAsia="宋体" w:cs="宋体" w:hAnsi="Times New Roman"/>
                <w:color w:val="auto"/>
              </w:rPr>
              <w:t>。</w:t>
            </w:r>
          </w:p>
          <w:p>
            <w:pPr>
              <w:pStyle w:val="36"/>
              <w:pageBreakBefore w:val="0"/>
              <w:widowControl w:val="0"/>
              <w:kinsoku/>
              <w:overflowPunct/>
              <w:autoSpaceDE w:val="0"/>
              <w:autoSpaceDN w:val="0"/>
              <w:bidi w:val="0"/>
              <w:adjustRightInd/>
              <w:spacing w:line="360" w:lineRule="auto"/>
              <w:ind w:firstLineChars="200" w:firstLine="480"/>
              <w:rPr>
                <w:rFonts w:ascii="Times New Roman" w:eastAsia="宋体" w:cs="宋体" w:hAnsi="Times New Roman"/>
                <w:color w:val="auto"/>
              </w:rPr>
            </w:pPr>
            <w:r>
              <w:rPr>
                <w:rFonts w:ascii="Times New Roman" w:eastAsia="宋体" w:cs="宋体" w:hAnsi="Times New Roman"/>
                <w:color w:val="auto"/>
              </w:rPr>
              <w:t>施工产生的泥浆污水</w:t>
            </w:r>
            <w:r>
              <w:rPr>
                <w:rFonts w:ascii="Times New Roman" w:eastAsia="宋体" w:cs="宋体" w:hAnsi="Times New Roman" w:hint="eastAsia"/>
                <w:color w:val="auto"/>
              </w:rPr>
              <w:t>、</w:t>
            </w:r>
            <w:r>
              <w:rPr>
                <w:rFonts w:ascii="Times New Roman" w:eastAsia="宋体" w:cs="宋体" w:hAnsi="Times New Roman"/>
                <w:color w:val="auto"/>
              </w:rPr>
              <w:t>建筑养护排水、设备清洗及进出车辆冲洗水可收集至沉淀池沉淀后循环使用，不外排。</w:t>
            </w:r>
          </w:p>
          <w:p>
            <w:pPr>
              <w:pStyle w:val="36"/>
              <w:pageBreakBefore w:val="0"/>
              <w:widowControl w:val="0"/>
              <w:kinsoku/>
              <w:overflowPunct/>
              <w:autoSpaceDE w:val="0"/>
              <w:autoSpaceDN w:val="0"/>
              <w:bidi w:val="0"/>
              <w:adjustRightInd/>
              <w:spacing w:line="360" w:lineRule="auto"/>
              <w:ind w:firstLineChars="200" w:firstLine="480"/>
              <w:rPr>
                <w:rFonts w:ascii="Times New Roman" w:eastAsia="宋体" w:cs="宋体" w:hAnsi="Times New Roman" w:hint="eastAsia"/>
                <w:color w:val="auto"/>
              </w:rPr>
            </w:pPr>
            <w:r>
              <w:rPr>
                <w:rFonts w:ascii="Times New Roman" w:eastAsia="宋体" w:cs="宋体" w:hAnsi="Times New Roman"/>
                <w:color w:val="auto"/>
              </w:rPr>
              <w:t>综上所述，施工期对地表水环境造成的影响较小</w:t>
            </w:r>
            <w:r>
              <w:rPr>
                <w:rFonts w:ascii="Times New Roman" w:eastAsia="宋体" w:cs="宋体" w:hAnsi="Times New Roman" w:hint="eastAsia"/>
                <w:color w:val="auto"/>
              </w:rPr>
              <w:t>，措施可行。</w:t>
            </w:r>
          </w:p>
          <w:p>
            <w:pPr>
              <w:pageBreakBefore w:val="0"/>
              <w:widowControl/>
              <w:kinsoku/>
              <w:overflowPunct/>
              <w:bidi w:val="0"/>
              <w:snapToGrid w:val="0"/>
              <w:spacing w:line="360" w:lineRule="auto"/>
              <w:ind w:firstLineChars="200" w:firstLine="480"/>
              <w:contextualSpacing/>
              <w:jc w:val="left"/>
              <w:textAlignment w:val="center"/>
              <w:rPr>
                <w:b/>
                <w:bCs/>
                <w:color w:val="auto"/>
                <w:kern w:val="0"/>
                <w:sz w:val="24"/>
              </w:rPr>
            </w:pPr>
            <w:r>
              <w:rPr>
                <w:b/>
                <w:bCs/>
                <w:color w:val="auto"/>
                <w:kern w:val="0"/>
                <w:sz w:val="24"/>
              </w:rPr>
              <w:t>（二）</w:t>
            </w:r>
            <w:r>
              <w:rPr>
                <w:rFonts w:hint="eastAsia"/>
                <w:b/>
                <w:bCs/>
                <w:color w:val="auto"/>
                <w:kern w:val="0"/>
                <w:sz w:val="24"/>
              </w:rPr>
              <w:t>废气</w:t>
            </w:r>
            <w:r>
              <w:rPr>
                <w:b/>
                <w:bCs/>
                <w:color w:val="auto"/>
                <w:kern w:val="0"/>
                <w:sz w:val="24"/>
              </w:rPr>
              <w:t>环境影响</w:t>
            </w:r>
            <w:r>
              <w:rPr>
                <w:rFonts w:hint="eastAsia"/>
                <w:b/>
                <w:bCs/>
                <w:color w:val="auto"/>
                <w:kern w:val="0"/>
                <w:sz w:val="24"/>
              </w:rPr>
              <w:t>及防治措施</w:t>
            </w:r>
          </w:p>
          <w:p>
            <w:pPr>
              <w:pStyle w:val="36"/>
              <w:pageBreakBefore w:val="0"/>
              <w:widowControl w:val="0"/>
              <w:kinsoku/>
              <w:overflowPunct/>
              <w:autoSpaceDE w:val="0"/>
              <w:autoSpaceDN w:val="0"/>
              <w:bidi w:val="0"/>
              <w:spacing w:line="360" w:lineRule="auto"/>
              <w:ind w:firstLine="480"/>
              <w:rPr>
                <w:rFonts w:ascii="Times New Roman" w:hAnsi="Times New Roman"/>
                <w:color w:val="auto"/>
              </w:rPr>
            </w:pPr>
            <w:r>
              <w:rPr>
                <w:rFonts w:ascii="Times New Roman" w:hAnsi="Times New Roman"/>
                <w:color w:val="auto"/>
              </w:rPr>
              <w:t>施工期间的大气污染源有扬尘和</w:t>
            </w:r>
            <w:r>
              <w:rPr>
                <w:rFonts w:ascii="Times New Roman" w:hAnsi="Times New Roman" w:hint="eastAsia"/>
                <w:color w:val="auto"/>
              </w:rPr>
              <w:t>汽车尾气</w:t>
            </w:r>
            <w:r>
              <w:rPr>
                <w:rFonts w:ascii="Times New Roman" w:hAnsi="Times New Roman"/>
                <w:color w:val="auto"/>
              </w:rPr>
              <w:t>。</w:t>
            </w:r>
          </w:p>
          <w:p>
            <w:pPr>
              <w:pStyle w:val="36"/>
              <w:pageBreakBefore w:val="0"/>
              <w:widowControl w:val="0"/>
              <w:kinsoku/>
              <w:overflowPunct/>
              <w:autoSpaceDE w:val="0"/>
              <w:autoSpaceDN w:val="0"/>
              <w:bidi w:val="0"/>
              <w:spacing w:line="360" w:lineRule="auto"/>
              <w:ind w:firstLine="480"/>
              <w:rPr>
                <w:rFonts w:ascii="Times New Roman" w:hAnsi="Times New Roman"/>
                <w:color w:val="auto"/>
              </w:rPr>
            </w:pPr>
            <w:r>
              <w:rPr>
                <w:rFonts w:ascii="Times New Roman" w:hAnsi="Times New Roman"/>
                <w:color w:val="auto"/>
              </w:rPr>
              <w:t>（1）扬尘</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rPr>
            </w:pPr>
            <w:r>
              <w:rPr>
                <w:rFonts w:ascii="Times New Roman" w:hAnsi="Times New Roman"/>
                <w:color w:val="auto"/>
              </w:rPr>
              <w:t>扬尘是指露天堆场、裸露场地的风力扬尘、建筑垃圾的搬运扬尘、土石方和建筑材料运输所产生的道路扬尘。废气主要来自车辆在运输过程中排放的机动车尾气。</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rPr>
            </w:pPr>
            <w:r>
              <w:rPr>
                <w:rFonts w:ascii="Times New Roman" w:hAnsi="Times New Roman"/>
                <w:color w:val="auto"/>
              </w:rPr>
              <w:t>对整个施工期而言，大气污染产生的主要来源为扬尘，主要集中在土建施工阶段。露天堆放的沙、水泥等及裸露的施工区表层</w:t>
            </w:r>
            <w:r>
              <w:rPr>
                <w:rFonts w:ascii="Times New Roman" w:hAnsi="Times New Roman" w:hint="eastAsia"/>
                <w:color w:val="auto"/>
              </w:rPr>
              <w:t>浮尘</w:t>
            </w:r>
            <w:r>
              <w:rPr>
                <w:rFonts w:ascii="Times New Roman" w:hAnsi="Times New Roman"/>
                <w:color w:val="auto"/>
              </w:rPr>
              <w:t>由于天气干燥及起风，产生风力扬尘；基础开挖、汽车运输等产生扬尘；沙、泥的装卸过程中产生的动力扬尘。其中施工及装卸车辆造成的扬尘最为严重。</w:t>
            </w:r>
          </w:p>
          <w:p>
            <w:pPr>
              <w:pageBreakBefore w:val="0"/>
              <w:widowControl w:val="0"/>
              <w:kinsoku/>
              <w:overflowPunct/>
              <w:bidi w:val="0"/>
              <w:spacing w:line="360" w:lineRule="auto"/>
              <w:ind w:firstLineChars="200" w:firstLine="480"/>
              <w:rPr>
                <w:color w:val="auto"/>
                <w:sz w:val="24"/>
              </w:rPr>
            </w:pPr>
            <w:r>
              <w:rPr>
                <w:color w:val="auto"/>
                <w:sz w:val="24"/>
              </w:rPr>
              <w:t>（2）汽车尾气</w:t>
            </w:r>
          </w:p>
          <w:p>
            <w:pPr>
              <w:pageBreakBefore w:val="0"/>
              <w:widowControl/>
              <w:kinsoku/>
              <w:overflowPunct/>
              <w:bidi w:val="0"/>
              <w:snapToGrid w:val="0"/>
              <w:spacing w:line="360" w:lineRule="auto"/>
              <w:ind w:firstLineChars="200" w:firstLine="480"/>
              <w:contextualSpacing/>
              <w:jc w:val="left"/>
              <w:textAlignment w:val="center"/>
              <w:rPr>
                <w:rFonts w:hint="eastAsia"/>
                <w:b/>
                <w:bCs/>
                <w:color w:val="auto"/>
                <w:kern w:val="0"/>
                <w:sz w:val="24"/>
              </w:rPr>
            </w:pPr>
            <w:r>
              <w:rPr>
                <w:color w:val="auto"/>
                <w:sz w:val="24"/>
              </w:rPr>
              <w:t>废气主要来自车辆在运输过程中排放的机动车尾气，其特点是排放量小，且属间断性无组织排放</w:t>
            </w:r>
            <w:r>
              <w:rPr>
                <w:rFonts w:hint="eastAsia"/>
                <w:color w:val="auto"/>
                <w:sz w:val="24"/>
              </w:rPr>
              <w:t>，</w:t>
            </w:r>
            <w:r>
              <w:rPr>
                <w:color w:val="auto"/>
                <w:sz w:val="24"/>
              </w:rPr>
              <w:t>鉴于施工场地开阔，扩散条件良好，因此对大气环境的影响甚微</w:t>
            </w:r>
            <w:r>
              <w:rPr>
                <w:rFonts w:hint="eastAsia"/>
                <w:color w:val="auto"/>
                <w:sz w:val="24"/>
              </w:rPr>
              <w:t>。</w:t>
            </w:r>
          </w:p>
          <w:p>
            <w:pPr>
              <w:pageBreakBefore w:val="0"/>
              <w:widowControl w:val="0"/>
              <w:kinsoku/>
              <w:overflowPunct/>
              <w:bidi w:val="0"/>
              <w:spacing w:line="360" w:lineRule="auto"/>
              <w:ind w:firstLineChars="200" w:firstLine="480"/>
              <w:jc w:val="left"/>
              <w:rPr>
                <w:b/>
                <w:bCs/>
                <w:color w:val="auto"/>
                <w:kern w:val="0"/>
                <w:sz w:val="24"/>
              </w:rPr>
            </w:pPr>
            <w:r>
              <w:rPr>
                <w:b/>
                <w:bCs/>
                <w:color w:val="auto"/>
                <w:kern w:val="0"/>
                <w:sz w:val="24"/>
              </w:rPr>
              <w:t>建设方应采取如下措施来减轻扬尘对环境的不利影响：</w:t>
            </w:r>
          </w:p>
          <w:p>
            <w:pPr>
              <w:pageBreakBefore w:val="0"/>
              <w:widowControl w:val="0"/>
              <w:kinsoku/>
              <w:overflowPunct/>
              <w:bidi w:val="0"/>
              <w:spacing w:line="360" w:lineRule="auto"/>
              <w:ind w:firstLineChars="200" w:firstLine="480"/>
              <w:jc w:val="left"/>
              <w:rPr>
                <w:color w:val="auto"/>
                <w:kern w:val="0"/>
                <w:sz w:val="24"/>
              </w:rPr>
            </w:pPr>
            <w:r>
              <w:rPr>
                <w:rFonts w:hint="eastAsia"/>
                <w:color w:val="auto"/>
                <w:kern w:val="0"/>
                <w:sz w:val="24"/>
              </w:rPr>
              <w:t>1、</w:t>
            </w:r>
            <w:r>
              <w:rPr>
                <w:color w:val="auto"/>
                <w:kern w:val="0"/>
                <w:sz w:val="24"/>
              </w:rPr>
              <w:t>对施工过程中产生的扬尘，主要是加强施工管理，合理规划运输路线，避开敏感点。</w:t>
            </w:r>
          </w:p>
          <w:p>
            <w:pPr>
              <w:pStyle w:val="36"/>
              <w:pageBreakBefore w:val="0"/>
              <w:widowControl w:val="0"/>
              <w:numPr>
                <w:ilvl w:val="0"/>
                <w:numId w:val="1"/>
              </w:numPr>
              <w:kinsoku/>
              <w:overflowPunct/>
              <w:autoSpaceDE w:val="0"/>
              <w:autoSpaceDN w:val="0"/>
              <w:bidi w:val="0"/>
              <w:adjustRightInd/>
              <w:spacing w:line="360" w:lineRule="auto"/>
              <w:ind w:left="0" w:firstLineChars="200" w:firstLine="480"/>
              <w:rPr>
                <w:rFonts w:ascii="Times New Roman" w:hAnsi="Times New Roman"/>
                <w:color w:val="auto"/>
              </w:rPr>
            </w:pPr>
            <w:r>
              <w:rPr>
                <w:rFonts w:ascii="Times New Roman" w:hAnsi="Times New Roman"/>
                <w:color w:val="auto"/>
              </w:rPr>
              <w:t>对土石方临时堆场及建筑材料（水泥等）修建维护设施；</w:t>
            </w:r>
          </w:p>
          <w:p>
            <w:pPr>
              <w:pStyle w:val="36"/>
              <w:pageBreakBefore w:val="0"/>
              <w:widowControl w:val="0"/>
              <w:numPr>
                <w:ilvl w:val="0"/>
                <w:numId w:val="1"/>
              </w:numPr>
              <w:kinsoku/>
              <w:overflowPunct/>
              <w:autoSpaceDE w:val="0"/>
              <w:autoSpaceDN w:val="0"/>
              <w:bidi w:val="0"/>
              <w:adjustRightInd/>
              <w:spacing w:line="360" w:lineRule="auto"/>
              <w:ind w:left="0" w:firstLineChars="200" w:firstLine="480"/>
              <w:rPr>
                <w:rFonts w:ascii="Times New Roman" w:hAnsi="Times New Roman"/>
                <w:color w:val="auto"/>
              </w:rPr>
            </w:pPr>
            <w:r>
              <w:rPr>
                <w:rFonts w:ascii="Times New Roman" w:hAnsi="Times New Roman"/>
                <w:color w:val="auto"/>
              </w:rPr>
              <w:t>施工场地定时洒水降尘，并及时清扫道路</w:t>
            </w:r>
          </w:p>
          <w:p>
            <w:pPr>
              <w:pStyle w:val="36"/>
              <w:pageBreakBefore w:val="0"/>
              <w:widowControl w:val="0"/>
              <w:numPr>
                <w:ilvl w:val="0"/>
                <w:numId w:val="1"/>
              </w:numPr>
              <w:kinsoku/>
              <w:overflowPunct/>
              <w:autoSpaceDE w:val="0"/>
              <w:autoSpaceDN w:val="0"/>
              <w:bidi w:val="0"/>
              <w:adjustRightInd/>
              <w:spacing w:line="360" w:lineRule="auto"/>
              <w:ind w:left="0" w:firstLineChars="200" w:firstLine="480"/>
              <w:rPr>
                <w:rFonts w:ascii="Times New Roman" w:hAnsi="Times New Roman"/>
                <w:color w:val="auto"/>
              </w:rPr>
            </w:pPr>
            <w:r>
              <w:rPr>
                <w:rFonts w:ascii="Times New Roman" w:hAnsi="Times New Roman"/>
                <w:color w:val="auto"/>
              </w:rPr>
              <w:t>运输车辆、车厢要遮盖严密，装载量要适当，并且对车辆限速，场地道路水泥硬化。</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rPr>
            </w:pPr>
            <w:r>
              <w:rPr>
                <w:rFonts w:ascii="Times New Roman" w:hAnsi="Times New Roman"/>
                <w:color w:val="auto"/>
              </w:rPr>
              <w:t>5、注意施工设备的维护，使其能够正常的运行。</w:t>
            </w:r>
          </w:p>
          <w:p>
            <w:pPr>
              <w:pageBreakBefore w:val="0"/>
              <w:widowControl w:val="0"/>
              <w:kinsoku/>
              <w:overflowPunct/>
              <w:bidi w:val="0"/>
              <w:spacing w:line="360" w:lineRule="auto"/>
              <w:ind w:firstLineChars="200" w:firstLine="480"/>
              <w:rPr>
                <w:rFonts w:hint="eastAsia"/>
                <w:color w:val="auto"/>
                <w:kern w:val="0"/>
                <w:sz w:val="24"/>
              </w:rPr>
            </w:pPr>
            <w:r>
              <w:rPr>
                <w:rFonts w:hint="eastAsia"/>
                <w:color w:val="auto"/>
                <w:kern w:val="0"/>
                <w:sz w:val="24"/>
              </w:rPr>
              <w:t>6、</w:t>
            </w:r>
            <w:r>
              <w:rPr>
                <w:color w:val="auto"/>
                <w:sz w:val="24"/>
              </w:rPr>
              <w:t>对于施工过程中的汽车尾气，应通过控制车辆行驶速度降低影响</w:t>
            </w:r>
            <w:r>
              <w:rPr>
                <w:rFonts w:hint="eastAsia"/>
                <w:color w:val="auto"/>
                <w:sz w:val="24"/>
              </w:rPr>
              <w:t>。</w:t>
            </w:r>
          </w:p>
          <w:p>
            <w:pPr>
              <w:pageBreakBefore w:val="0"/>
              <w:widowControl w:val="0"/>
              <w:kinsoku/>
              <w:overflowPunct/>
              <w:bidi w:val="0"/>
              <w:spacing w:line="360" w:lineRule="auto"/>
              <w:ind w:firstLineChars="200" w:firstLine="480"/>
              <w:rPr>
                <w:color w:val="auto"/>
                <w:sz w:val="24"/>
              </w:rPr>
            </w:pPr>
            <w:r>
              <w:rPr>
                <w:color w:val="auto"/>
                <w:kern w:val="0"/>
                <w:sz w:val="24"/>
              </w:rPr>
              <w:t>采取上述措施后，可进一步有效防止扬尘，使其影响的范围相对减少，满足</w:t>
            </w:r>
            <w:r>
              <w:rPr>
                <w:bCs/>
                <w:color w:val="auto"/>
                <w:kern w:val="0"/>
                <w:sz w:val="24"/>
              </w:rPr>
              <w:t>《大气污染物综合排放标准》（GB16297-1996）标准。</w:t>
            </w:r>
            <w:r>
              <w:rPr>
                <w:color w:val="auto"/>
                <w:kern w:val="0"/>
                <w:sz w:val="24"/>
              </w:rPr>
              <w:t>施工扬尘对周围环境和附近居民的影响很小，施工扬尘会随着施工期的结束而消失</w:t>
            </w:r>
            <w:r>
              <w:rPr>
                <w:color w:val="auto"/>
                <w:sz w:val="24"/>
              </w:rPr>
              <w:t>。</w:t>
            </w:r>
          </w:p>
          <w:p>
            <w:pPr>
              <w:pageBreakBefore w:val="0"/>
              <w:widowControl/>
              <w:kinsoku/>
              <w:overflowPunct/>
              <w:bidi w:val="0"/>
              <w:snapToGrid w:val="0"/>
              <w:spacing w:line="360" w:lineRule="auto"/>
              <w:ind w:firstLineChars="200" w:firstLine="480"/>
              <w:contextualSpacing/>
              <w:jc w:val="left"/>
              <w:textAlignment w:val="center"/>
              <w:rPr>
                <w:b/>
                <w:bCs/>
                <w:color w:val="auto"/>
                <w:kern w:val="0"/>
                <w:sz w:val="24"/>
              </w:rPr>
            </w:pPr>
            <w:r>
              <w:rPr>
                <w:b/>
                <w:bCs/>
                <w:color w:val="auto"/>
                <w:kern w:val="0"/>
                <w:sz w:val="24"/>
              </w:rPr>
              <w:t>（三）</w:t>
            </w:r>
            <w:r>
              <w:rPr>
                <w:rFonts w:hint="eastAsia"/>
                <w:b/>
                <w:bCs/>
                <w:color w:val="auto"/>
                <w:kern w:val="0"/>
                <w:sz w:val="24"/>
              </w:rPr>
              <w:t>噪声</w:t>
            </w:r>
            <w:r>
              <w:rPr>
                <w:b/>
                <w:bCs/>
                <w:color w:val="auto"/>
                <w:kern w:val="0"/>
                <w:sz w:val="24"/>
              </w:rPr>
              <w:t>影响</w:t>
            </w:r>
            <w:r>
              <w:rPr>
                <w:rFonts w:hint="eastAsia"/>
                <w:b/>
                <w:bCs/>
                <w:color w:val="auto"/>
                <w:kern w:val="0"/>
                <w:sz w:val="24"/>
              </w:rPr>
              <w:t>及防治措施</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szCs w:val="22"/>
              </w:rPr>
            </w:pPr>
            <w:r>
              <w:rPr>
                <w:rFonts w:ascii="Times New Roman" w:hAnsi="Times New Roman"/>
                <w:color w:val="auto"/>
                <w:szCs w:val="22"/>
              </w:rPr>
              <w:t>施工阶段的噪声主要来自施工机械噪声、施工作业噪声和运输车辆噪声。</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szCs w:val="22"/>
              </w:rPr>
            </w:pPr>
            <w:r>
              <w:rPr>
                <w:rFonts w:ascii="Times New Roman" w:hAnsi="Times New Roman"/>
                <w:color w:val="auto"/>
                <w:szCs w:val="22"/>
              </w:rPr>
              <w:t>（1）施工机械噪声</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hint="eastAsia"/>
                <w:color w:val="auto"/>
                <w:szCs w:val="22"/>
              </w:rPr>
            </w:pPr>
            <w:r>
              <w:rPr>
                <w:rFonts w:ascii="Times New Roman" w:hAnsi="Times New Roman"/>
                <w:color w:val="auto"/>
                <w:szCs w:val="22"/>
              </w:rPr>
              <w:t>施工机械噪声由施工机械造成，如挖土机械、打桩机械、混凝土搅拌机等，多为点声源</w:t>
            </w:r>
            <w:r>
              <w:rPr>
                <w:rFonts w:ascii="Times New Roman" w:hAnsi="Times New Roman" w:hint="eastAsia"/>
                <w:color w:val="auto"/>
                <w:szCs w:val="22"/>
              </w:rPr>
              <w:t>。</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szCs w:val="22"/>
              </w:rPr>
            </w:pPr>
            <w:r>
              <w:rPr>
                <w:rFonts w:ascii="Times New Roman" w:hAnsi="Times New Roman"/>
                <w:color w:val="auto"/>
                <w:szCs w:val="22"/>
              </w:rPr>
              <w:t>（2）施工作业噪声</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hint="eastAsia"/>
                <w:color w:val="auto"/>
                <w:szCs w:val="22"/>
              </w:rPr>
            </w:pPr>
            <w:r>
              <w:rPr>
                <w:rFonts w:ascii="Times New Roman" w:hAnsi="Times New Roman"/>
                <w:color w:val="auto"/>
                <w:szCs w:val="22"/>
              </w:rPr>
              <w:t>施工作业噪声主要指一些零星的敲打声、建筑物砌筑时的锤打声、装卸建材的撞击声、施工人员的吆喝声、拆装模板的撞击声等，多为瞬间噪声</w:t>
            </w:r>
            <w:r>
              <w:rPr>
                <w:rFonts w:ascii="Times New Roman" w:hAnsi="Times New Roman" w:hint="eastAsia"/>
                <w:color w:val="auto"/>
                <w:szCs w:val="22"/>
              </w:rPr>
              <w:t>。</w:t>
            </w:r>
          </w:p>
          <w:p>
            <w:pPr>
              <w:pStyle w:val="36"/>
              <w:pageBreakBefore w:val="0"/>
              <w:widowControl w:val="0"/>
              <w:kinsoku/>
              <w:overflowPunct/>
              <w:autoSpaceDE w:val="0"/>
              <w:autoSpaceDN w:val="0"/>
              <w:bidi w:val="0"/>
              <w:adjustRightInd/>
              <w:spacing w:line="360" w:lineRule="auto"/>
              <w:ind w:firstLineChars="200" w:firstLine="480"/>
              <w:rPr>
                <w:rFonts w:ascii="Times New Roman" w:hAnsi="Times New Roman"/>
                <w:color w:val="auto"/>
                <w:szCs w:val="22"/>
              </w:rPr>
            </w:pPr>
            <w:r>
              <w:rPr>
                <w:rFonts w:ascii="Times New Roman" w:hAnsi="Times New Roman"/>
                <w:color w:val="auto"/>
                <w:szCs w:val="22"/>
              </w:rPr>
              <w:t>（3）运输车辆的噪声</w:t>
            </w:r>
          </w:p>
          <w:p>
            <w:pPr>
              <w:pStyle w:val="36"/>
              <w:pageBreakBefore w:val="0"/>
              <w:widowControl w:val="0"/>
              <w:kinsoku/>
              <w:overflowPunct/>
              <w:autoSpaceDE w:val="0"/>
              <w:autoSpaceDN w:val="0"/>
              <w:bidi w:val="0"/>
              <w:adjustRightInd/>
              <w:spacing w:line="360" w:lineRule="auto"/>
              <w:ind w:firstLineChars="200" w:firstLine="480"/>
              <w:rPr>
                <w:rFonts w:ascii="Times New Roman" w:eastAsia="宋体" w:cs="宋体" w:hAnsi="Times New Roman" w:hint="eastAsia"/>
                <w:color w:val="auto"/>
                <w:szCs w:val="22"/>
              </w:rPr>
            </w:pPr>
            <w:r>
              <w:rPr>
                <w:rFonts w:ascii="Times New Roman" w:eastAsia="宋体" w:cs="宋体" w:hAnsi="Times New Roman"/>
                <w:color w:val="auto"/>
                <w:szCs w:val="22"/>
              </w:rPr>
              <w:t>施工噪声主要来源于施工机械和运输车辆辐射的噪声。主要施工、运输设备为挖掘机等，机械设备噪声源强约为65</w:t>
            </w:r>
            <w:r>
              <w:rPr>
                <w:rFonts w:ascii="Times New Roman" w:eastAsia="宋体" w:cs="宋体" w:hAnsi="Times New Roman" w:hint="eastAsia"/>
                <w:color w:val="auto"/>
                <w:szCs w:val="22"/>
              </w:rPr>
              <w:t>-</w:t>
            </w:r>
            <w:r>
              <w:rPr>
                <w:rFonts w:ascii="Times New Roman" w:eastAsia="宋体" w:cs="宋体" w:hAnsi="Times New Roman"/>
                <w:color w:val="auto"/>
                <w:szCs w:val="22"/>
              </w:rPr>
              <w:t>95dB(A)。</w:t>
            </w:r>
          </w:p>
          <w:p>
            <w:pPr>
              <w:pStyle w:val="36"/>
              <w:pageBreakBefore w:val="0"/>
              <w:widowControl w:val="0"/>
              <w:kinsoku/>
              <w:overflowPunct/>
              <w:autoSpaceDE w:val="0"/>
              <w:autoSpaceDN w:val="0"/>
              <w:bidi w:val="0"/>
              <w:adjustRightInd/>
              <w:spacing w:line="360" w:lineRule="auto"/>
              <w:ind w:firstLineChars="200" w:firstLine="480"/>
              <w:rPr>
                <w:rFonts w:hint="eastAsia"/>
                <w:color w:val="auto"/>
                <w:sz w:val="24"/>
              </w:rPr>
            </w:pPr>
            <w:r>
              <w:rPr>
                <w:rFonts w:ascii="Times New Roman" w:eastAsia="宋体" w:cs="宋体" w:hAnsi="Times New Roman"/>
                <w:color w:val="auto"/>
                <w:szCs w:val="22"/>
              </w:rPr>
              <w:t>建设方应采取相应的措施以减小</w:t>
            </w:r>
            <w:r>
              <w:rPr>
                <w:color w:val="auto"/>
                <w:kern w:val="0"/>
                <w:sz w:val="24"/>
              </w:rPr>
              <w:t>施工噪声对周围环境的影响</w:t>
            </w:r>
            <w:r>
              <w:rPr>
                <w:rFonts w:hint="eastAsia"/>
                <w:color w:val="auto"/>
                <w:sz w:val="24"/>
              </w:rPr>
              <w:t>：</w:t>
            </w:r>
          </w:p>
          <w:p>
            <w:pPr>
              <w:pageBreakBefore w:val="0"/>
              <w:widowControl w:val="0"/>
              <w:kinsoku/>
              <w:overflowPunct/>
              <w:bidi w:val="0"/>
              <w:spacing w:line="360" w:lineRule="auto"/>
              <w:ind w:firstLineChars="200" w:firstLine="480"/>
              <w:jc w:val="left"/>
              <w:rPr>
                <w:color w:val="auto"/>
                <w:kern w:val="0"/>
                <w:sz w:val="24"/>
              </w:rPr>
            </w:pPr>
            <w:r>
              <w:rPr>
                <w:color w:val="auto"/>
                <w:kern w:val="0"/>
                <w:sz w:val="24"/>
              </w:rPr>
              <w:t>1、建设单位在与施工单位签订合同时，应要求其使用的主要机械设备为低噪声及振动的机械设备，同时在施工过程中施工单位应设专人对设备进行定期保养和维护，并负责对现场工作人员进行培训，严格按操作规范使用各类机械。</w:t>
            </w:r>
          </w:p>
          <w:p>
            <w:pPr>
              <w:pageBreakBefore w:val="0"/>
              <w:widowControl w:val="0"/>
              <w:kinsoku/>
              <w:overflowPunct/>
              <w:bidi w:val="0"/>
              <w:spacing w:line="360" w:lineRule="auto"/>
              <w:ind w:firstLineChars="200" w:firstLine="480"/>
              <w:jc w:val="left"/>
              <w:rPr>
                <w:color w:val="auto"/>
                <w:kern w:val="0"/>
                <w:sz w:val="24"/>
              </w:rPr>
            </w:pPr>
            <w:r>
              <w:rPr>
                <w:color w:val="auto"/>
                <w:kern w:val="0"/>
                <w:sz w:val="24"/>
              </w:rPr>
              <w:t>2、施工企业对施工噪声进行自律，文明施工，砂石等原料选择在白天运输、卸落，施工员工休息工棚尽量布置在施工场地东侧，远离居民点，休息时尽量避免大声喧哗，避免因施工噪声产生纠纷。</w:t>
            </w:r>
          </w:p>
          <w:p>
            <w:pPr>
              <w:pageBreakBefore w:val="0"/>
              <w:widowControl w:val="0"/>
              <w:kinsoku/>
              <w:overflowPunct/>
              <w:bidi w:val="0"/>
              <w:spacing w:line="360" w:lineRule="auto"/>
              <w:ind w:firstLineChars="200" w:firstLine="480"/>
              <w:jc w:val="left"/>
              <w:rPr>
                <w:color w:val="auto"/>
                <w:kern w:val="0"/>
                <w:sz w:val="24"/>
              </w:rPr>
            </w:pPr>
            <w:r>
              <w:rPr>
                <w:color w:val="auto"/>
                <w:kern w:val="0"/>
                <w:sz w:val="24"/>
              </w:rPr>
              <w:t>3、将施工工期及施工时间通知周边居民，取得周边居民的谅解。</w:t>
            </w:r>
          </w:p>
          <w:p>
            <w:pPr>
              <w:pageBreakBefore w:val="0"/>
              <w:widowControl w:val="0"/>
              <w:kinsoku/>
              <w:overflowPunct/>
              <w:bidi w:val="0"/>
              <w:spacing w:line="360" w:lineRule="auto"/>
              <w:ind w:firstLineChars="200" w:firstLine="480"/>
              <w:jc w:val="left"/>
              <w:rPr>
                <w:color w:val="auto"/>
                <w:kern w:val="0"/>
                <w:sz w:val="24"/>
              </w:rPr>
            </w:pPr>
            <w:r>
              <w:rPr>
                <w:color w:val="auto"/>
                <w:kern w:val="0"/>
                <w:sz w:val="24"/>
              </w:rPr>
              <w:t>4、因生产工艺上要求必须连续作业或特殊需要，确需在当日22：00至次日6：00期间施工的工程，必须办理夜间施工许可证。并到当地环保局去申请办理夜间施工许可证等并进行公示。</w:t>
            </w:r>
          </w:p>
          <w:p>
            <w:pPr>
              <w:pageBreakBefore w:val="0"/>
              <w:widowControl w:val="0"/>
              <w:kinsoku/>
              <w:overflowPunct/>
              <w:bidi w:val="0"/>
              <w:adjustRightInd w:val="0"/>
              <w:snapToGrid w:val="0"/>
              <w:spacing w:line="360" w:lineRule="auto"/>
              <w:ind w:firstLineChars="200" w:firstLine="480"/>
              <w:rPr>
                <w:color w:val="auto"/>
                <w:sz w:val="24"/>
              </w:rPr>
            </w:pPr>
            <w:r>
              <w:rPr>
                <w:color w:val="auto"/>
                <w:kern w:val="0"/>
                <w:sz w:val="24"/>
              </w:rPr>
              <w:t>以上各项措施是可行的，关键是在施工时要严格加强管理，切实落实各项治理措施，在此前提下，项目在施工期对声环境质量的影响可降至最低</w:t>
            </w:r>
            <w:r>
              <w:rPr>
                <w:color w:val="auto"/>
                <w:sz w:val="24"/>
              </w:rPr>
              <w:t>。</w:t>
            </w:r>
          </w:p>
          <w:p>
            <w:pPr>
              <w:pageBreakBefore w:val="0"/>
              <w:widowControl/>
              <w:numPr>
                <w:ilvl w:val="0"/>
                <w:numId w:val="2"/>
              </w:numPr>
              <w:kinsoku/>
              <w:overflowPunct/>
              <w:bidi w:val="0"/>
              <w:snapToGrid w:val="0"/>
              <w:spacing w:line="360" w:lineRule="auto"/>
              <w:ind w:left="0" w:firstLineChars="200" w:firstLine="480"/>
              <w:contextualSpacing/>
              <w:jc w:val="left"/>
              <w:textAlignment w:val="center"/>
              <w:rPr>
                <w:rFonts w:ascii="宋体" w:cs="宋体" w:hAnsi="宋体" w:hint="eastAsia"/>
                <w:b/>
                <w:bCs/>
                <w:color w:val="auto"/>
                <w:kern w:val="0"/>
                <w:sz w:val="24"/>
              </w:rPr>
            </w:pPr>
            <w:r>
              <w:rPr>
                <w:rFonts w:ascii="宋体" w:cs="宋体" w:hAnsi="宋体" w:hint="eastAsia"/>
                <w:b/>
                <w:bCs/>
                <w:color w:val="auto"/>
                <w:kern w:val="0"/>
                <w:sz w:val="24"/>
              </w:rPr>
              <w:t>固体废物影响及防治措施</w:t>
            </w:r>
          </w:p>
          <w:p>
            <w:pPr>
              <w:pageBreakBefore w:val="0"/>
              <w:widowControl w:val="0"/>
              <w:kinsoku/>
              <w:overflowPunct/>
              <w:bidi w:val="0"/>
              <w:spacing w:line="360" w:lineRule="auto"/>
              <w:ind w:firstLineChars="200" w:firstLine="480"/>
              <w:textAlignment w:val="baseline"/>
              <w:rPr>
                <w:rFonts w:hint="eastAsia"/>
                <w:color w:val="auto"/>
                <w:sz w:val="24"/>
              </w:rPr>
            </w:pPr>
            <w:r>
              <w:rPr>
                <w:rFonts w:hint="eastAsia"/>
                <w:color w:val="auto"/>
                <w:sz w:val="24"/>
              </w:rPr>
              <w:t>施工期间固体废物主要来自施工过程产生建筑垃圾和生活垃圾。</w:t>
            </w:r>
          </w:p>
          <w:p>
            <w:pPr>
              <w:pageBreakBefore w:val="0"/>
              <w:widowControl w:val="0"/>
              <w:kinsoku/>
              <w:overflowPunct/>
              <w:bidi w:val="0"/>
              <w:spacing w:line="360" w:lineRule="auto"/>
              <w:ind w:firstLineChars="200" w:firstLine="480"/>
              <w:textAlignment w:val="baseline"/>
              <w:rPr>
                <w:rFonts w:hint="eastAsia"/>
                <w:color w:val="auto"/>
                <w:sz w:val="24"/>
              </w:rPr>
            </w:pPr>
            <w:r>
              <w:rPr>
                <w:rFonts w:hint="eastAsia"/>
                <w:color w:val="auto"/>
                <w:sz w:val="24"/>
              </w:rPr>
              <w:t>（1）建筑垃圾</w:t>
            </w:r>
          </w:p>
          <w:p>
            <w:pPr>
              <w:pageBreakBefore w:val="0"/>
              <w:widowControl w:val="0"/>
              <w:kinsoku/>
              <w:overflowPunct/>
              <w:bidi w:val="0"/>
              <w:spacing w:line="360" w:lineRule="auto"/>
              <w:ind w:firstLineChars="200" w:firstLine="480"/>
              <w:textAlignment w:val="baseline"/>
              <w:rPr>
                <w:rFonts w:hint="eastAsia"/>
                <w:color w:val="auto"/>
                <w:sz w:val="24"/>
              </w:rPr>
            </w:pPr>
            <w:r>
              <w:rPr>
                <w:rFonts w:hint="eastAsia"/>
                <w:color w:val="auto"/>
                <w:sz w:val="24"/>
              </w:rPr>
              <w:t>项目在建设过程中产生的建筑垃圾主要有建材损耗产生的垃圾、建筑垃圾、开挖弃土等，包括砂土、石块、水泥、碎木料、锯木屑、废金属、钢筋、铁丝等杂物。</w:t>
            </w:r>
            <w:r>
              <w:rPr>
                <w:color w:val="auto"/>
                <w:kern w:val="0"/>
                <w:sz w:val="24"/>
              </w:rPr>
              <w:t>建设单位拟对建筑垃圾进行分类，能回收利用外卖给废品回收部门回收利用，如钢筋、铁丝等，不能回填的收集后</w:t>
            </w:r>
            <w:r>
              <w:rPr>
                <w:color w:val="auto"/>
                <w:sz w:val="24"/>
              </w:rPr>
              <w:t>运往指定的渣土场进行</w:t>
            </w:r>
            <w:r>
              <w:rPr>
                <w:color w:val="auto"/>
                <w:kern w:val="0"/>
                <w:sz w:val="24"/>
              </w:rPr>
              <w:t>处理，经过处理后对环境影响小</w:t>
            </w:r>
            <w:r>
              <w:rPr>
                <w:rFonts w:hint="eastAsia"/>
                <w:color w:val="auto"/>
                <w:kern w:val="0"/>
                <w:sz w:val="24"/>
              </w:rPr>
              <w:t>。</w:t>
            </w:r>
          </w:p>
          <w:p>
            <w:pPr>
              <w:pageBreakBefore w:val="0"/>
              <w:widowControl w:val="0"/>
              <w:kinsoku/>
              <w:overflowPunct/>
              <w:bidi w:val="0"/>
              <w:spacing w:line="360" w:lineRule="auto"/>
              <w:ind w:firstLine="570"/>
              <w:textAlignment w:val="baseline"/>
              <w:rPr>
                <w:rFonts w:hint="eastAsia"/>
                <w:color w:val="auto"/>
                <w:sz w:val="24"/>
              </w:rPr>
            </w:pPr>
            <w:r>
              <w:rPr>
                <w:rFonts w:hint="eastAsia"/>
                <w:color w:val="auto"/>
                <w:sz w:val="24"/>
              </w:rPr>
              <w:t>（2）生活垃圾</w:t>
            </w:r>
          </w:p>
          <w:p>
            <w:pPr>
              <w:pageBreakBefore w:val="0"/>
              <w:widowControl w:val="0"/>
              <w:kinsoku/>
              <w:overflowPunct/>
              <w:bidi w:val="0"/>
              <w:spacing w:line="360" w:lineRule="auto"/>
              <w:ind w:firstLine="570"/>
              <w:textAlignment w:val="baseline"/>
              <w:rPr>
                <w:rFonts w:hint="eastAsia"/>
                <w:color w:val="auto"/>
                <w:sz w:val="24"/>
              </w:rPr>
            </w:pPr>
            <w:r>
              <w:rPr>
                <w:color w:val="auto"/>
                <w:kern w:val="0"/>
                <w:sz w:val="24"/>
              </w:rPr>
              <w:t>施工过程中应对生活垃圾定点收集、及时清运并交由环卫部门一并外运处置</w:t>
            </w:r>
            <w:r>
              <w:rPr>
                <w:color w:val="auto"/>
                <w:sz w:val="24"/>
              </w:rPr>
              <w:t>。</w:t>
            </w:r>
          </w:p>
          <w:p>
            <w:pPr>
              <w:pageBreakBefore w:val="0"/>
              <w:widowControl w:val="0"/>
              <w:kinsoku/>
              <w:overflowPunct/>
              <w:bidi w:val="0"/>
              <w:spacing w:line="360" w:lineRule="auto"/>
              <w:ind w:firstLineChars="200" w:firstLine="480"/>
              <w:textAlignment w:val="baseline"/>
              <w:rPr>
                <w:rFonts w:ascii="宋体" w:eastAsia="宋体" w:cs="宋体" w:hAnsi="宋体" w:hint="eastAsia"/>
                <w:bCs/>
                <w:color w:val="0000FF"/>
                <w:spacing w:val="-10"/>
                <w:szCs w:val="21"/>
                <w:lang w:eastAsia="zh-CN"/>
              </w:rPr>
            </w:pPr>
            <w:r>
              <w:rPr>
                <w:rFonts w:hint="eastAsia"/>
                <w:color w:val="auto"/>
                <w:kern w:val="0"/>
                <w:sz w:val="24"/>
              </w:rPr>
              <w:t>综上，</w:t>
            </w:r>
            <w:r>
              <w:rPr>
                <w:color w:val="auto"/>
                <w:kern w:val="0"/>
                <w:sz w:val="24"/>
              </w:rPr>
              <w:t>采取以上措施后，施工期固废均可得到妥善处置，对周围环境产生影响较小。</w:t>
            </w:r>
            <w:r>
              <w:rPr>
                <w:rFonts w:hint="eastAsia"/>
                <w:color w:val="auto"/>
                <w:kern w:val="0"/>
                <w:sz w:val="24"/>
              </w:rPr>
              <w:t>措施可行</w:t>
            </w:r>
            <w:r>
              <w:rPr>
                <w:rFonts w:hint="eastAsia"/>
                <w:color w:val="auto"/>
                <w:kern w:val="0"/>
                <w:sz w:val="24"/>
                <w:lang w:eastAsia="zh-CN"/>
              </w:rPr>
              <w:t>。</w:t>
            </w:r>
          </w:p>
        </w:tc>
      </w:tr>
      <w:tr>
        <w:trPr>
          <w:trHeight w:val="10344"/>
        </w:trPr>
        <w:tc>
          <w:tcPr>
            <w:tcW w:w="169" w:type="pct"/>
            <w:tcMar>
              <w:left w:w="28" w:type="dxa"/>
              <w:right w:w="28" w:type="dxa"/>
            </w:tcMar>
            <w:vAlign w:val="center"/>
          </w:tcPr>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运营</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期环</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境影</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响和</w:t>
            </w:r>
          </w:p>
          <w:p>
            <w:pPr>
              <w:pageBreakBefore w:val="0"/>
              <w:widowControl w:val="0"/>
              <w:kinsoku/>
              <w:overflowPunct/>
              <w:bidi w:val="0"/>
              <w:adjustRightInd w:val="0"/>
              <w:snapToGrid w:val="0"/>
              <w:jc w:val="center"/>
              <w:rPr>
                <w:rFonts w:ascii="宋体" w:cs="宋体" w:hAnsi="宋体" w:hint="eastAsia"/>
                <w:bCs/>
                <w:color w:val="auto"/>
                <w:sz w:val="24"/>
              </w:rPr>
            </w:pPr>
            <w:r>
              <w:rPr>
                <w:rFonts w:ascii="宋体" w:cs="宋体" w:hAnsi="宋体" w:hint="eastAsia"/>
                <w:bCs/>
                <w:color w:val="auto"/>
                <w:sz w:val="24"/>
              </w:rPr>
              <w:t>保护</w:t>
            </w:r>
          </w:p>
          <w:p>
            <w:pPr>
              <w:pageBreakBefore w:val="0"/>
              <w:widowControl w:val="0"/>
              <w:kinsoku/>
              <w:overflowPunct/>
              <w:bidi w:val="0"/>
              <w:adjustRightInd w:val="0"/>
              <w:snapToGrid w:val="0"/>
              <w:jc w:val="center"/>
              <w:rPr>
                <w:rFonts w:ascii="宋体" w:cs="宋体" w:hAnsi="宋体"/>
                <w:bCs/>
                <w:color w:val="0000FF"/>
                <w:szCs w:val="21"/>
              </w:rPr>
            </w:pPr>
            <w:r>
              <w:rPr>
                <w:rFonts w:ascii="宋体" w:cs="宋体" w:hAnsi="宋体" w:hint="eastAsia"/>
                <w:bCs/>
                <w:color w:val="auto"/>
                <w:sz w:val="24"/>
              </w:rPr>
              <w:t>措施</w:t>
            </w:r>
          </w:p>
        </w:tc>
        <w:tc>
          <w:tcPr>
            <w:tcW w:w="4830" w:type="pct"/>
            <w:vAlign w:val="center"/>
          </w:tcPr>
          <w:p>
            <w:pPr>
              <w:pageBreakBefore w:val="0"/>
              <w:widowControl w:val="0"/>
              <w:kinsoku/>
              <w:overflowPunct/>
              <w:autoSpaceDE w:val="0"/>
              <w:autoSpaceDN w:val="0"/>
              <w:bidi w:val="0"/>
              <w:adjustRightInd w:val="0"/>
              <w:snapToGrid w:val="0"/>
              <w:spacing w:line="360" w:lineRule="auto"/>
              <w:ind w:firstLineChars="200" w:firstLine="480"/>
              <w:jc w:val="left"/>
              <w:rPr>
                <w:b/>
                <w:bCs/>
                <w:color w:val="auto"/>
                <w:kern w:val="0"/>
                <w:sz w:val="24"/>
              </w:rPr>
            </w:pPr>
            <w:r>
              <w:rPr>
                <w:rFonts w:hint="eastAsia"/>
                <w:b/>
                <w:bCs/>
                <w:color w:val="auto"/>
                <w:sz w:val="24"/>
              </w:rPr>
              <w:t>（一）</w:t>
            </w:r>
            <w:r>
              <w:rPr>
                <w:rFonts w:hint="eastAsia"/>
                <w:b/>
                <w:bCs/>
                <w:color w:val="auto"/>
                <w:kern w:val="0"/>
                <w:sz w:val="24"/>
              </w:rPr>
              <w:t>废气</w:t>
            </w:r>
          </w:p>
          <w:p>
            <w:pPr>
              <w:pageBreakBefore w:val="0"/>
              <w:widowControl w:val="0"/>
              <w:kinsoku/>
              <w:overflowPunct/>
              <w:bidi w:val="0"/>
              <w:spacing w:line="360" w:lineRule="auto"/>
              <w:ind w:firstLine="570"/>
              <w:textAlignment w:val="baseline"/>
              <w:rPr>
                <w:rFonts w:ascii="Times New Roman" w:cs="Times New Roman" w:hAnsi="Times New Roman"/>
                <w:color w:val="auto"/>
                <w:sz w:val="24"/>
                <w:lang w:val="en-US" w:eastAsia="zh-CN"/>
              </w:rPr>
            </w:pPr>
            <w:r>
              <w:rPr>
                <w:rFonts w:ascii="Times New Roman" w:cs="Times New Roman" w:hAnsi="Times New Roman"/>
                <w:color w:val="auto"/>
                <w:sz w:val="24"/>
                <w:lang w:eastAsia="zh-CN"/>
              </w:rPr>
              <w:t>（</w:t>
            </w:r>
            <w:r>
              <w:rPr>
                <w:rFonts w:ascii="Times New Roman" w:cs="Times New Roman" w:hAnsi="Times New Roman"/>
                <w:color w:val="auto"/>
                <w:sz w:val="24"/>
                <w:lang w:val="en-US" w:eastAsia="zh-CN"/>
              </w:rPr>
              <w:t>1</w:t>
            </w:r>
            <w:r>
              <w:rPr>
                <w:rFonts w:ascii="Times New Roman" w:cs="Times New Roman" w:hAnsi="Times New Roman"/>
                <w:color w:val="auto"/>
                <w:sz w:val="24"/>
                <w:lang w:eastAsia="zh-CN"/>
              </w:rPr>
              <w:t>）</w:t>
            </w:r>
            <w:r>
              <w:rPr>
                <w:rFonts w:cs="Times New Roman" w:hint="eastAsia"/>
                <w:color w:val="auto"/>
                <w:sz w:val="24"/>
                <w:lang w:val="en-US" w:eastAsia="zh-CN"/>
              </w:rPr>
              <w:t>烘干废气</w:t>
            </w:r>
          </w:p>
          <w:p>
            <w:pPr>
              <w:pageBreakBefore w:val="0"/>
              <w:widowControl w:val="0"/>
              <w:kinsoku/>
              <w:overflowPunct/>
              <w:bidi w:val="0"/>
              <w:spacing w:line="360" w:lineRule="auto"/>
              <w:ind w:firstLineChars="200" w:firstLine="480"/>
              <w:rPr>
                <w:rFonts w:ascii="Times New Roman" w:cs="Times New Roman" w:hAnsi="Times New Roman"/>
                <w:color w:val="auto"/>
                <w:kern w:val="0"/>
                <w:sz w:val="24"/>
                <w:szCs w:val="24"/>
                <w:u w:val="single"/>
                <w:lang w:val="en-US" w:eastAsia="zh-CN" w:bidi="ar-SA"/>
              </w:rPr>
            </w:pPr>
            <w:r>
              <w:rPr>
                <w:rFonts w:cs="Times New Roman" w:hint="eastAsia"/>
                <w:color w:val="auto"/>
                <w:kern w:val="0"/>
                <w:sz w:val="24"/>
                <w:szCs w:val="24"/>
                <w:lang w:val="en-US" w:eastAsia="zh-CN" w:bidi="ar-SA"/>
              </w:rPr>
              <w:t>项目使用电能烘干，由于进入本场加工的茶籽均已洗净，因此在烘干过程</w:t>
            </w:r>
            <w:r>
              <w:rPr>
                <w:rFonts w:cs="Times New Roman"/>
                <w:color w:val="auto"/>
                <w:kern w:val="0"/>
                <w:sz w:val="24"/>
                <w:szCs w:val="24"/>
                <w:lang w:val="en-US" w:eastAsia="zh-CN" w:bidi="ar-SA"/>
              </w:rPr>
              <w:t>中</w:t>
            </w:r>
            <w:r>
              <w:rPr>
                <w:rFonts w:cs="Times New Roman" w:hint="eastAsia"/>
                <w:color w:val="auto"/>
                <w:kern w:val="0"/>
                <w:sz w:val="24"/>
                <w:szCs w:val="24"/>
                <w:lang w:val="en-US" w:eastAsia="zh-CN" w:bidi="ar-SA"/>
              </w:rPr>
              <w:t>会产生少量的水汽和颗粒物，这部分污染物无法定量计算，本次评价对其进行定性不定量分析，项</w:t>
            </w:r>
            <w:r>
              <w:rPr>
                <w:rFonts w:cs="Times New Roman" w:hint="eastAsia"/>
                <w:color w:val="auto"/>
                <w:kern w:val="0"/>
                <w:sz w:val="24"/>
                <w:szCs w:val="24"/>
                <w:u w:val="single"/>
                <w:lang w:val="en-US" w:eastAsia="zh-CN" w:bidi="ar-SA"/>
              </w:rPr>
              <w:t>目烘干、剥壳和压榨位于同一封闭车间，烘干废气、剥壳废气和压榨废气一同收集后通过DA001排放</w:t>
            </w:r>
            <w:r>
              <w:rPr>
                <w:rFonts w:ascii="Times New Roman" w:cs="Times New Roman" w:hAnsi="Times New Roman"/>
                <w:color w:val="auto"/>
                <w:kern w:val="0"/>
                <w:sz w:val="24"/>
                <w:szCs w:val="24"/>
                <w:u w:val="single"/>
                <w:lang w:val="en-US" w:eastAsia="zh-CN" w:bidi="ar-SA"/>
              </w:rPr>
              <w:t>。</w:t>
            </w:r>
          </w:p>
          <w:p>
            <w:pPr>
              <w:pageBreakBefore w:val="0"/>
              <w:widowControl w:val="0"/>
              <w:kinsoku/>
              <w:overflowPunct/>
              <w:bidi w:val="0"/>
              <w:spacing w:line="360" w:lineRule="auto"/>
              <w:ind w:firstLine="570"/>
              <w:textAlignment w:val="baseline"/>
              <w:rPr>
                <w:rFonts w:ascii="Times New Roman" w:cs="Times New Roman" w:hAnsi="Times New Roman"/>
                <w:color w:val="auto"/>
                <w:sz w:val="24"/>
                <w:lang w:eastAsia="zh-CN"/>
              </w:rPr>
            </w:pPr>
            <w:r>
              <w:rPr>
                <w:rFonts w:ascii="Times New Roman" w:cs="Times New Roman" w:hAnsi="Times New Roman"/>
                <w:color w:val="auto"/>
                <w:sz w:val="24"/>
                <w:lang w:eastAsia="zh-CN"/>
              </w:rPr>
              <w:t>（</w:t>
            </w:r>
            <w:r>
              <w:rPr>
                <w:rFonts w:ascii="Times New Roman" w:cs="Times New Roman" w:hAnsi="Times New Roman"/>
                <w:color w:val="auto"/>
                <w:sz w:val="24"/>
                <w:lang w:val="en-US" w:eastAsia="zh-CN"/>
              </w:rPr>
              <w:t>2</w:t>
            </w:r>
            <w:r>
              <w:rPr>
                <w:rFonts w:ascii="Times New Roman" w:cs="Times New Roman" w:hAnsi="Times New Roman"/>
                <w:color w:val="auto"/>
                <w:sz w:val="24"/>
                <w:lang w:eastAsia="zh-CN"/>
              </w:rPr>
              <w:t>）剥壳</w:t>
            </w:r>
            <w:r>
              <w:rPr>
                <w:rFonts w:cs="Times New Roman" w:hint="eastAsia"/>
                <w:color w:val="auto"/>
                <w:sz w:val="24"/>
                <w:lang w:val="en-US" w:eastAsia="zh-CN"/>
              </w:rPr>
              <w:t>废气</w:t>
            </w:r>
          </w:p>
          <w:p>
            <w:pPr>
              <w:pageBreakBefore w:val="0"/>
              <w:widowControl w:val="0"/>
              <w:kinsoku/>
              <w:overflowPunct/>
              <w:bidi w:val="0"/>
              <w:adjustRightInd w:val="0"/>
              <w:snapToGrid w:val="0"/>
              <w:spacing w:line="360" w:lineRule="auto"/>
              <w:ind w:firstLineChars="200" w:firstLine="480"/>
              <w:rPr>
                <w:rFonts w:ascii="Times New Roman" w:eastAsia="宋体" w:cs="Times New Roman" w:hAnsi="Times New Roman"/>
                <w:color w:val="0000FF"/>
                <w:sz w:val="24"/>
                <w:szCs w:val="24"/>
                <w:lang w:val="en-US" w:eastAsia="zh-CN"/>
              </w:rPr>
            </w:pPr>
            <w:r>
              <w:rPr>
                <w:rFonts w:cs="Times New Roman" w:hint="eastAsia"/>
                <w:color w:val="auto"/>
                <w:sz w:val="24"/>
                <w:szCs w:val="24"/>
                <w:lang w:val="en-US" w:eastAsia="zh-CN"/>
              </w:rPr>
              <w:t>类比同类项目《年产5000吨茶油精深加工项目》，剥壳废气颗粒物的产生量为茶壳的</w:t>
            </w:r>
            <w:r>
              <w:rPr>
                <w:rFonts w:hint="eastAsia"/>
                <w:color w:val="auto"/>
                <w:sz w:val="24"/>
              </w:rPr>
              <w:t>0.</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项目每天生产8小时，年生产时间100天，壳的量约为334t/a，则粉尘的产生量为0.334t/a，车间配套袋式+活性炭吸附去除效率约80%~88%，本项目取85%，车间整体封闭收集率95%，则有组织排放量为0.048t/a（DA001），排放浓度为0.002mg/m³，</w:t>
            </w:r>
            <w:r>
              <w:rPr>
                <w:rFonts w:hint="eastAsia"/>
                <w:sz w:val="24"/>
                <w:lang w:val="en-US" w:eastAsia="zh-CN"/>
              </w:rPr>
              <w:t>风机风量15000m³/h（按照7.4（宽）×4.5（高）×40（长）×11次，下同）</w:t>
            </w:r>
            <w:r>
              <w:rPr>
                <w:rFonts w:hint="eastAsia"/>
                <w:sz w:val="24"/>
                <w:lang w:eastAsia="zh-CN"/>
              </w:rPr>
              <w:t>，</w:t>
            </w:r>
            <w:r>
              <w:rPr>
                <w:rFonts w:hint="eastAsia"/>
                <w:color w:val="auto"/>
                <w:sz w:val="24"/>
                <w:lang w:val="en-US" w:eastAsia="zh-CN"/>
              </w:rPr>
              <w:t>排放速率为0.06kg/h；无组织排放量为0.017t/a，排放速率为0.002kg/h</w:t>
            </w:r>
            <w:r>
              <w:rPr>
                <w:rFonts w:ascii="Times New Roman" w:cs="Times New Roman" w:hAnsi="Times New Roman"/>
                <w:color w:val="auto"/>
                <w:kern w:val="2"/>
                <w:sz w:val="24"/>
                <w:szCs w:val="24"/>
                <w:lang w:val="en-US" w:eastAsia="zh-CN" w:bidi="ar-SA"/>
              </w:rPr>
              <w:t>。</w:t>
            </w:r>
          </w:p>
          <w:p>
            <w:pPr>
              <w:pageBreakBefore w:val="0"/>
              <w:widowControl w:val="0"/>
              <w:kinsoku/>
              <w:overflowPunct/>
              <w:bidi w:val="0"/>
              <w:spacing w:line="360" w:lineRule="auto"/>
              <w:ind w:firstLine="570"/>
              <w:textAlignment w:val="baseline"/>
              <w:rPr>
                <w:rFonts w:ascii="Times New Roman" w:cs="Times New Roman" w:hAnsi="Times New Roman"/>
                <w:color w:val="auto"/>
                <w:sz w:val="24"/>
                <w:lang w:val="en-US" w:eastAsia="zh-CN"/>
              </w:rPr>
            </w:pPr>
            <w:r>
              <w:rPr>
                <w:rFonts w:ascii="Times New Roman" w:cs="Times New Roman" w:hAnsi="Times New Roman"/>
                <w:color w:val="auto"/>
                <w:sz w:val="24"/>
              </w:rPr>
              <w:t>（</w:t>
            </w:r>
            <w:r>
              <w:rPr>
                <w:rFonts w:ascii="Times New Roman" w:cs="Times New Roman" w:hAnsi="Times New Roman"/>
                <w:color w:val="auto"/>
                <w:sz w:val="24"/>
                <w:lang w:val="en-US" w:eastAsia="zh-CN"/>
              </w:rPr>
              <w:t>3</w:t>
            </w:r>
            <w:r>
              <w:rPr>
                <w:rFonts w:ascii="Times New Roman" w:cs="Times New Roman" w:hAnsi="Times New Roman"/>
                <w:color w:val="auto"/>
                <w:sz w:val="24"/>
              </w:rPr>
              <w:t>）</w:t>
            </w:r>
            <w:r>
              <w:rPr>
                <w:rFonts w:ascii="Times New Roman" w:cs="Times New Roman" w:hAnsi="Times New Roman"/>
                <w:color w:val="auto"/>
                <w:sz w:val="24"/>
                <w:lang w:eastAsia="zh-CN"/>
              </w:rPr>
              <w:t>压榨</w:t>
            </w:r>
            <w:r>
              <w:rPr>
                <w:rFonts w:cs="Times New Roman" w:hint="eastAsia"/>
                <w:color w:val="auto"/>
                <w:sz w:val="24"/>
                <w:lang w:val="en-US" w:eastAsia="zh-CN"/>
              </w:rPr>
              <w:t>废气</w:t>
            </w:r>
          </w:p>
          <w:p>
            <w:pPr>
              <w:pageBreakBefore w:val="0"/>
              <w:widowControl w:val="0"/>
              <w:kinsoku/>
              <w:overflowPunct/>
              <w:autoSpaceDE w:val="0"/>
              <w:autoSpaceDN w:val="0"/>
              <w:bidi w:val="0"/>
              <w:adjustRightInd w:val="0"/>
              <w:spacing w:line="360" w:lineRule="auto"/>
              <w:ind w:firstLineChars="200" w:firstLine="480"/>
              <w:rPr>
                <w:rFonts w:ascii="Times New Roman" w:cs="Times New Roman" w:hAnsi="Times New Roman"/>
                <w:color w:val="auto"/>
                <w:kern w:val="2"/>
                <w:sz w:val="24"/>
                <w:szCs w:val="24"/>
                <w:lang w:val="en-US" w:eastAsia="zh-CN" w:bidi="ar-SA"/>
              </w:rPr>
            </w:pPr>
            <w:r>
              <w:rPr>
                <w:rFonts w:cs="Times New Roman" w:hint="eastAsia"/>
                <w:color w:val="auto"/>
                <w:sz w:val="24"/>
                <w:u w:val="none"/>
                <w:lang w:val="en-US" w:eastAsia="zh-CN"/>
              </w:rPr>
              <w:t>项目使用双螺杆挤出压榨的方式对茶籽进行榨油，该过程</w:t>
            </w:r>
            <w:r>
              <w:rPr>
                <w:rFonts w:cs="Times New Roman"/>
                <w:color w:val="auto"/>
                <w:sz w:val="24"/>
                <w:u w:val="none"/>
                <w:lang w:val="en-US" w:eastAsia="zh-CN"/>
              </w:rPr>
              <w:t>中</w:t>
            </w:r>
            <w:r>
              <w:rPr>
                <w:rFonts w:cs="Times New Roman" w:hint="eastAsia"/>
                <w:color w:val="auto"/>
                <w:sz w:val="24"/>
                <w:u w:val="none"/>
                <w:lang w:val="en-US" w:eastAsia="zh-CN"/>
              </w:rPr>
              <w:t>会产生一定量为挥发油性有机物和异味，因浓度较低且在封闭车间内进行，无法定量计算</w:t>
            </w:r>
            <w:r>
              <w:rPr>
                <w:rFonts w:cs="Times New Roman" w:hint="eastAsia"/>
                <w:color w:val="auto"/>
                <w:kern w:val="0"/>
                <w:sz w:val="24"/>
                <w:szCs w:val="24"/>
                <w:lang w:val="en-US" w:eastAsia="zh-CN" w:bidi="ar-SA"/>
              </w:rPr>
              <w:t>，本次评价对其进行定性不定量分析，项</w:t>
            </w:r>
            <w:r>
              <w:rPr>
                <w:rFonts w:cs="Times New Roman" w:hint="eastAsia"/>
                <w:color w:val="auto"/>
                <w:kern w:val="0"/>
                <w:sz w:val="24"/>
                <w:szCs w:val="24"/>
                <w:u w:val="single"/>
                <w:lang w:val="en-US" w:eastAsia="zh-CN" w:bidi="ar-SA"/>
              </w:rPr>
              <w:t>目烘干、剥壳和压榨位于同一封闭车间，烘干废气、剥壳废气和压榨废气一同收集后通过DA001排放</w:t>
            </w:r>
            <w:r>
              <w:rPr>
                <w:rFonts w:ascii="Times New Roman" w:cs="Times New Roman" w:hAnsi="Times New Roman"/>
                <w:color w:val="auto"/>
                <w:kern w:val="0"/>
                <w:sz w:val="24"/>
                <w:szCs w:val="24"/>
                <w:lang w:val="en-US" w:eastAsia="zh-CN" w:bidi="ar-SA"/>
              </w:rPr>
              <w:t>。</w:t>
            </w:r>
          </w:p>
          <w:p>
            <w:pPr>
              <w:pageBreakBefore w:val="0"/>
              <w:widowControl w:val="0"/>
              <w:kinsoku/>
              <w:overflowPunct/>
              <w:bidi w:val="0"/>
              <w:spacing w:line="360" w:lineRule="auto"/>
              <w:ind w:firstLineChars="200" w:firstLine="480"/>
              <w:rPr>
                <w:rFonts w:cs="Times New Roman" w:hint="eastAsia"/>
                <w:b w:val="0"/>
                <w:bCs w:val="0"/>
                <w:color w:val="auto"/>
                <w:sz w:val="24"/>
                <w:lang w:val="en-US" w:eastAsia="zh-CN"/>
              </w:rPr>
            </w:pPr>
            <w:r>
              <w:rPr>
                <w:rFonts w:ascii="Times New Roman" w:cs="Times New Roman" w:hAnsi="Times New Roman"/>
                <w:b w:val="0"/>
                <w:bCs w:val="0"/>
                <w:color w:val="auto"/>
                <w:sz w:val="24"/>
              </w:rPr>
              <w:t>（</w:t>
            </w:r>
            <w:r>
              <w:rPr>
                <w:rFonts w:ascii="Times New Roman" w:cs="Times New Roman" w:hAnsi="Times New Roman"/>
                <w:b w:val="0"/>
                <w:bCs w:val="0"/>
                <w:color w:val="auto"/>
                <w:sz w:val="24"/>
                <w:lang w:val="en-US" w:eastAsia="zh-CN"/>
              </w:rPr>
              <w:t>4</w:t>
            </w:r>
            <w:r>
              <w:rPr>
                <w:rFonts w:ascii="Times New Roman" w:cs="Times New Roman" w:hAnsi="Times New Roman"/>
                <w:b w:val="0"/>
                <w:bCs w:val="0"/>
                <w:color w:val="auto"/>
                <w:sz w:val="24"/>
              </w:rPr>
              <w:t>）</w:t>
            </w:r>
            <w:r>
              <w:rPr>
                <w:rFonts w:cs="Times New Roman" w:hint="eastAsia"/>
                <w:b w:val="0"/>
                <w:bCs w:val="0"/>
                <w:color w:val="auto"/>
                <w:sz w:val="24"/>
                <w:lang w:val="en-US" w:eastAsia="zh-CN"/>
              </w:rPr>
              <w:t>精炼废气</w:t>
            </w:r>
          </w:p>
          <w:p>
            <w:pPr>
              <w:pageBreakBefore w:val="0"/>
              <w:widowControl w:val="0"/>
              <w:kinsoku/>
              <w:overflowPunct/>
              <w:bidi w:val="0"/>
              <w:adjustRightInd w:val="0"/>
              <w:snapToGrid w:val="0"/>
              <w:spacing w:line="360" w:lineRule="auto"/>
              <w:ind w:firstLineChars="200" w:firstLine="480"/>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项目对压榨产生的毛油进行精炼，类比同类项目《年产5000吨茶油精深加工项目》，主要废气产生环节为干燥、脱臭工序中产生的馏出物</w:t>
            </w:r>
            <w:r>
              <w:rPr>
                <w:rFonts w:hint="eastAsia"/>
                <w:sz w:val="24"/>
              </w:rPr>
              <w:t>，主要是污染物是游离脂肪酸和非甲烷总烃，</w:t>
            </w:r>
            <w:r>
              <w:rPr>
                <w:rFonts w:hint="eastAsia"/>
                <w:sz w:val="24"/>
                <w:lang w:val="en-US" w:eastAsia="zh-CN"/>
              </w:rPr>
              <w:t>考虑最不利情况，项目进入精炼工序的油量按最大两量100t计</w:t>
            </w:r>
            <w:r>
              <w:rPr>
                <w:rFonts w:hint="eastAsia"/>
                <w:sz w:val="24"/>
                <w:lang w:eastAsia="zh-CN"/>
              </w:rPr>
              <w:t>，</w:t>
            </w:r>
            <w:r>
              <w:rPr>
                <w:rFonts w:hint="eastAsia"/>
                <w:sz w:val="24"/>
              </w:rPr>
              <w:t>产生量约为处理油量的1%，建设单位利用</w:t>
            </w:r>
            <w:r>
              <w:rPr>
                <w:rFonts w:hint="eastAsia"/>
                <w:sz w:val="24"/>
                <w:lang w:val="en-US" w:eastAsia="zh-CN"/>
              </w:rPr>
              <w:t>各个精炼工序的冷却沉淀</w:t>
            </w:r>
            <w:r>
              <w:rPr>
                <w:rFonts w:hint="eastAsia"/>
                <w:sz w:val="24"/>
              </w:rPr>
              <w:t>后99%转化为液体脂肪酸回收作为高附加值的副产品外卖，未凝结的未凝气被</w:t>
            </w:r>
            <w:r>
              <w:rPr>
                <w:rFonts w:hint="eastAsia"/>
                <w:sz w:val="24"/>
                <w:lang w:eastAsia="zh-CN"/>
              </w:rPr>
              <w:t>后续</w:t>
            </w:r>
            <w:r>
              <w:rPr>
                <w:rFonts w:hint="eastAsia"/>
                <w:sz w:val="24"/>
              </w:rPr>
              <w:t>的蒸汽喷射泵和水环真空泵抽出，在真空循环水系统中有少量挥发的有离脂肪酸和非甲烷总烃排放</w:t>
            </w:r>
            <w:r>
              <w:rPr>
                <w:rFonts w:hint="eastAsia"/>
                <w:sz w:val="24"/>
                <w:lang w:val="en-US" w:eastAsia="zh-CN"/>
              </w:rPr>
              <w:t>约0.01t/a</w:t>
            </w:r>
            <w:r>
              <w:rPr>
                <w:rFonts w:hint="eastAsia"/>
                <w:sz w:val="24"/>
                <w:lang w:eastAsia="zh-CN"/>
              </w:rPr>
              <w:t>，</w:t>
            </w:r>
            <w:r>
              <w:rPr>
                <w:rFonts w:hint="eastAsia"/>
                <w:sz w:val="24"/>
                <w:lang w:val="en-US" w:eastAsia="zh-CN"/>
              </w:rPr>
              <w:t>袋式+活性炭处理设施吸附，收集效率80%</w:t>
            </w:r>
            <w:r>
              <w:rPr>
                <w:rFonts w:hint="eastAsia"/>
                <w:sz w:val="24"/>
                <w:lang w:eastAsia="zh-CN"/>
              </w:rPr>
              <w:t>，</w:t>
            </w:r>
            <w:r>
              <w:rPr>
                <w:rFonts w:hint="eastAsia"/>
                <w:sz w:val="24"/>
                <w:lang w:val="en-US" w:eastAsia="zh-CN"/>
              </w:rPr>
              <w:t>处理效率20%</w:t>
            </w:r>
            <w:r>
              <w:rPr>
                <w:rFonts w:hint="eastAsia"/>
                <w:sz w:val="24"/>
                <w:u w:val="single"/>
                <w:lang w:val="en-US" w:eastAsia="zh-CN"/>
              </w:rPr>
              <w:t>，有组织</w:t>
            </w:r>
            <w:r>
              <w:rPr>
                <w:rFonts w:hint="eastAsia"/>
                <w:sz w:val="24"/>
                <w:u w:val="single"/>
              </w:rPr>
              <w:t>排放量</w:t>
            </w:r>
            <w:r>
              <w:rPr>
                <w:rFonts w:hint="eastAsia"/>
                <w:sz w:val="24"/>
                <w:u w:val="single"/>
                <w:lang w:val="en-US" w:eastAsia="zh-CN"/>
              </w:rPr>
              <w:t>约</w:t>
            </w:r>
            <w:r>
              <w:rPr>
                <w:rFonts w:hint="eastAsia"/>
                <w:sz w:val="24"/>
                <w:u w:val="single"/>
              </w:rPr>
              <w:t>为0.</w:t>
            </w:r>
            <w:r>
              <w:rPr>
                <w:rFonts w:hint="eastAsia"/>
                <w:sz w:val="24"/>
                <w:u w:val="single"/>
                <w:lang w:val="en-US" w:eastAsia="zh-CN"/>
              </w:rPr>
              <w:t>0036</w:t>
            </w:r>
            <w:r>
              <w:rPr>
                <w:rFonts w:hint="eastAsia"/>
                <w:sz w:val="24"/>
                <w:u w:val="single"/>
              </w:rPr>
              <w:t>t/a</w:t>
            </w:r>
            <w:r>
              <w:rPr>
                <w:rFonts w:hint="eastAsia"/>
                <w:sz w:val="24"/>
                <w:u w:val="single"/>
                <w:lang w:eastAsia="zh-CN"/>
              </w:rPr>
              <w:t>，</w:t>
            </w:r>
            <w:r>
              <w:rPr>
                <w:rFonts w:hint="eastAsia"/>
                <w:sz w:val="24"/>
                <w:u w:val="single"/>
                <w:lang w:val="en-US" w:eastAsia="zh-CN"/>
              </w:rPr>
              <w:t>风机风量15000m³/h</w:t>
            </w:r>
            <w:r>
              <w:rPr>
                <w:rFonts w:hint="eastAsia"/>
                <w:sz w:val="24"/>
                <w:u w:val="single"/>
                <w:lang w:eastAsia="zh-CN"/>
              </w:rPr>
              <w:t>，</w:t>
            </w:r>
            <w:r>
              <w:rPr>
                <w:rFonts w:hint="eastAsia"/>
                <w:sz w:val="24"/>
                <w:u w:val="single"/>
                <w:lang w:val="en-US" w:eastAsia="zh-CN"/>
              </w:rPr>
              <w:t>有组织排放量速率0.0005kg/h，有组织排放浓度为0.034mg/m³（DA001），无组织排放量为0.002</w:t>
            </w:r>
            <w:r>
              <w:rPr>
                <w:rFonts w:hint="eastAsia"/>
                <w:sz w:val="24"/>
                <w:u w:val="single"/>
              </w:rPr>
              <w:t>t/a</w:t>
            </w:r>
            <w:r>
              <w:rPr>
                <w:rFonts w:hint="eastAsia"/>
                <w:sz w:val="24"/>
                <w:u w:val="single"/>
                <w:lang w:eastAsia="zh-CN"/>
              </w:rPr>
              <w:t>。</w:t>
            </w:r>
            <w:r>
              <w:rPr>
                <w:rFonts w:hint="eastAsia"/>
                <w:sz w:val="24"/>
                <w:u w:val="single"/>
                <w:lang w:val="en-US" w:eastAsia="zh-CN"/>
              </w:rPr>
              <w:t>精炼车间整体封闭废气经收集后通过DA001排放</w:t>
            </w:r>
          </w:p>
          <w:p>
            <w:pPr>
              <w:pageBreakBefore w:val="0"/>
              <w:widowControl w:val="0"/>
              <w:kinsoku/>
              <w:overflowPunct/>
              <w:bidi w:val="0"/>
              <w:spacing w:line="360" w:lineRule="auto"/>
              <w:ind w:firstLineChars="200" w:firstLine="480"/>
              <w:rPr>
                <w:rFonts w:ascii="Times New Roman" w:eastAsia="宋体" w:cs="Times New Roman" w:hAnsi="Times New Roman"/>
                <w:b w:val="0"/>
                <w:bCs w:val="0"/>
                <w:color w:val="auto"/>
                <w:sz w:val="24"/>
                <w:lang w:eastAsia="zh-CN"/>
              </w:rPr>
            </w:pPr>
            <w:r>
              <w:rPr>
                <w:rFonts w:cs="Times New Roman" w:hint="eastAsia"/>
                <w:b w:val="0"/>
                <w:bCs w:val="0"/>
                <w:color w:val="auto"/>
                <w:sz w:val="24"/>
                <w:lang w:eastAsia="zh-CN"/>
              </w:rPr>
              <w:t>（</w:t>
            </w:r>
            <w:r>
              <w:rPr>
                <w:rFonts w:cs="Times New Roman" w:hint="eastAsia"/>
                <w:b w:val="0"/>
                <w:bCs w:val="0"/>
                <w:color w:val="auto"/>
                <w:sz w:val="24"/>
                <w:lang w:val="en-US" w:eastAsia="zh-CN"/>
              </w:rPr>
              <w:t>5</w:t>
            </w:r>
            <w:r>
              <w:rPr>
                <w:rFonts w:cs="Times New Roman" w:hint="eastAsia"/>
                <w:b w:val="0"/>
                <w:bCs w:val="0"/>
                <w:color w:val="auto"/>
                <w:sz w:val="24"/>
                <w:lang w:eastAsia="zh-CN"/>
              </w:rPr>
              <w:t>）</w:t>
            </w:r>
            <w:r>
              <w:rPr>
                <w:rFonts w:cs="Times New Roman" w:hint="eastAsia"/>
                <w:b w:val="0"/>
                <w:bCs w:val="0"/>
                <w:color w:val="auto"/>
                <w:sz w:val="24"/>
                <w:lang w:val="en-US" w:eastAsia="zh-CN"/>
              </w:rPr>
              <w:t>吹灰</w:t>
            </w:r>
            <w:r>
              <w:rPr>
                <w:rFonts w:cs="Times New Roman" w:hint="eastAsia"/>
                <w:color w:val="auto"/>
                <w:sz w:val="24"/>
                <w:lang w:val="en-US" w:eastAsia="zh-CN"/>
              </w:rPr>
              <w:t>废气</w:t>
            </w:r>
          </w:p>
          <w:p>
            <w:pPr>
              <w:pageBreakBefore w:val="0"/>
              <w:widowControl w:val="0"/>
              <w:kinsoku/>
              <w:overflowPunct/>
              <w:bidi w:val="0"/>
              <w:spacing w:line="360" w:lineRule="auto"/>
              <w:ind w:firstLineChars="200" w:firstLine="480"/>
              <w:rPr>
                <w:rFonts w:ascii="Times New Roman" w:cs="Times New Roman" w:hAnsi="Times New Roman"/>
                <w:b w:val="0"/>
                <w:bCs w:val="0"/>
                <w:color w:val="auto"/>
                <w:sz w:val="24"/>
                <w:lang w:eastAsia="zh-CN"/>
              </w:rPr>
            </w:pPr>
            <w:r>
              <w:rPr>
                <w:rFonts w:ascii="Times New Roman" w:cs="Times New Roman" w:hAnsi="Times New Roman"/>
                <w:color w:val="auto"/>
                <w:sz w:val="24"/>
                <w:highlight w:val="none"/>
              </w:rPr>
              <w:t>项目</w:t>
            </w:r>
            <w:r>
              <w:rPr>
                <w:rFonts w:cs="Times New Roman" w:hint="eastAsia"/>
                <w:color w:val="auto"/>
                <w:sz w:val="24"/>
                <w:lang w:val="en-US" w:eastAsia="zh-CN"/>
                <w:highlight w:val="none"/>
              </w:rPr>
              <w:t>在成品油罐装前需对包装瓶进行吹灰处理，去除瓶内浮灰，该过程粉尘产生量较小，无法定量计算，因此本次进行定性不定量评价</w:t>
            </w:r>
            <w:r>
              <w:rPr>
                <w:rFonts w:ascii="Times New Roman" w:cs="Times New Roman" w:hAnsi="Times New Roman"/>
                <w:color w:val="auto"/>
                <w:sz w:val="24"/>
                <w:lang w:val="en-US" w:eastAsia="zh-CN"/>
                <w:highlight w:val="none"/>
              </w:rPr>
              <w:t>。</w:t>
            </w:r>
          </w:p>
          <w:p>
            <w:pPr>
              <w:pageBreakBefore w:val="0"/>
              <w:widowControl w:val="0"/>
              <w:kinsoku/>
              <w:overflowPunct/>
              <w:bidi w:val="0"/>
              <w:spacing w:line="360" w:lineRule="auto"/>
              <w:ind w:firstLineChars="200" w:firstLine="480"/>
              <w:rPr>
                <w:rFonts w:ascii="Times New Roman" w:eastAsia="宋体" w:cs="Times New Roman" w:hAnsi="Times New Roman"/>
                <w:color w:val="auto"/>
                <w:sz w:val="24"/>
                <w:lang w:eastAsia="zh-CN"/>
              </w:rPr>
            </w:pPr>
            <w:r>
              <w:rPr>
                <w:rFonts w:ascii="Times New Roman" w:eastAsia="宋体" w:cs="Times New Roman" w:hAnsi="Times New Roman"/>
                <w:color w:val="auto"/>
                <w:sz w:val="24"/>
                <w:lang w:eastAsia="zh-CN"/>
              </w:rPr>
              <w:t>（</w:t>
            </w:r>
            <w:r>
              <w:rPr>
                <w:rFonts w:cs="Times New Roman" w:hint="eastAsia"/>
                <w:color w:val="auto"/>
                <w:sz w:val="24"/>
                <w:lang w:val="en-US" w:eastAsia="zh-CN"/>
              </w:rPr>
              <w:t>6</w:t>
            </w:r>
            <w:r>
              <w:rPr>
                <w:rFonts w:ascii="Times New Roman" w:eastAsia="宋体" w:cs="Times New Roman" w:hAnsi="Times New Roman"/>
                <w:color w:val="auto"/>
                <w:sz w:val="24"/>
                <w:lang w:eastAsia="zh-CN"/>
              </w:rPr>
              <w:t>）包装</w:t>
            </w:r>
          </w:p>
          <w:p>
            <w:pPr>
              <w:pageBreakBefore w:val="0"/>
              <w:widowControl w:val="0"/>
              <w:kinsoku/>
              <w:overflowPunct/>
              <w:bidi w:val="0"/>
              <w:adjustRightInd w:val="0"/>
              <w:snapToGrid w:val="0"/>
              <w:spacing w:line="360" w:lineRule="auto"/>
              <w:ind w:firstLineChars="200" w:firstLine="480"/>
              <w:rPr>
                <w:rFonts w:ascii="Times New Roman" w:cs="Times New Roman" w:hAnsi="Times New Roman"/>
                <w:color w:val="auto"/>
                <w:sz w:val="24"/>
                <w:lang w:val="en-US" w:eastAsia="zh-CN"/>
                <w:highlight w:val="none"/>
              </w:rPr>
            </w:pPr>
            <w:r>
              <w:rPr>
                <w:rFonts w:ascii="Times New Roman" w:cs="Times New Roman" w:hAnsi="Times New Roman"/>
                <w:color w:val="auto"/>
                <w:sz w:val="24"/>
                <w:highlight w:val="none"/>
              </w:rPr>
              <w:t>项目</w:t>
            </w:r>
            <w:r>
              <w:rPr>
                <w:rFonts w:cs="Times New Roman" w:hint="eastAsia"/>
                <w:color w:val="auto"/>
                <w:sz w:val="24"/>
                <w:lang w:val="en-US" w:eastAsia="zh-CN"/>
                <w:highlight w:val="none"/>
              </w:rPr>
              <w:t>在</w:t>
            </w:r>
            <w:r>
              <w:rPr>
                <w:rFonts w:cs="Times New Roman" w:hint="eastAsia"/>
                <w:color w:val="auto"/>
                <w:sz w:val="24"/>
                <w:szCs w:val="24"/>
                <w:lang w:val="en-US" w:eastAsia="zh-CN"/>
              </w:rPr>
              <w:t>包装过程中会产生少量的粉尘，</w:t>
            </w:r>
            <w:r>
              <w:rPr>
                <w:rFonts w:cs="Times New Roman" w:hint="eastAsia"/>
                <w:color w:val="auto"/>
                <w:sz w:val="24"/>
                <w:lang w:val="en-US" w:eastAsia="zh-CN"/>
                <w:highlight w:val="none"/>
              </w:rPr>
              <w:t>该过程粉尘产生量较小，无法定量计算，因此本次进行定性不定量评价</w:t>
            </w:r>
            <w:r>
              <w:rPr>
                <w:rFonts w:ascii="Times New Roman" w:cs="Times New Roman" w:hAnsi="Times New Roman"/>
                <w:color w:val="auto"/>
                <w:sz w:val="24"/>
                <w:lang w:val="en-US" w:eastAsia="zh-CN"/>
                <w:highlight w:val="none"/>
              </w:rPr>
              <w:t>。</w:t>
            </w:r>
          </w:p>
          <w:p>
            <w:pPr>
              <w:pageBreakBefore w:val="0"/>
              <w:widowControl w:val="0"/>
              <w:kinsoku/>
              <w:overflowPunct/>
              <w:bidi w:val="0"/>
              <w:spacing w:line="360" w:lineRule="auto"/>
              <w:ind w:firstLineChars="200" w:firstLine="480"/>
              <w:rPr>
                <w:rFonts w:ascii="Times New Roman" w:eastAsia="宋体" w:cs="Times New Roman" w:hAnsi="Times New Roman"/>
                <w:color w:val="auto"/>
                <w:sz w:val="24"/>
                <w:lang w:val="en-US" w:eastAsia="zh-CN"/>
              </w:rPr>
            </w:pPr>
            <w:r>
              <w:rPr>
                <w:rFonts w:ascii="Times New Roman" w:eastAsia="宋体" w:cs="Times New Roman" w:hAnsi="Times New Roman"/>
                <w:color w:val="auto"/>
                <w:sz w:val="24"/>
                <w:lang w:eastAsia="zh-CN"/>
              </w:rPr>
              <w:t>（</w:t>
            </w:r>
            <w:r>
              <w:rPr>
                <w:rFonts w:cs="Times New Roman" w:hint="eastAsia"/>
                <w:color w:val="auto"/>
                <w:sz w:val="24"/>
                <w:lang w:val="en-US" w:eastAsia="zh-CN"/>
              </w:rPr>
              <w:t>7</w:t>
            </w:r>
            <w:r>
              <w:rPr>
                <w:rFonts w:ascii="Times New Roman" w:eastAsia="宋体" w:cs="Times New Roman" w:hAnsi="Times New Roman"/>
                <w:color w:val="auto"/>
                <w:sz w:val="24"/>
                <w:lang w:eastAsia="zh-CN"/>
              </w:rPr>
              <w:t>）</w:t>
            </w:r>
            <w:r>
              <w:rPr>
                <w:rFonts w:cs="Times New Roman" w:hint="eastAsia"/>
                <w:color w:val="auto"/>
                <w:sz w:val="24"/>
                <w:lang w:val="en-US" w:eastAsia="zh-CN"/>
              </w:rPr>
              <w:t>污水处理站废气</w:t>
            </w:r>
          </w:p>
          <w:p>
            <w:pPr>
              <w:pageBreakBefore w:val="0"/>
              <w:widowControl w:val="0"/>
              <w:kinsoku/>
              <w:overflowPunct/>
              <w:bidi w:val="0"/>
              <w:adjustRightInd w:val="0"/>
              <w:snapToGrid w:val="0"/>
              <w:spacing w:line="360" w:lineRule="auto"/>
              <w:ind w:firstLineChars="200" w:firstLine="480"/>
              <w:rPr>
                <w:rFonts w:ascii="Times New Roman" w:eastAsia="宋体" w:cs="Times New Roman" w:hAnsi="Times New Roman"/>
                <w:color w:val="auto"/>
                <w:sz w:val="24"/>
                <w:lang w:val="en-US" w:eastAsia="zh-CN"/>
                <w:highlight w:val="none"/>
              </w:rPr>
            </w:pPr>
            <w:r>
              <w:rPr>
                <w:sz w:val="24"/>
              </w:rPr>
              <w:t>本项目污水处理设施产生恶臭位置主要为</w:t>
            </w:r>
            <w:r>
              <w:rPr>
                <w:rFonts w:hint="eastAsia"/>
                <w:sz w:val="24"/>
                <w:lang w:val="en-US" w:eastAsia="zh-CN"/>
              </w:rPr>
              <w:t>水解酸化池</w:t>
            </w:r>
            <w:r>
              <w:rPr>
                <w:rFonts w:hint="eastAsia"/>
                <w:sz w:val="24"/>
              </w:rPr>
              <w:t>，项目</w:t>
            </w:r>
            <w:r>
              <w:rPr>
                <w:sz w:val="24"/>
              </w:rPr>
              <w:t>恶臭污染物</w:t>
            </w:r>
            <w:r>
              <w:rPr>
                <w:rFonts w:hint="eastAsia"/>
                <w:sz w:val="24"/>
              </w:rPr>
              <w:t>，根据美国EPA对城市污水处理厂恶臭污染物产生情况的研究，每处理1gBOD</w:t>
            </w:r>
            <w:r>
              <w:rPr>
                <w:rFonts w:hint="eastAsia"/>
                <w:sz w:val="24"/>
                <w:vertAlign w:val="subscript"/>
              </w:rPr>
              <w:t>5</w:t>
            </w:r>
            <w:r>
              <w:rPr>
                <w:rFonts w:hint="eastAsia"/>
                <w:sz w:val="24"/>
              </w:rPr>
              <w:t>可产生0.0031gNH</w:t>
            </w:r>
            <w:r>
              <w:rPr>
                <w:rFonts w:hint="eastAsia"/>
                <w:sz w:val="24"/>
                <w:vertAlign w:val="subscript"/>
              </w:rPr>
              <w:t>3</w:t>
            </w:r>
            <w:r>
              <w:rPr>
                <w:rFonts w:hint="eastAsia"/>
                <w:sz w:val="24"/>
              </w:rPr>
              <w:t>和0.00012gH</w:t>
            </w:r>
            <w:r>
              <w:rPr>
                <w:rFonts w:hint="eastAsia"/>
                <w:sz w:val="24"/>
                <w:vertAlign w:val="subscript"/>
              </w:rPr>
              <w:t>2</w:t>
            </w:r>
            <w:r>
              <w:rPr>
                <w:rFonts w:hint="eastAsia"/>
                <w:sz w:val="24"/>
              </w:rPr>
              <w:t>S</w:t>
            </w:r>
            <w:r>
              <w:rPr>
                <w:rFonts w:hint="eastAsia"/>
                <w:sz w:val="24"/>
                <w:lang w:eastAsia="zh-CN"/>
              </w:rPr>
              <w:t>，</w:t>
            </w:r>
            <w:r>
              <w:rPr>
                <w:rFonts w:hint="eastAsia"/>
                <w:sz w:val="24"/>
                <w:lang w:val="en-US" w:eastAsia="zh-CN"/>
              </w:rPr>
              <w:t>项目污水处理设施去除的BOD量为0.0129t/a，则废气排放</w:t>
            </w:r>
            <w:r>
              <w:rPr>
                <w:rFonts w:hint="eastAsia"/>
                <w:sz w:val="24"/>
              </w:rPr>
              <w:t>NH</w:t>
            </w:r>
            <w:r>
              <w:rPr>
                <w:rFonts w:hint="eastAsia"/>
                <w:sz w:val="24"/>
                <w:vertAlign w:val="subscript"/>
              </w:rPr>
              <w:t>3</w:t>
            </w:r>
            <w:r>
              <w:rPr>
                <w:rFonts w:hint="eastAsia"/>
                <w:sz w:val="24"/>
                <w:lang w:val="en-US" w:eastAsia="zh-CN"/>
              </w:rPr>
              <w:t>0.00004t/a</w:t>
            </w:r>
            <w:r>
              <w:rPr>
                <w:rFonts w:hint="eastAsia"/>
                <w:sz w:val="24"/>
              </w:rPr>
              <w:t>和H</w:t>
            </w:r>
            <w:r>
              <w:rPr>
                <w:rFonts w:hint="eastAsia"/>
                <w:sz w:val="24"/>
                <w:vertAlign w:val="subscript"/>
              </w:rPr>
              <w:t>2</w:t>
            </w:r>
            <w:r>
              <w:rPr>
                <w:rFonts w:hint="eastAsia"/>
                <w:sz w:val="24"/>
              </w:rPr>
              <w:t>S0.000</w:t>
            </w:r>
            <w:r>
              <w:rPr>
                <w:rFonts w:hint="eastAsia"/>
                <w:sz w:val="24"/>
                <w:lang w:val="en-US" w:eastAsia="zh-CN"/>
              </w:rPr>
              <w:t>002</w:t>
            </w:r>
            <w:r>
              <w:rPr>
                <w:rFonts w:hint="eastAsia"/>
                <w:sz w:val="24"/>
              </w:rPr>
              <w:t>g</w:t>
            </w:r>
            <w:r>
              <w:rPr>
                <w:sz w:val="24"/>
              </w:rPr>
              <w:t>。</w:t>
            </w:r>
            <w:r>
              <w:rPr>
                <w:rFonts w:hint="eastAsia"/>
                <w:sz w:val="24"/>
                <w:lang w:val="en-US" w:eastAsia="zh-CN"/>
              </w:rPr>
              <w:t>污水处理设施加盖，该部分废气无组织排放</w:t>
            </w:r>
          </w:p>
          <w:p>
            <w:pPr>
              <w:pageBreakBefore w:val="0"/>
              <w:widowControl w:val="0"/>
              <w:kinsoku/>
              <w:overflowPunct/>
              <w:bidi w:val="0"/>
              <w:rPr>
                <w:rFonts w:hint="eastAsia"/>
                <w:lang w:eastAsia="zh-CN"/>
              </w:rPr>
            </w:pPr>
          </w:p>
          <w:p>
            <w:pPr>
              <w:pStyle w:val="47"/>
              <w:pageBreakBefore w:val="0"/>
              <w:widowControl w:val="0"/>
              <w:kinsoku/>
              <w:overflowPunct/>
              <w:bidi w:val="0"/>
              <w:rPr>
                <w:rFonts w:hint="eastAsia"/>
                <w:color w:val="auto"/>
                <w:u w:val="single"/>
                <w:lang w:eastAsia="zh-CN"/>
              </w:rPr>
            </w:pPr>
            <w:r>
              <w:rPr>
                <w:rFonts w:hint="eastAsia"/>
                <w:color w:val="auto"/>
                <w:u w:val="single"/>
                <w:lang w:eastAsia="zh-CN"/>
              </w:rPr>
              <w:t>表4-</w:t>
            </w:r>
            <w:r>
              <w:rPr>
                <w:rFonts w:hint="eastAsia"/>
                <w:color w:val="auto"/>
                <w:u w:val="single"/>
                <w:lang w:val="en-US" w:eastAsia="zh-CN"/>
              </w:rPr>
              <w:t>2</w:t>
            </w:r>
            <w:r>
              <w:rPr>
                <w:rFonts w:hint="eastAsia"/>
                <w:color w:val="auto"/>
                <w:u w:val="single"/>
                <w:lang w:eastAsia="zh-CN"/>
              </w:rPr>
              <w:t xml:space="preserve"> 项目废气产排情况一览表</w:t>
            </w:r>
          </w:p>
          <w:tbl>
            <w:tblPr>
              <w:jc w:val="left"/>
              <w:tblInd w:w="0" w:type="dx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16"/>
              <w:gridCol w:w="216"/>
              <w:gridCol w:w="216"/>
              <w:gridCol w:w="480"/>
              <w:gridCol w:w="731"/>
              <w:gridCol w:w="464"/>
              <w:gridCol w:w="631"/>
              <w:gridCol w:w="543"/>
              <w:gridCol w:w="602"/>
              <w:gridCol w:w="605"/>
              <w:gridCol w:w="602"/>
              <w:gridCol w:w="477"/>
              <w:gridCol w:w="728"/>
              <w:gridCol w:w="216"/>
              <w:gridCol w:w="731"/>
              <w:gridCol w:w="634"/>
              <w:gridCol w:w="464"/>
              <w:gridCol w:w="504"/>
              <w:gridCol w:w="605"/>
              <w:gridCol w:w="631"/>
              <w:gridCol w:w="728"/>
              <w:gridCol w:w="1174"/>
              <w:gridCol w:w="944"/>
              <w:gridCol w:w="920"/>
            </w:tblGrid>
            <w:tr>
              <w:trPr>
                <w:trHeight w:val="397"/>
                <w:tblHeader/>
              </w:trPr>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序号</w:t>
                  </w:r>
                </w:p>
              </w:tc>
              <w:tc>
                <w:tcPr>
                  <w:tcW w:w="154"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bCs/>
                      <w:color w:val="auto"/>
                      <w:kern w:val="0"/>
                      <w:sz w:val="21"/>
                      <w:szCs w:val="21"/>
                      <w:u w:val="none"/>
                    </w:rPr>
                  </w:pPr>
                  <w:r>
                    <w:rPr>
                      <w:b/>
                      <w:bCs/>
                      <w:color w:val="auto"/>
                      <w:kern w:val="0"/>
                      <w:sz w:val="21"/>
                      <w:szCs w:val="21"/>
                      <w:u w:val="none"/>
                    </w:rPr>
                    <w:t>产污环节</w:t>
                  </w:r>
                </w:p>
              </w:tc>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b/>
                      <w:bCs/>
                      <w:color w:val="auto"/>
                      <w:kern w:val="0"/>
                      <w:sz w:val="21"/>
                      <w:szCs w:val="21"/>
                      <w:u w:val="none"/>
                    </w:rPr>
                    <w:t>污染物</w:t>
                  </w:r>
                  <w:r>
                    <w:rPr>
                      <w:rFonts w:hint="eastAsia"/>
                      <w:b/>
                      <w:bCs/>
                      <w:color w:val="auto"/>
                      <w:kern w:val="0"/>
                      <w:sz w:val="21"/>
                      <w:szCs w:val="21"/>
                      <w:u w:val="none"/>
                      <w:lang w:eastAsia="zh-CN"/>
                    </w:rPr>
                    <w:t>种类</w:t>
                  </w:r>
                </w:p>
              </w:tc>
              <w:tc>
                <w:tcPr>
                  <w:tcW w:w="158"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污染物产生</w:t>
                  </w:r>
                  <w:r>
                    <w:rPr>
                      <w:b/>
                      <w:bCs/>
                      <w:color w:val="auto"/>
                      <w:kern w:val="0"/>
                      <w:sz w:val="21"/>
                      <w:szCs w:val="21"/>
                      <w:u w:val="none"/>
                    </w:rPr>
                    <w:t>量</w:t>
                  </w:r>
                  <w:r>
                    <w:rPr>
                      <w:rFonts w:hint="eastAsia"/>
                      <w:b/>
                      <w:bCs/>
                      <w:color w:val="auto"/>
                      <w:kern w:val="0"/>
                      <w:sz w:val="21"/>
                      <w:szCs w:val="21"/>
                      <w:u w:val="none"/>
                    </w:rPr>
                    <w:t>t/a</w:t>
                  </w:r>
                </w:p>
              </w:tc>
              <w:tc>
                <w:tcPr>
                  <w:tcW w:w="241"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产生浓度</w:t>
                  </w:r>
                  <w:r>
                    <w:rPr>
                      <w:rFonts w:ascii="Times New Roman" w:eastAsia="宋体" w:cs="Times New Roman" w:hAnsi="Times New Roman"/>
                      <w:b/>
                      <w:bCs/>
                      <w:i w:val="0"/>
                      <w:iCs w:val="0"/>
                      <w:color w:val="auto"/>
                      <w:kern w:val="0"/>
                      <w:sz w:val="21"/>
                      <w:szCs w:val="21"/>
                      <w:u w:val="none"/>
                      <w:lang w:val="en-US" w:eastAsia="zh-CN"/>
                    </w:rPr>
                    <w:t>mg/m</w:t>
                  </w:r>
                  <w:r>
                    <w:rPr>
                      <w:rFonts w:ascii="Times New Roman" w:eastAsia="宋体" w:cs="Times New Roman" w:hAnsi="Times New Roman" w:hint="eastAsia"/>
                      <w:b/>
                      <w:bCs/>
                      <w:i w:val="0"/>
                      <w:iCs w:val="0"/>
                      <w:color w:val="auto"/>
                      <w:kern w:val="0"/>
                      <w:sz w:val="21"/>
                      <w:szCs w:val="21"/>
                      <w:u w:val="none"/>
                      <w:lang w:val="en-US" w:eastAsia="zh-CN"/>
                    </w:rPr>
                    <w:t>³</w:t>
                  </w:r>
                </w:p>
              </w:tc>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kern w:val="0"/>
                      <w:sz w:val="21"/>
                      <w:szCs w:val="21"/>
                      <w:u w:val="none"/>
                      <w:lang w:eastAsia="zh-CN"/>
                    </w:rPr>
                  </w:pPr>
                  <w:r>
                    <w:rPr>
                      <w:rFonts w:hint="eastAsia"/>
                      <w:b/>
                      <w:bCs/>
                      <w:color w:val="auto"/>
                      <w:kern w:val="0"/>
                      <w:sz w:val="21"/>
                      <w:szCs w:val="21"/>
                      <w:u w:val="none"/>
                      <w:lang w:eastAsia="zh-CN"/>
                    </w:rPr>
                    <w:t>排放</w:t>
                  </w:r>
                </w:p>
                <w:p>
                  <w:pPr>
                    <w:keepNext w:val="0"/>
                    <w:keepLines w:val="0"/>
                    <w:pageBreakBefore w:val="0"/>
                    <w:widowControl w:val="0"/>
                    <w:kinsoku/>
                    <w:wordWrap/>
                    <w:overflowPunct/>
                    <w:topLinePunct w:val="0"/>
                    <w:autoSpaceDE/>
                    <w:autoSpaceDN/>
                    <w:bidi w:val="0"/>
                    <w:adjustRightInd/>
                    <w:snapToGrid/>
                    <w:jc w:val="center"/>
                    <w:rPr>
                      <w:b/>
                      <w:bCs/>
                      <w:color w:val="auto"/>
                      <w:kern w:val="0"/>
                      <w:sz w:val="21"/>
                      <w:szCs w:val="21"/>
                      <w:u w:val="none"/>
                    </w:rPr>
                  </w:pPr>
                  <w:r>
                    <w:rPr>
                      <w:rFonts w:hint="eastAsia"/>
                      <w:b/>
                      <w:bCs/>
                      <w:color w:val="auto"/>
                      <w:kern w:val="0"/>
                      <w:sz w:val="21"/>
                      <w:szCs w:val="21"/>
                      <w:u w:val="none"/>
                      <w:lang w:eastAsia="zh-CN"/>
                    </w:rPr>
                    <w:t>形式</w:t>
                  </w:r>
                </w:p>
              </w:tc>
              <w:tc>
                <w:tcPr>
                  <w:tcW w:w="1140" w:type="pct"/>
                  <w:gridSpan w:val="6"/>
                  <w:vAlign w:val="center"/>
                </w:tcPr>
                <w:p>
                  <w:pPr>
                    <w:keepNext w:val="0"/>
                    <w:keepLines w:val="0"/>
                    <w:pageBreakBefore w:val="0"/>
                    <w:widowControl w:val="0"/>
                    <w:kinsoku/>
                    <w:wordWrap/>
                    <w:overflowPunct/>
                    <w:topLinePunct w:val="0"/>
                    <w:autoSpaceDE/>
                    <w:autoSpaceDN/>
                    <w:bidi w:val="0"/>
                    <w:adjustRightInd/>
                    <w:snapToGrid/>
                    <w:jc w:val="center"/>
                    <w:rPr>
                      <w:b/>
                      <w:bCs/>
                      <w:color w:val="auto"/>
                      <w:kern w:val="0"/>
                      <w:sz w:val="21"/>
                      <w:szCs w:val="21"/>
                      <w:u w:val="none"/>
                    </w:rPr>
                  </w:pPr>
                  <w:r>
                    <w:rPr>
                      <w:b/>
                      <w:bCs/>
                      <w:color w:val="auto"/>
                      <w:kern w:val="0"/>
                      <w:sz w:val="21"/>
                      <w:szCs w:val="21"/>
                      <w:u w:val="none"/>
                    </w:rPr>
                    <w:t>治理措施</w:t>
                  </w:r>
                </w:p>
              </w:tc>
              <w:tc>
                <w:tcPr>
                  <w:tcW w:w="240"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有组织排放口编号</w:t>
                  </w:r>
                </w:p>
              </w:tc>
              <w:tc>
                <w:tcPr>
                  <w:tcW w:w="187"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污染物排放量</w:t>
                  </w:r>
                  <w:r>
                    <w:rPr>
                      <w:rFonts w:hint="eastAsia"/>
                      <w:b/>
                      <w:bCs/>
                      <w:color w:val="auto"/>
                      <w:kern w:val="0"/>
                      <w:sz w:val="21"/>
                      <w:szCs w:val="21"/>
                      <w:u w:val="none"/>
                    </w:rPr>
                    <w:t>t/a</w:t>
                  </w:r>
                </w:p>
              </w:tc>
              <w:tc>
                <w:tcPr>
                  <w:tcW w:w="241"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kern w:val="0"/>
                      <w:sz w:val="21"/>
                      <w:szCs w:val="21"/>
                      <w:u w:val="none"/>
                      <w:lang w:eastAsia="zh-CN"/>
                    </w:rPr>
                  </w:pPr>
                  <w:r>
                    <w:rPr>
                      <w:rFonts w:hint="eastAsia"/>
                      <w:b/>
                      <w:bCs/>
                      <w:color w:val="auto"/>
                      <w:kern w:val="0"/>
                      <w:sz w:val="21"/>
                      <w:szCs w:val="21"/>
                      <w:u w:val="none"/>
                      <w:lang w:eastAsia="zh-CN"/>
                    </w:rPr>
                    <w:t>污染物排放浓度</w:t>
                  </w:r>
                  <w:r>
                    <w:rPr>
                      <w:rFonts w:ascii="Times New Roman" w:eastAsia="宋体" w:cs="Times New Roman" w:hAnsi="Times New Roman"/>
                      <w:b/>
                      <w:bCs/>
                      <w:i w:val="0"/>
                      <w:iCs w:val="0"/>
                      <w:color w:val="auto"/>
                      <w:kern w:val="0"/>
                      <w:sz w:val="21"/>
                      <w:szCs w:val="21"/>
                      <w:u w:val="none"/>
                      <w:lang w:val="en-US" w:eastAsia="zh-CN"/>
                    </w:rPr>
                    <w:t>mg/m</w:t>
                  </w:r>
                  <w:r>
                    <w:rPr>
                      <w:rFonts w:ascii="Times New Roman" w:eastAsia="宋体" w:cs="Times New Roman" w:hAnsi="Times New Roman" w:hint="eastAsia"/>
                      <w:b/>
                      <w:bCs/>
                      <w:i w:val="0"/>
                      <w:iCs w:val="0"/>
                      <w:color w:val="auto"/>
                      <w:kern w:val="0"/>
                      <w:sz w:val="21"/>
                      <w:szCs w:val="21"/>
                      <w:u w:val="none"/>
                      <w:lang w:val="en-US" w:eastAsia="zh-CN"/>
                    </w:rPr>
                    <w:t>³</w:t>
                  </w:r>
                </w:p>
              </w:tc>
              <w:tc>
                <w:tcPr>
                  <w:tcW w:w="209"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污染物排放速率</w:t>
                  </w:r>
                </w:p>
              </w:tc>
              <w:tc>
                <w:tcPr>
                  <w:tcW w:w="1354" w:type="pct"/>
                  <w:gridSpan w:val="6"/>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排污口基本情况</w:t>
                  </w:r>
                </w:p>
              </w:tc>
              <w:tc>
                <w:tcPr>
                  <w:tcW w:w="614" w:type="pct"/>
                  <w:gridSpan w:val="2"/>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kern w:val="0"/>
                      <w:sz w:val="21"/>
                      <w:szCs w:val="21"/>
                      <w:u w:val="none"/>
                      <w:lang w:eastAsia="zh-CN"/>
                    </w:rPr>
                  </w:pPr>
                  <w:r>
                    <w:rPr>
                      <w:rFonts w:hint="eastAsia"/>
                      <w:b/>
                      <w:bCs/>
                      <w:color w:val="auto"/>
                      <w:kern w:val="0"/>
                      <w:sz w:val="21"/>
                      <w:szCs w:val="21"/>
                      <w:u w:val="none"/>
                      <w:lang w:eastAsia="zh-CN"/>
                    </w:rPr>
                    <w:t>排放标准</w:t>
                  </w:r>
                </w:p>
              </w:tc>
            </w:tr>
            <w:tr>
              <w:trPr>
                <w:trHeight w:val="397"/>
                <w:tblHeader/>
              </w:trPr>
              <w:tc>
                <w:tcPr>
                  <w:tcW w:w="153" w:type="pct"/>
                  <w:vMerge/>
                  <w:vAlign w:val="center"/>
                </w:tcPr>
                <w:p/>
              </w:tc>
              <w:tc>
                <w:tcPr>
                  <w:tcW w:w="154" w:type="pct"/>
                  <w:vMerge/>
                  <w:vAlign w:val="center"/>
                </w:tcPr>
                <w:p/>
              </w:tc>
              <w:tc>
                <w:tcPr>
                  <w:tcW w:w="153" w:type="pct"/>
                  <w:vMerge/>
                  <w:vAlign w:val="center"/>
                </w:tcPr>
                <w:p/>
              </w:tc>
              <w:tc>
                <w:tcPr>
                  <w:tcW w:w="158" w:type="pct"/>
                  <w:vMerge/>
                  <w:vAlign w:val="center"/>
                </w:tcPr>
                <w:p/>
              </w:tc>
              <w:tc>
                <w:tcPr>
                  <w:tcW w:w="241" w:type="pct"/>
                  <w:vMerge/>
                  <w:vAlign w:val="center"/>
                </w:tcPr>
                <w:p/>
              </w:tc>
              <w:tc>
                <w:tcPr>
                  <w:tcW w:w="153" w:type="pct"/>
                  <w:vMerge/>
                  <w:vAlign w:val="center"/>
                </w:tcP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bCs/>
                      <w:color w:val="auto"/>
                      <w:kern w:val="2"/>
                      <w:sz w:val="21"/>
                      <w:szCs w:val="21"/>
                      <w:u w:val="none"/>
                      <w:lang w:val="en-US" w:eastAsia="zh-CN" w:bidi="ar-SA"/>
                    </w:rPr>
                  </w:pPr>
                  <w:r>
                    <w:rPr>
                      <w:rFonts w:hint="eastAsia"/>
                      <w:b/>
                      <w:bCs/>
                      <w:color w:val="auto"/>
                      <w:sz w:val="21"/>
                      <w:szCs w:val="21"/>
                      <w:u w:val="none"/>
                      <w:lang w:eastAsia="zh-CN"/>
                    </w:rPr>
                    <w:t>污染防控设施名称</w:t>
                  </w:r>
                </w:p>
              </w:tc>
              <w:tc>
                <w:tcPr>
                  <w:tcW w:w="179"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sz w:val="21"/>
                      <w:szCs w:val="21"/>
                      <w:u w:val="none"/>
                      <w:lang w:eastAsia="zh-CN"/>
                    </w:rPr>
                  </w:pPr>
                  <w:r>
                    <w:rPr>
                      <w:rFonts w:hint="eastAsia"/>
                      <w:b/>
                      <w:bCs/>
                      <w:color w:val="auto"/>
                      <w:sz w:val="21"/>
                      <w:szCs w:val="21"/>
                      <w:u w:val="none"/>
                      <w:lang w:eastAsia="zh-CN"/>
                    </w:rPr>
                    <w:t>编号</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sz w:val="21"/>
                      <w:szCs w:val="21"/>
                      <w:u w:val="none"/>
                      <w:lang w:eastAsia="zh-CN"/>
                    </w:rPr>
                  </w:pPr>
                  <w:r>
                    <w:rPr>
                      <w:rFonts w:hint="eastAsia"/>
                      <w:b/>
                      <w:bCs/>
                      <w:color w:val="auto"/>
                      <w:sz w:val="21"/>
                      <w:szCs w:val="21"/>
                      <w:u w:val="none"/>
                      <w:lang w:eastAsia="zh-CN"/>
                    </w:rPr>
                    <w:t>处理能力</w:t>
                  </w:r>
                </w:p>
                <w:p>
                  <w:pPr>
                    <w:keepNext w:val="0"/>
                    <w:keepLines w:val="0"/>
                    <w:pageBreakBefore w:val="0"/>
                    <w:widowControl w:val="0"/>
                    <w:kinsoku/>
                    <w:wordWrap/>
                    <w:overflowPunct/>
                    <w:topLinePunct w:val="0"/>
                    <w:autoSpaceDE/>
                    <w:autoSpaceDN/>
                    <w:bidi w:val="0"/>
                    <w:adjustRightInd/>
                    <w:snapToGrid/>
                    <w:jc w:val="center"/>
                    <w:rPr>
                      <w:b/>
                      <w:bCs/>
                      <w:color w:val="auto"/>
                      <w:sz w:val="21"/>
                      <w:szCs w:val="21"/>
                      <w:u w:val="none"/>
                      <w:lang w:val="en-US" w:eastAsia="zh-CN"/>
                    </w:rPr>
                  </w:pP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bCs/>
                      <w:color w:val="auto"/>
                      <w:kern w:val="0"/>
                      <w:sz w:val="21"/>
                      <w:szCs w:val="21"/>
                      <w:u w:val="none"/>
                      <w:lang w:val="en-US" w:eastAsia="zh-CN"/>
                    </w:rPr>
                  </w:pPr>
                  <w:r>
                    <w:rPr>
                      <w:rFonts w:hint="eastAsia"/>
                      <w:b/>
                      <w:bCs/>
                      <w:color w:val="auto"/>
                      <w:kern w:val="0"/>
                      <w:sz w:val="21"/>
                      <w:szCs w:val="21"/>
                      <w:u w:val="none"/>
                      <w:lang w:eastAsia="zh-CN"/>
                    </w:rPr>
                    <w:t>收集效率</w:t>
                  </w:r>
                  <w:r>
                    <w:rPr>
                      <w:rFonts w:hint="eastAsia"/>
                      <w:b/>
                      <w:bCs/>
                      <w:color w:val="auto"/>
                      <w:kern w:val="0"/>
                      <w:sz w:val="21"/>
                      <w:szCs w:val="21"/>
                      <w:u w:val="none"/>
                      <w:lang w:val="en-US" w:eastAsia="zh-CN"/>
                    </w:rPr>
                    <w:t>%</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治理工艺及去除效率</w:t>
                  </w:r>
                </w:p>
              </w:tc>
              <w:tc>
                <w:tcPr>
                  <w:tcW w:w="157"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是否为可行技术</w:t>
                  </w:r>
                </w:p>
              </w:tc>
              <w:tc>
                <w:tcPr>
                  <w:tcW w:w="240" w:type="pct"/>
                  <w:vMerge/>
                  <w:vAlign w:val="center"/>
                </w:tcPr>
                <w:p/>
              </w:tc>
              <w:tc>
                <w:tcPr>
                  <w:tcW w:w="187" w:type="pct"/>
                  <w:vMerge/>
                  <w:vAlign w:val="center"/>
                </w:tcPr>
                <w:p/>
              </w:tc>
              <w:tc>
                <w:tcPr>
                  <w:tcW w:w="241" w:type="pct"/>
                  <w:vMerge/>
                  <w:vAlign w:val="center"/>
                </w:tcPr>
                <w:p/>
              </w:tc>
              <w:tc>
                <w:tcPr>
                  <w:tcW w:w="209" w:type="pct"/>
                  <w:vMerge/>
                  <w:vAlign w:val="center"/>
                </w:tcP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bCs/>
                      <w:color w:val="auto"/>
                      <w:kern w:val="0"/>
                      <w:sz w:val="21"/>
                      <w:szCs w:val="21"/>
                      <w:u w:val="none"/>
                      <w:lang w:val="en-US" w:eastAsia="zh-CN"/>
                    </w:rPr>
                  </w:pPr>
                  <w:r>
                    <w:rPr>
                      <w:rFonts w:hint="eastAsia"/>
                      <w:b/>
                      <w:bCs/>
                      <w:color w:val="auto"/>
                      <w:kern w:val="0"/>
                      <w:sz w:val="21"/>
                      <w:szCs w:val="21"/>
                      <w:u w:val="none"/>
                      <w:lang w:eastAsia="zh-CN"/>
                    </w:rPr>
                    <w:t>高度</w:t>
                  </w:r>
                  <w:r>
                    <w:rPr>
                      <w:rFonts w:hint="eastAsia"/>
                      <w:b/>
                      <w:bCs/>
                      <w:color w:val="auto"/>
                      <w:kern w:val="0"/>
                      <w:sz w:val="21"/>
                      <w:szCs w:val="21"/>
                      <w:u w:val="none"/>
                      <w:lang w:val="en-US" w:eastAsia="zh-CN"/>
                    </w:rPr>
                    <w:t>m</w:t>
                  </w:r>
                </w:p>
              </w:tc>
              <w:tc>
                <w:tcPr>
                  <w:tcW w:w="166"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bCs/>
                      <w:color w:val="auto"/>
                      <w:kern w:val="0"/>
                      <w:sz w:val="21"/>
                      <w:szCs w:val="21"/>
                      <w:u w:val="none"/>
                      <w:lang w:val="en-US" w:eastAsia="zh-CN"/>
                    </w:rPr>
                  </w:pPr>
                  <w:r>
                    <w:rPr>
                      <w:rFonts w:hint="eastAsia"/>
                      <w:b/>
                      <w:bCs/>
                      <w:color w:val="auto"/>
                      <w:kern w:val="0"/>
                      <w:sz w:val="21"/>
                      <w:szCs w:val="21"/>
                      <w:u w:val="none"/>
                      <w:lang w:eastAsia="zh-CN"/>
                    </w:rPr>
                    <w:t>内径</w:t>
                  </w:r>
                  <w:r>
                    <w:rPr>
                      <w:rFonts w:hint="eastAsia"/>
                      <w:b/>
                      <w:bCs/>
                      <w:color w:val="auto"/>
                      <w:kern w:val="0"/>
                      <w:sz w:val="21"/>
                      <w:szCs w:val="21"/>
                      <w:u w:val="none"/>
                      <w:lang w:val="en-US" w:eastAsia="zh-CN"/>
                    </w:rPr>
                    <w:t>cm</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bCs/>
                      <w:color w:val="auto"/>
                      <w:kern w:val="0"/>
                      <w:sz w:val="21"/>
                      <w:szCs w:val="21"/>
                      <w:u w:val="none"/>
                      <w:lang w:val="en-US" w:eastAsia="zh-CN"/>
                    </w:rPr>
                  </w:pPr>
                  <w:r>
                    <w:rPr>
                      <w:rFonts w:hint="eastAsia"/>
                      <w:b/>
                      <w:bCs/>
                      <w:color w:val="auto"/>
                      <w:kern w:val="0"/>
                      <w:sz w:val="21"/>
                      <w:szCs w:val="21"/>
                      <w:u w:val="none"/>
                      <w:lang w:eastAsia="zh-CN"/>
                    </w:rPr>
                    <w:t>温度</w:t>
                  </w:r>
                  <w:r>
                    <w:rPr>
                      <w:rFonts w:hint="eastAsia"/>
                      <w:b/>
                      <w:bCs/>
                      <w:color w:val="auto"/>
                      <w:kern w:val="0"/>
                      <w:sz w:val="21"/>
                      <w:szCs w:val="21"/>
                      <w:u w:val="none"/>
                      <w:lang w:val="en-US" w:eastAsia="zh-CN"/>
                    </w:rPr>
                    <w:t>℃</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编号及名称</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类型</w:t>
                  </w:r>
                </w:p>
              </w:tc>
              <w:tc>
                <w:tcPr>
                  <w:tcW w:w="387"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地理坐标</w:t>
                  </w:r>
                </w:p>
              </w:tc>
              <w:tc>
                <w:tcPr>
                  <w:tcW w:w="311"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bCs/>
                      <w:color w:val="auto"/>
                      <w:kern w:val="0"/>
                      <w:sz w:val="21"/>
                      <w:szCs w:val="21"/>
                      <w:u w:val="none"/>
                      <w:lang w:eastAsia="zh-CN"/>
                    </w:rPr>
                  </w:pPr>
                  <w:r>
                    <w:rPr>
                      <w:rFonts w:hint="eastAsia"/>
                      <w:b/>
                      <w:bCs/>
                      <w:color w:val="auto"/>
                      <w:kern w:val="0"/>
                      <w:sz w:val="21"/>
                      <w:szCs w:val="21"/>
                      <w:u w:val="none"/>
                      <w:lang w:eastAsia="zh-CN"/>
                    </w:rPr>
                    <w:t>排放浓度</w:t>
                  </w:r>
                  <w:r>
                    <w:rPr>
                      <w:rFonts w:ascii="Times New Roman" w:eastAsia="宋体" w:cs="Times New Roman" w:hAnsi="Times New Roman" w:hint="eastAsia"/>
                      <w:b/>
                      <w:bCs/>
                      <w:color w:val="auto"/>
                      <w:sz w:val="21"/>
                      <w:szCs w:val="21"/>
                      <w:u w:val="none"/>
                      <w:lang w:val="en-US" w:eastAsia="zh-CN"/>
                    </w:rPr>
                    <w:t>mg/m</w:t>
                  </w:r>
                  <w:r>
                    <w:rPr>
                      <w:rFonts w:ascii="Times New Roman" w:eastAsia="宋体" w:cs="Times New Roman" w:hAnsi="Times New Roman" w:hint="eastAsia"/>
                      <w:b/>
                      <w:bCs/>
                      <w:color w:val="auto"/>
                      <w:sz w:val="21"/>
                      <w:szCs w:val="21"/>
                      <w:u w:val="none"/>
                      <w:vertAlign w:val="superscript"/>
                      <w:lang w:val="en-US" w:eastAsia="zh-CN"/>
                    </w:rPr>
                    <w:t>3</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bCs/>
                      <w:color w:val="auto"/>
                      <w:kern w:val="0"/>
                      <w:sz w:val="21"/>
                      <w:szCs w:val="21"/>
                      <w:u w:val="none"/>
                      <w:lang w:eastAsia="zh-CN"/>
                    </w:rPr>
                  </w:pPr>
                  <w:r>
                    <w:rPr>
                      <w:rFonts w:hint="eastAsia"/>
                      <w:b/>
                      <w:bCs/>
                      <w:color w:val="auto"/>
                      <w:kern w:val="0"/>
                      <w:sz w:val="21"/>
                      <w:szCs w:val="21"/>
                      <w:u w:val="none"/>
                      <w:lang w:eastAsia="zh-CN"/>
                    </w:rPr>
                    <w:t>排放速率</w:t>
                  </w:r>
                  <w:r>
                    <w:rPr>
                      <w:rFonts w:ascii="Times New Roman" w:hAnsi="Times New Roman" w:hint="eastAsia"/>
                      <w:b/>
                      <w:bCs/>
                      <w:color w:val="auto"/>
                      <w:sz w:val="21"/>
                      <w:szCs w:val="21"/>
                      <w:u w:val="none"/>
                      <w:lang w:val="en-US" w:eastAsia="zh-CN"/>
                    </w:rPr>
                    <w:t>kg/h</w:t>
                  </w:r>
                </w:p>
              </w:tc>
            </w:tr>
            <w:tr>
              <w:trPr>
                <w:trHeight w:val="397"/>
                <w:tblHeader/>
              </w:trPr>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1</w:t>
                  </w:r>
                </w:p>
              </w:tc>
              <w:tc>
                <w:tcPr>
                  <w:tcW w:w="154"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val="0"/>
                      <w:bCs w:val="0"/>
                      <w:color w:val="auto"/>
                      <w:kern w:val="0"/>
                      <w:sz w:val="21"/>
                      <w:szCs w:val="21"/>
                      <w:u w:val="none"/>
                      <w:lang w:eastAsia="zh-CN"/>
                    </w:rPr>
                  </w:pPr>
                  <w:r>
                    <w:rPr>
                      <w:rFonts w:eastAsia="宋体" w:hint="eastAsia"/>
                      <w:b w:val="0"/>
                      <w:bCs w:val="0"/>
                      <w:color w:val="auto"/>
                      <w:kern w:val="0"/>
                      <w:sz w:val="21"/>
                      <w:szCs w:val="21"/>
                      <w:u w:val="none"/>
                      <w:lang w:eastAsia="zh-CN"/>
                    </w:rPr>
                    <w:t>剥壳废气</w:t>
                  </w:r>
                </w:p>
              </w:tc>
              <w:tc>
                <w:tcPr>
                  <w:tcW w:w="153" w:type="pct"/>
                  <w:vMerge w:val="restar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kern w:val="2"/>
                      <w:sz w:val="21"/>
                      <w:szCs w:val="21"/>
                      <w:u w:val="none"/>
                      <w:lang w:val="en-US" w:eastAsia="zh-CN" w:bidi="ar-SA"/>
                    </w:rPr>
                  </w:pPr>
                  <w:r>
                    <w:rPr>
                      <w:rFonts w:ascii="Times New Roman" w:cs="Times New Roman" w:hAnsi="Times New Roman" w:hint="eastAsia"/>
                      <w:color w:val="auto"/>
                      <w:sz w:val="21"/>
                      <w:szCs w:val="21"/>
                      <w:u w:val="none"/>
                      <w:lang w:val="en-US" w:eastAsia="zh-CN"/>
                    </w:rPr>
                    <w:t>颗粒物</w:t>
                  </w:r>
                </w:p>
              </w:tc>
              <w:tc>
                <w:tcPr>
                  <w:tcW w:w="15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0.334</w:t>
                  </w:r>
                </w:p>
              </w:tc>
              <w:tc>
                <w:tcPr>
                  <w:tcW w:w="24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27.8334</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val="0"/>
                      <w:bCs w:val="0"/>
                      <w:color w:val="auto"/>
                      <w:kern w:val="0"/>
                      <w:sz w:val="21"/>
                      <w:szCs w:val="21"/>
                      <w:u w:val="none"/>
                      <w:lang w:val="en-US" w:eastAsia="zh-CN"/>
                    </w:rPr>
                  </w:pPr>
                  <w:r>
                    <w:rPr>
                      <w:rFonts w:eastAsia="宋体" w:hint="eastAsia"/>
                      <w:b w:val="0"/>
                      <w:bCs w:val="0"/>
                      <w:color w:val="auto"/>
                      <w:kern w:val="0"/>
                      <w:sz w:val="21"/>
                      <w:szCs w:val="21"/>
                      <w:u w:val="none"/>
                      <w:lang w:val="en-US" w:eastAsia="zh-CN"/>
                    </w:rPr>
                    <w:t>有组织</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布袋+活性炭</w:t>
                  </w:r>
                </w:p>
              </w:tc>
              <w:tc>
                <w:tcPr>
                  <w:tcW w:w="179" w:type="pct"/>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b w:val="0"/>
                      <w:bCs w:val="0"/>
                      <w:color w:val="auto"/>
                      <w:kern w:val="0"/>
                      <w:sz w:val="21"/>
                      <w:szCs w:val="21"/>
                      <w:u w:val="none"/>
                      <w:lang w:val="en-US" w:eastAsia="zh-CN" w:bidi="ar-SA"/>
                    </w:rPr>
                    <w:t>TA0</w:t>
                  </w:r>
                  <w:r>
                    <w:rPr>
                      <w:rFonts w:cs="Times New Roman" w:hint="eastAsia"/>
                      <w:b w:val="0"/>
                      <w:bCs w:val="0"/>
                      <w:color w:val="auto"/>
                      <w:kern w:val="0"/>
                      <w:sz w:val="21"/>
                      <w:szCs w:val="21"/>
                      <w:u w:val="none"/>
                      <w:lang w:val="en-US" w:eastAsia="zh-CN" w:bidi="ar-SA"/>
                    </w:rPr>
                    <w:t>01</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85</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cs="Times New Roman" w:hAnsi="Times New Roman"/>
                      <w:b w:val="0"/>
                      <w:bCs w:val="0"/>
                      <w:color w:val="auto"/>
                      <w:kern w:val="0"/>
                      <w:sz w:val="21"/>
                      <w:szCs w:val="21"/>
                      <w:u w:val="none"/>
                      <w:lang w:val="en-US" w:eastAsia="zh-CN"/>
                    </w:rPr>
                  </w:pPr>
                  <w:r>
                    <w:rPr>
                      <w:rFonts w:hint="eastAsia"/>
                      <w:b w:val="0"/>
                      <w:bCs w:val="0"/>
                      <w:color w:val="auto"/>
                      <w:kern w:val="0"/>
                      <w:sz w:val="21"/>
                      <w:szCs w:val="21"/>
                      <w:u w:val="none"/>
                      <w:lang w:val="en-US" w:eastAsia="zh-CN"/>
                    </w:rPr>
                    <w:t>95</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cs="Times New Roman" w:hAnsi="Times New Roman"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85</w:t>
                  </w:r>
                </w:p>
              </w:tc>
              <w:tc>
                <w:tcPr>
                  <w:tcW w:w="157"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是</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val="0"/>
                      <w:bCs w:val="0"/>
                      <w:color w:val="auto"/>
                      <w:kern w:val="0"/>
                      <w:sz w:val="21"/>
                      <w:szCs w:val="21"/>
                      <w:u w:val="none"/>
                      <w:lang w:val="en-US" w:eastAsia="zh-CN"/>
                    </w:rPr>
                  </w:pPr>
                  <w:r>
                    <w:rPr>
                      <w:rFonts w:hint="eastAsia"/>
                      <w:b w:val="0"/>
                      <w:bCs w:val="0"/>
                      <w:color w:val="auto"/>
                      <w:kern w:val="0"/>
                      <w:sz w:val="21"/>
                      <w:szCs w:val="21"/>
                      <w:u w:val="none"/>
                      <w:lang w:val="en-US" w:eastAsia="zh-CN"/>
                    </w:rPr>
                    <w:t>DA001</w:t>
                  </w:r>
                </w:p>
              </w:tc>
              <w:tc>
                <w:tcPr>
                  <w:tcW w:w="18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i w:val="0"/>
                      <w:iCs w:val="0"/>
                      <w:color w:val="auto"/>
                      <w:kern w:val="0"/>
                      <w:sz w:val="21"/>
                      <w:szCs w:val="21"/>
                      <w:u w:val="none"/>
                      <w:lang w:val="en-US" w:eastAsia="zh-CN"/>
                    </w:rPr>
                    <w:t>0.048</w:t>
                  </w:r>
                </w:p>
              </w:tc>
              <w:tc>
                <w:tcPr>
                  <w:tcW w:w="2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3.967</w:t>
                  </w:r>
                </w:p>
              </w:tc>
              <w:tc>
                <w:tcPr>
                  <w:tcW w:w="2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0.060</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20</w:t>
                  </w:r>
                </w:p>
              </w:tc>
              <w:tc>
                <w:tcPr>
                  <w:tcW w:w="166"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0.3</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环境温度</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综合废气排气筒</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一般排放口</w:t>
                  </w:r>
                </w:p>
              </w:tc>
              <w:tc>
                <w:tcPr>
                  <w:tcW w:w="3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111°29'16.558",28°56'24.128"</w:t>
                  </w:r>
                </w:p>
              </w:tc>
              <w:tc>
                <w:tcPr>
                  <w:tcW w:w="311" w:type="pct"/>
                  <w:tcBorders>
                    <w:top w:val="single" w:sz="4" w:space="0" w:color="000000"/>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b w:val="0"/>
                      <w:bCs w:val="0"/>
                      <w:color w:val="auto"/>
                      <w:kern w:val="0"/>
                      <w:sz w:val="21"/>
                      <w:szCs w:val="21"/>
                      <w:u w:val="none"/>
                      <w:lang w:val="en-US" w:eastAsia="zh-CN"/>
                    </w:rPr>
                  </w:pPr>
                  <w:r>
                    <w:rPr>
                      <w:rFonts w:ascii="Times New Roman" w:cs="Times New Roman" w:hAnsi="Times New Roman" w:hint="eastAsia"/>
                      <w:i w:val="0"/>
                      <w:iCs w:val="0"/>
                      <w:color w:val="auto"/>
                      <w:kern w:val="0"/>
                      <w:sz w:val="21"/>
                      <w:szCs w:val="21"/>
                      <w:u w:val="none"/>
                      <w:lang w:val="en-US" w:eastAsia="zh-CN"/>
                    </w:rPr>
                    <w:t>120</w:t>
                  </w:r>
                </w:p>
              </w:tc>
              <w:tc>
                <w:tcPr>
                  <w:tcW w:w="303" w:type="pct"/>
                  <w:vAlign w:val="center"/>
                </w:tcPr>
                <w:p>
                  <w:pPr>
                    <w:keepNext w:val="0"/>
                    <w:keepLines w:val="0"/>
                    <w:pageBreakBefore w:val="0"/>
                    <w:kinsoku/>
                    <w:wordWrap/>
                    <w:overflowPunct/>
                    <w:topLinePunct w:val="0"/>
                    <w:autoSpaceDE/>
                    <w:autoSpaceDN/>
                    <w:bidi w:val="0"/>
                    <w:adjustRightInd/>
                    <w:snapToGrid w:val="0"/>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5.9</w:t>
                  </w:r>
                </w:p>
              </w:tc>
            </w:tr>
            <w:tr>
              <w:trPr>
                <w:trHeight w:val="397"/>
                <w:tblHeader/>
              </w:trPr>
              <w:tc>
                <w:tcPr>
                  <w:tcW w:w="153" w:type="pct"/>
                  <w:vMerge/>
                  <w:vAlign w:val="center"/>
                </w:tcPr>
                <w:p/>
              </w:tc>
              <w:tc>
                <w:tcPr>
                  <w:tcW w:w="154" w:type="pct"/>
                  <w:vMerge/>
                  <w:vAlign w:val="center"/>
                </w:tcPr>
                <w:p/>
              </w:tc>
              <w:tc>
                <w:tcPr>
                  <w:tcW w:w="153" w:type="pct"/>
                  <w:vMerge/>
                  <w:shd w:val="clear" w:color="auto" w:fill="auto"/>
                  <w:vAlign w:val="center"/>
                </w:tcPr>
                <w:p/>
              </w:tc>
              <w:tc>
                <w:tcPr>
                  <w:tcW w:w="158" w:type="pct"/>
                  <w:vMerge/>
                  <w:shd w:val="clear" w:color="auto" w:fill="auto"/>
                  <w:vAlign w:val="center"/>
                </w:tcPr>
                <w:p/>
              </w:tc>
              <w:tc>
                <w:tcPr>
                  <w:tcW w:w="241" w:type="pct"/>
                  <w:vMerge/>
                  <w:shd w:val="clear" w:color="auto" w:fill="auto"/>
                  <w:vAlign w:val="center"/>
                </w:tcP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b w:val="0"/>
                      <w:bCs w:val="0"/>
                      <w:color w:val="auto"/>
                      <w:kern w:val="0"/>
                      <w:sz w:val="21"/>
                      <w:szCs w:val="21"/>
                      <w:u w:val="none"/>
                      <w:lang w:val="en-US" w:eastAsia="zh-CN"/>
                    </w:rPr>
                  </w:pPr>
                  <w:r>
                    <w:rPr>
                      <w:rFonts w:hint="eastAsia"/>
                      <w:b w:val="0"/>
                      <w:bCs w:val="0"/>
                      <w:color w:val="auto"/>
                      <w:kern w:val="0"/>
                      <w:sz w:val="21"/>
                      <w:szCs w:val="21"/>
                      <w:u w:val="none"/>
                      <w:lang w:val="en-US" w:eastAsia="zh-CN"/>
                    </w:rPr>
                    <w:t>无组织</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79" w:type="pct"/>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7"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cs="Times New Roman" w:hAnsi="Times New Roman"/>
                      <w:i w:val="0"/>
                      <w:iCs w:val="0"/>
                      <w:color w:val="auto"/>
                      <w:kern w:val="0"/>
                      <w:sz w:val="21"/>
                      <w:szCs w:val="21"/>
                      <w:u w:val="none"/>
                      <w:lang w:val="en-US" w:eastAsia="zh-CN"/>
                    </w:rPr>
                  </w:pPr>
                  <w:r>
                    <w:rPr>
                      <w:rFonts w:cs="Times New Roman" w:hint="eastAsia"/>
                      <w:i w:val="0"/>
                      <w:iCs w:val="0"/>
                      <w:color w:val="auto"/>
                      <w:kern w:val="0"/>
                      <w:sz w:val="21"/>
                      <w:szCs w:val="21"/>
                      <w:u w:val="none"/>
                      <w:lang w:val="en-US" w:eastAsia="zh-CN"/>
                    </w:rPr>
                    <w:t>0.017</w:t>
                  </w:r>
                </w:p>
              </w:tc>
              <w:tc>
                <w:tcPr>
                  <w:tcW w:w="2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w:t>
                  </w:r>
                </w:p>
              </w:tc>
              <w:tc>
                <w:tcPr>
                  <w:tcW w:w="2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cs="Times New Roman" w:hAnsi="Times New Roman"/>
                      <w:color w:val="auto"/>
                      <w:kern w:val="2"/>
                      <w:sz w:val="21"/>
                      <w:szCs w:val="21"/>
                      <w:u w:val="none"/>
                      <w:lang w:val="en-US" w:eastAsia="zh-CN" w:bidi="ar-SA"/>
                    </w:rPr>
                  </w:pPr>
                  <w:r>
                    <w:rPr>
                      <w:rFonts w:cs="Times New Roman" w:hint="eastAsia"/>
                      <w:color w:val="auto"/>
                      <w:kern w:val="2"/>
                      <w:sz w:val="21"/>
                      <w:szCs w:val="21"/>
                      <w:u w:val="none"/>
                      <w:lang w:val="en-US" w:eastAsia="zh-CN" w:bidi="ar-SA"/>
                    </w:rPr>
                    <w:t>/</w:t>
                  </w:r>
                </w:p>
              </w:tc>
              <w:tc>
                <w:tcPr>
                  <w:tcW w:w="153"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166"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199"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387"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311" w:type="pct"/>
                  <w:tcBorders>
                    <w:top w:val="single" w:sz="4" w:space="0" w:color="000000"/>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cs="Times New Roman" w:hAnsi="Times New Roman" w:hint="eastAsia"/>
                      <w:i w:val="0"/>
                      <w:iCs w:val="0"/>
                      <w:color w:val="auto"/>
                      <w:kern w:val="0"/>
                      <w:sz w:val="21"/>
                      <w:szCs w:val="21"/>
                      <w:u w:val="none"/>
                      <w:lang w:val="en-US" w:eastAsia="zh-CN"/>
                    </w:rPr>
                  </w:pPr>
                  <w:r>
                    <w:rPr>
                      <w:rFonts w:cs="Times New Roman" w:hint="eastAsia"/>
                      <w:color w:val="auto"/>
                      <w:kern w:val="2"/>
                      <w:sz w:val="21"/>
                      <w:szCs w:val="21"/>
                      <w:u w:val="none"/>
                      <w:lang w:val="en-US" w:eastAsia="zh-CN" w:bidi="ar-SA"/>
                    </w:rPr>
                    <w:t>1</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r>
            <w:tr>
              <w:trPr>
                <w:trHeight w:val="90"/>
                <w:tblHeader/>
              </w:trPr>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2</w:t>
                  </w:r>
                </w:p>
              </w:tc>
              <w:tc>
                <w:tcPr>
                  <w:tcW w:w="154"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b w:val="0"/>
                      <w:bCs w:val="0"/>
                      <w:color w:val="auto"/>
                      <w:kern w:val="0"/>
                      <w:sz w:val="21"/>
                      <w:szCs w:val="21"/>
                      <w:u w:val="none"/>
                      <w:lang w:val="en-US" w:eastAsia="zh-CN"/>
                    </w:rPr>
                    <w:t>精炼废气</w:t>
                  </w:r>
                </w:p>
              </w:tc>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b w:val="0"/>
                      <w:bCs w:val="0"/>
                      <w:color w:val="auto"/>
                      <w:kern w:val="0"/>
                      <w:sz w:val="21"/>
                      <w:szCs w:val="21"/>
                      <w:u w:val="none"/>
                      <w:lang w:val="en-US" w:eastAsia="zh-CN"/>
                    </w:rPr>
                    <w:t>非甲烷总烃</w:t>
                  </w:r>
                </w:p>
              </w:tc>
              <w:tc>
                <w:tcPr>
                  <w:tcW w:w="158"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b w:val="0"/>
                      <w:bCs w:val="0"/>
                      <w:i w:val="0"/>
                      <w:iCs w:val="0"/>
                      <w:color w:val="auto"/>
                      <w:kern w:val="0"/>
                      <w:sz w:val="21"/>
                      <w:szCs w:val="21"/>
                      <w:u w:val="none"/>
                      <w:lang w:val="en-US" w:eastAsia="zh-CN"/>
                    </w:rPr>
                  </w:pPr>
                  <w:r>
                    <w:rPr>
                      <w:rFonts w:hint="eastAsia"/>
                      <w:b w:val="0"/>
                      <w:bCs w:val="0"/>
                      <w:color w:val="auto"/>
                      <w:sz w:val="21"/>
                      <w:szCs w:val="21"/>
                      <w:u w:val="none"/>
                      <w:lang w:val="en-US" w:eastAsia="zh-CN"/>
                      <w:highlight w:val="none"/>
                    </w:rPr>
                    <w:t>1</w:t>
                  </w:r>
                </w:p>
              </w:tc>
              <w:tc>
                <w:tcPr>
                  <w:tcW w:w="241"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b w:val="0"/>
                      <w:bCs w:val="0"/>
                      <w:i w:val="0"/>
                      <w:iCs w:val="0"/>
                      <w:color w:val="auto"/>
                      <w:kern w:val="0"/>
                      <w:sz w:val="21"/>
                      <w:szCs w:val="21"/>
                      <w:u w:val="none"/>
                      <w:lang w:val="en-US" w:eastAsia="zh-CN"/>
                    </w:rPr>
                  </w:pPr>
                  <w:r>
                    <w:rPr>
                      <w:rFonts w:hint="eastAsia"/>
                      <w:b w:val="0"/>
                      <w:bCs w:val="0"/>
                      <w:color w:val="auto"/>
                      <w:kern w:val="0"/>
                      <w:sz w:val="21"/>
                      <w:szCs w:val="21"/>
                      <w:u w:val="none"/>
                      <w:lang w:val="en-US" w:eastAsia="zh-CN"/>
                    </w:rPr>
                    <w:t>83.334</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eastAsia="宋体"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有组织</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布袋+活性炭</w:t>
                  </w:r>
                </w:p>
              </w:tc>
              <w:tc>
                <w:tcPr>
                  <w:tcW w:w="179"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cs="Times New Roman"/>
                      <w:b w:val="0"/>
                      <w:bCs w:val="0"/>
                      <w:color w:val="auto"/>
                      <w:kern w:val="0"/>
                      <w:sz w:val="21"/>
                      <w:szCs w:val="21"/>
                      <w:u w:val="none"/>
                      <w:lang w:val="en-US" w:eastAsia="zh-CN" w:bidi="ar-SA"/>
                    </w:rPr>
                    <w:t>TA0</w:t>
                  </w:r>
                  <w:r>
                    <w:rPr>
                      <w:rFonts w:cs="Times New Roman" w:hint="eastAsia"/>
                      <w:b w:val="0"/>
                      <w:bCs w:val="0"/>
                      <w:color w:val="auto"/>
                      <w:kern w:val="0"/>
                      <w:sz w:val="21"/>
                      <w:szCs w:val="21"/>
                      <w:u w:val="none"/>
                      <w:lang w:val="en-US" w:eastAsia="zh-CN" w:bidi="ar-SA"/>
                    </w:rPr>
                    <w:t>01</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99、20</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80</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99、20</w:t>
                  </w:r>
                </w:p>
              </w:tc>
              <w:tc>
                <w:tcPr>
                  <w:tcW w:w="157"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是</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DA001</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b w:val="0"/>
                      <w:bCs w:val="0"/>
                      <w:i w:val="0"/>
                      <w:iCs w:val="0"/>
                      <w:color w:val="auto"/>
                      <w:kern w:val="0"/>
                      <w:sz w:val="21"/>
                      <w:szCs w:val="21"/>
                      <w:u w:val="none"/>
                      <w:lang w:val="en-US" w:eastAsia="zh-CN" w:bidi="ar-SA"/>
                    </w:rPr>
                  </w:pPr>
                  <w:r>
                    <w:rPr>
                      <w:rFonts w:hint="eastAsia"/>
                      <w:b w:val="0"/>
                      <w:bCs w:val="0"/>
                      <w:color w:val="auto"/>
                      <w:sz w:val="21"/>
                      <w:szCs w:val="21"/>
                      <w:u w:val="none"/>
                      <w:lang w:val="en-US" w:eastAsia="zh-CN"/>
                      <w:highlight w:val="none"/>
                    </w:rPr>
                    <w:t>0.0036</w:t>
                  </w:r>
                </w:p>
              </w:tc>
              <w:tc>
                <w:tcPr>
                  <w:tcW w:w="241"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b w:val="0"/>
                      <w:bCs w:val="0"/>
                      <w:i w:val="0"/>
                      <w:iCs w:val="0"/>
                      <w:color w:val="auto"/>
                      <w:kern w:val="0"/>
                      <w:sz w:val="21"/>
                      <w:szCs w:val="21"/>
                      <w:u w:val="none"/>
                      <w:lang w:val="en-US" w:eastAsia="zh-CN"/>
                    </w:rPr>
                  </w:pPr>
                  <w:r>
                    <w:rPr>
                      <w:rFonts w:hint="eastAsia"/>
                      <w:b w:val="0"/>
                      <w:bCs w:val="0"/>
                      <w:color w:val="auto"/>
                      <w:kern w:val="0"/>
                      <w:sz w:val="21"/>
                      <w:szCs w:val="21"/>
                      <w:u w:val="none"/>
                      <w:lang w:val="en-US" w:eastAsia="zh-CN"/>
                    </w:rPr>
                    <w:t>0.134</w:t>
                  </w:r>
                </w:p>
              </w:tc>
              <w:tc>
                <w:tcPr>
                  <w:tcW w:w="209"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b w:val="0"/>
                      <w:bCs w:val="0"/>
                      <w:i w:val="0"/>
                      <w:iCs w:val="0"/>
                      <w:color w:val="auto"/>
                      <w:kern w:val="0"/>
                      <w:sz w:val="21"/>
                      <w:szCs w:val="21"/>
                      <w:u w:val="none"/>
                      <w:lang w:val="en-US" w:eastAsia="zh-CN"/>
                    </w:rPr>
                  </w:pPr>
                  <w:r>
                    <w:rPr>
                      <w:rFonts w:hint="eastAsia"/>
                      <w:b w:val="0"/>
                      <w:bCs w:val="0"/>
                      <w:color w:val="auto"/>
                      <w:kern w:val="0"/>
                      <w:sz w:val="21"/>
                      <w:szCs w:val="21"/>
                      <w:u w:val="none"/>
                      <w:lang w:val="en-US" w:eastAsia="zh-CN"/>
                    </w:rPr>
                    <w:t>0.002</w:t>
                  </w:r>
                </w:p>
              </w:tc>
              <w:tc>
                <w:tcPr>
                  <w:tcW w:w="15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20</w:t>
                  </w:r>
                </w:p>
              </w:tc>
              <w:tc>
                <w:tcPr>
                  <w:tcW w:w="166"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0.3</w:t>
                  </w:r>
                </w:p>
              </w:tc>
              <w:tc>
                <w:tcPr>
                  <w:tcW w:w="19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环境温度</w:t>
                  </w:r>
                </w:p>
              </w:tc>
              <w:tc>
                <w:tcPr>
                  <w:tcW w:w="20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综合废气排气筒</w:t>
                  </w:r>
                </w:p>
              </w:tc>
              <w:tc>
                <w:tcPr>
                  <w:tcW w:w="24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一般排放口</w:t>
                  </w:r>
                </w:p>
              </w:tc>
              <w:tc>
                <w:tcPr>
                  <w:tcW w:w="3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111°29'16.558",28°56'24.128"</w:t>
                  </w:r>
                </w:p>
              </w:tc>
              <w:tc>
                <w:tcPr>
                  <w:tcW w:w="311" w:type="pct"/>
                  <w:tcBorders>
                    <w:top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120</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17</w:t>
                  </w:r>
                </w:p>
              </w:tc>
            </w:tr>
            <w:tr>
              <w:trPr>
                <w:trHeight w:val="90"/>
                <w:tblHeader/>
              </w:trPr>
              <w:tc>
                <w:tcPr>
                  <w:tcW w:w="153" w:type="pct"/>
                  <w:vMerge/>
                  <w:vAlign w:val="center"/>
                </w:tcPr>
                <w:p/>
              </w:tc>
              <w:tc>
                <w:tcPr>
                  <w:tcW w:w="154" w:type="pct"/>
                  <w:vMerge/>
                  <w:vAlign w:val="center"/>
                </w:tcPr>
                <w:p/>
              </w:tc>
              <w:tc>
                <w:tcPr>
                  <w:tcW w:w="153" w:type="pct"/>
                  <w:vMerge/>
                  <w:vAlign w:val="center"/>
                </w:tcPr>
                <w:p/>
              </w:tc>
              <w:tc>
                <w:tcPr>
                  <w:tcW w:w="158" w:type="pct"/>
                  <w:vMerge/>
                  <w:vAlign w:val="center"/>
                </w:tcPr>
                <w:p/>
              </w:tc>
              <w:tc>
                <w:tcPr>
                  <w:tcW w:w="241" w:type="pct"/>
                  <w:vMerge/>
                  <w:vAlign w:val="center"/>
                </w:tcP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无组织</w:t>
                  </w:r>
                </w:p>
              </w:tc>
              <w:tc>
                <w:tcPr>
                  <w:tcW w:w="20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7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5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4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sz w:val="21"/>
                      <w:szCs w:val="21"/>
                      <w:u w:val="none"/>
                      <w:lang w:val="en-US" w:eastAsia="zh-CN"/>
                      <w:highlight w:val="none"/>
                    </w:rPr>
                  </w:pPr>
                  <w:r>
                    <w:rPr>
                      <w:rFonts w:hint="eastAsia"/>
                      <w:b w:val="0"/>
                      <w:bCs w:val="0"/>
                      <w:color w:val="auto"/>
                      <w:sz w:val="21"/>
                      <w:szCs w:val="21"/>
                      <w:u w:val="none"/>
                      <w:lang w:val="en-US" w:eastAsia="zh-CN"/>
                      <w:highlight w:val="none"/>
                    </w:rPr>
                    <w:t>0.002</w:t>
                  </w:r>
                </w:p>
              </w:tc>
              <w:tc>
                <w:tcPr>
                  <w:tcW w:w="2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hint="eastAsia"/>
                      <w:color w:val="auto"/>
                      <w:kern w:val="2"/>
                      <w:sz w:val="21"/>
                      <w:szCs w:val="21"/>
                      <w:u w:val="none"/>
                      <w:lang w:val="en-US" w:eastAsia="zh-CN" w:bidi="ar-SA"/>
                    </w:rPr>
                  </w:pPr>
                  <w:r>
                    <w:rPr>
                      <w:rFonts w:cs="Times New Roman" w:hint="eastAsia"/>
                      <w:color w:val="auto"/>
                      <w:kern w:val="2"/>
                      <w:sz w:val="21"/>
                      <w:szCs w:val="21"/>
                      <w:u w:val="none"/>
                      <w:lang w:val="en-US" w:eastAsia="zh-CN" w:bidi="ar-SA"/>
                    </w:rPr>
                    <w:t>/</w:t>
                  </w:r>
                </w:p>
              </w:tc>
              <w:tc>
                <w:tcPr>
                  <w:tcW w:w="2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hint="eastAsia"/>
                      <w:color w:val="auto"/>
                      <w:kern w:val="2"/>
                      <w:sz w:val="21"/>
                      <w:szCs w:val="21"/>
                      <w:u w:val="none"/>
                      <w:lang w:val="en-US" w:eastAsia="zh-CN" w:bidi="ar-SA"/>
                    </w:rPr>
                  </w:pPr>
                  <w:r>
                    <w:rPr>
                      <w:rFonts w:cs="Times New Roman" w:hint="eastAsia"/>
                      <w:color w:val="auto"/>
                      <w:kern w:val="2"/>
                      <w:sz w:val="21"/>
                      <w:szCs w:val="21"/>
                      <w:u w:val="none"/>
                      <w:lang w:val="en-US" w:eastAsia="zh-CN" w:bidi="ar-SA"/>
                    </w:rPr>
                    <w:t>/</w:t>
                  </w:r>
                </w:p>
              </w:tc>
              <w:tc>
                <w:tcPr>
                  <w:tcW w:w="153"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166"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199"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387"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c>
                <w:tcPr>
                  <w:tcW w:w="311" w:type="pct"/>
                  <w:tcBorders>
                    <w:top w:val="single" w:sz="4" w:space="0" w:color="000000"/>
                  </w:tcBorders>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4</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r>
            <w:tr>
              <w:trPr>
                <w:trHeight w:val="90"/>
                <w:tblHeader/>
              </w:trPr>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3</w:t>
                  </w:r>
                </w:p>
              </w:tc>
              <w:tc>
                <w:tcPr>
                  <w:tcW w:w="154" w:type="pct"/>
                  <w:vMerge w:val="restar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污水处理站废气</w:t>
                  </w:r>
                </w:p>
              </w:tc>
              <w:tc>
                <w:tcPr>
                  <w:tcW w:w="153"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hint="eastAsia"/>
                      <w:sz w:val="21"/>
                      <w:szCs w:val="21"/>
                    </w:rPr>
                    <w:t>NH</w:t>
                  </w:r>
                  <w:r>
                    <w:rPr>
                      <w:rFonts w:hint="eastAsia"/>
                      <w:sz w:val="21"/>
                      <w:szCs w:val="21"/>
                      <w:vertAlign w:val="subscript"/>
                    </w:rPr>
                    <w:t>3</w:t>
                  </w:r>
                </w:p>
              </w:tc>
              <w:tc>
                <w:tcPr>
                  <w:tcW w:w="15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0.00004</w:t>
                  </w:r>
                </w:p>
              </w:tc>
              <w:tc>
                <w:tcPr>
                  <w:tcW w:w="2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jc w:val="center"/>
                    <w:textAlignment w:val="center"/>
                    <w:rPr>
                      <w:rFonts w:ascii="Times New Roman" w:eastAsia="宋体" w:cs="Times New Roman" w:hAnsi="Times New Roman" w:hint="eastAsia"/>
                      <w:color w:val="auto"/>
                      <w:kern w:val="2"/>
                      <w:sz w:val="21"/>
                      <w:szCs w:val="21"/>
                      <w:u w:val="none"/>
                      <w:lang w:val="en-US" w:eastAsia="zh-CN" w:bidi="ar-SA"/>
                    </w:rPr>
                  </w:pPr>
                  <w:r>
                    <w:rPr>
                      <w:rFonts w:ascii="Times New Roman" w:cs="Times New Roman" w:hAnsi="Times New Roman" w:hint="eastAsia"/>
                      <w:color w:val="auto"/>
                      <w:kern w:val="2"/>
                      <w:sz w:val="21"/>
                      <w:szCs w:val="21"/>
                      <w:u w:val="none"/>
                      <w:lang w:val="en-US" w:eastAsia="zh-CN" w:bidi="ar-SA"/>
                    </w:rPr>
                    <w:t>/</w:t>
                  </w:r>
                </w:p>
              </w:tc>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color w:val="auto"/>
                      <w:sz w:val="21"/>
                      <w:szCs w:val="21"/>
                      <w:u w:val="none"/>
                      <w:lang w:val="en-US" w:eastAsia="zh-CN"/>
                    </w:rPr>
                  </w:pPr>
                  <w:r>
                    <w:rPr>
                      <w:rFonts w:hint="eastAsia"/>
                      <w:b w:val="0"/>
                      <w:bCs w:val="0"/>
                      <w:color w:val="auto"/>
                      <w:kern w:val="0"/>
                      <w:sz w:val="21"/>
                      <w:szCs w:val="21"/>
                      <w:u w:val="none"/>
                      <w:lang w:val="en-US" w:eastAsia="zh-CN"/>
                    </w:rPr>
                    <w:t>无组织</w:t>
                  </w:r>
                </w:p>
              </w:tc>
              <w:tc>
                <w:tcPr>
                  <w:tcW w:w="20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cs="Times New Roman" w:hint="eastAsia"/>
                      <w:color w:val="auto"/>
                      <w:sz w:val="21"/>
                      <w:szCs w:val="21"/>
                      <w:u w:val="none"/>
                      <w:lang w:val="en-US" w:eastAsia="zh-CN"/>
                    </w:rPr>
                    <w:t>加盖</w:t>
                  </w:r>
                </w:p>
              </w:tc>
              <w:tc>
                <w:tcPr>
                  <w:tcW w:w="17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57"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40"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87"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0.00004</w:t>
                  </w:r>
                </w:p>
              </w:tc>
              <w:tc>
                <w:tcPr>
                  <w:tcW w:w="241"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0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53"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66"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0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40"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387"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311" w:type="pct"/>
                  <w:tcBorders>
                    <w:top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1.5</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r>
            <w:tr>
              <w:trPr>
                <w:trHeight w:val="90"/>
                <w:tblHeader/>
              </w:trPr>
              <w:tc>
                <w:tcPr>
                  <w:tcW w:w="153" w:type="pct"/>
                  <w:vMerge/>
                  <w:vAlign w:val="center"/>
                </w:tcPr>
                <w:p/>
              </w:tc>
              <w:tc>
                <w:tcPr>
                  <w:tcW w:w="154" w:type="pct"/>
                  <w:vMerge/>
                  <w:vAlign w:val="center"/>
                </w:tcPr>
                <w:p/>
              </w:tc>
              <w:tc>
                <w:tcPr>
                  <w:tcW w:w="153"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hint="eastAsia"/>
                      <w:sz w:val="21"/>
                      <w:szCs w:val="21"/>
                    </w:rPr>
                    <w:t>H</w:t>
                  </w:r>
                  <w:r>
                    <w:rPr>
                      <w:rFonts w:hint="eastAsia"/>
                      <w:sz w:val="21"/>
                      <w:szCs w:val="21"/>
                      <w:vertAlign w:val="subscript"/>
                    </w:rPr>
                    <w:t>2</w:t>
                  </w:r>
                  <w:r>
                    <w:rPr>
                      <w:rFonts w:hint="eastAsia"/>
                      <w:sz w:val="21"/>
                      <w:szCs w:val="21"/>
                    </w:rPr>
                    <w:t>S</w:t>
                  </w:r>
                </w:p>
              </w:tc>
              <w:tc>
                <w:tcPr>
                  <w:tcW w:w="15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0.000002</w:t>
                  </w:r>
                </w:p>
              </w:tc>
              <w:tc>
                <w:tcPr>
                  <w:tcW w:w="241"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ascii="Times New Roman" w:eastAsia="宋体" w:cs="Times New Roman" w:hAnsi="Times New Roman" w:hint="eastAsia"/>
                      <w:b w:val="0"/>
                      <w:bCs w:val="0"/>
                      <w:i w:val="0"/>
                      <w:i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53" w:type="pct"/>
                  <w:vMerge/>
                  <w:vAlign w:val="center"/>
                </w:tcPr>
                <w:p/>
              </w:tc>
              <w:tc>
                <w:tcPr>
                  <w:tcW w:w="20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cs="Times New Roman" w:hint="eastAsia"/>
                      <w:color w:val="auto"/>
                      <w:sz w:val="21"/>
                      <w:szCs w:val="21"/>
                      <w:u w:val="none"/>
                      <w:lang w:val="en-US" w:eastAsia="zh-CN"/>
                    </w:rPr>
                    <w:t>加盖</w:t>
                  </w:r>
                </w:p>
              </w:tc>
              <w:tc>
                <w:tcPr>
                  <w:tcW w:w="17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color w:val="auto"/>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57"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40"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87"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0.000002</w:t>
                  </w:r>
                </w:p>
              </w:tc>
              <w:tc>
                <w:tcPr>
                  <w:tcW w:w="241"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0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53"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66"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199"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08"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240"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387" w:type="pct"/>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hint="eastAsia"/>
                      <w:b w:val="0"/>
                      <w:bCs w:val="0"/>
                      <w:color w:val="auto"/>
                      <w:kern w:val="0"/>
                      <w:sz w:val="21"/>
                      <w:szCs w:val="21"/>
                      <w:u w:val="none"/>
                      <w:lang w:val="en-US" w:eastAsia="zh-CN"/>
                    </w:rPr>
                  </w:pPr>
                  <w:r>
                    <w:rPr>
                      <w:rFonts w:ascii="Times New Roman" w:eastAsia="宋体" w:cs="Times New Roman" w:hAnsi="Times New Roman" w:hint="eastAsia"/>
                      <w:color w:val="auto"/>
                      <w:sz w:val="21"/>
                      <w:szCs w:val="21"/>
                      <w:u w:val="none"/>
                      <w:lang w:val="en-US" w:eastAsia="zh-CN"/>
                    </w:rPr>
                    <w:t>/</w:t>
                  </w:r>
                </w:p>
              </w:tc>
              <w:tc>
                <w:tcPr>
                  <w:tcW w:w="311" w:type="pct"/>
                  <w:tcBorders>
                    <w:top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0.06</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color w:val="auto"/>
                      <w:kern w:val="2"/>
                      <w:sz w:val="21"/>
                      <w:szCs w:val="21"/>
                      <w:u w:val="none"/>
                      <w:lang w:val="en-US" w:eastAsia="zh-CN" w:bidi="ar-SA"/>
                    </w:rPr>
                    <w:t>/</w:t>
                  </w:r>
                </w:p>
              </w:tc>
            </w:tr>
            <w:tr>
              <w:trPr>
                <w:trHeight w:val="90"/>
                <w:tblHeader/>
              </w:trPr>
              <w:tc>
                <w:tcPr>
                  <w:tcW w:w="153"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4</w:t>
                  </w:r>
                </w:p>
              </w:tc>
              <w:tc>
                <w:tcPr>
                  <w:tcW w:w="154" w:type="pct"/>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其他生产工序</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颗粒物</w:t>
                  </w:r>
                </w:p>
              </w:tc>
              <w:tc>
                <w:tcPr>
                  <w:tcW w:w="158"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sz w:val="21"/>
                      <w:szCs w:val="21"/>
                      <w:u w:val="none"/>
                      <w:lang w:val="en-US" w:eastAsia="zh-CN"/>
                      <w:highlight w:val="none"/>
                    </w:rPr>
                  </w:pPr>
                  <w:r>
                    <w:rPr>
                      <w:rFonts w:hint="eastAsia"/>
                      <w:b w:val="0"/>
                      <w:bCs w:val="0"/>
                      <w:color w:val="auto"/>
                      <w:sz w:val="21"/>
                      <w:szCs w:val="21"/>
                      <w:u w:val="none"/>
                      <w:lang w:val="en-US" w:eastAsia="zh-CN"/>
                      <w:highlight w:val="none"/>
                    </w:rPr>
                    <w:t>/</w:t>
                  </w:r>
                </w:p>
              </w:tc>
              <w:tc>
                <w:tcPr>
                  <w:tcW w:w="241"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无组织</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车间封闭</w:t>
                  </w:r>
                </w:p>
              </w:tc>
              <w:tc>
                <w:tcPr>
                  <w:tcW w:w="179" w:type="pct"/>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99"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9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7"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240"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b w:val="0"/>
                      <w:bCs w:val="0"/>
                      <w:color w:val="auto"/>
                      <w:sz w:val="21"/>
                      <w:szCs w:val="21"/>
                      <w:u w:val="none"/>
                      <w:lang w:val="en-US" w:eastAsia="zh-CN"/>
                      <w:highlight w:val="none"/>
                    </w:rPr>
                  </w:pPr>
                  <w:r>
                    <w:rPr>
                      <w:rFonts w:hint="eastAsia"/>
                      <w:b w:val="0"/>
                      <w:bCs w:val="0"/>
                      <w:color w:val="auto"/>
                      <w:kern w:val="0"/>
                      <w:sz w:val="21"/>
                      <w:szCs w:val="21"/>
                      <w:u w:val="none"/>
                      <w:lang w:val="en-US" w:eastAsia="zh-CN"/>
                    </w:rPr>
                    <w:t>/</w:t>
                  </w:r>
                </w:p>
              </w:tc>
              <w:tc>
                <w:tcPr>
                  <w:tcW w:w="24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0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5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66"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0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4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38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311" w:type="pct"/>
                  <w:tcBorders>
                    <w:top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1</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r>
              <w:trPr>
                <w:trHeight w:val="90"/>
                <w:tblHeader/>
              </w:trPr>
              <w:tc>
                <w:tcPr>
                  <w:tcW w:w="153" w:type="pct"/>
                  <w:vMerge/>
                  <w:vAlign w:val="center"/>
                </w:tcPr>
                <w:p/>
              </w:tc>
              <w:tc>
                <w:tcPr>
                  <w:tcW w:w="154" w:type="pct"/>
                  <w:vMerge/>
                  <w:vAlign w:val="center"/>
                </w:tcP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非甲烷总烃</w:t>
                  </w:r>
                </w:p>
              </w:tc>
              <w:tc>
                <w:tcPr>
                  <w:tcW w:w="158"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sz w:val="21"/>
                      <w:szCs w:val="21"/>
                      <w:u w:val="none"/>
                      <w:lang w:val="en-US" w:eastAsia="zh-CN"/>
                      <w:highlight w:val="none"/>
                    </w:rPr>
                  </w:pPr>
                  <w:r>
                    <w:rPr>
                      <w:rFonts w:hint="eastAsia"/>
                      <w:b w:val="0"/>
                      <w:bCs w:val="0"/>
                      <w:color w:val="auto"/>
                      <w:sz w:val="21"/>
                      <w:szCs w:val="21"/>
                      <w:u w:val="none"/>
                      <w:lang w:val="en-US" w:eastAsia="zh-CN"/>
                      <w:highlight w:val="none"/>
                    </w:rPr>
                    <w:t>/</w:t>
                  </w:r>
                </w:p>
              </w:tc>
              <w:tc>
                <w:tcPr>
                  <w:tcW w:w="241" w:type="pct"/>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3"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无组织</w:t>
                  </w:r>
                </w:p>
              </w:tc>
              <w:tc>
                <w:tcPr>
                  <w:tcW w:w="208"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车间封闭</w:t>
                  </w:r>
                </w:p>
              </w:tc>
              <w:tc>
                <w:tcPr>
                  <w:tcW w:w="17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5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4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eastAsia"/>
                      <w:b w:val="0"/>
                      <w:bCs w:val="0"/>
                      <w:color w:val="auto"/>
                      <w:kern w:val="0"/>
                      <w:sz w:val="21"/>
                      <w:szCs w:val="21"/>
                      <w:u w:val="none"/>
                      <w:lang w:val="en-US" w:eastAsia="zh-CN"/>
                    </w:rPr>
                  </w:pPr>
                  <w:r>
                    <w:rPr>
                      <w:rFonts w:hint="eastAsia"/>
                      <w:b w:val="0"/>
                      <w:bCs w:val="0"/>
                      <w:color w:val="auto"/>
                      <w:sz w:val="21"/>
                      <w:szCs w:val="21"/>
                      <w:u w:val="none"/>
                      <w:lang w:val="en-US" w:eastAsia="zh-CN"/>
                      <w:highlight w:val="none"/>
                    </w:rPr>
                    <w:t>/</w:t>
                  </w:r>
                </w:p>
              </w:tc>
              <w:tc>
                <w:tcPr>
                  <w:tcW w:w="24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20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5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66"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19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08"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24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38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311" w:type="pct"/>
                  <w:tcBorders>
                    <w:top w:val="single" w:sz="4" w:space="0" w:color="000000"/>
                    <w:bottom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4</w:t>
                  </w:r>
                </w:p>
              </w:tc>
              <w:tc>
                <w:tcPr>
                  <w:tcW w:w="303" w:type="pc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r>
              <w:trPr>
                <w:trHeight w:val="90"/>
                <w:tblHeader/>
              </w:trPr>
              <w:tc>
                <w:tcPr>
                  <w:tcW w:w="307" w:type="pct"/>
                  <w:gridSpan w:val="2"/>
                  <w:vMerge w:val="restart"/>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合计t/a</w:t>
                  </w:r>
                </w:p>
              </w:tc>
              <w:tc>
                <w:tcPr>
                  <w:tcW w:w="15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颗粒物</w:t>
                  </w:r>
                </w:p>
              </w:tc>
              <w:tc>
                <w:tcPr>
                  <w:tcW w:w="775" w:type="pct"/>
                  <w:vAlign w:val="center"/>
                </w:tcPr>
                <w:p>
                  <w:pPr>
                    <w:keepNext w:val="0"/>
                    <w:keepLines w:val="0"/>
                    <w:pageBreakBefore w:val="0"/>
                    <w:widowControl/>
                    <w:suppressLineNumbers w:val="0"/>
                    <w:kinsoku/>
                    <w:overflowPunct/>
                    <w:bidi w:val="0"/>
                    <w:jc w:val="center"/>
                    <w:textAlignment w:val="center"/>
                    <w:rPr>
                      <w:rFonts w:hint="eastAsia"/>
                      <w:b w:val="0"/>
                      <w:bCs w:val="0"/>
                      <w:color w:val="auto"/>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rPr>
                    <w:t>0.334</w:t>
                  </w:r>
                </w:p>
              </w:tc>
              <w:tc>
                <w:tcPr>
                  <w:tcW w:w="1182"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5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sz w:val="21"/>
                      <w:szCs w:val="21"/>
                      <w:u w:val="none"/>
                      <w:lang w:val="en-US" w:eastAsia="zh-CN"/>
                      <w:highlight w:val="none"/>
                    </w:rPr>
                  </w:pPr>
                  <w:r>
                    <w:rPr>
                      <w:rFonts w:hint="eastAsia"/>
                      <w:b w:val="0"/>
                      <w:bCs w:val="0"/>
                      <w:color w:val="auto"/>
                      <w:sz w:val="21"/>
                      <w:szCs w:val="21"/>
                      <w:u w:val="none"/>
                      <w:lang w:val="en-US" w:eastAsia="zh-CN"/>
                      <w:highlight w:val="none"/>
                    </w:rPr>
                    <w:t>0.065</w:t>
                  </w:r>
                </w:p>
              </w:tc>
              <w:tc>
                <w:tcPr>
                  <w:tcW w:w="118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02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75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1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25" w:type="pct"/>
                  <w:tcBorders>
                    <w:top w:val="single" w:sz="4" w:space="0" w:color="000000"/>
                    <w:bottom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4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r>
              <w:trPr>
                <w:trHeight w:val="90"/>
                <w:tblHeader/>
              </w:trPr>
              <w:tc>
                <w:tcPr>
                  <w:tcW w:w="307" w:type="pct"/>
                  <w:gridSpan w:val="2"/>
                  <w:vMerge/>
                  <w:vAlign w:val="center"/>
                </w:tcPr>
                <w:p/>
              </w:tc>
              <w:tc>
                <w:tcPr>
                  <w:tcW w:w="15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rPr>
                    <w:t>非甲烷总烃</w:t>
                  </w:r>
                </w:p>
              </w:tc>
              <w:tc>
                <w:tcPr>
                  <w:tcW w:w="775" w:type="pct"/>
                  <w:vAlign w:val="center"/>
                </w:tcPr>
                <w:p>
                  <w:pPr>
                    <w:keepNext w:val="0"/>
                    <w:keepLines w:val="0"/>
                    <w:pageBreakBefore w:val="0"/>
                    <w:widowControl/>
                    <w:suppressLineNumbers w:val="0"/>
                    <w:kinsoku/>
                    <w:overflowPunct/>
                    <w:bidi w:val="0"/>
                    <w:jc w:val="center"/>
                    <w:textAlignment w:val="center"/>
                    <w:rPr>
                      <w:rFonts w:hint="eastAsia"/>
                      <w:b w:val="0"/>
                      <w:bCs w:val="0"/>
                      <w:color w:val="auto"/>
                      <w:sz w:val="21"/>
                      <w:szCs w:val="21"/>
                      <w:u w:val="none"/>
                      <w:lang w:val="en-US" w:eastAsia="zh-CN"/>
                      <w:highlight w:val="none"/>
                    </w:rPr>
                  </w:pPr>
                  <w:r>
                    <w:rPr>
                      <w:rFonts w:ascii="Times New Roman" w:eastAsia="宋体" w:cs="Times New Roman" w:hAnsi="Times New Roman"/>
                      <w:i w:val="0"/>
                      <w:iCs w:val="0"/>
                      <w:color w:val="000000"/>
                      <w:kern w:val="0"/>
                      <w:sz w:val="21"/>
                      <w:szCs w:val="21"/>
                      <w:u w:val="none"/>
                      <w:lang w:val="en-US" w:eastAsia="zh-CN"/>
                    </w:rPr>
                    <w:t>1</w:t>
                  </w:r>
                </w:p>
              </w:tc>
              <w:tc>
                <w:tcPr>
                  <w:tcW w:w="1182"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5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b w:val="0"/>
                      <w:bCs w:val="0"/>
                      <w:color w:val="auto"/>
                      <w:sz w:val="21"/>
                      <w:szCs w:val="21"/>
                      <w:u w:val="none"/>
                      <w:lang w:val="en-US" w:eastAsia="zh-CN"/>
                      <w:highlight w:val="none"/>
                    </w:rPr>
                  </w:pPr>
                  <w:r>
                    <w:rPr>
                      <w:rFonts w:hint="eastAsia"/>
                      <w:b w:val="0"/>
                      <w:bCs w:val="0"/>
                      <w:color w:val="auto"/>
                      <w:sz w:val="21"/>
                      <w:szCs w:val="21"/>
                      <w:u w:val="none"/>
                      <w:lang w:val="en-US" w:eastAsia="zh-CN"/>
                      <w:highlight w:val="none"/>
                    </w:rPr>
                    <w:t>0.0036</w:t>
                  </w:r>
                </w:p>
              </w:tc>
              <w:tc>
                <w:tcPr>
                  <w:tcW w:w="118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02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75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1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25" w:type="pct"/>
                  <w:tcBorders>
                    <w:top w:val="single" w:sz="4" w:space="0" w:color="000000"/>
                    <w:bottom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4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r>
              <w:trPr>
                <w:trHeight w:val="90"/>
                <w:tblHeader/>
              </w:trPr>
              <w:tc>
                <w:tcPr>
                  <w:tcW w:w="307" w:type="pct"/>
                  <w:gridSpan w:val="2"/>
                  <w:vMerge/>
                  <w:vAlign w:val="center"/>
                </w:tcPr>
                <w:p/>
              </w:tc>
              <w:tc>
                <w:tcPr>
                  <w:tcW w:w="153"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hint="eastAsia"/>
                      <w:sz w:val="21"/>
                      <w:szCs w:val="21"/>
                    </w:rPr>
                    <w:t>NH</w:t>
                  </w:r>
                  <w:r>
                    <w:rPr>
                      <w:rFonts w:hint="eastAsia"/>
                      <w:sz w:val="21"/>
                      <w:szCs w:val="21"/>
                      <w:vertAlign w:val="subscript"/>
                    </w:rPr>
                    <w:t>3</w:t>
                  </w:r>
                </w:p>
              </w:tc>
              <w:tc>
                <w:tcPr>
                  <w:tcW w:w="158"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0.00004</w:t>
                  </w:r>
                </w:p>
              </w:tc>
              <w:tc>
                <w:tcPr>
                  <w:tcW w:w="1182"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5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0.00004</w:t>
                  </w:r>
                </w:p>
              </w:tc>
              <w:tc>
                <w:tcPr>
                  <w:tcW w:w="118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02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75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1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25" w:type="pct"/>
                  <w:tcBorders>
                    <w:top w:val="single" w:sz="4" w:space="0" w:color="000000"/>
                    <w:bottom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4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r>
              <w:trPr>
                <w:trHeight w:val="90"/>
                <w:tblHeader/>
              </w:trPr>
              <w:tc>
                <w:tcPr>
                  <w:tcW w:w="307" w:type="pct"/>
                  <w:gridSpan w:val="2"/>
                  <w:vMerge/>
                  <w:vAlign w:val="center"/>
                </w:tcPr>
                <w:p/>
              </w:tc>
              <w:tc>
                <w:tcPr>
                  <w:tcW w:w="153"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hint="eastAsia"/>
                      <w:sz w:val="21"/>
                      <w:szCs w:val="21"/>
                    </w:rPr>
                    <w:t>H</w:t>
                  </w:r>
                  <w:r>
                    <w:rPr>
                      <w:rFonts w:hint="eastAsia"/>
                      <w:sz w:val="21"/>
                      <w:szCs w:val="21"/>
                      <w:vertAlign w:val="subscript"/>
                    </w:rPr>
                    <w:t>2</w:t>
                  </w:r>
                  <w:r>
                    <w:rPr>
                      <w:rFonts w:hint="eastAsia"/>
                      <w:sz w:val="21"/>
                      <w:szCs w:val="21"/>
                    </w:rPr>
                    <w:t>S</w:t>
                  </w:r>
                </w:p>
              </w:tc>
              <w:tc>
                <w:tcPr>
                  <w:tcW w:w="158"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0.000002</w:t>
                  </w:r>
                </w:p>
              </w:tc>
              <w:tc>
                <w:tcPr>
                  <w:tcW w:w="1182"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5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77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87" w:type="pct"/>
                  <w:shd w:val="clear" w:color="auto" w:fill="auto"/>
                  <w:vAlign w:val="center"/>
                </w:tcPr>
                <w:p>
                  <w:pPr>
                    <w:pStyle w:val="57"/>
                    <w:keepNext w:val="0"/>
                    <w:keepLines w:val="0"/>
                    <w:pageBreakBefore w:val="0"/>
                    <w:kinsoku/>
                    <w:wordWrap/>
                    <w:overflowPunct/>
                    <w:topLinePunct w:val="0"/>
                    <w:autoSpaceDE/>
                    <w:autoSpaceDN/>
                    <w:bidi w:val="0"/>
                    <w:adjustRightInd/>
                    <w:spacing w:line="240" w:lineRule="auto"/>
                    <w:ind w:left="0" w:firstLine="0"/>
                    <w:jc w:val="center"/>
                    <w:rPr>
                      <w:rFonts w:ascii="Times New Roman" w:eastAsia="宋体" w:cs="Times New Roman" w:hAnsi="Times New Roman" w:hint="eastAsia"/>
                      <w:color w:val="auto"/>
                      <w:kern w:val="2"/>
                      <w:sz w:val="21"/>
                      <w:szCs w:val="21"/>
                      <w:u w:val="none"/>
                      <w:lang w:val="en-US" w:eastAsia="zh-CN" w:bidi="ar-SA"/>
                    </w:rPr>
                  </w:pPr>
                  <w:r>
                    <w:rPr>
                      <w:rFonts w:ascii="Times New Roman" w:eastAsia="宋体" w:cs="Times New Roman" w:hAnsi="Times New Roman" w:hint="eastAsia"/>
                      <w:color w:val="auto"/>
                      <w:sz w:val="21"/>
                      <w:szCs w:val="21"/>
                      <w:u w:val="none"/>
                      <w:lang w:val="en-US" w:eastAsia="zh-CN"/>
                    </w:rPr>
                    <w:t>0.000002</w:t>
                  </w:r>
                </w:p>
              </w:tc>
              <w:tc>
                <w:tcPr>
                  <w:tcW w:w="1182"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02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75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815"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9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020"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17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1525" w:type="pct"/>
                  <w:tcBorders>
                    <w:top w:val="single" w:sz="4" w:space="0" w:color="000000"/>
                  </w:tcBorders>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bidi="ar-SA"/>
                    </w:rPr>
                    <w:t>/</w:t>
                  </w:r>
                </w:p>
              </w:tc>
              <w:tc>
                <w:tcPr>
                  <w:tcW w:w="1487" w:type="pct"/>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r>
          </w:tbl>
          <w:p>
            <w:pPr>
              <w:pStyle w:val="15"/>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rFonts w:ascii="Times New Roman" w:eastAsia="宋体" w:cs="Times New Roman" w:hAnsi="Times New Roman"/>
                <w:color w:val="auto"/>
                <w:sz w:val="24"/>
                <w:szCs w:val="24"/>
              </w:rPr>
            </w:pPr>
            <w:r>
              <w:rPr>
                <w:rFonts w:ascii="Times New Roman" w:eastAsia="宋体" w:cs="Times New Roman" w:hAnsi="Times New Roman"/>
                <w:color w:val="auto"/>
                <w:sz w:val="24"/>
                <w:szCs w:val="24"/>
                <w:lang w:eastAsia="zh-CN"/>
              </w:rPr>
              <w:t>（</w:t>
            </w:r>
            <w:r>
              <w:rPr>
                <w:rFonts w:ascii="Times New Roman" w:cs="Times New Roman" w:hAnsi="Times New Roman" w:hint="eastAsia"/>
                <w:color w:val="auto"/>
                <w:sz w:val="24"/>
                <w:szCs w:val="24"/>
                <w:lang w:val="en-US" w:eastAsia="zh-CN"/>
              </w:rPr>
              <w:t>8</w:t>
            </w:r>
            <w:r>
              <w:rPr>
                <w:rFonts w:ascii="Times New Roman" w:eastAsia="宋体" w:cs="Times New Roman" w:hAnsi="Times New Roman"/>
                <w:color w:val="auto"/>
                <w:sz w:val="24"/>
                <w:szCs w:val="24"/>
                <w:lang w:eastAsia="zh-CN"/>
              </w:rPr>
              <w:t>）</w:t>
            </w:r>
            <w:r>
              <w:rPr>
                <w:rFonts w:ascii="Times New Roman" w:eastAsia="宋体" w:cs="Times New Roman" w:hAnsi="Times New Roman"/>
                <w:color w:val="auto"/>
                <w:sz w:val="24"/>
                <w:szCs w:val="24"/>
              </w:rPr>
              <w:t>非正常排放量核算</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cs="Times New Roman" w:hAnsi="Times New Roman"/>
                <w:bCs/>
                <w:color w:val="auto"/>
                <w:sz w:val="24"/>
              </w:rPr>
            </w:pPr>
            <w:r>
              <w:rPr>
                <w:rFonts w:ascii="Times New Roman" w:cs="Times New Roman" w:hAnsi="Times New Roman"/>
                <w:bCs/>
                <w:color w:val="auto"/>
                <w:sz w:val="24"/>
              </w:rPr>
              <w:t>本项目大气污染物非正常排放量主要针对废气处理设施不能正常运行时（非正常排放）粉尘的排放量</w:t>
            </w:r>
            <w:r>
              <w:rPr>
                <w:rFonts w:ascii="Times New Roman" w:cs="Times New Roman" w:hAnsi="Times New Roman"/>
                <w:bCs/>
                <w:color w:val="auto"/>
                <w:sz w:val="24"/>
                <w:lang w:eastAsia="zh-CN"/>
              </w:rPr>
              <w:t>，主要考虑厂区喷</w:t>
            </w:r>
            <w:r>
              <w:rPr>
                <w:rFonts w:cs="Times New Roman" w:hint="eastAsia"/>
                <w:bCs/>
                <w:color w:val="auto"/>
                <w:sz w:val="24"/>
                <w:lang w:eastAsia="zh-CN"/>
              </w:rPr>
              <w:t>淋</w:t>
            </w:r>
            <w:r>
              <w:rPr>
                <w:rFonts w:ascii="Times New Roman" w:cs="Times New Roman" w:hAnsi="Times New Roman"/>
                <w:bCs/>
                <w:color w:val="auto"/>
                <w:sz w:val="24"/>
                <w:lang w:eastAsia="zh-CN"/>
              </w:rPr>
              <w:t>设施故障</w:t>
            </w:r>
            <w:r>
              <w:rPr>
                <w:rFonts w:ascii="Times New Roman" w:cs="Times New Roman" w:hAnsi="Times New Roman"/>
                <w:bCs/>
                <w:color w:val="auto"/>
                <w:sz w:val="24"/>
              </w:rPr>
              <w:t>，具体见下表。</w:t>
            </w:r>
          </w:p>
          <w:p>
            <w:pPr>
              <w:pageBreakBefore w:val="0"/>
              <w:widowControl w:val="0"/>
              <w:kinsoku/>
              <w:overflowPunct/>
              <w:bidi w:val="0"/>
              <w:adjustRightInd w:val="0"/>
              <w:snapToGrid w:val="0"/>
              <w:spacing w:line="360" w:lineRule="auto"/>
              <w:jc w:val="center"/>
              <w:rPr>
                <w:rFonts w:ascii="Times New Roman" w:cs="Times New Roman" w:hAnsi="Times New Roman"/>
                <w:b/>
                <w:bCs/>
                <w:color w:val="auto"/>
                <w:szCs w:val="21"/>
              </w:rPr>
            </w:pPr>
            <w:r>
              <w:rPr>
                <w:rFonts w:ascii="Times New Roman" w:cs="Times New Roman" w:hAnsi="Times New Roman"/>
                <w:b/>
                <w:bCs/>
                <w:color w:val="auto"/>
                <w:szCs w:val="21"/>
              </w:rPr>
              <w:t>表</w:t>
            </w:r>
            <w:r>
              <w:rPr>
                <w:rFonts w:ascii="Times New Roman" w:cs="Times New Roman" w:hAnsi="Times New Roman"/>
                <w:b/>
                <w:bCs/>
                <w:color w:val="auto"/>
                <w:szCs w:val="21"/>
                <w:lang w:val="en-US" w:eastAsia="zh-CN"/>
              </w:rPr>
              <w:t>4-</w:t>
            </w:r>
            <w:r>
              <w:rPr>
                <w:rFonts w:cs="Times New Roman" w:hint="eastAsia"/>
                <w:b/>
                <w:bCs/>
                <w:color w:val="auto"/>
                <w:szCs w:val="21"/>
                <w:lang w:val="en-US" w:eastAsia="zh-CN"/>
              </w:rPr>
              <w:t>3</w:t>
            </w:r>
            <w:r>
              <w:rPr>
                <w:rFonts w:ascii="Times New Roman" w:cs="Times New Roman" w:hAnsi="Times New Roman"/>
                <w:b/>
                <w:bCs/>
                <w:color w:val="auto"/>
                <w:szCs w:val="21"/>
              </w:rPr>
              <w:t xml:space="preserve">  污染源非正常排放量核算</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740"/>
              <w:gridCol w:w="1740"/>
              <w:gridCol w:w="1740"/>
              <w:gridCol w:w="1743"/>
              <w:gridCol w:w="1743"/>
              <w:gridCol w:w="1853"/>
              <w:gridCol w:w="1743"/>
              <w:gridCol w:w="1743"/>
            </w:tblGrid>
            <w:tr>
              <w:trPr>
                <w:trHeight w:val="454"/>
              </w:trPr>
              <w:tc>
                <w:tcPr>
                  <w:tcW w:w="619" w:type="pct"/>
                  <w:vAlign w:val="center"/>
                </w:tcPr>
                <w:p>
                  <w:pPr>
                    <w:pageBreakBefore w:val="0"/>
                    <w:widowControl w:val="0"/>
                    <w:kinsoku/>
                    <w:overflowPunct/>
                    <w:bidi w:val="0"/>
                    <w:jc w:val="center"/>
                    <w:rPr>
                      <w:b/>
                      <w:bCs/>
                    </w:rPr>
                  </w:pPr>
                  <w:r>
                    <w:rPr>
                      <w:b/>
                      <w:bCs/>
                    </w:rPr>
                    <w:t>序号</w:t>
                  </w:r>
                </w:p>
              </w:tc>
              <w:tc>
                <w:tcPr>
                  <w:tcW w:w="619" w:type="pct"/>
                  <w:vAlign w:val="center"/>
                </w:tcPr>
                <w:p>
                  <w:pPr>
                    <w:pageBreakBefore w:val="0"/>
                    <w:widowControl w:val="0"/>
                    <w:kinsoku/>
                    <w:overflowPunct/>
                    <w:bidi w:val="0"/>
                    <w:jc w:val="center"/>
                    <w:rPr>
                      <w:b/>
                      <w:bCs/>
                    </w:rPr>
                  </w:pPr>
                  <w:r>
                    <w:rPr>
                      <w:b/>
                      <w:bCs/>
                    </w:rPr>
                    <w:t>非正常排放原因</w:t>
                  </w:r>
                </w:p>
              </w:tc>
              <w:tc>
                <w:tcPr>
                  <w:tcW w:w="619" w:type="pct"/>
                  <w:vAlign w:val="center"/>
                </w:tcPr>
                <w:p>
                  <w:pPr>
                    <w:pageBreakBefore w:val="0"/>
                    <w:widowControl w:val="0"/>
                    <w:kinsoku/>
                    <w:overflowPunct/>
                    <w:bidi w:val="0"/>
                    <w:jc w:val="center"/>
                    <w:rPr>
                      <w:b/>
                      <w:bCs/>
                    </w:rPr>
                  </w:pPr>
                  <w:r>
                    <w:rPr>
                      <w:b/>
                      <w:bCs/>
                    </w:rPr>
                    <w:t>污染物</w:t>
                  </w:r>
                </w:p>
              </w:tc>
              <w:tc>
                <w:tcPr>
                  <w:tcW w:w="620" w:type="pct"/>
                  <w:vAlign w:val="center"/>
                </w:tcPr>
                <w:p>
                  <w:pPr>
                    <w:pageBreakBefore w:val="0"/>
                    <w:widowControl w:val="0"/>
                    <w:kinsoku/>
                    <w:overflowPunct/>
                    <w:bidi w:val="0"/>
                    <w:jc w:val="center"/>
                    <w:rPr>
                      <w:b/>
                      <w:bCs/>
                      <w:lang w:val="en-US"/>
                    </w:rPr>
                  </w:pPr>
                  <w:r>
                    <w:rPr>
                      <w:b/>
                      <w:bCs/>
                      <w:lang w:eastAsia="zh-CN"/>
                    </w:rPr>
                    <w:t>持续时间</w:t>
                  </w:r>
                  <w:r>
                    <w:rPr>
                      <w:rFonts w:hint="eastAsia"/>
                      <w:b/>
                      <w:bCs/>
                      <w:lang w:val="en-US" w:eastAsia="zh-CN"/>
                    </w:rPr>
                    <w:t>h</w:t>
                  </w:r>
                </w:p>
              </w:tc>
              <w:tc>
                <w:tcPr>
                  <w:tcW w:w="620" w:type="pct"/>
                  <w:shd w:val="clear" w:color="auto" w:fill="auto"/>
                  <w:vAlign w:val="center"/>
                </w:tcPr>
                <w:p>
                  <w:pPr>
                    <w:pageBreakBefore w:val="0"/>
                    <w:widowControl w:val="0"/>
                    <w:kinsoku/>
                    <w:overflowPunct/>
                    <w:bidi w:val="0"/>
                    <w:jc w:val="center"/>
                    <w:rPr>
                      <w:b/>
                      <w:bCs/>
                      <w:lang w:val="en-US" w:eastAsia="zh-CN"/>
                    </w:rPr>
                  </w:pPr>
                  <w:r>
                    <w:rPr>
                      <w:b/>
                      <w:bCs/>
                    </w:rPr>
                    <w:t>非正常排放速率（kg）</w:t>
                  </w:r>
                </w:p>
              </w:tc>
              <w:tc>
                <w:tcPr>
                  <w:tcW w:w="659" w:type="pct"/>
                  <w:shd w:val="clear" w:color="auto" w:fill="auto"/>
                  <w:vAlign w:val="center"/>
                </w:tcPr>
                <w:p>
                  <w:pPr>
                    <w:pageBreakBefore w:val="0"/>
                    <w:widowControl w:val="0"/>
                    <w:kinsoku/>
                    <w:overflowPunct/>
                    <w:bidi w:val="0"/>
                    <w:jc w:val="center"/>
                    <w:rPr>
                      <w:b/>
                      <w:bCs/>
                      <w:lang w:val="en-US" w:eastAsia="zh-CN"/>
                    </w:rPr>
                  </w:pPr>
                  <w:r>
                    <w:rPr>
                      <w:rFonts w:hint="eastAsia"/>
                      <w:b/>
                      <w:bCs/>
                      <w:lang w:val="en-US" w:eastAsia="zh-CN"/>
                    </w:rPr>
                    <w:t>排放浓度（mg/m³）</w:t>
                  </w:r>
                </w:p>
              </w:tc>
              <w:tc>
                <w:tcPr>
                  <w:tcW w:w="620" w:type="pct"/>
                  <w:vAlign w:val="center"/>
                </w:tcPr>
                <w:p>
                  <w:pPr>
                    <w:pageBreakBefore w:val="0"/>
                    <w:widowControl w:val="0"/>
                    <w:kinsoku/>
                    <w:overflowPunct/>
                    <w:bidi w:val="0"/>
                    <w:jc w:val="center"/>
                    <w:rPr>
                      <w:rFonts w:eastAsia="宋体"/>
                      <w:b/>
                      <w:bCs/>
                      <w:lang w:val="en-US" w:eastAsia="zh-CN"/>
                    </w:rPr>
                  </w:pPr>
                  <w:r>
                    <w:rPr>
                      <w:rFonts w:hint="eastAsia"/>
                      <w:b/>
                      <w:bCs/>
                      <w:lang w:val="en-US" w:eastAsia="zh-CN"/>
                    </w:rPr>
                    <w:t>发生频次</w:t>
                  </w:r>
                </w:p>
              </w:tc>
              <w:tc>
                <w:tcPr>
                  <w:tcW w:w="620" w:type="pct"/>
                  <w:vAlign w:val="center"/>
                </w:tcPr>
                <w:p>
                  <w:pPr>
                    <w:pageBreakBefore w:val="0"/>
                    <w:widowControl w:val="0"/>
                    <w:kinsoku/>
                    <w:overflowPunct/>
                    <w:bidi w:val="0"/>
                    <w:jc w:val="center"/>
                    <w:rPr>
                      <w:b/>
                      <w:bCs/>
                    </w:rPr>
                  </w:pPr>
                  <w:r>
                    <w:rPr>
                      <w:b/>
                      <w:bCs/>
                    </w:rPr>
                    <w:t>应对措施</w:t>
                  </w:r>
                </w:p>
              </w:tc>
            </w:tr>
            <w:tr>
              <w:trPr>
                <w:trHeight w:val="454"/>
              </w:trPr>
              <w:tc>
                <w:tcPr>
                  <w:tcW w:w="619" w:type="pct"/>
                  <w:vAlign w:val="center"/>
                </w:tcPr>
                <w:p>
                  <w:pPr>
                    <w:pageBreakBefore w:val="0"/>
                    <w:widowControl w:val="0"/>
                    <w:kinsoku/>
                    <w:overflowPunct/>
                    <w:bidi w:val="0"/>
                    <w:jc w:val="center"/>
                    <w:rPr>
                      <w:rFonts w:hint="eastAsia"/>
                      <w:lang w:val="en-US" w:eastAsia="zh-CN"/>
                    </w:rPr>
                  </w:pPr>
                  <w:r>
                    <w:rPr>
                      <w:rFonts w:hint="eastAsia"/>
                      <w:lang w:val="en-US" w:eastAsia="zh-CN"/>
                    </w:rPr>
                    <w:t>1</w:t>
                  </w:r>
                </w:p>
              </w:tc>
              <w:tc>
                <w:tcPr>
                  <w:tcW w:w="619" w:type="pct"/>
                  <w:vAlign w:val="center"/>
                </w:tcPr>
                <w:p>
                  <w:pPr>
                    <w:pageBreakBefore w:val="0"/>
                    <w:widowControl w:val="0"/>
                    <w:kinsoku/>
                    <w:overflowPunct/>
                    <w:bidi w:val="0"/>
                    <w:jc w:val="center"/>
                    <w:rPr>
                      <w:lang w:val="en-US" w:eastAsia="zh-CN"/>
                    </w:rPr>
                  </w:pPr>
                  <w:r>
                    <w:rPr>
                      <w:rFonts w:hint="eastAsia"/>
                      <w:lang w:val="en-US" w:eastAsia="zh-CN"/>
                    </w:rPr>
                    <w:t>环保设施故障</w:t>
                  </w:r>
                </w:p>
              </w:tc>
              <w:tc>
                <w:tcPr>
                  <w:tcW w:w="619" w:type="pct"/>
                  <w:vAlign w:val="center"/>
                </w:tcPr>
                <w:p>
                  <w:pPr>
                    <w:pageBreakBefore w:val="0"/>
                    <w:widowControl w:val="0"/>
                    <w:kinsoku/>
                    <w:overflowPunct/>
                    <w:bidi w:val="0"/>
                    <w:jc w:val="center"/>
                    <w:rPr>
                      <w:rFonts w:hint="eastAsia"/>
                      <w:lang w:val="en-US" w:eastAsia="zh-CN"/>
                    </w:rPr>
                  </w:pPr>
                  <w:r>
                    <w:rPr>
                      <w:rFonts w:hint="eastAsia"/>
                      <w:lang w:val="en-US" w:eastAsia="zh-CN"/>
                    </w:rPr>
                    <w:t>颗粒物</w:t>
                  </w:r>
                </w:p>
              </w:tc>
              <w:tc>
                <w:tcPr>
                  <w:tcW w:w="620" w:type="pct"/>
                  <w:vAlign w:val="center"/>
                </w:tcPr>
                <w:p>
                  <w:pPr>
                    <w:pageBreakBefore w:val="0"/>
                    <w:widowControl w:val="0"/>
                    <w:kinsoku/>
                    <w:overflowPunct/>
                    <w:bidi w:val="0"/>
                    <w:jc w:val="center"/>
                    <w:rPr>
                      <w:lang w:val="en-US" w:eastAsia="zh-CN"/>
                    </w:rPr>
                  </w:pPr>
                  <w:r>
                    <w:rPr>
                      <w:rFonts w:hint="eastAsia"/>
                      <w:lang w:val="en-US" w:eastAsia="zh-CN"/>
                    </w:rPr>
                    <w:t>0.5</w:t>
                  </w:r>
                </w:p>
              </w:tc>
              <w:tc>
                <w:tcPr>
                  <w:tcW w:w="620" w:type="pct"/>
                  <w:shd w:val="clear" w:color="auto" w:fill="auto"/>
                  <w:vAlign w:val="center"/>
                </w:tcPr>
                <w:p>
                  <w:pPr>
                    <w:pageBreakBefore w:val="0"/>
                    <w:widowControl w:val="0"/>
                    <w:kinsoku/>
                    <w:overflowPunct/>
                    <w:bidi w:val="0"/>
                    <w:jc w:val="center"/>
                    <w:rPr>
                      <w:rFonts w:hint="eastAsia"/>
                      <w:lang w:val="en-US" w:eastAsia="zh-CN"/>
                    </w:rPr>
                  </w:pPr>
                  <w:r>
                    <w:rPr>
                      <w:rFonts w:hint="eastAsia"/>
                      <w:lang w:val="en-US" w:eastAsia="zh-CN"/>
                    </w:rPr>
                    <w:t>0.209</w:t>
                  </w:r>
                </w:p>
              </w:tc>
              <w:tc>
                <w:tcPr>
                  <w:tcW w:w="659" w:type="pct"/>
                  <w:shd w:val="clear" w:color="auto" w:fill="auto"/>
                  <w:vAlign w:val="center"/>
                </w:tcPr>
                <w:p>
                  <w:pPr>
                    <w:pageBreakBefore w:val="0"/>
                    <w:widowControl w:val="0"/>
                    <w:kinsoku/>
                    <w:overflowPunct/>
                    <w:bidi w:val="0"/>
                    <w:jc w:val="center"/>
                    <w:rPr>
                      <w:lang w:val="en-US" w:eastAsia="zh-CN"/>
                    </w:rPr>
                  </w:pPr>
                  <w:r>
                    <w:rPr>
                      <w:rFonts w:hint="eastAsia"/>
                      <w:lang w:val="en-US" w:eastAsia="zh-CN"/>
                    </w:rPr>
                    <w:t>27.834</w:t>
                  </w:r>
                </w:p>
              </w:tc>
              <w:tc>
                <w:tcPr>
                  <w:tcW w:w="620" w:type="pct"/>
                  <w:vAlign w:val="center"/>
                </w:tcPr>
                <w:p>
                  <w:pPr>
                    <w:pageBreakBefore w:val="0"/>
                    <w:widowControl w:val="0"/>
                    <w:kinsoku/>
                    <w:overflowPunct/>
                    <w:bidi w:val="0"/>
                    <w:jc w:val="center"/>
                    <w:rPr>
                      <w:lang w:val="en-US" w:eastAsia="zh-CN"/>
                    </w:rPr>
                  </w:pPr>
                  <w:r>
                    <w:rPr>
                      <w:rFonts w:hint="eastAsia"/>
                      <w:lang w:val="en-US" w:eastAsia="zh-CN"/>
                    </w:rPr>
                    <w:t>根据企业管理情况变化</w:t>
                  </w:r>
                </w:p>
              </w:tc>
              <w:tc>
                <w:tcPr>
                  <w:tcW w:w="620" w:type="pct"/>
                  <w:vAlign w:val="center"/>
                </w:tcPr>
                <w:p>
                  <w:pPr>
                    <w:pageBreakBefore w:val="0"/>
                    <w:widowControl w:val="0"/>
                    <w:kinsoku/>
                    <w:overflowPunct/>
                    <w:bidi w:val="0"/>
                    <w:jc w:val="center"/>
                    <w:rPr>
                      <w:lang w:val="en-US" w:eastAsia="zh-CN"/>
                    </w:rPr>
                  </w:pPr>
                  <w:r>
                    <w:rPr>
                      <w:rFonts w:hint="eastAsia"/>
                      <w:lang w:val="en-US" w:eastAsia="zh-CN"/>
                    </w:rPr>
                    <w:t>停产修复</w:t>
                  </w:r>
                </w:p>
              </w:tc>
            </w:tr>
            <w:tr>
              <w:trPr>
                <w:trHeight w:val="454"/>
              </w:trPr>
              <w:tc>
                <w:tcPr>
                  <w:tcW w:w="619" w:type="pct"/>
                  <w:vAlign w:val="center"/>
                </w:tcPr>
                <w:p>
                  <w:pPr>
                    <w:pageBreakBefore w:val="0"/>
                    <w:widowControl w:val="0"/>
                    <w:kinsoku/>
                    <w:overflowPunct/>
                    <w:bidi w:val="0"/>
                    <w:jc w:val="center"/>
                    <w:rPr>
                      <w:rFonts w:hint="eastAsia"/>
                      <w:lang w:val="en-US" w:eastAsia="zh-CN"/>
                    </w:rPr>
                  </w:pPr>
                  <w:r>
                    <w:rPr>
                      <w:rFonts w:hint="eastAsia"/>
                      <w:lang w:val="en-US" w:eastAsia="zh-CN"/>
                    </w:rPr>
                    <w:t>2</w:t>
                  </w:r>
                </w:p>
              </w:tc>
              <w:tc>
                <w:tcPr>
                  <w:tcW w:w="619" w:type="pct"/>
                  <w:vAlign w:val="center"/>
                </w:tcPr>
                <w:p>
                  <w:pPr>
                    <w:pageBreakBefore w:val="0"/>
                    <w:widowControl w:val="0"/>
                    <w:kinsoku/>
                    <w:overflowPunct/>
                    <w:bidi w:val="0"/>
                    <w:jc w:val="center"/>
                    <w:rPr>
                      <w:lang w:val="en-US" w:eastAsia="zh-CN"/>
                    </w:rPr>
                  </w:pPr>
                  <w:r>
                    <w:rPr>
                      <w:rFonts w:hint="eastAsia"/>
                      <w:lang w:val="en-US" w:eastAsia="zh-CN"/>
                    </w:rPr>
                    <w:t>环保设施故障</w:t>
                  </w:r>
                </w:p>
              </w:tc>
              <w:tc>
                <w:tcPr>
                  <w:tcW w:w="619" w:type="pct"/>
                  <w:vAlign w:val="center"/>
                </w:tcPr>
                <w:p>
                  <w:pPr>
                    <w:pageBreakBefore w:val="0"/>
                    <w:widowControl w:val="0"/>
                    <w:kinsoku/>
                    <w:overflowPunct/>
                    <w:bidi w:val="0"/>
                    <w:jc w:val="center"/>
                    <w:rPr>
                      <w:lang w:val="en-US" w:eastAsia="zh-CN"/>
                    </w:rPr>
                  </w:pPr>
                  <w:r>
                    <w:rPr>
                      <w:rFonts w:hint="eastAsia"/>
                      <w:lang w:val="en-US" w:eastAsia="zh-CN"/>
                    </w:rPr>
                    <w:t>非甲烷总烃</w:t>
                  </w:r>
                </w:p>
              </w:tc>
              <w:tc>
                <w:tcPr>
                  <w:tcW w:w="620" w:type="pct"/>
                  <w:vAlign w:val="center"/>
                </w:tcPr>
                <w:p>
                  <w:pPr>
                    <w:pageBreakBefore w:val="0"/>
                    <w:widowControl w:val="0"/>
                    <w:kinsoku/>
                    <w:overflowPunct/>
                    <w:bidi w:val="0"/>
                    <w:jc w:val="center"/>
                    <w:rPr>
                      <w:lang w:val="en-US" w:eastAsia="zh-CN"/>
                    </w:rPr>
                  </w:pPr>
                  <w:r>
                    <w:rPr>
                      <w:rFonts w:hint="eastAsia"/>
                      <w:lang w:val="en-US" w:eastAsia="zh-CN"/>
                    </w:rPr>
                    <w:t>0.5</w:t>
                  </w:r>
                </w:p>
              </w:tc>
              <w:tc>
                <w:tcPr>
                  <w:tcW w:w="620" w:type="pct"/>
                  <w:shd w:val="clear" w:color="auto" w:fill="auto"/>
                  <w:vAlign w:val="center"/>
                </w:tcPr>
                <w:p>
                  <w:pPr>
                    <w:pageBreakBefore w:val="0"/>
                    <w:widowControl w:val="0"/>
                    <w:kinsoku/>
                    <w:overflowPunct/>
                    <w:bidi w:val="0"/>
                    <w:jc w:val="center"/>
                    <w:rPr>
                      <w:lang w:val="en-US" w:eastAsia="zh-CN"/>
                    </w:rPr>
                  </w:pPr>
                  <w:r>
                    <w:rPr>
                      <w:rFonts w:hint="eastAsia"/>
                      <w:lang w:val="en-US" w:eastAsia="zh-CN"/>
                    </w:rPr>
                    <w:t>0.625</w:t>
                  </w:r>
                </w:p>
              </w:tc>
              <w:tc>
                <w:tcPr>
                  <w:tcW w:w="659" w:type="pct"/>
                  <w:shd w:val="clear" w:color="auto" w:fill="auto"/>
                  <w:vAlign w:val="center"/>
                </w:tcPr>
                <w:p>
                  <w:pPr>
                    <w:pageBreakBefore w:val="0"/>
                    <w:widowControl w:val="0"/>
                    <w:kinsoku/>
                    <w:overflowPunct/>
                    <w:bidi w:val="0"/>
                    <w:jc w:val="center"/>
                    <w:rPr>
                      <w:lang w:val="en-US" w:eastAsia="zh-CN"/>
                    </w:rPr>
                  </w:pPr>
                  <w:r>
                    <w:rPr>
                      <w:rFonts w:hint="eastAsia"/>
                      <w:lang w:val="en-US" w:eastAsia="zh-CN"/>
                    </w:rPr>
                    <w:t>83.334</w:t>
                  </w:r>
                </w:p>
              </w:tc>
              <w:tc>
                <w:tcPr>
                  <w:tcW w:w="620" w:type="pct"/>
                  <w:vAlign w:val="center"/>
                </w:tcPr>
                <w:p>
                  <w:pPr>
                    <w:pageBreakBefore w:val="0"/>
                    <w:widowControl w:val="0"/>
                    <w:kinsoku/>
                    <w:overflowPunct/>
                    <w:bidi w:val="0"/>
                    <w:jc w:val="center"/>
                    <w:rPr>
                      <w:rFonts w:hint="eastAsia"/>
                      <w:lang w:val="en-US" w:eastAsia="zh-CN"/>
                    </w:rPr>
                  </w:pPr>
                  <w:r>
                    <w:rPr>
                      <w:rFonts w:hint="eastAsia"/>
                      <w:lang w:val="en-US" w:eastAsia="zh-CN"/>
                    </w:rPr>
                    <w:t>根据企业管理情况变化</w:t>
                  </w:r>
                </w:p>
              </w:tc>
              <w:tc>
                <w:tcPr>
                  <w:tcW w:w="620" w:type="pct"/>
                  <w:vAlign w:val="center"/>
                </w:tcPr>
                <w:p>
                  <w:pPr>
                    <w:pageBreakBefore w:val="0"/>
                    <w:widowControl w:val="0"/>
                    <w:kinsoku/>
                    <w:overflowPunct/>
                    <w:bidi w:val="0"/>
                    <w:jc w:val="center"/>
                    <w:rPr>
                      <w:lang w:val="en-US" w:eastAsia="zh-CN"/>
                    </w:rPr>
                  </w:pPr>
                  <w:r>
                    <w:rPr>
                      <w:rFonts w:hint="eastAsia"/>
                      <w:lang w:val="en-US" w:eastAsia="zh-CN"/>
                    </w:rPr>
                    <w:t>停产修复</w:t>
                  </w:r>
                </w:p>
              </w:tc>
            </w:tr>
          </w:tbl>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textAlignment w:val="auto"/>
              <w:rPr>
                <w:color w:val="auto"/>
                <w:sz w:val="24"/>
                <w:lang w:val="en-US" w:eastAsia="zh-CN"/>
              </w:rPr>
            </w:pPr>
            <w:r>
              <w:rPr>
                <w:rFonts w:ascii="Times New Roman" w:cs="Times New Roman" w:hAnsi="Times New Roman"/>
                <w:bCs/>
                <w:color w:val="auto"/>
                <w:sz w:val="24"/>
                <w:lang w:eastAsia="zh-CN"/>
              </w:rPr>
              <w:t>（</w:t>
            </w:r>
            <w:r>
              <w:rPr>
                <w:rFonts w:cs="Times New Roman" w:hint="eastAsia"/>
                <w:bCs/>
                <w:color w:val="auto"/>
                <w:sz w:val="24"/>
                <w:lang w:val="en-US" w:eastAsia="zh-CN"/>
              </w:rPr>
              <w:t>9</w:t>
            </w:r>
            <w:r>
              <w:rPr>
                <w:rFonts w:ascii="Times New Roman" w:cs="Times New Roman" w:hAnsi="Times New Roman"/>
                <w:bCs/>
                <w:color w:val="auto"/>
                <w:sz w:val="24"/>
                <w:lang w:eastAsia="zh-CN"/>
              </w:rPr>
              <w:t>）</w:t>
            </w:r>
            <w:r>
              <w:rPr>
                <w:rFonts w:ascii="Times New Roman" w:eastAsia="宋体" w:cs="Times New Roman" w:hAnsi="Times New Roman"/>
                <w:color w:val="auto"/>
                <w:sz w:val="24"/>
                <w:szCs w:val="24"/>
              </w:rPr>
              <w:t>污染防治措施及达标性分析</w:t>
            </w:r>
          </w:p>
          <w:p>
            <w:pPr>
              <w:keepNext w:val="0"/>
              <w:keepLines w:val="0"/>
              <w:pageBreakBefore w:val="0"/>
              <w:kinsoku/>
              <w:wordWrap/>
              <w:overflowPunct/>
              <w:topLinePunct w:val="0"/>
              <w:autoSpaceDE w:val="0"/>
              <w:autoSpaceDN w:val="0"/>
              <w:bidi w:val="0"/>
              <w:adjustRightInd w:val="0"/>
              <w:snapToGrid w:val="0"/>
              <w:spacing w:line="360" w:lineRule="auto"/>
              <w:ind w:firstLineChars="200" w:firstLine="480"/>
              <w:textAlignment w:val="auto"/>
              <w:rPr>
                <w:rFonts w:hint="eastAsia"/>
                <w:color w:val="auto"/>
                <w:sz w:val="24"/>
                <w:u w:val="single"/>
                <w:lang w:eastAsia="zh-CN"/>
              </w:rPr>
            </w:pPr>
            <w:r>
              <w:rPr>
                <w:rFonts w:hint="eastAsia"/>
                <w:color w:val="auto"/>
                <w:sz w:val="24"/>
                <w:u w:val="single"/>
              </w:rPr>
              <w:t>根据</w:t>
            </w:r>
            <w:r>
              <w:rPr>
                <w:rFonts w:hint="eastAsia"/>
                <w:color w:val="auto"/>
                <w:sz w:val="24"/>
                <w:u w:val="single"/>
                <w:lang w:eastAsia="zh-CN"/>
              </w:rPr>
              <w:t>《</w:t>
            </w:r>
            <w:r>
              <w:rPr>
                <w:rFonts w:hint="eastAsia"/>
                <w:color w:val="auto"/>
                <w:sz w:val="24"/>
                <w:u w:val="single"/>
              </w:rPr>
              <w:t>排污许可证申请与核发技术规范 农副食品加工工业—饲料加工、植物油加工工业</w:t>
            </w:r>
            <w:r>
              <w:rPr>
                <w:rFonts w:hint="eastAsia"/>
                <w:color w:val="auto"/>
                <w:sz w:val="24"/>
                <w:u w:val="single"/>
                <w:lang w:eastAsia="zh-CN"/>
              </w:rPr>
              <w:t>》（</w:t>
            </w:r>
            <w:r>
              <w:rPr>
                <w:rFonts w:hint="eastAsia"/>
                <w:color w:val="auto"/>
                <w:sz w:val="24"/>
                <w:u w:val="single"/>
              </w:rPr>
              <w:t>HJ 1110-2020</w:t>
            </w:r>
            <w:r>
              <w:rPr>
                <w:rFonts w:hint="eastAsia"/>
                <w:color w:val="auto"/>
                <w:sz w:val="24"/>
                <w:u w:val="single"/>
                <w:lang w:eastAsia="zh-CN"/>
              </w:rPr>
              <w:t>）</w:t>
            </w:r>
            <w:r>
              <w:rPr>
                <w:rFonts w:hint="eastAsia"/>
                <w:color w:val="auto"/>
                <w:sz w:val="24"/>
                <w:u w:val="single"/>
                <w:lang w:val="en-US" w:eastAsia="zh-CN"/>
              </w:rPr>
              <w:t>中的</w:t>
            </w:r>
            <w:r>
              <w:rPr>
                <w:rFonts w:hint="eastAsia"/>
                <w:color w:val="auto"/>
                <w:sz w:val="24"/>
                <w:u w:val="single"/>
                <w:lang w:eastAsia="zh-CN"/>
              </w:rPr>
              <w:t>表3、</w:t>
            </w:r>
            <w:r>
              <w:rPr>
                <w:rFonts w:hint="eastAsia"/>
                <w:color w:val="auto"/>
                <w:sz w:val="24"/>
                <w:u w:val="single"/>
                <w:lang w:val="en-US" w:eastAsia="zh-CN"/>
              </w:rPr>
              <w:t>表4</w:t>
            </w:r>
            <w:r>
              <w:rPr>
                <w:rFonts w:hint="eastAsia"/>
                <w:color w:val="auto"/>
                <w:sz w:val="24"/>
                <w:u w:val="single"/>
              </w:rPr>
              <w:t>，本项目除尘</w:t>
            </w:r>
            <w:r>
              <w:rPr>
                <w:rFonts w:hint="eastAsia"/>
                <w:color w:val="auto"/>
                <w:sz w:val="24"/>
                <w:u w:val="single"/>
                <w:lang w:eastAsia="zh-CN"/>
              </w:rPr>
              <w:t>、</w:t>
            </w:r>
            <w:r>
              <w:rPr>
                <w:rFonts w:hint="eastAsia"/>
                <w:color w:val="auto"/>
                <w:sz w:val="24"/>
                <w:u w:val="single"/>
                <w:lang w:val="en-US" w:eastAsia="zh-CN"/>
              </w:rPr>
              <w:t>除臭</w:t>
            </w:r>
            <w:r>
              <w:rPr>
                <w:rFonts w:hint="eastAsia"/>
                <w:color w:val="auto"/>
                <w:sz w:val="24"/>
                <w:u w:val="single"/>
              </w:rPr>
              <w:t>设施采用</w:t>
            </w:r>
            <w:r>
              <w:rPr>
                <w:rFonts w:hint="eastAsia"/>
                <w:color w:val="auto"/>
                <w:sz w:val="24"/>
                <w:u w:val="single"/>
                <w:lang w:eastAsia="zh-CN"/>
              </w:rPr>
              <w:t>的</w:t>
            </w:r>
            <w:r>
              <w:rPr>
                <w:rFonts w:hint="eastAsia"/>
                <w:color w:val="auto"/>
                <w:sz w:val="24"/>
                <w:u w:val="single"/>
                <w:lang w:val="en-US" w:eastAsia="zh-CN"/>
              </w:rPr>
              <w:t>布袋+活性炭处理</w:t>
            </w:r>
            <w:r>
              <w:rPr>
                <w:rFonts w:hint="eastAsia"/>
                <w:color w:val="auto"/>
                <w:sz w:val="24"/>
                <w:u w:val="single"/>
                <w:lang w:eastAsia="zh-CN"/>
              </w:rPr>
              <w:t>设施</w:t>
            </w:r>
            <w:r>
              <w:rPr>
                <w:rFonts w:hint="eastAsia"/>
                <w:color w:val="auto"/>
                <w:sz w:val="24"/>
                <w:u w:val="single"/>
              </w:rPr>
              <w:t>为可行技术</w:t>
            </w:r>
            <w:r>
              <w:rPr>
                <w:rFonts w:hint="eastAsia"/>
                <w:color w:val="auto"/>
                <w:sz w:val="24"/>
                <w:u w:val="singl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Chars="200" w:firstLine="480"/>
              <w:textAlignment w:val="auto"/>
              <w:rPr>
                <w:color w:val="auto"/>
                <w:sz w:val="24"/>
                <w:u w:val="single"/>
              </w:rPr>
            </w:pPr>
            <w:r>
              <w:rPr>
                <w:rFonts w:hint="eastAsia"/>
                <w:color w:val="auto"/>
                <w:sz w:val="24"/>
                <w:u w:val="single"/>
                <w:lang w:val="en-US" w:eastAsia="zh-CN"/>
              </w:rPr>
              <w:t>又根据计算分析项目在未上处理设施的情况下VOCs产生浓度约为83.334mg/m³、颗粒物产生浓度约为27.834mg/m³，此时就能满足污染物的120mg/m³排放标准要求，项目后续采用布袋+活性炭吸附是为了进一步削减污染排放量，减小对周边大气的影响，采用处理设施后VOCs排放浓度约为0.134mg/m³、颗粒物排放浓度约为3.967mg/m³，因此该项目采取的布袋+单极活性炭去除VOCs、颗粒物属于可行技术，且经查阅布袋+活性炭处理设施不属于2025年《国家污染防治技术指导目录》限制类和淘汰类</w:t>
            </w:r>
            <w:r>
              <w:rPr>
                <w:rFonts w:hint="eastAsia"/>
                <w:color w:val="auto"/>
                <w:sz w:val="24"/>
                <w:u w:val="single"/>
                <w:lang w:eastAsia="zh-CN"/>
              </w:rPr>
              <w:t>；</w:t>
            </w:r>
            <w:r>
              <w:rPr>
                <w:rFonts w:hint="eastAsia"/>
                <w:color w:val="auto"/>
                <w:sz w:val="24"/>
                <w:u w:val="single"/>
                <w:lang w:val="en-US" w:eastAsia="zh-CN"/>
              </w:rPr>
              <w:t>污水处理设施产生的废气采用加罩或加盖密封</w:t>
            </w:r>
            <w:r>
              <w:rPr>
                <w:rFonts w:hint="eastAsia"/>
                <w:color w:val="auto"/>
                <w:sz w:val="24"/>
                <w:u w:val="single"/>
              </w:rPr>
              <w:t>为可行技术</w:t>
            </w:r>
            <w:r>
              <w:rPr>
                <w:rFonts w:hint="eastAsia"/>
                <w:color w:val="auto"/>
                <w:sz w:val="24"/>
                <w:u w:val="single"/>
                <w:lang w:eastAsia="zh-CN"/>
              </w:rPr>
              <w:t>，</w:t>
            </w:r>
            <w:r>
              <w:rPr>
                <w:rFonts w:hint="eastAsia"/>
                <w:color w:val="auto"/>
                <w:sz w:val="24"/>
                <w:u w:val="single"/>
              </w:rPr>
              <w:t>防治措施可行。</w:t>
            </w:r>
          </w:p>
          <w:p>
            <w:pPr>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宋体" w:cs="宋体" w:hAnsi="宋体" w:hint="eastAsia"/>
                <w:bCs/>
                <w:color w:val="auto"/>
                <w:sz w:val="24"/>
                <w:lang w:eastAsia="zh-CN"/>
              </w:rPr>
            </w:pPr>
            <w:r>
              <w:rPr>
                <w:rFonts w:ascii="Times New Roman" w:eastAsia="宋体" w:cs="Times New Roman" w:hAnsi="Times New Roman"/>
                <w:bCs/>
                <w:color w:val="auto"/>
                <w:sz w:val="24"/>
              </w:rPr>
              <w:t>综上所述，项目运营对周边大气环境影响较小</w:t>
            </w:r>
            <w:r>
              <w:rPr>
                <w:rFonts w:hint="eastAsia"/>
                <w:color w:val="auto"/>
                <w:sz w:val="24"/>
                <w:lang w:eastAsia="zh-CN"/>
              </w:rPr>
              <w:t>，</w:t>
            </w:r>
            <w:r>
              <w:rPr>
                <w:rFonts w:hint="eastAsia"/>
                <w:color w:val="auto"/>
                <w:sz w:val="24"/>
              </w:rPr>
              <w:t>防治措施可行</w:t>
            </w:r>
            <w:r>
              <w:rPr>
                <w:color w:val="auto"/>
                <w:sz w:val="24"/>
              </w:rPr>
              <w:t>。</w:t>
            </w:r>
          </w:p>
          <w:p>
            <w:pPr>
              <w:pStyle w:val="15"/>
              <w:keepNext w:val="0"/>
              <w:keepLines w:val="0"/>
              <w:pageBreakBefore w:val="0"/>
              <w:widowControl w:val="0"/>
              <w:kinsoku/>
              <w:wordWrap/>
              <w:overflowPunct/>
              <w:topLinePunct w:val="0"/>
              <w:autoSpaceDE/>
              <w:autoSpaceDN/>
              <w:bidi w:val="0"/>
              <w:adjustRightInd/>
              <w:snapToGrid/>
              <w:spacing w:line="360" w:lineRule="auto"/>
              <w:ind w:firstLineChars="200" w:firstLine="480"/>
              <w:textAlignment w:val="auto"/>
              <w:rPr>
                <w:rFonts w:ascii="Times New Roman" w:eastAsia="宋体" w:cs="Times New Roman" w:hAnsi="Times New Roman"/>
                <w:color w:val="auto"/>
                <w:sz w:val="24"/>
                <w:szCs w:val="24"/>
                <w:u w:val="none"/>
              </w:rPr>
            </w:pPr>
            <w:r>
              <w:rPr>
                <w:rFonts w:ascii="Times New Roman" w:eastAsia="宋体" w:cs="Times New Roman" w:hAnsi="Times New Roman"/>
                <w:color w:val="auto"/>
                <w:sz w:val="24"/>
                <w:szCs w:val="24"/>
                <w:u w:val="none"/>
                <w:lang w:eastAsia="zh-CN"/>
              </w:rPr>
              <w:t>（</w:t>
            </w:r>
            <w:r>
              <w:rPr>
                <w:rFonts w:ascii="Times New Roman" w:cs="Times New Roman" w:hAnsi="Times New Roman" w:hint="eastAsia"/>
                <w:color w:val="auto"/>
                <w:sz w:val="24"/>
                <w:szCs w:val="24"/>
                <w:u w:val="none"/>
                <w:lang w:val="en-US" w:eastAsia="zh-CN"/>
              </w:rPr>
              <w:t>10</w:t>
            </w:r>
            <w:r>
              <w:rPr>
                <w:rFonts w:ascii="Times New Roman" w:eastAsia="宋体" w:cs="Times New Roman" w:hAnsi="Times New Roman"/>
                <w:color w:val="auto"/>
                <w:sz w:val="24"/>
                <w:szCs w:val="24"/>
                <w:u w:val="none"/>
                <w:lang w:eastAsia="zh-CN"/>
              </w:rPr>
              <w:t>）</w:t>
            </w:r>
            <w:r>
              <w:rPr>
                <w:rFonts w:ascii="Times New Roman" w:eastAsia="宋体" w:cs="Times New Roman" w:hAnsi="Times New Roman"/>
                <w:color w:val="auto"/>
                <w:sz w:val="24"/>
                <w:szCs w:val="24"/>
                <w:u w:val="none"/>
              </w:rPr>
              <w:t>废气监测计划</w:t>
            </w:r>
          </w:p>
          <w:p>
            <w:pPr>
              <w:pageBreakBefore w:val="0"/>
              <w:widowControl w:val="0"/>
              <w:kinsoku/>
              <w:overflowPunct/>
              <w:bidi w:val="0"/>
              <w:adjustRightInd w:val="0"/>
              <w:snapToGrid w:val="0"/>
              <w:spacing w:line="360" w:lineRule="auto"/>
              <w:ind w:firstLineChars="200" w:firstLine="480"/>
              <w:rPr>
                <w:color w:val="auto"/>
                <w:sz w:val="24"/>
                <w:u w:val="none"/>
              </w:rPr>
            </w:pPr>
            <w:r>
              <w:rPr>
                <w:color w:val="auto"/>
                <w:sz w:val="24"/>
                <w:u w:val="none"/>
              </w:rPr>
              <w:t>根据</w:t>
            </w:r>
            <w:r>
              <w:rPr>
                <w:rFonts w:hint="eastAsia"/>
                <w:color w:val="auto"/>
                <w:sz w:val="24"/>
                <w:u w:val="none"/>
                <w:lang w:eastAsia="zh-CN"/>
              </w:rPr>
              <w:t>《</w:t>
            </w:r>
            <w:r>
              <w:rPr>
                <w:rFonts w:hint="eastAsia"/>
                <w:color w:val="auto"/>
                <w:sz w:val="24"/>
                <w:u w:val="none"/>
              </w:rPr>
              <w:t>排污许可证申请与核发技术规范 农副食品加工工业—饲料加工、植物油加工工业</w:t>
            </w:r>
            <w:r>
              <w:rPr>
                <w:rFonts w:hint="eastAsia"/>
                <w:color w:val="auto"/>
                <w:sz w:val="24"/>
                <w:u w:val="none"/>
                <w:lang w:eastAsia="zh-CN"/>
              </w:rPr>
              <w:t>》（</w:t>
            </w:r>
            <w:r>
              <w:rPr>
                <w:rFonts w:hint="eastAsia"/>
                <w:color w:val="auto"/>
                <w:sz w:val="24"/>
                <w:u w:val="none"/>
              </w:rPr>
              <w:t>HJ 1110-2020</w:t>
            </w:r>
            <w:r>
              <w:rPr>
                <w:rFonts w:hint="eastAsia"/>
                <w:color w:val="auto"/>
                <w:sz w:val="24"/>
                <w:u w:val="none"/>
                <w:lang w:eastAsia="zh-CN"/>
              </w:rPr>
              <w:t>）、《排污单位自行监测技术指南 总则》（HJ 819-2017）</w:t>
            </w:r>
            <w:r>
              <w:rPr>
                <w:color w:val="auto"/>
                <w:sz w:val="24"/>
                <w:u w:val="none"/>
              </w:rPr>
              <w:t>，项目投产后，企业应定期组织</w:t>
            </w:r>
            <w:r>
              <w:rPr>
                <w:rFonts w:hint="eastAsia"/>
                <w:color w:val="auto"/>
                <w:sz w:val="24"/>
                <w:u w:val="none"/>
              </w:rPr>
              <w:t>废气</w:t>
            </w:r>
            <w:r>
              <w:rPr>
                <w:color w:val="auto"/>
                <w:sz w:val="24"/>
                <w:u w:val="none"/>
              </w:rPr>
              <w:t>监测。若企业不具备监测条件，需委托当地具有监测资质的单位开展</w:t>
            </w:r>
            <w:r>
              <w:rPr>
                <w:rFonts w:hint="eastAsia"/>
                <w:color w:val="auto"/>
                <w:sz w:val="24"/>
                <w:u w:val="none"/>
              </w:rPr>
              <w:t>废气</w:t>
            </w:r>
            <w:r>
              <w:rPr>
                <w:color w:val="auto"/>
                <w:sz w:val="24"/>
                <w:u w:val="none"/>
              </w:rPr>
              <w:t>监测。项目监测计划具体如下表所示。</w:t>
            </w:r>
          </w:p>
          <w:p>
            <w:pPr>
              <w:pStyle w:val="47"/>
              <w:pageBreakBefore w:val="0"/>
              <w:widowControl w:val="0"/>
              <w:kinsoku/>
              <w:overflowPunct/>
              <w:bidi w:val="0"/>
              <w:spacing w:line="360" w:lineRule="auto"/>
              <w:rPr>
                <w:rFonts w:hint="eastAsia"/>
                <w:color w:val="auto"/>
                <w:u w:val="none"/>
                <w:lang w:eastAsia="zh-CN"/>
              </w:rPr>
            </w:pPr>
            <w:r>
              <w:rPr>
                <w:color w:val="auto"/>
                <w:u w:val="none"/>
                <w:lang w:eastAsia="zh-CN"/>
              </w:rPr>
              <w:t>表</w:t>
            </w:r>
            <w:r>
              <w:rPr>
                <w:rFonts w:hint="eastAsia"/>
                <w:color w:val="auto"/>
                <w:u w:val="none"/>
                <w:lang w:eastAsia="zh-CN"/>
              </w:rPr>
              <w:t>4-</w:t>
            </w:r>
            <w:r>
              <w:rPr>
                <w:rFonts w:hint="eastAsia"/>
                <w:color w:val="auto"/>
                <w:u w:val="none"/>
                <w:lang w:val="en-US" w:eastAsia="zh-CN"/>
              </w:rPr>
              <w:t xml:space="preserve">4 </w:t>
            </w:r>
            <w:r>
              <w:rPr>
                <w:rFonts w:hint="eastAsia"/>
                <w:color w:val="auto"/>
                <w:u w:val="none"/>
                <w:lang w:eastAsia="zh-CN"/>
              </w:rPr>
              <w:t>项目废气监测计划</w:t>
            </w:r>
          </w:p>
          <w:tbl>
            <w:tblPr>
              <w:jc w:val="left"/>
              <w:tblInd w:w="0" w:type="dx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3241"/>
              <w:gridCol w:w="5388"/>
              <w:gridCol w:w="2710"/>
              <w:gridCol w:w="2710"/>
            </w:tblGrid>
            <w:tr>
              <w:trPr>
                <w:trHeight w:val="454"/>
              </w:trPr>
              <w:tc>
                <w:tcPr>
                  <w:tcW w:w="1153" w:type="pct"/>
                  <w:vAlign w:val="center"/>
                </w:tcPr>
                <w:p>
                  <w:pPr>
                    <w:pageBreakBefore w:val="0"/>
                    <w:widowControl w:val="0"/>
                    <w:kinsoku/>
                    <w:overflowPunct/>
                    <w:bidi w:val="0"/>
                    <w:jc w:val="center"/>
                    <w:rPr>
                      <w:color w:val="auto"/>
                      <w:szCs w:val="21"/>
                      <w:u w:val="none"/>
                    </w:rPr>
                  </w:pPr>
                  <w:r>
                    <w:rPr>
                      <w:b/>
                      <w:bCs/>
                      <w:color w:val="auto"/>
                      <w:szCs w:val="21"/>
                      <w:u w:val="none"/>
                    </w:rPr>
                    <w:t>内容</w:t>
                  </w:r>
                </w:p>
              </w:tc>
              <w:tc>
                <w:tcPr>
                  <w:tcW w:w="1917" w:type="pct"/>
                  <w:vAlign w:val="center"/>
                </w:tcPr>
                <w:p>
                  <w:pPr>
                    <w:pageBreakBefore w:val="0"/>
                    <w:widowControl w:val="0"/>
                    <w:kinsoku/>
                    <w:overflowPunct/>
                    <w:bidi w:val="0"/>
                    <w:jc w:val="center"/>
                    <w:rPr>
                      <w:color w:val="auto"/>
                      <w:szCs w:val="21"/>
                      <w:u w:val="none"/>
                    </w:rPr>
                  </w:pPr>
                  <w:r>
                    <w:rPr>
                      <w:b/>
                      <w:bCs/>
                      <w:color w:val="auto"/>
                      <w:szCs w:val="21"/>
                      <w:u w:val="none"/>
                    </w:rPr>
                    <w:t>监测点位</w:t>
                  </w:r>
                </w:p>
              </w:tc>
              <w:tc>
                <w:tcPr>
                  <w:tcW w:w="964" w:type="pct"/>
                  <w:vAlign w:val="center"/>
                </w:tcPr>
                <w:p>
                  <w:pPr>
                    <w:pageBreakBefore w:val="0"/>
                    <w:widowControl w:val="0"/>
                    <w:kinsoku/>
                    <w:overflowPunct/>
                    <w:bidi w:val="0"/>
                    <w:jc w:val="center"/>
                    <w:rPr>
                      <w:color w:val="auto"/>
                      <w:szCs w:val="21"/>
                      <w:u w:val="none"/>
                    </w:rPr>
                  </w:pPr>
                  <w:r>
                    <w:rPr>
                      <w:b/>
                      <w:bCs/>
                      <w:color w:val="auto"/>
                      <w:szCs w:val="21"/>
                      <w:u w:val="none"/>
                    </w:rPr>
                    <w:t>监测因子</w:t>
                  </w:r>
                </w:p>
              </w:tc>
              <w:tc>
                <w:tcPr>
                  <w:tcW w:w="964" w:type="pct"/>
                  <w:vAlign w:val="center"/>
                </w:tcPr>
                <w:p>
                  <w:pPr>
                    <w:pageBreakBefore w:val="0"/>
                    <w:widowControl w:val="0"/>
                    <w:kinsoku/>
                    <w:overflowPunct/>
                    <w:bidi w:val="0"/>
                    <w:jc w:val="center"/>
                    <w:rPr>
                      <w:rFonts w:eastAsia="宋体" w:hint="eastAsia"/>
                      <w:b/>
                      <w:bCs/>
                      <w:color w:val="auto"/>
                      <w:szCs w:val="21"/>
                      <w:u w:val="none"/>
                      <w:lang w:eastAsia="zh-CN"/>
                    </w:rPr>
                  </w:pPr>
                  <w:r>
                    <w:rPr>
                      <w:rFonts w:eastAsia="宋体" w:hint="eastAsia"/>
                      <w:b/>
                      <w:bCs/>
                      <w:color w:val="auto"/>
                      <w:szCs w:val="21"/>
                      <w:u w:val="none"/>
                      <w:lang w:eastAsia="zh-CN"/>
                    </w:rPr>
                    <w:t>监测频率</w:t>
                  </w:r>
                </w:p>
              </w:tc>
            </w:tr>
            <w:tr>
              <w:trPr>
                <w:trHeight w:val="454"/>
              </w:trPr>
              <w:tc>
                <w:tcPr>
                  <w:tcW w:w="1153" w:type="pct"/>
                  <w:vMerge w:val="restart"/>
                  <w:vAlign w:val="center"/>
                </w:tcPr>
                <w:p>
                  <w:pPr>
                    <w:pageBreakBefore w:val="0"/>
                    <w:widowControl w:val="0"/>
                    <w:kinsoku/>
                    <w:overflowPunct/>
                    <w:bidi w:val="0"/>
                    <w:jc w:val="center"/>
                    <w:rPr>
                      <w:color w:val="auto"/>
                      <w:szCs w:val="21"/>
                      <w:u w:val="none"/>
                    </w:rPr>
                  </w:pPr>
                  <w:r>
                    <w:rPr>
                      <w:color w:val="auto"/>
                      <w:szCs w:val="21"/>
                      <w:u w:val="none"/>
                    </w:rPr>
                    <w:t>无组织废气</w:t>
                  </w:r>
                </w:p>
              </w:tc>
              <w:tc>
                <w:tcPr>
                  <w:tcW w:w="1917" w:type="pct"/>
                  <w:vAlign w:val="center"/>
                </w:tcPr>
                <w:p>
                  <w:pPr>
                    <w:pageBreakBefore w:val="0"/>
                    <w:widowControl w:val="0"/>
                    <w:kinsoku/>
                    <w:overflowPunct/>
                    <w:bidi w:val="0"/>
                    <w:jc w:val="center"/>
                    <w:rPr>
                      <w:color w:val="auto"/>
                      <w:szCs w:val="21"/>
                      <w:u w:val="none"/>
                    </w:rPr>
                  </w:pPr>
                  <w:r>
                    <w:rPr>
                      <w:color w:val="auto"/>
                      <w:szCs w:val="21"/>
                      <w:u w:val="none"/>
                    </w:rPr>
                    <w:t>厂界上风向、下风向</w:t>
                  </w:r>
                </w:p>
              </w:tc>
              <w:tc>
                <w:tcPr>
                  <w:tcW w:w="964" w:type="pct"/>
                  <w:vAlign w:val="center"/>
                </w:tcPr>
                <w:p>
                  <w:pPr>
                    <w:pageBreakBefore w:val="0"/>
                    <w:widowControl w:val="0"/>
                    <w:kinsoku/>
                    <w:overflowPunct/>
                    <w:bidi w:val="0"/>
                    <w:jc w:val="center"/>
                    <w:rPr>
                      <w:rFonts w:eastAsia="宋体" w:hint="eastAsia"/>
                      <w:color w:val="auto"/>
                      <w:szCs w:val="21"/>
                      <w:u w:val="none"/>
                      <w:lang w:eastAsia="zh-CN"/>
                    </w:rPr>
                  </w:pPr>
                  <w:r>
                    <w:rPr>
                      <w:color w:val="auto"/>
                      <w:szCs w:val="21"/>
                      <w:u w:val="none"/>
                    </w:rPr>
                    <w:t>颗粒物</w:t>
                  </w:r>
                  <w:r>
                    <w:rPr>
                      <w:rFonts w:hint="eastAsia"/>
                      <w:color w:val="auto"/>
                      <w:szCs w:val="21"/>
                      <w:u w:val="none"/>
                      <w:lang w:eastAsia="zh-CN"/>
                    </w:rPr>
                    <w:t>、</w:t>
                  </w:r>
                  <w:r>
                    <w:rPr>
                      <w:rFonts w:hint="eastAsia"/>
                      <w:color w:val="auto"/>
                      <w:szCs w:val="21"/>
                      <w:u w:val="none"/>
                      <w:lang w:val="en-US" w:eastAsia="zh-CN"/>
                    </w:rPr>
                    <w:t>臭气浓度</w:t>
                  </w:r>
                </w:p>
              </w:tc>
              <w:tc>
                <w:tcPr>
                  <w:tcW w:w="964" w:type="pct"/>
                  <w:vAlign w:val="center"/>
                </w:tcPr>
                <w:p>
                  <w:pPr>
                    <w:pageBreakBefore w:val="0"/>
                    <w:widowControl w:val="0"/>
                    <w:kinsoku/>
                    <w:overflowPunct/>
                    <w:bidi w:val="0"/>
                    <w:jc w:val="center"/>
                    <w:rPr>
                      <w:rFonts w:eastAsia="宋体"/>
                      <w:color w:val="auto"/>
                      <w:szCs w:val="21"/>
                      <w:u w:val="none"/>
                      <w:lang w:val="en-US" w:eastAsia="zh-CN"/>
                    </w:rPr>
                  </w:pPr>
                  <w:r>
                    <w:rPr>
                      <w:rFonts w:hint="eastAsia"/>
                      <w:color w:val="auto"/>
                      <w:szCs w:val="21"/>
                      <w:u w:val="none"/>
                      <w:lang w:val="en-US" w:eastAsia="zh-CN"/>
                    </w:rPr>
                    <w:t>1</w:t>
                  </w:r>
                  <w:r>
                    <w:rPr>
                      <w:rFonts w:hint="eastAsia"/>
                      <w:color w:val="auto"/>
                      <w:szCs w:val="21"/>
                      <w:u w:val="none"/>
                      <w:lang w:eastAsia="zh-CN"/>
                    </w:rPr>
                    <w:t>年</w:t>
                  </w:r>
                  <w:r>
                    <w:rPr>
                      <w:rFonts w:hint="eastAsia"/>
                      <w:color w:val="auto"/>
                      <w:szCs w:val="21"/>
                      <w:u w:val="none"/>
                      <w:lang w:val="en-US" w:eastAsia="zh-CN"/>
                    </w:rPr>
                    <w:t>1次</w:t>
                  </w:r>
                </w:p>
              </w:tc>
            </w:tr>
            <w:tr>
              <w:trPr>
                <w:trHeight w:val="454"/>
              </w:trPr>
              <w:tc>
                <w:tcPr>
                  <w:tcW w:w="1153" w:type="pct"/>
                  <w:vMerge/>
                  <w:vAlign w:val="center"/>
                </w:tcPr>
                <w:p/>
              </w:tc>
              <w:tc>
                <w:tcPr>
                  <w:tcW w:w="1917" w:type="pct"/>
                  <w:vAlign w:val="center"/>
                </w:tcPr>
                <w:p>
                  <w:pPr>
                    <w:pageBreakBefore w:val="0"/>
                    <w:widowControl w:val="0"/>
                    <w:kinsoku/>
                    <w:overflowPunct/>
                    <w:bidi w:val="0"/>
                    <w:jc w:val="center"/>
                    <w:rPr>
                      <w:rFonts w:eastAsia="宋体"/>
                      <w:color w:val="auto"/>
                      <w:szCs w:val="21"/>
                      <w:u w:val="none"/>
                      <w:lang w:val="en-US" w:eastAsia="zh-CN"/>
                    </w:rPr>
                  </w:pPr>
                  <w:r>
                    <w:rPr>
                      <w:rFonts w:hint="eastAsia"/>
                      <w:color w:val="auto"/>
                      <w:szCs w:val="21"/>
                      <w:u w:val="none"/>
                      <w:lang w:val="en-US" w:eastAsia="zh-CN"/>
                    </w:rPr>
                    <w:t>污水处理设施一侧下风向</w:t>
                  </w:r>
                </w:p>
              </w:tc>
              <w:tc>
                <w:tcPr>
                  <w:tcW w:w="964" w:type="pct"/>
                  <w:vAlign w:val="center"/>
                </w:tcPr>
                <w:p>
                  <w:pPr>
                    <w:pageBreakBefore w:val="0"/>
                    <w:widowControl w:val="0"/>
                    <w:kinsoku/>
                    <w:overflowPunct/>
                    <w:bidi w:val="0"/>
                    <w:jc w:val="center"/>
                    <w:rPr>
                      <w:color w:val="auto"/>
                      <w:szCs w:val="21"/>
                      <w:u w:val="none"/>
                      <w:lang w:val="en-US"/>
                    </w:rPr>
                  </w:pPr>
                  <w:r>
                    <w:rPr>
                      <w:rFonts w:hint="eastAsia"/>
                      <w:color w:val="auto"/>
                      <w:szCs w:val="21"/>
                      <w:u w:val="none"/>
                      <w:lang w:val="en-US" w:eastAsia="zh-CN"/>
                    </w:rPr>
                    <w:t>臭气浓度、氨、硫化氢</w:t>
                  </w:r>
                </w:p>
              </w:tc>
              <w:tc>
                <w:tcPr>
                  <w:tcW w:w="964" w:type="pct"/>
                  <w:vAlign w:val="center"/>
                </w:tcPr>
                <w:p>
                  <w:pPr>
                    <w:pageBreakBefore w:val="0"/>
                    <w:widowControl w:val="0"/>
                    <w:kinsoku/>
                    <w:overflowPunct/>
                    <w:bidi w:val="0"/>
                    <w:jc w:val="center"/>
                    <w:rPr>
                      <w:rFonts w:hint="eastAsia"/>
                      <w:color w:val="auto"/>
                      <w:szCs w:val="21"/>
                      <w:u w:val="none"/>
                      <w:lang w:val="en-US" w:eastAsia="zh-CN"/>
                    </w:rPr>
                  </w:pPr>
                  <w:r>
                    <w:rPr>
                      <w:rFonts w:hint="eastAsia"/>
                      <w:color w:val="auto"/>
                      <w:szCs w:val="21"/>
                      <w:u w:val="none"/>
                      <w:lang w:val="en-US" w:eastAsia="zh-CN"/>
                    </w:rPr>
                    <w:t>1</w:t>
                  </w:r>
                  <w:r>
                    <w:rPr>
                      <w:rFonts w:hint="eastAsia"/>
                      <w:color w:val="auto"/>
                      <w:szCs w:val="21"/>
                      <w:u w:val="none"/>
                      <w:lang w:eastAsia="zh-CN"/>
                    </w:rPr>
                    <w:t>年</w:t>
                  </w:r>
                  <w:r>
                    <w:rPr>
                      <w:rFonts w:hint="eastAsia"/>
                      <w:color w:val="auto"/>
                      <w:szCs w:val="21"/>
                      <w:u w:val="none"/>
                      <w:lang w:val="en-US" w:eastAsia="zh-CN"/>
                    </w:rPr>
                    <w:t>1次</w:t>
                  </w:r>
                </w:p>
              </w:tc>
            </w:tr>
            <w:tr>
              <w:trPr>
                <w:trHeight w:val="454"/>
              </w:trPr>
              <w:tc>
                <w:tcPr>
                  <w:tcW w:w="1153" w:type="pct"/>
                  <w:vAlign w:val="center"/>
                </w:tcPr>
                <w:p>
                  <w:pPr>
                    <w:pageBreakBefore w:val="0"/>
                    <w:widowControl w:val="0"/>
                    <w:kinsoku/>
                    <w:overflowPunct/>
                    <w:bidi w:val="0"/>
                    <w:jc w:val="center"/>
                    <w:rPr>
                      <w:rFonts w:eastAsia="宋体"/>
                      <w:color w:val="auto"/>
                      <w:szCs w:val="21"/>
                      <w:u w:val="none"/>
                      <w:lang w:val="en-US" w:eastAsia="zh-CN"/>
                    </w:rPr>
                  </w:pPr>
                  <w:r>
                    <w:rPr>
                      <w:rFonts w:hint="eastAsia"/>
                      <w:color w:val="auto"/>
                      <w:szCs w:val="21"/>
                      <w:u w:val="none"/>
                      <w:lang w:val="en-US" w:eastAsia="zh-CN"/>
                    </w:rPr>
                    <w:t>有组织废气</w:t>
                  </w:r>
                </w:p>
              </w:tc>
              <w:tc>
                <w:tcPr>
                  <w:tcW w:w="1917" w:type="pct"/>
                  <w:vAlign w:val="center"/>
                </w:tcPr>
                <w:p>
                  <w:pPr>
                    <w:pageBreakBefore w:val="0"/>
                    <w:widowControl w:val="0"/>
                    <w:kinsoku/>
                    <w:overflowPunct/>
                    <w:bidi w:val="0"/>
                    <w:jc w:val="center"/>
                    <w:rPr>
                      <w:color w:val="auto"/>
                      <w:szCs w:val="21"/>
                      <w:u w:val="none"/>
                    </w:rPr>
                  </w:pPr>
                  <w:r>
                    <w:rPr>
                      <w:rFonts w:hint="eastAsia"/>
                      <w:color w:val="auto"/>
                      <w:szCs w:val="21"/>
                      <w:u w:val="none"/>
                      <w:lang w:val="en-US" w:eastAsia="zh-CN"/>
                    </w:rPr>
                    <w:t>DA001</w:t>
                  </w:r>
                </w:p>
              </w:tc>
              <w:tc>
                <w:tcPr>
                  <w:tcW w:w="964" w:type="pct"/>
                  <w:vAlign w:val="center"/>
                </w:tcPr>
                <w:p>
                  <w:pPr>
                    <w:pageBreakBefore w:val="0"/>
                    <w:widowControl w:val="0"/>
                    <w:kinsoku/>
                    <w:overflowPunct/>
                    <w:bidi w:val="0"/>
                    <w:jc w:val="center"/>
                    <w:rPr>
                      <w:rFonts w:eastAsia="宋体"/>
                      <w:color w:val="auto"/>
                      <w:szCs w:val="21"/>
                      <w:u w:val="none"/>
                      <w:lang w:val="en-US" w:eastAsia="zh-CN"/>
                    </w:rPr>
                  </w:pPr>
                  <w:r>
                    <w:rPr>
                      <w:color w:val="auto"/>
                      <w:szCs w:val="21"/>
                      <w:u w:val="none"/>
                    </w:rPr>
                    <w:t>颗粒物</w:t>
                  </w:r>
                  <w:r>
                    <w:rPr>
                      <w:rFonts w:hint="eastAsia"/>
                      <w:color w:val="auto"/>
                      <w:szCs w:val="21"/>
                      <w:u w:val="none"/>
                      <w:lang w:eastAsia="zh-CN"/>
                    </w:rPr>
                    <w:t>、</w:t>
                  </w:r>
                  <w:r>
                    <w:rPr>
                      <w:rFonts w:hint="eastAsia"/>
                      <w:color w:val="auto"/>
                      <w:szCs w:val="21"/>
                      <w:u w:val="none"/>
                      <w:lang w:val="en-US" w:eastAsia="zh-CN"/>
                    </w:rPr>
                    <w:t>臭气浓度、非甲烷总烃</w:t>
                  </w:r>
                </w:p>
              </w:tc>
              <w:tc>
                <w:tcPr>
                  <w:tcW w:w="964" w:type="pct"/>
                  <w:vAlign w:val="center"/>
                </w:tcPr>
                <w:p>
                  <w:pPr>
                    <w:pageBreakBefore w:val="0"/>
                    <w:widowControl w:val="0"/>
                    <w:kinsoku/>
                    <w:overflowPunct/>
                    <w:bidi w:val="0"/>
                    <w:jc w:val="center"/>
                    <w:rPr>
                      <w:rFonts w:hint="eastAsia"/>
                      <w:color w:val="auto"/>
                      <w:szCs w:val="21"/>
                      <w:u w:val="none"/>
                      <w:lang w:val="en-US" w:eastAsia="zh-CN"/>
                    </w:rPr>
                  </w:pPr>
                  <w:r>
                    <w:rPr>
                      <w:rFonts w:hint="eastAsia"/>
                      <w:color w:val="auto"/>
                      <w:szCs w:val="21"/>
                      <w:u w:val="none"/>
                      <w:lang w:val="en-US" w:eastAsia="zh-CN"/>
                    </w:rPr>
                    <w:t>1</w:t>
                  </w:r>
                  <w:r>
                    <w:rPr>
                      <w:rFonts w:hint="eastAsia"/>
                      <w:color w:val="auto"/>
                      <w:szCs w:val="21"/>
                      <w:u w:val="none"/>
                      <w:lang w:eastAsia="zh-CN"/>
                    </w:rPr>
                    <w:t>年</w:t>
                  </w:r>
                  <w:r>
                    <w:rPr>
                      <w:rFonts w:hint="eastAsia"/>
                      <w:color w:val="auto"/>
                      <w:szCs w:val="21"/>
                      <w:u w:val="none"/>
                      <w:lang w:val="en-US" w:eastAsia="zh-CN"/>
                    </w:rPr>
                    <w:t>1次</w:t>
                  </w:r>
                </w:p>
              </w:tc>
            </w:tr>
          </w:tbl>
          <w:p>
            <w:pPr>
              <w:pageBreakBefore w:val="0"/>
              <w:widowControl w:val="0"/>
              <w:kinsoku/>
              <w:overflowPunct/>
              <w:bidi w:val="0"/>
              <w:adjustRightInd w:val="0"/>
              <w:snapToGrid w:val="0"/>
              <w:spacing w:beforeLines="50" w:before="120" w:line="360" w:lineRule="auto"/>
              <w:ind w:firstLineChars="200" w:firstLine="480"/>
              <w:rPr>
                <w:b/>
                <w:bCs/>
                <w:color w:val="auto"/>
                <w:sz w:val="24"/>
              </w:rPr>
            </w:pPr>
            <w:r>
              <w:rPr>
                <w:rFonts w:hint="eastAsia"/>
                <w:b/>
                <w:bCs/>
                <w:color w:val="auto"/>
                <w:sz w:val="24"/>
              </w:rPr>
              <w:t>（</w:t>
            </w:r>
            <w:r>
              <w:rPr>
                <w:rFonts w:hint="eastAsia"/>
                <w:b/>
                <w:bCs/>
                <w:color w:val="auto"/>
                <w:sz w:val="24"/>
                <w:lang w:eastAsia="zh-CN"/>
              </w:rPr>
              <w:t>二</w:t>
            </w:r>
            <w:r>
              <w:rPr>
                <w:rFonts w:hint="eastAsia"/>
                <w:b/>
                <w:bCs/>
                <w:color w:val="auto"/>
                <w:sz w:val="24"/>
              </w:rPr>
              <w:t>）废水</w:t>
            </w:r>
          </w:p>
          <w:p>
            <w:pPr>
              <w:pageBreakBefore w:val="0"/>
              <w:widowControl w:val="0"/>
              <w:kinsoku/>
              <w:overflowPunct/>
              <w:bidi w:val="0"/>
              <w:spacing w:line="360" w:lineRule="auto"/>
              <w:ind w:firstLineChars="200" w:firstLine="480"/>
              <w:textAlignment w:val="baseline"/>
              <w:rPr>
                <w:rFonts w:hint="eastAsia"/>
                <w:b/>
                <w:bCs/>
                <w:color w:val="auto"/>
                <w:sz w:val="24"/>
              </w:rPr>
            </w:pPr>
            <w:r>
              <w:rPr>
                <w:rFonts w:hint="eastAsia"/>
                <w:b/>
                <w:bCs/>
                <w:color w:val="auto"/>
                <w:sz w:val="24"/>
              </w:rPr>
              <w:t>1、废水污染源调查</w:t>
            </w:r>
          </w:p>
          <w:p>
            <w:pPr>
              <w:pStyle w:val="39"/>
              <w:keepNext w:val="0"/>
              <w:keepLines w:val="0"/>
              <w:pageBreakBefore w:val="0"/>
              <w:shd w:val="clear" w:color="auto" w:fill="auto"/>
              <w:kinsoku/>
              <w:wordWrap/>
              <w:overflowPunct/>
              <w:topLinePunct w:val="0"/>
              <w:autoSpaceDE/>
              <w:autoSpaceDN/>
              <w:bidi w:val="0"/>
              <w:spacing w:before="0" w:beforeAutospacing="0" w:after="0" w:afterAutospacing="0" w:line="360" w:lineRule="auto"/>
              <w:ind w:firstLineChars="200" w:firstLine="480"/>
              <w:jc w:val="both"/>
              <w:textAlignment w:val="auto"/>
              <w:rPr>
                <w:rFonts w:ascii="Times New Roman" w:eastAsia="宋体" w:cs="Times New Roman" w:hAnsi="Times New Roman" w:hint="eastAsia"/>
                <w:color w:val="0000FF"/>
                <w:szCs w:val="24"/>
                <w:lang w:eastAsia="zh-CN"/>
              </w:rPr>
            </w:pPr>
            <w:r>
              <w:rPr>
                <w:rFonts w:ascii="Times New Roman" w:cs="Times New Roman" w:hAnsi="Times New Roman" w:hint="eastAsia"/>
                <w:color w:val="auto"/>
                <w:szCs w:val="24"/>
                <w:lang w:eastAsia="zh-CN"/>
              </w:rPr>
              <w:t>根据水平衡分析，项目废水产生量如下：</w:t>
            </w:r>
          </w:p>
          <w:p>
            <w:pPr>
              <w:pStyle w:val="36"/>
              <w:pageBreakBefore w:val="0"/>
              <w:widowControl w:val="0"/>
              <w:kinsoku/>
              <w:overflowPunct/>
              <w:autoSpaceDE w:val="0"/>
              <w:autoSpaceDN w:val="0"/>
              <w:bidi w:val="0"/>
              <w:spacing w:before="20" w:line="360" w:lineRule="auto"/>
              <w:ind w:firstLineChars="200" w:firstLine="480"/>
              <w:jc w:val="both"/>
              <w:rPr>
                <w:rFonts w:ascii="Times New Roman" w:cs="Times New Roman" w:hAnsi="Times New Roman" w:hint="eastAsia"/>
                <w:b w:val="0"/>
                <w:bCs w:val="0"/>
                <w:strike w:val="0"/>
                <w:dstrike w:val="0"/>
                <w:color w:val="auto"/>
                <w:szCs w:val="24"/>
                <w:u w:val="none"/>
                <w:lang w:val="en-US" w:eastAsia="zh-CN"/>
              </w:rPr>
            </w:pPr>
            <w:r>
              <w:rPr>
                <w:rFonts w:cs="Times New Roman" w:hint="eastAsia"/>
                <w:color w:val="auto"/>
                <w:sz w:val="24"/>
                <w:szCs w:val="24"/>
                <w:lang w:val="en-US" w:eastAsia="zh-CN"/>
              </w:rPr>
              <w:t>根据项目工程设计生产区设置废水隔油、气浮、水解酸化沉淀池，收集生产废水，经处理后的废水外排园区管网</w:t>
            </w:r>
            <w:r>
              <w:rPr>
                <w:rFonts w:ascii="Times New Roman" w:cs="Times New Roman" w:hAnsi="Times New Roman" w:hint="eastAsia"/>
                <w:b w:val="0"/>
                <w:bCs w:val="0"/>
                <w:strike w:val="0"/>
                <w:dstrike w:val="0"/>
                <w:color w:val="auto"/>
                <w:szCs w:val="24"/>
                <w:u w:val="none"/>
                <w:lang w:val="en-US" w:eastAsia="zh-CN"/>
              </w:rPr>
              <w:t>。</w:t>
            </w:r>
          </w:p>
          <w:p>
            <w:pPr>
              <w:pStyle w:val="47"/>
              <w:pageBreakBefore w:val="0"/>
              <w:widowControl/>
              <w:kinsoku/>
              <w:overflowPunct/>
              <w:bidi w:val="0"/>
              <w:snapToGrid w:val="0"/>
              <w:spacing w:line="360" w:lineRule="auto"/>
              <w:contextualSpacing/>
              <w:rPr>
                <w:color w:val="auto"/>
                <w:kern w:val="0"/>
                <w:szCs w:val="22"/>
                <w:lang w:eastAsia="zh-CN"/>
              </w:rPr>
            </w:pPr>
            <w:r>
              <w:rPr>
                <w:rFonts w:hint="eastAsia"/>
                <w:color w:val="auto"/>
                <w:kern w:val="0"/>
                <w:szCs w:val="22"/>
                <w:lang w:eastAsia="zh-CN"/>
              </w:rPr>
              <w:t>表4-</w:t>
            </w:r>
            <w:r>
              <w:rPr>
                <w:rFonts w:hint="eastAsia"/>
                <w:color w:val="auto"/>
                <w:kern w:val="0"/>
                <w:szCs w:val="22"/>
                <w:lang w:val="en-US" w:eastAsia="zh-CN"/>
              </w:rPr>
              <w:t>5</w:t>
            </w:r>
            <w:r>
              <w:rPr>
                <w:rFonts w:hint="eastAsia"/>
                <w:color w:val="auto"/>
                <w:kern w:val="0"/>
                <w:szCs w:val="22"/>
                <w:lang w:eastAsia="zh-CN"/>
              </w:rPr>
              <w:t xml:space="preserve"> </w:t>
            </w:r>
            <w:r>
              <w:rPr>
                <w:color w:val="auto"/>
                <w:kern w:val="0"/>
                <w:szCs w:val="22"/>
                <w:lang w:eastAsia="zh-CN"/>
              </w:rPr>
              <w:t>项目废水污染物源强一览表</w:t>
            </w:r>
          </w:p>
          <w:tbl>
            <w:tblPr>
              <w:jc w:val="center"/>
              <w:tblW w:w="4997" w:type="pct"/>
              <w:tblBorders>
                <w:top w:val="none" w:sz="0" w:space="0" w:color="auto"/>
                <w:left w:val="none" w:sz="0" w:space="0" w:color="auto"/>
                <w:bottom w:val="none" w:sz="0" w:space="0" w:color="auto"/>
                <w:right w:val="none" w:sz="0" w:space="0" w:color="auto"/>
              </w:tblBorders>
              <w:shd w:val="clear" w:color="auto" w:fill="auto"/>
              <w:tblLayout w:type="fixed"/>
              <w:tblCellMar>
                <w:top w:w="0" w:type="dxa"/>
                <w:left w:w="108" w:type="dxa"/>
                <w:bottom w:w="0" w:type="dxa"/>
                <w:right w:w="108" w:type="dxa"/>
              </w:tblCellMar>
              <w:tblLook w:val="0600" w:firstRow="0" w:lastRow="0" w:firstColumn="0" w:lastColumn="0" w:noHBand="1" w:noVBand="1"/>
            </w:tblPr>
            <w:tblGrid>
              <w:gridCol w:w="310"/>
              <w:gridCol w:w="310"/>
              <w:gridCol w:w="310"/>
              <w:gridCol w:w="613"/>
              <w:gridCol w:w="630"/>
              <w:gridCol w:w="647"/>
              <w:gridCol w:w="310"/>
              <w:gridCol w:w="462"/>
              <w:gridCol w:w="622"/>
              <w:gridCol w:w="310"/>
              <w:gridCol w:w="512"/>
              <w:gridCol w:w="436"/>
              <w:gridCol w:w="312"/>
              <w:gridCol w:w="639"/>
              <w:gridCol w:w="630"/>
              <w:gridCol w:w="512"/>
              <w:gridCol w:w="881"/>
              <w:gridCol w:w="310"/>
              <w:gridCol w:w="462"/>
              <w:gridCol w:w="639"/>
              <w:gridCol w:w="310"/>
              <w:gridCol w:w="310"/>
              <w:gridCol w:w="2023"/>
              <w:gridCol w:w="698"/>
              <w:gridCol w:w="858"/>
            </w:tblGrid>
            <w:tr>
              <w:trPr>
                <w:trHeight w:val="454"/>
              </w:trPr>
              <w:tc>
                <w:tcPr>
                  <w:tcW w:w="11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序号</w:t>
                  </w:r>
                </w:p>
              </w:tc>
              <w:tc>
                <w:tcPr>
                  <w:tcW w:w="11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产污环节</w:t>
                  </w:r>
                </w:p>
              </w:tc>
              <w:tc>
                <w:tcPr>
                  <w:tcW w:w="11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类别</w:t>
                  </w:r>
                </w:p>
              </w:tc>
              <w:tc>
                <w:tcPr>
                  <w:tcW w:w="218"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污染物种类</w:t>
                  </w:r>
                </w:p>
              </w:tc>
              <w:tc>
                <w:tcPr>
                  <w:tcW w:w="224"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废水量（t/a）</w:t>
                  </w:r>
                </w:p>
              </w:tc>
              <w:tc>
                <w:tcPr>
                  <w:tcW w:w="23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产生浓度（mg/l)</w:t>
                  </w:r>
                </w:p>
              </w:tc>
              <w:tc>
                <w:tcPr>
                  <w:tcW w:w="11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排放形式</w:t>
                  </w:r>
                </w:p>
              </w:tc>
              <w:tc>
                <w:tcPr>
                  <w:tcW w:w="94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治理设施</w:t>
                  </w:r>
                </w:p>
              </w:tc>
              <w:tc>
                <w:tcPr>
                  <w:tcW w:w="227"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排放口编号</w:t>
                  </w:r>
                </w:p>
              </w:tc>
              <w:tc>
                <w:tcPr>
                  <w:tcW w:w="224"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废水排放量（t/a）</w:t>
                  </w:r>
                </w:p>
              </w:tc>
              <w:tc>
                <w:tcPr>
                  <w:tcW w:w="182"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污染物排放浓度（mg</w:t>
                  </w:r>
                </w:p>
              </w:tc>
              <w:tc>
                <w:tcPr>
                  <w:tcW w:w="313"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污染物排放量（t/a）</w:t>
                  </w:r>
                </w:p>
              </w:tc>
              <w:tc>
                <w:tcPr>
                  <w:tcW w:w="110"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排放去向</w:t>
                  </w:r>
                </w:p>
              </w:tc>
              <w:tc>
                <w:tcPr>
                  <w:tcW w:w="164"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排放规律</w:t>
                  </w:r>
                </w:p>
              </w:tc>
              <w:tc>
                <w:tcPr>
                  <w:tcW w:w="116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排污口基本情况</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排放标准</w:t>
                  </w:r>
                </w:p>
              </w:tc>
            </w:tr>
            <w:tr>
              <w:trPr>
                <w:trHeight w:val="454"/>
              </w:trPr>
              <w:tc>
                <w:tcPr>
                  <w:tcW w:w="110" w:type="pct"/>
                  <w:vMerge/>
                  <w:tcBorders>
                    <w:left w:val="single" w:sz="4" w:space="0" w:color="000000"/>
                    <w:bottom w:val="single" w:sz="4" w:space="0" w:color="000000"/>
                    <w:right w:val="single" w:sz="4" w:space="0" w:color="000000"/>
                  </w:tcBorders>
                  <w:shd w:val="clear" w:color="auto" w:fill="auto"/>
                  <w:vAlign w:val="center"/>
                </w:tcPr>
                <w:p/>
              </w:tc>
              <w:tc>
                <w:tcPr>
                  <w:tcW w:w="110" w:type="pct"/>
                  <w:vMerge/>
                  <w:tcBorders>
                    <w:left w:val="single" w:sz="4" w:space="0" w:color="000000"/>
                    <w:right w:val="single" w:sz="4" w:space="0" w:color="000000"/>
                  </w:tcBorders>
                  <w:shd w:val="clear" w:color="auto" w:fill="auto"/>
                  <w:vAlign w:val="center"/>
                </w:tcPr>
                <w:p/>
              </w:tc>
              <w:tc>
                <w:tcPr>
                  <w:tcW w:w="110" w:type="pct"/>
                  <w:vMerge/>
                  <w:tcBorders>
                    <w:left w:val="single" w:sz="4" w:space="0" w:color="000000"/>
                    <w:right w:val="single" w:sz="4" w:space="0" w:color="000000"/>
                  </w:tcBorders>
                  <w:shd w:val="clear" w:color="auto" w:fill="auto"/>
                  <w:vAlign w:val="center"/>
                </w:tcPr>
                <w:p/>
              </w:tc>
              <w:tc>
                <w:tcPr>
                  <w:tcW w:w="218" w:type="pct"/>
                  <w:vMerge/>
                  <w:tcBorders>
                    <w:left w:val="single" w:sz="4" w:space="0" w:color="000000"/>
                    <w:bottom w:val="single" w:sz="4" w:space="0" w:color="000000"/>
                    <w:right w:val="single" w:sz="4" w:space="0" w:color="000000"/>
                  </w:tcBorders>
                  <w:shd w:val="clear" w:color="auto" w:fill="auto"/>
                  <w:vAlign w:val="center"/>
                </w:tcPr>
                <w:p/>
              </w:tc>
              <w:tc>
                <w:tcPr>
                  <w:tcW w:w="224" w:type="pct"/>
                  <w:vMerge/>
                  <w:tcBorders>
                    <w:left w:val="single" w:sz="4" w:space="0" w:color="000000"/>
                    <w:bottom w:val="single" w:sz="4" w:space="0" w:color="000000"/>
                    <w:right w:val="single" w:sz="4" w:space="0" w:color="000000"/>
                  </w:tcBorders>
                  <w:shd w:val="clear" w:color="auto" w:fill="auto"/>
                  <w:vAlign w:val="center"/>
                </w:tcPr>
                <w:p/>
              </w:tc>
              <w:tc>
                <w:tcPr>
                  <w:tcW w:w="230" w:type="pct"/>
                  <w:vMerge/>
                  <w:tcBorders>
                    <w:left w:val="single" w:sz="4" w:space="0" w:color="000000"/>
                    <w:bottom w:val="single" w:sz="4" w:space="0" w:color="000000"/>
                    <w:right w:val="single" w:sz="4" w:space="0" w:color="000000"/>
                  </w:tcBorders>
                  <w:shd w:val="clear" w:color="auto" w:fill="auto"/>
                  <w:vAlign w:val="center"/>
                </w:tcPr>
                <w:p/>
              </w:tc>
              <w:tc>
                <w:tcPr>
                  <w:tcW w:w="110" w:type="pct"/>
                  <w:vMerge/>
                  <w:tcBorders>
                    <w:left w:val="single" w:sz="4" w:space="0" w:color="000000"/>
                    <w:bottom w:val="single" w:sz="4" w:space="0" w:color="000000"/>
                    <w:right w:val="single" w:sz="4" w:space="0" w:color="000000"/>
                  </w:tcBorders>
                  <w:shd w:val="clear" w:color="auto" w:fill="auto"/>
                  <w:vAlign w:val="center"/>
                </w:tcPr>
                <w:p/>
              </w:tc>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污染防治设施名称</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编号</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处理能力</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收集效率</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治理工艺及</w:t>
                  </w:r>
                  <w:r>
                    <w:rPr>
                      <w:rFonts w:ascii="Times New Roman" w:eastAsia="宋体" w:cs="Times New Roman" w:hAnsi="Times New Roman" w:hint="eastAsia"/>
                      <w:b/>
                      <w:bCs/>
                      <w:color w:val="auto"/>
                      <w:kern w:val="0"/>
                      <w:sz w:val="21"/>
                      <w:szCs w:val="21"/>
                      <w:u w:val="none"/>
                      <w:lang w:val="en-US" w:eastAsia="zh-CN"/>
                    </w:rPr>
                    <w:t>去除</w:t>
                  </w:r>
                  <w:r>
                    <w:rPr>
                      <w:rFonts w:ascii="Times New Roman" w:eastAsia="宋体" w:cs="Times New Roman" w:hAnsi="Times New Roman" w:hint="eastAsia"/>
                      <w:b/>
                      <w:bCs/>
                      <w:color w:val="auto"/>
                      <w:kern w:val="0"/>
                      <w:sz w:val="21"/>
                      <w:szCs w:val="21"/>
                      <w:u w:val="none"/>
                      <w:lang w:eastAsia="zh-CN"/>
                    </w:rPr>
                    <w:t>效率</w:t>
                  </w:r>
                </w:p>
              </w:tc>
              <w:tc>
                <w:tcPr>
                  <w:tcW w:w="111"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是否为可行技术</w:t>
                  </w:r>
                </w:p>
              </w:tc>
              <w:tc>
                <w:tcPr>
                  <w:tcW w:w="227" w:type="pct"/>
                  <w:vMerge/>
                  <w:tcBorders>
                    <w:left w:val="single" w:sz="4" w:space="0" w:color="000000"/>
                    <w:bottom w:val="single" w:sz="4" w:space="0" w:color="000000"/>
                    <w:right w:val="single" w:sz="4" w:space="0" w:color="000000"/>
                  </w:tcBorders>
                  <w:shd w:val="clear" w:color="auto" w:fill="auto"/>
                  <w:vAlign w:val="center"/>
                </w:tcPr>
                <w:p/>
              </w:tc>
              <w:tc>
                <w:tcPr>
                  <w:tcW w:w="224" w:type="pct"/>
                  <w:vMerge/>
                  <w:tcBorders>
                    <w:left w:val="single" w:sz="4" w:space="0" w:color="000000"/>
                    <w:bottom w:val="single" w:sz="4" w:space="0" w:color="000000"/>
                    <w:right w:val="single" w:sz="4" w:space="0" w:color="000000"/>
                  </w:tcBorders>
                  <w:shd w:val="clear" w:color="auto" w:fill="auto"/>
                  <w:vAlign w:val="center"/>
                </w:tcPr>
                <w:p/>
              </w:tc>
              <w:tc>
                <w:tcPr>
                  <w:tcW w:w="182" w:type="pct"/>
                  <w:vMerge/>
                  <w:tcBorders>
                    <w:left w:val="single" w:sz="4" w:space="0" w:color="000000"/>
                    <w:bottom w:val="single" w:sz="4" w:space="0" w:color="000000"/>
                    <w:right w:val="single" w:sz="4" w:space="0" w:color="000000"/>
                  </w:tcBorders>
                  <w:shd w:val="clear" w:color="auto" w:fill="auto"/>
                  <w:vAlign w:val="center"/>
                </w:tcPr>
                <w:p/>
              </w:tc>
              <w:tc>
                <w:tcPr>
                  <w:tcW w:w="313" w:type="pct"/>
                  <w:vMerge/>
                  <w:tcBorders>
                    <w:left w:val="single" w:sz="4" w:space="0" w:color="000000"/>
                    <w:bottom w:val="single" w:sz="4" w:space="0" w:color="000000"/>
                    <w:right w:val="single" w:sz="4" w:space="0" w:color="000000"/>
                  </w:tcBorders>
                  <w:shd w:val="clear" w:color="auto" w:fill="auto"/>
                  <w:vAlign w:val="center"/>
                </w:tcPr>
                <w:p/>
              </w:tc>
              <w:tc>
                <w:tcPr>
                  <w:tcW w:w="110" w:type="pct"/>
                  <w:vMerge/>
                  <w:tcBorders>
                    <w:left w:val="single" w:sz="4" w:space="0" w:color="000000"/>
                    <w:bottom w:val="single" w:sz="4" w:space="0" w:color="000000"/>
                    <w:right w:val="single" w:sz="4" w:space="0" w:color="000000"/>
                  </w:tcBorders>
                  <w:shd w:val="clear" w:color="auto" w:fill="auto"/>
                  <w:vAlign w:val="center"/>
                </w:tcPr>
                <w:p/>
              </w:tc>
              <w:tc>
                <w:tcPr>
                  <w:tcW w:w="164" w:type="pct"/>
                  <w:vMerge/>
                  <w:tcBorders>
                    <w:left w:val="single" w:sz="4" w:space="0" w:color="000000"/>
                    <w:bottom w:val="single" w:sz="4" w:space="0" w:color="000000"/>
                    <w:right w:val="single" w:sz="4" w:space="0" w:color="000000"/>
                  </w:tcBorders>
                  <w:shd w:val="clear" w:color="auto" w:fill="auto"/>
                  <w:vAlign w:val="center"/>
                </w:tc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编号</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名称</w:t>
                  </w:r>
                </w:p>
              </w:tc>
              <w:tc>
                <w:tcPr>
                  <w:tcW w:w="11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类型</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坐标</w:t>
                  </w: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ind w:firstLineChars="200" w:firstLine="420"/>
                    <w:jc w:val="center"/>
                    <w:textAlignment w:val="auto"/>
                    <w:rPr>
                      <w:rFonts w:ascii="Times New Roman" w:eastAsia="宋体" w:cs="Times New Roman" w:hAnsi="Times New Roman" w:hint="eastAsia"/>
                      <w:b/>
                      <w:bCs/>
                      <w:color w:val="auto"/>
                      <w:kern w:val="0"/>
                      <w:sz w:val="21"/>
                      <w:szCs w:val="21"/>
                      <w:u w:val="none"/>
                      <w:lang w:eastAsia="zh-CN"/>
                    </w:rPr>
                  </w:pPr>
                  <w:r>
                    <w:rPr>
                      <w:rFonts w:ascii="Times New Roman" w:eastAsia="宋体" w:cs="Times New Roman" w:hAnsi="Times New Roman" w:hint="eastAsia"/>
                      <w:b/>
                      <w:bCs/>
                      <w:color w:val="auto"/>
                      <w:kern w:val="0"/>
                      <w:sz w:val="21"/>
                      <w:szCs w:val="21"/>
                      <w:u w:val="none"/>
                      <w:lang w:eastAsia="zh-CN"/>
                    </w:rPr>
                    <w:t>排放浓度（mg</w:t>
                  </w:r>
                </w:p>
                <w:p>
                  <w:pPr>
                    <w:keepNext w:val="0"/>
                    <w:keepLines w:val="0"/>
                    <w:pageBreakBefore w:val="0"/>
                    <w:widowControl w:val="0"/>
                    <w:kinsoku/>
                    <w:wordWrap/>
                    <w:overflowPunct w:val="0"/>
                    <w:topLinePunct w:val="0"/>
                    <w:autoSpaceDE/>
                    <w:autoSpaceDN/>
                    <w:bidi w:val="0"/>
                    <w:adjustRightInd/>
                    <w:snapToGrid/>
                    <w:ind w:firstLineChars="200" w:firstLine="420"/>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/l）</w:t>
                  </w:r>
                </w:p>
              </w:tc>
              <w:tc>
                <w:tcPr>
                  <w:tcW w:w="304"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eastAsia="zh-CN"/>
                    </w:rPr>
                    <w:t>基准排水量</w:t>
                  </w:r>
                </w:p>
              </w:tc>
            </w:tr>
            <w:tr>
              <w:trPr>
                <w:trHeight w:val="454"/>
              </w:trPr>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w:t>
                  </w:r>
                </w:p>
              </w:tc>
              <w:tc>
                <w:tcPr>
                  <w:tcW w:w="2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生活污水</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pH</w:t>
                  </w: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120</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间接排放</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化粪池</w:t>
                  </w:r>
                </w:p>
              </w:tc>
              <w:tc>
                <w:tcPr>
                  <w:tcW w:w="2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TW001</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100%</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是</w:t>
                  </w:r>
                </w:p>
              </w:tc>
              <w:tc>
                <w:tcPr>
                  <w:tcW w:w="22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DW001</w:t>
                  </w: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96</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桃源县城第二污水处理厂</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间断排放，排放期间流量不稳定且无规律，但不属于冲击型排放</w:t>
                  </w:r>
                </w:p>
              </w:tc>
              <w:tc>
                <w:tcPr>
                  <w:tcW w:w="22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DW001</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综合废水排口</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一般排放口</w:t>
                  </w:r>
                </w:p>
              </w:tc>
              <w:tc>
                <w:tcPr>
                  <w:tcW w:w="7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111°29'14.978",28°56'24.217"</w:t>
                  </w: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w:t>
                  </w: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COD</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50%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0.012</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320</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BOD5</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84</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0.008064</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155</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SS</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200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0.0144</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265</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NH3-N</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22.5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0.00216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w:t>
                  </w:r>
                </w:p>
              </w:tc>
              <w:tc>
                <w:tcPr>
                  <w:tcW w:w="2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设备清洗用水</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COD</w:t>
                  </w: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hint="eastAsia"/>
                      <w:b w:val="0"/>
                      <w:bCs w:val="0"/>
                      <w:color w:val="auto"/>
                      <w:kern w:val="0"/>
                      <w:sz w:val="21"/>
                      <w:szCs w:val="21"/>
                      <w:u w:val="none"/>
                      <w:lang w:val="en-US" w:eastAsia="zh-CN"/>
                    </w:rPr>
                    <w:t>12</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间接排放</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hint="eastAsia"/>
                      <w:b w:val="0"/>
                      <w:bCs w:val="0"/>
                      <w:color w:val="auto"/>
                      <w:kern w:val="0"/>
                      <w:sz w:val="21"/>
                      <w:szCs w:val="21"/>
                      <w:u w:val="none"/>
                      <w:lang w:val="en-US" w:eastAsia="zh-CN"/>
                    </w:rPr>
                    <w:t>隔油、气浮、水解酸化</w:t>
                  </w:r>
                </w:p>
              </w:tc>
              <w:tc>
                <w:tcPr>
                  <w:tcW w:w="2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TW002</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100%</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80%</w:t>
                  </w:r>
                </w:p>
              </w:tc>
              <w:tc>
                <w:tcPr>
                  <w:tcW w:w="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是</w:t>
                  </w: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hint="eastAsia"/>
                      <w:b w:val="0"/>
                      <w:bCs w:val="0"/>
                      <w:color w:val="auto"/>
                      <w:kern w:val="0"/>
                      <w:sz w:val="21"/>
                      <w:szCs w:val="21"/>
                      <w:u w:val="none"/>
                      <w:lang w:val="en-US" w:eastAsia="zh-CN"/>
                    </w:rPr>
                    <w:t>9.6</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320</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ind w:firstLineChars="200" w:firstLine="420"/>
                    <w:jc w:val="center"/>
                    <w:textAlignment w:val="auto"/>
                    <w:rPr>
                      <w:rFonts w:ascii="Times New Roman" w:eastAsia="宋体" w:cs="Times New Roman" w:hAnsi="Times New Roman" w:hint="eastAsia"/>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val="en-US" w:eastAsia="zh-CN"/>
                    </w:rPr>
                    <w:t>0.4m³</w:t>
                  </w:r>
                </w:p>
                <w:p>
                  <w:pPr>
                    <w:keepNext w:val="0"/>
                    <w:keepLines w:val="0"/>
                    <w:pageBreakBefore w:val="0"/>
                    <w:widowControl w:val="0"/>
                    <w:kinsoku/>
                    <w:wordWrap/>
                    <w:overflowPunct w:val="0"/>
                    <w:topLinePunct w:val="0"/>
                    <w:autoSpaceDE/>
                    <w:autoSpaceDN/>
                    <w:bidi w:val="0"/>
                    <w:adjustRightInd/>
                    <w:snapToGrid/>
                    <w:ind w:firstLineChars="200" w:firstLine="420"/>
                    <w:jc w:val="center"/>
                    <w:textAlignment w:val="auto"/>
                    <w:rPr>
                      <w:rFonts w:ascii="Times New Roman" w:eastAsia="宋体" w:cs="Times New Roman" w:hAnsi="Times New Roman"/>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val="en-US" w:eastAsia="zh-CN"/>
                    </w:rPr>
                    <w:t>/t产品</w:t>
                  </w: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BOD5</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175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0.00252</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b w:val="0"/>
                      <w:bCs w:val="0"/>
                      <w:color w:val="auto"/>
                      <w:kern w:val="0"/>
                      <w:sz w:val="21"/>
                      <w:szCs w:val="21"/>
                      <w:u w:val="none"/>
                      <w:lang w:val="en-US" w:eastAsia="zh-CN"/>
                    </w:rPr>
                    <w:t>155</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氨氮</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0.001296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b w:val="0"/>
                      <w:bCs w:val="0"/>
                      <w:color w:val="auto"/>
                      <w:kern w:val="0"/>
                      <w:sz w:val="21"/>
                      <w:szCs w:val="21"/>
                      <w:u w:val="none"/>
                      <w:lang w:val="en-US" w:eastAsia="zh-CN"/>
                    </w:rPr>
                    <w:t>30</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SS</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200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0.00216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265</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动植物油</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0.000036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hint="eastAsia"/>
                      <w:b w:val="0"/>
                      <w:bCs w:val="0"/>
                      <w:color w:val="auto"/>
                      <w:kern w:val="0"/>
                      <w:sz w:val="21"/>
                      <w:szCs w:val="21"/>
                      <w:u w:val="none"/>
                      <w:lang w:val="en-US" w:eastAsia="zh-CN"/>
                    </w:rPr>
                    <w:t>100</w:t>
                  </w: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w:t>
                  </w:r>
                </w:p>
              </w:tc>
              <w:tc>
                <w:tcPr>
                  <w:tcW w:w="2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地面清洗用水</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COD</w:t>
                  </w: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200</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间接排放</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化粪池</w:t>
                  </w:r>
                </w:p>
              </w:tc>
              <w:tc>
                <w:tcPr>
                  <w:tcW w:w="2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TW001</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100%</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80%</w:t>
                  </w:r>
                </w:p>
              </w:tc>
              <w:tc>
                <w:tcPr>
                  <w:tcW w:w="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是</w:t>
                  </w: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9.6</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40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0.000384</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320</w:t>
                  </w:r>
                </w:p>
              </w:tc>
              <w:tc>
                <w:tcPr>
                  <w:tcW w:w="304"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bCs/>
                      <w:color w:val="auto"/>
                      <w:kern w:val="0"/>
                      <w:sz w:val="21"/>
                      <w:szCs w:val="21"/>
                      <w:u w:val="none"/>
                      <w:lang w:eastAsia="zh-CN"/>
                    </w:rPr>
                  </w:pPr>
                  <w:r>
                    <w:rPr>
                      <w:rFonts w:ascii="Times New Roman" w:eastAsia="宋体" w:cs="Times New Roman" w:hAnsi="Times New Roman"/>
                      <w:b/>
                      <w:bCs/>
                      <w:color w:val="auto"/>
                      <w:kern w:val="0"/>
                      <w:sz w:val="21"/>
                      <w:szCs w:val="21"/>
                      <w:u w:val="none"/>
                      <w:lang w:val="en-US" w:eastAsia="zh-CN"/>
                    </w:rPr>
                    <w:t>/</w:t>
                  </w: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BOD5</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80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56</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0.0005376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155</w:t>
                  </w:r>
                </w:p>
              </w:tc>
              <w:tc>
                <w:tcPr>
                  <w:tcW w:w="304" w:type="pct"/>
                  <w:vMerge/>
                  <w:tcBorders>
                    <w:left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SS</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112.5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0.00108</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265</w:t>
                  </w:r>
                </w:p>
              </w:tc>
              <w:tc>
                <w:tcPr>
                  <w:tcW w:w="304" w:type="pct"/>
                  <w:vMerge/>
                  <w:tcBorders>
                    <w:left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氨氮</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18.75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0.00018</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304" w:type="pct"/>
                  <w:vMerge/>
                  <w:tcBorders>
                    <w:left w:val="single" w:sz="4" w:space="0" w:color="000000"/>
                    <w:right w:val="single" w:sz="4" w:space="0" w:color="000000"/>
                  </w:tcBorders>
                  <w:shd w:val="clear" w:color="auto" w:fill="auto"/>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动植物油</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0.0000096</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hint="eastAsia"/>
                      <w:b w:val="0"/>
                      <w:bCs w:val="0"/>
                      <w:color w:val="auto"/>
                      <w:kern w:val="0"/>
                      <w:sz w:val="21"/>
                      <w:szCs w:val="21"/>
                      <w:u w:val="none"/>
                      <w:lang w:val="en-US" w:eastAsia="zh-CN"/>
                    </w:rPr>
                    <w:t>100</w:t>
                  </w:r>
                </w:p>
              </w:tc>
              <w:tc>
                <w:tcPr>
                  <w:tcW w:w="304" w:type="pct"/>
                  <w:vMerge/>
                  <w:tcBorders>
                    <w:left w:val="single" w:sz="4" w:space="0" w:color="000000"/>
                    <w:bottom w:val="single" w:sz="4" w:space="0" w:color="000000"/>
                    <w:right w:val="single" w:sz="4" w:space="0" w:color="000000"/>
                  </w:tcBorders>
                  <w:shd w:val="clear" w:color="auto" w:fill="auto"/>
                  <w:vAlign w:val="center"/>
                </w:tcPr>
                <w:p/>
              </w:tc>
            </w:tr>
            <w:tr>
              <w:trPr>
                <w:trHeight w:val="454"/>
              </w:trPr>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4</w:t>
                  </w:r>
                </w:p>
              </w:tc>
              <w:tc>
                <w:tcPr>
                  <w:tcW w:w="22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脱胶/脱酸废水</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pH</w:t>
                  </w: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11.25</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5~6.5</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间接排放</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外售</w:t>
                  </w:r>
                </w:p>
              </w:tc>
              <w:tc>
                <w:tcPr>
                  <w:tcW w:w="2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val="en-US" w:eastAsia="zh-CN"/>
                    </w:rPr>
                  </w:pPr>
                  <w:r>
                    <w:rPr>
                      <w:rFonts w:ascii="Times New Roman" w:eastAsia="宋体" w:cs="Times New Roman" w:hAnsi="Times New Roman"/>
                      <w:b w:val="0"/>
                      <w:bCs w:val="0"/>
                      <w:color w:val="auto"/>
                      <w:kern w:val="0"/>
                      <w:sz w:val="21"/>
                      <w:szCs w:val="21"/>
                      <w:u w:val="none"/>
                      <w:lang w:val="en-US" w:eastAsia="zh-CN"/>
                    </w:rPr>
                    <w:t>1</w:t>
                  </w:r>
                  <w:r>
                    <w:rPr>
                      <w:rFonts w:cs="Times New Roman" w:hint="eastAsia"/>
                      <w:b w:val="0"/>
                      <w:bCs w:val="0"/>
                      <w:color w:val="auto"/>
                      <w:kern w:val="0"/>
                      <w:sz w:val="21"/>
                      <w:szCs w:val="21"/>
                      <w:u w:val="none"/>
                      <w:lang w:val="en-US" w:eastAsia="zh-CN"/>
                    </w:rPr>
                    <w:t>00%</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1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是</w:t>
                  </w: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cs="Times New Roman" w:hint="eastAsia"/>
                      <w:b w:val="0"/>
                      <w:bCs w:val="0"/>
                      <w:color w:val="auto"/>
                      <w:kern w:val="0"/>
                      <w:sz w:val="21"/>
                      <w:szCs w:val="21"/>
                      <w:u w:val="none"/>
                      <w:lang w:val="en-US" w:eastAsia="zh-CN"/>
                    </w:rPr>
                    <w:t>/</w:t>
                  </w: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22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1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7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w:t>
                  </w: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6~9</w:t>
                  </w:r>
                </w:p>
              </w:tc>
              <w:tc>
                <w:tcPr>
                  <w:tcW w:w="304" w:type="pct"/>
                  <w:vMerge w:val="restart"/>
                  <w:tcBorders>
                    <w:top w:val="single" w:sz="4" w:space="0" w:color="000000"/>
                    <w:left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hint="eastAsia"/>
                      <w:b/>
                      <w:bCs/>
                      <w:color w:val="auto"/>
                      <w:kern w:val="0"/>
                      <w:sz w:val="21"/>
                      <w:szCs w:val="21"/>
                      <w:u w:val="none"/>
                      <w:lang w:val="en-US" w:eastAsia="zh-CN"/>
                    </w:rPr>
                  </w:pPr>
                  <w:r>
                    <w:rPr>
                      <w:rFonts w:ascii="Times New Roman" w:eastAsia="宋体" w:cs="Times New Roman" w:hAnsi="Times New Roman" w:hint="eastAsia"/>
                      <w:b/>
                      <w:bCs/>
                      <w:color w:val="auto"/>
                      <w:kern w:val="0"/>
                      <w:sz w:val="21"/>
                      <w:szCs w:val="21"/>
                      <w:u w:val="none"/>
                      <w:lang w:val="en-US" w:eastAsia="zh-CN"/>
                    </w:rPr>
                    <w:t>/</w:t>
                  </w: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COD</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1000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80%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200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0.0018</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320</w:t>
                  </w:r>
                </w:p>
              </w:tc>
              <w:tc>
                <w:tcPr>
                  <w:tcW w:w="304" w:type="pct"/>
                  <w:vMerge/>
                  <w:tcBorders>
                    <w:left w:val="single" w:sz="4" w:space="0" w:color="000000"/>
                    <w:right w:val="single" w:sz="4" w:space="0" w:color="000000"/>
                  </w:tcBorders>
                  <w:shd w:val="clear" w:color="auto" w:fill="auto"/>
                  <w:noWrap/>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BOD5</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400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280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0.00252</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155</w:t>
                  </w:r>
                </w:p>
              </w:tc>
              <w:tc>
                <w:tcPr>
                  <w:tcW w:w="304" w:type="pct"/>
                  <w:vMerge/>
                  <w:tcBorders>
                    <w:left w:val="single" w:sz="4" w:space="0" w:color="000000"/>
                    <w:right w:val="single" w:sz="4" w:space="0" w:color="000000"/>
                  </w:tcBorders>
                  <w:shd w:val="clear" w:color="auto" w:fill="auto"/>
                  <w:noWrap/>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SS</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200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150</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0.00135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265</w:t>
                  </w:r>
                </w:p>
              </w:tc>
              <w:tc>
                <w:tcPr>
                  <w:tcW w:w="304" w:type="pct"/>
                  <w:vMerge/>
                  <w:tcBorders>
                    <w:left w:val="single" w:sz="4" w:space="0" w:color="000000"/>
                    <w:right w:val="single" w:sz="4" w:space="0" w:color="000000"/>
                  </w:tcBorders>
                  <w:shd w:val="clear" w:color="auto" w:fill="auto"/>
                  <w:noWrap/>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氨氮</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26.25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0.00023625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30</w:t>
                  </w:r>
                </w:p>
              </w:tc>
              <w:tc>
                <w:tcPr>
                  <w:tcW w:w="304" w:type="pct"/>
                  <w:vMerge/>
                  <w:tcBorders>
                    <w:left w:val="single" w:sz="4" w:space="0" w:color="000000"/>
                    <w:right w:val="single" w:sz="4" w:space="0" w:color="000000"/>
                  </w:tcBorders>
                  <w:shd w:val="clear" w:color="auto" w:fill="auto"/>
                  <w:noWrap/>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TP</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25%</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3.75</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0.00003375</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hint="eastAsia"/>
                      <w:b w:val="0"/>
                      <w:bCs w:val="0"/>
                      <w:color w:val="auto"/>
                      <w:kern w:val="0"/>
                      <w:sz w:val="21"/>
                      <w:szCs w:val="21"/>
                      <w:u w:val="none"/>
                      <w:lang w:val="en-US" w:eastAsia="zh-CN"/>
                    </w:rPr>
                  </w:pPr>
                  <w:r>
                    <w:rPr>
                      <w:rFonts w:ascii="Times New Roman" w:eastAsia="宋体" w:cs="Times New Roman" w:hAnsi="Times New Roman" w:hint="eastAsia"/>
                      <w:b w:val="0"/>
                      <w:bCs w:val="0"/>
                      <w:color w:val="auto"/>
                      <w:kern w:val="0"/>
                      <w:sz w:val="21"/>
                      <w:szCs w:val="21"/>
                      <w:u w:val="none"/>
                      <w:lang w:val="en-US" w:eastAsia="zh-CN"/>
                    </w:rPr>
                    <w:t>-</w:t>
                  </w:r>
                </w:p>
              </w:tc>
              <w:tc>
                <w:tcPr>
                  <w:tcW w:w="304" w:type="pct"/>
                  <w:vMerge/>
                  <w:tcBorders>
                    <w:left w:val="single" w:sz="4" w:space="0" w:color="000000"/>
                    <w:right w:val="single" w:sz="4" w:space="0" w:color="000000"/>
                  </w:tcBorders>
                  <w:shd w:val="clear" w:color="auto" w:fill="auto"/>
                  <w:noWrap/>
                  <w:vAlign w:val="center"/>
                </w:tcPr>
                <w:p/>
              </w:tc>
            </w:tr>
            <w:tr>
              <w:trPr>
                <w:trHeight w:val="454"/>
              </w:trPr>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动植物油</w:t>
                  </w: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120</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90%</w:t>
                  </w:r>
                </w:p>
              </w:tc>
              <w:tc>
                <w:tcPr>
                  <w:tcW w:w="1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12</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b w:val="0"/>
                      <w:bCs w:val="0"/>
                      <w:color w:val="auto"/>
                      <w:kern w:val="0"/>
                      <w:sz w:val="21"/>
                      <w:szCs w:val="21"/>
                      <w:u w:val="none"/>
                      <w:lang w:val="en-US" w:eastAsia="zh-CN"/>
                    </w:rPr>
                    <w:t>0.000108</w:t>
                  </w: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2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1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248" w:type="pct"/>
                  <w:tcBorders>
                    <w:top w:val="single" w:sz="4" w:space="0" w:color="000000"/>
                    <w:left w:val="single" w:sz="4" w:space="0" w:color="000000"/>
                    <w:bottom w:val="single" w:sz="4" w:space="0" w:color="000000"/>
                    <w:right w:val="single" w:sz="4" w:space="0" w:color="00000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ascii="Times New Roman" w:eastAsia="宋体" w:cs="Times New Roman" w:hAnsi="Times New Roman"/>
                      <w:b w:val="0"/>
                      <w:bCs w:val="0"/>
                      <w:color w:val="auto"/>
                      <w:kern w:val="0"/>
                      <w:sz w:val="21"/>
                      <w:szCs w:val="21"/>
                      <w:u w:val="none"/>
                      <w:lang w:eastAsia="zh-CN"/>
                    </w:rPr>
                  </w:pPr>
                  <w:r>
                    <w:rPr>
                      <w:rFonts w:ascii="Times New Roman" w:eastAsia="宋体" w:cs="Times New Roman" w:hAnsi="Times New Roman" w:hint="eastAsia"/>
                      <w:b w:val="0"/>
                      <w:bCs w:val="0"/>
                      <w:color w:val="auto"/>
                      <w:kern w:val="0"/>
                      <w:sz w:val="21"/>
                      <w:szCs w:val="21"/>
                      <w:u w:val="none"/>
                      <w:lang w:val="en-US" w:eastAsia="zh-CN"/>
                    </w:rPr>
                    <w:t>100</w:t>
                  </w:r>
                </w:p>
              </w:tc>
              <w:tc>
                <w:tcPr>
                  <w:tcW w:w="304" w:type="pct"/>
                  <w:vMerge/>
                  <w:tcBorders>
                    <w:left w:val="single" w:sz="4" w:space="0" w:color="000000"/>
                    <w:bottom w:val="single" w:sz="4" w:space="0" w:color="000000"/>
                    <w:right w:val="single" w:sz="4" w:space="0" w:color="000000"/>
                  </w:tcBorders>
                  <w:shd w:val="clear" w:color="auto" w:fill="auto"/>
                  <w:noWrap/>
                  <w:vAlign w:val="center"/>
                </w:tcPr>
                <w:p/>
              </w:tc>
            </w:tr>
          </w:tbl>
          <w:p>
            <w:pPr>
              <w:pageBreakBefore w:val="0"/>
              <w:widowControl w:val="0"/>
              <w:kinsoku/>
              <w:overflowPunct/>
              <w:bidi w:val="0"/>
              <w:spacing w:beforeLines="50" w:before="120" w:line="360" w:lineRule="auto"/>
              <w:ind w:firstLineChars="200" w:firstLine="480"/>
              <w:textAlignment w:val="baseline"/>
              <w:rPr>
                <w:rFonts w:hint="eastAsia"/>
                <w:b/>
                <w:bCs/>
                <w:color w:val="auto"/>
                <w:sz w:val="24"/>
              </w:rPr>
            </w:pPr>
            <w:r>
              <w:rPr>
                <w:rFonts w:hint="eastAsia"/>
                <w:b/>
                <w:bCs/>
                <w:color w:val="auto"/>
                <w:sz w:val="24"/>
              </w:rPr>
              <w:t>2、废水污染防治措施</w:t>
            </w:r>
            <w:r>
              <w:rPr>
                <w:rFonts w:hint="eastAsia"/>
                <w:b/>
                <w:bCs/>
                <w:color w:val="auto"/>
                <w:sz w:val="24"/>
                <w:lang w:eastAsia="zh-CN"/>
              </w:rPr>
              <w:t>可行性</w:t>
            </w:r>
            <w:r>
              <w:rPr>
                <w:rFonts w:hint="eastAsia"/>
                <w:b/>
                <w:bCs/>
                <w:color w:val="auto"/>
                <w:sz w:val="24"/>
              </w:rPr>
              <w:t>分析</w:t>
            </w:r>
          </w:p>
          <w:p>
            <w:pPr>
              <w:pageBreakBefore w:val="0"/>
              <w:widowControl w:val="0"/>
              <w:tabs>
                <w:tab w:val="center" w:pos="4234"/>
              </w:tabs>
              <w:kinsoku/>
              <w:overflowPunct/>
              <w:bidi w:val="0"/>
              <w:adjustRightInd w:val="0"/>
              <w:snapToGrid w:val="0"/>
              <w:spacing w:line="360" w:lineRule="auto"/>
              <w:ind w:firstLineChars="200" w:firstLine="480"/>
              <w:rPr>
                <w:rFonts w:hint="eastAsia"/>
                <w:color w:val="auto"/>
                <w:kern w:val="0"/>
                <w:sz w:val="24"/>
                <w:u w:val="none"/>
                <w:lang w:eastAsia="zh-CN"/>
              </w:rPr>
            </w:pPr>
            <w:r>
              <w:rPr>
                <w:rFonts w:hint="eastAsia"/>
                <w:color w:val="auto"/>
                <w:kern w:val="0"/>
                <w:sz w:val="24"/>
                <w:u w:val="none"/>
                <w:lang w:eastAsia="zh-CN"/>
              </w:rPr>
              <w:t>生活污水经化粪池处理后外排</w:t>
            </w:r>
            <w:r>
              <w:rPr>
                <w:rFonts w:hint="eastAsia"/>
                <w:color w:val="auto"/>
                <w:kern w:val="0"/>
                <w:sz w:val="24"/>
                <w:u w:val="none"/>
                <w:lang w:val="en-US" w:eastAsia="zh-CN"/>
              </w:rPr>
              <w:t>污水管网</w:t>
            </w:r>
            <w:r>
              <w:rPr>
                <w:rFonts w:hint="eastAsia"/>
                <w:color w:val="auto"/>
                <w:kern w:val="0"/>
                <w:sz w:val="24"/>
                <w:u w:val="none"/>
                <w:lang w:eastAsia="zh-CN"/>
              </w:rPr>
              <w:t>；</w:t>
            </w:r>
            <w:r>
              <w:rPr>
                <w:rFonts w:hint="eastAsia"/>
                <w:color w:val="auto"/>
                <w:kern w:val="0"/>
                <w:sz w:val="24"/>
                <w:u w:val="none"/>
                <w:lang w:val="en-US" w:eastAsia="zh-CN"/>
              </w:rPr>
              <w:t>生产</w:t>
            </w:r>
            <w:r>
              <w:rPr>
                <w:rFonts w:hint="eastAsia"/>
                <w:color w:val="auto"/>
                <w:kern w:val="0"/>
                <w:sz w:val="24"/>
                <w:u w:val="none"/>
                <w:lang w:eastAsia="zh-CN"/>
              </w:rPr>
              <w:t>废水在</w:t>
            </w:r>
            <w:r>
              <w:rPr>
                <w:rFonts w:hint="eastAsia"/>
                <w:color w:val="auto"/>
                <w:kern w:val="0"/>
                <w:sz w:val="24"/>
                <w:u w:val="none"/>
                <w:lang w:val="en-US" w:eastAsia="zh-CN"/>
              </w:rPr>
              <w:t>隔油、气浮、水解酸化沉淀后（2m³）外排管网</w:t>
            </w:r>
            <w:r>
              <w:rPr>
                <w:rFonts w:hint="eastAsia"/>
                <w:color w:val="auto"/>
                <w:kern w:val="0"/>
                <w:sz w:val="24"/>
                <w:u w:val="none"/>
                <w:lang w:eastAsia="zh-CN"/>
              </w:rPr>
              <w:t>。</w:t>
            </w:r>
            <w:r>
              <w:rPr>
                <w:rFonts w:hint="eastAsia"/>
                <w:color w:val="auto"/>
                <w:kern w:val="0"/>
                <w:sz w:val="24"/>
                <w:u w:val="none"/>
                <w:lang w:val="en-US" w:eastAsia="zh-CN"/>
              </w:rPr>
              <w:t>对照</w:t>
            </w:r>
            <w:r>
              <w:rPr>
                <w:rFonts w:hint="eastAsia"/>
                <w:color w:val="auto"/>
                <w:kern w:val="0"/>
                <w:sz w:val="24"/>
                <w:u w:val="none"/>
                <w:lang w:eastAsia="zh-CN"/>
              </w:rPr>
              <w:t>《排污许可证申请与核发技术规范 农副食品加工工业—饲料加工、植物油加工工业》（HJ 1110-2020）</w:t>
            </w:r>
            <w:r>
              <w:rPr>
                <w:rFonts w:hint="eastAsia"/>
                <w:color w:val="auto"/>
                <w:kern w:val="0"/>
                <w:sz w:val="24"/>
                <w:u w:val="none"/>
                <w:lang w:val="en-US" w:eastAsia="zh-CN"/>
              </w:rPr>
              <w:t>附录B，气浮、隔油、沉淀为</w:t>
            </w:r>
            <w:r>
              <w:rPr>
                <w:rFonts w:hint="eastAsia"/>
                <w:color w:val="auto"/>
                <w:kern w:val="0"/>
                <w:sz w:val="24"/>
                <w:u w:val="none"/>
              </w:rPr>
              <w:t>可行措施，</w:t>
            </w:r>
            <w:r>
              <w:rPr>
                <w:rFonts w:hint="eastAsia"/>
                <w:color w:val="auto"/>
                <w:kern w:val="0"/>
                <w:sz w:val="24"/>
                <w:u w:val="none"/>
                <w:lang w:val="en-US" w:eastAsia="zh-CN"/>
              </w:rPr>
              <w:t>处理后的污水</w:t>
            </w:r>
            <w:r>
              <w:rPr>
                <w:rFonts w:hint="eastAsia"/>
                <w:color w:val="auto"/>
                <w:kern w:val="0"/>
                <w:sz w:val="24"/>
                <w:u w:val="none"/>
              </w:rPr>
              <w:t>对当地地表水水质不会产生</w:t>
            </w:r>
            <w:r>
              <w:rPr>
                <w:rFonts w:hint="eastAsia"/>
                <w:color w:val="auto"/>
                <w:kern w:val="0"/>
                <w:sz w:val="24"/>
                <w:u w:val="none"/>
                <w:lang w:val="en-US" w:eastAsia="zh-CN"/>
              </w:rPr>
              <w:t>重大</w:t>
            </w:r>
            <w:r>
              <w:rPr>
                <w:rFonts w:hint="eastAsia"/>
                <w:color w:val="auto"/>
                <w:kern w:val="0"/>
                <w:sz w:val="24"/>
                <w:u w:val="none"/>
              </w:rPr>
              <w:t>影响</w:t>
            </w:r>
            <w:r>
              <w:rPr>
                <w:rFonts w:hint="eastAsia"/>
                <w:color w:val="auto"/>
                <w:kern w:val="0"/>
                <w:sz w:val="24"/>
                <w:u w:val="none"/>
                <w:lang w:eastAsia="zh-CN"/>
              </w:rPr>
              <w:t>。</w:t>
            </w:r>
          </w:p>
          <w:p>
            <w:pPr>
              <w:pageBreakBefore w:val="0"/>
              <w:widowControl w:val="0"/>
              <w:kinsoku/>
              <w:overflowPunct/>
              <w:bidi w:val="0"/>
              <w:spacing w:beforeLines="50" w:before="120" w:line="360" w:lineRule="auto"/>
              <w:ind w:firstLineChars="200" w:firstLine="480"/>
              <w:textAlignment w:val="baseline"/>
              <w:rPr>
                <w:rFonts w:hint="eastAsia"/>
                <w:b/>
                <w:bCs/>
                <w:color w:val="auto"/>
                <w:sz w:val="24"/>
              </w:rPr>
            </w:pPr>
            <w:r>
              <w:rPr>
                <w:rFonts w:hint="eastAsia"/>
                <w:b/>
                <w:bCs/>
                <w:color w:val="auto"/>
                <w:sz w:val="24"/>
                <w:lang w:val="en-US" w:eastAsia="zh-CN"/>
              </w:rPr>
              <w:t>3、</w:t>
            </w:r>
            <w:r>
              <w:rPr>
                <w:rFonts w:hint="eastAsia"/>
                <w:b/>
                <w:bCs/>
                <w:color w:val="auto"/>
                <w:sz w:val="24"/>
              </w:rPr>
              <w:t>地表水环境影响分析</w:t>
            </w:r>
          </w:p>
          <w:p>
            <w:pPr>
              <w:pStyle w:val="58"/>
              <w:pageBreakBefore w:val="0"/>
              <w:widowControl w:val="0"/>
              <w:kinsoku/>
              <w:overflowPunct/>
              <w:bidi w:val="0"/>
              <w:rPr>
                <w:color w:val="auto"/>
                <w:u w:val="none"/>
              </w:rPr>
            </w:pPr>
            <w:r>
              <w:rPr>
                <w:color w:val="auto"/>
                <w:u w:val="none"/>
              </w:rPr>
              <w:t>1）排放可行性分析</w:t>
            </w:r>
          </w:p>
          <w:p>
            <w:pPr>
              <w:pStyle w:val="58"/>
              <w:pageBreakBefore w:val="0"/>
              <w:widowControl w:val="0"/>
              <w:kinsoku/>
              <w:overflowPunct/>
              <w:bidi w:val="0"/>
              <w:rPr>
                <w:color w:val="auto"/>
                <w:u w:val="none"/>
              </w:rPr>
            </w:pPr>
            <w:r>
              <w:rPr>
                <w:color w:val="auto"/>
                <w:u w:val="none"/>
              </w:rPr>
              <w:t>项目产生的生活污水及</w:t>
            </w:r>
            <w:r>
              <w:rPr>
                <w:rFonts w:hint="eastAsia"/>
                <w:color w:val="auto"/>
                <w:u w:val="none"/>
                <w:lang w:val="en-US" w:eastAsia="zh-CN"/>
              </w:rPr>
              <w:t>拖地</w:t>
            </w:r>
            <w:r>
              <w:rPr>
                <w:color w:val="auto"/>
                <w:u w:val="none"/>
              </w:rPr>
              <w:t>废水经预处理达接管标准后排入</w:t>
            </w:r>
            <w:r>
              <w:rPr>
                <w:rFonts w:hint="eastAsia"/>
                <w:color w:val="auto"/>
                <w:u w:val="none"/>
                <w:lang w:eastAsia="zh-CN"/>
              </w:rPr>
              <w:t>桃源县第二污水处理厂</w:t>
            </w:r>
            <w:r>
              <w:rPr>
                <w:color w:val="auto"/>
                <w:u w:val="none"/>
              </w:rPr>
              <w:t>进行进一步处理。</w:t>
            </w:r>
            <w:r>
              <w:rPr>
                <w:rFonts w:hint="eastAsia"/>
                <w:color w:val="auto"/>
                <w:u w:val="none"/>
              </w:rPr>
              <w:t>桃源县第二污水处理厂位于桃源县漳江街道杨家咀村，目前处理规模为2万m</w:t>
            </w:r>
            <w:r>
              <w:rPr>
                <w:rFonts w:hint="eastAsia"/>
                <w:color w:val="auto"/>
                <w:u w:val="none"/>
                <w:lang w:val="en-US" w:eastAsia="zh-CN"/>
              </w:rPr>
              <w:t>³</w:t>
            </w:r>
            <w:r>
              <w:rPr>
                <w:rFonts w:hint="eastAsia"/>
                <w:color w:val="auto"/>
                <w:u w:val="none"/>
              </w:rPr>
              <w:t>/d，采用具有生物脱氮除磷功能的改良型Carrousel氧化沟工艺。出水水质为《城镇污水处理厂污染物排放标准》（GB18918-2002）中的一级A标准</w:t>
            </w:r>
            <w:r>
              <w:rPr>
                <w:color w:val="auto"/>
                <w:u w:val="none"/>
              </w:rPr>
              <w:t>，</w:t>
            </w:r>
            <w:r>
              <w:rPr>
                <w:rFonts w:hint="eastAsia"/>
                <w:color w:val="auto"/>
                <w:u w:val="none"/>
                <w:lang w:eastAsia="zh-CN"/>
              </w:rPr>
              <w:t>漳江工业园</w:t>
            </w:r>
            <w:r>
              <w:rPr>
                <w:color w:val="auto"/>
                <w:u w:val="none"/>
              </w:rPr>
              <w:t>现有园区内污水管道均已敷设</w:t>
            </w:r>
            <w:r>
              <w:rPr>
                <w:rFonts w:hint="eastAsia"/>
                <w:color w:val="auto"/>
                <w:u w:val="none"/>
                <w:lang w:eastAsia="zh-CN"/>
              </w:rPr>
              <w:t>完</w:t>
            </w:r>
            <w:r>
              <w:rPr>
                <w:rFonts w:hint="eastAsia"/>
                <w:color w:val="auto"/>
                <w:u w:val="none"/>
                <w:lang w:val="en-US" w:eastAsia="zh-CN"/>
              </w:rPr>
              <w:t>成</w:t>
            </w:r>
            <w:r>
              <w:rPr>
                <w:color w:val="auto"/>
                <w:u w:val="none"/>
              </w:rPr>
              <w:t>。本项目生产废水排水量</w:t>
            </w:r>
            <w:r>
              <w:rPr>
                <w:rFonts w:hint="eastAsia"/>
                <w:color w:val="auto"/>
                <w:u w:val="none"/>
                <w:lang w:val="en-US" w:eastAsia="zh-CN"/>
              </w:rPr>
              <w:t>约</w:t>
            </w:r>
            <w:r>
              <w:rPr>
                <w:color w:val="auto"/>
                <w:u w:val="none"/>
              </w:rPr>
              <w:t>为</w:t>
            </w:r>
            <w:r>
              <w:rPr>
                <w:rFonts w:hint="eastAsia"/>
                <w:color w:val="auto"/>
                <w:u w:val="none"/>
                <w:lang w:val="en-US" w:eastAsia="zh-CN"/>
              </w:rPr>
              <w:t>1.152</w:t>
            </w:r>
            <w:r>
              <w:rPr>
                <w:color w:val="auto"/>
                <w:u w:val="none"/>
              </w:rPr>
              <w:t>m</w:t>
            </w:r>
            <w:r>
              <w:rPr>
                <w:color w:val="auto"/>
                <w:u w:val="none"/>
                <w:vertAlign w:val="superscript"/>
              </w:rPr>
              <w:t>3</w:t>
            </w:r>
            <w:r>
              <w:rPr>
                <w:color w:val="auto"/>
                <w:u w:val="none"/>
              </w:rPr>
              <w:t>/d，占</w:t>
            </w:r>
            <w:r>
              <w:rPr>
                <w:rFonts w:hint="eastAsia"/>
                <w:color w:val="auto"/>
                <w:u w:val="none"/>
                <w:lang w:eastAsia="zh-CN"/>
              </w:rPr>
              <w:t>桃源县第二污水处理厂</w:t>
            </w:r>
            <w:r>
              <w:rPr>
                <w:color w:val="auto"/>
                <w:u w:val="none"/>
              </w:rPr>
              <w:t>总设计规模的</w:t>
            </w:r>
            <w:r>
              <w:rPr>
                <w:rFonts w:hint="eastAsia"/>
                <w:color w:val="auto"/>
                <w:u w:val="none"/>
                <w:lang w:val="en-US" w:eastAsia="zh-CN"/>
              </w:rPr>
              <w:t>0.007</w:t>
            </w:r>
            <w:r>
              <w:rPr>
                <w:color w:val="auto"/>
                <w:u w:val="none"/>
              </w:rPr>
              <w:t>%，且外排废水符合</w:t>
            </w:r>
            <w:r>
              <w:rPr>
                <w:rFonts w:hint="eastAsia"/>
                <w:color w:val="auto"/>
                <w:u w:val="none"/>
                <w:lang w:eastAsia="zh-CN"/>
              </w:rPr>
              <w:t>桃源县第二污水处理厂</w:t>
            </w:r>
            <w:r>
              <w:rPr>
                <w:color w:val="auto"/>
                <w:u w:val="none"/>
              </w:rPr>
              <w:t>设计进水水质要求，项目废水排入</w:t>
            </w:r>
            <w:r>
              <w:rPr>
                <w:rFonts w:hint="eastAsia"/>
                <w:color w:val="auto"/>
                <w:u w:val="none"/>
                <w:lang w:eastAsia="zh-CN"/>
              </w:rPr>
              <w:t>桃源县第二污水处理厂</w:t>
            </w:r>
            <w:r>
              <w:rPr>
                <w:color w:val="auto"/>
                <w:u w:val="none"/>
              </w:rPr>
              <w:t>可行。</w:t>
            </w:r>
          </w:p>
          <w:p>
            <w:pPr>
              <w:pStyle w:val="58"/>
              <w:pageBreakBefore w:val="0"/>
              <w:widowControl w:val="0"/>
              <w:kinsoku/>
              <w:overflowPunct/>
              <w:bidi w:val="0"/>
              <w:rPr>
                <w:color w:val="auto"/>
                <w:u w:val="none"/>
              </w:rPr>
            </w:pPr>
            <w:r>
              <w:rPr>
                <w:color w:val="auto"/>
                <w:u w:val="none"/>
              </w:rPr>
              <w:t>2）接管水质标准</w:t>
            </w:r>
          </w:p>
          <w:p>
            <w:pPr>
              <w:pStyle w:val="58"/>
              <w:pageBreakBefore w:val="0"/>
              <w:widowControl w:val="0"/>
              <w:kinsoku/>
              <w:overflowPunct/>
              <w:bidi w:val="0"/>
              <w:rPr>
                <w:color w:val="auto"/>
                <w:u w:val="none"/>
              </w:rPr>
            </w:pPr>
            <w:r>
              <w:rPr>
                <w:color w:val="auto"/>
                <w:u w:val="none"/>
              </w:rPr>
              <w:t>项目生产废水经处理后，水质能够达到《污水综合排放标准》(GB8978-1996)表4中的三级标准，符合排入园区污水处理厂纳管标准。</w:t>
            </w:r>
          </w:p>
          <w:p>
            <w:pPr>
              <w:pageBreakBefore w:val="0"/>
              <w:widowControl w:val="0"/>
              <w:kinsoku/>
              <w:overflowPunct/>
              <w:bidi w:val="0"/>
              <w:adjustRightInd w:val="0"/>
              <w:snapToGrid w:val="0"/>
              <w:spacing w:line="360" w:lineRule="auto"/>
              <w:jc w:val="center"/>
              <w:rPr>
                <w:rFonts w:hint="eastAsia"/>
                <w:b/>
                <w:bCs/>
                <w:color w:val="auto"/>
                <w:kern w:val="0"/>
                <w:szCs w:val="21"/>
                <w:lang w:val="en-GB"/>
              </w:rPr>
            </w:pPr>
            <w:r>
              <w:rPr>
                <w:rFonts w:hint="eastAsia"/>
                <w:b/>
                <w:bCs/>
                <w:color w:val="auto"/>
                <w:kern w:val="0"/>
                <w:szCs w:val="21"/>
                <w:lang w:val="en-GB"/>
              </w:rPr>
              <w:t>表4-</w:t>
            </w:r>
            <w:r>
              <w:rPr>
                <w:rFonts w:hint="eastAsia"/>
                <w:b/>
                <w:bCs/>
                <w:color w:val="auto"/>
                <w:kern w:val="0"/>
                <w:szCs w:val="21"/>
                <w:lang w:val="en-US" w:eastAsia="zh-CN"/>
              </w:rPr>
              <w:t>6</w:t>
            </w:r>
            <w:r>
              <w:rPr>
                <w:rFonts w:hint="eastAsia"/>
                <w:b/>
                <w:bCs/>
                <w:color w:val="auto"/>
                <w:kern w:val="0"/>
                <w:szCs w:val="21"/>
              </w:rPr>
              <w:t xml:space="preserve">  </w:t>
            </w:r>
            <w:r>
              <w:rPr>
                <w:rFonts w:hint="eastAsia"/>
                <w:b/>
                <w:bCs/>
                <w:color w:val="auto"/>
                <w:kern w:val="0"/>
                <w:szCs w:val="21"/>
                <w:lang w:val="en-GB"/>
              </w:rPr>
              <w:t>污水处理厂污水排放标准主要指标值表(单位：mg/L)</w:t>
            </w:r>
          </w:p>
          <w:tbl>
            <w:tblPr>
              <w:jc w:val="left"/>
              <w:tblInd w:w="0" w:type="dxa"/>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913"/>
              <w:gridCol w:w="1444"/>
              <w:gridCol w:w="1203"/>
              <w:gridCol w:w="806"/>
              <w:gridCol w:w="1593"/>
              <w:gridCol w:w="7092"/>
            </w:tblGrid>
            <w:tr>
              <w:trPr>
                <w:trHeight w:val="454"/>
              </w:trPr>
              <w:tc>
                <w:tcPr>
                  <w:tcW w:w="681" w:type="pct"/>
                  <w:vAlign w:val="center"/>
                </w:tcPr>
                <w:p>
                  <w:pPr>
                    <w:pStyle w:val="69"/>
                    <w:pageBreakBefore w:val="0"/>
                    <w:widowControl w:val="0"/>
                    <w:kinsoku/>
                    <w:overflowPunct/>
                    <w:bidi w:val="0"/>
                    <w:rPr>
                      <w:b/>
                      <w:bCs/>
                      <w:color w:val="auto"/>
                      <w:szCs w:val="21"/>
                      <w:u w:val="none"/>
                    </w:rPr>
                  </w:pPr>
                  <w:r>
                    <w:rPr>
                      <w:b/>
                      <w:bCs/>
                      <w:color w:val="auto"/>
                      <w:szCs w:val="21"/>
                      <w:u w:val="none"/>
                    </w:rPr>
                    <w:t>污染物</w:t>
                  </w:r>
                </w:p>
              </w:tc>
              <w:tc>
                <w:tcPr>
                  <w:tcW w:w="514" w:type="pct"/>
                  <w:vAlign w:val="center"/>
                </w:tcPr>
                <w:p>
                  <w:pPr>
                    <w:pStyle w:val="69"/>
                    <w:pageBreakBefore w:val="0"/>
                    <w:widowControl w:val="0"/>
                    <w:kinsoku/>
                    <w:overflowPunct/>
                    <w:bidi w:val="0"/>
                    <w:rPr>
                      <w:color w:val="auto"/>
                      <w:szCs w:val="21"/>
                      <w:u w:val="none"/>
                    </w:rPr>
                  </w:pPr>
                  <w:r>
                    <w:rPr>
                      <w:snapToGrid w:val="0"/>
                      <w:color w:val="auto"/>
                      <w:szCs w:val="21"/>
                      <w:u w:val="none"/>
                    </w:rPr>
                    <w:t>BOD</w:t>
                  </w:r>
                  <w:r>
                    <w:rPr>
                      <w:snapToGrid w:val="0"/>
                      <w:color w:val="auto"/>
                      <w:szCs w:val="21"/>
                      <w:u w:val="none"/>
                      <w:vertAlign w:val="subscript"/>
                    </w:rPr>
                    <w:t>5</w:t>
                  </w:r>
                </w:p>
              </w:tc>
              <w:tc>
                <w:tcPr>
                  <w:tcW w:w="428" w:type="pct"/>
                  <w:vAlign w:val="center"/>
                </w:tcPr>
                <w:p>
                  <w:pPr>
                    <w:pStyle w:val="69"/>
                    <w:pageBreakBefore w:val="0"/>
                    <w:widowControl w:val="0"/>
                    <w:kinsoku/>
                    <w:overflowPunct/>
                    <w:bidi w:val="0"/>
                    <w:rPr>
                      <w:color w:val="auto"/>
                      <w:szCs w:val="21"/>
                      <w:u w:val="none"/>
                    </w:rPr>
                  </w:pPr>
                  <w:r>
                    <w:rPr>
                      <w:color w:val="auto"/>
                      <w:szCs w:val="21"/>
                      <w:u w:val="none"/>
                    </w:rPr>
                    <w:t>COD</w:t>
                  </w:r>
                </w:p>
              </w:tc>
              <w:tc>
                <w:tcPr>
                  <w:tcW w:w="287" w:type="pct"/>
                  <w:vAlign w:val="center"/>
                </w:tcPr>
                <w:p>
                  <w:pPr>
                    <w:pStyle w:val="69"/>
                    <w:pageBreakBefore w:val="0"/>
                    <w:widowControl w:val="0"/>
                    <w:kinsoku/>
                    <w:overflowPunct/>
                    <w:bidi w:val="0"/>
                    <w:rPr>
                      <w:color w:val="auto"/>
                      <w:szCs w:val="21"/>
                      <w:u w:val="none"/>
                    </w:rPr>
                  </w:pPr>
                  <w:r>
                    <w:rPr>
                      <w:color w:val="auto"/>
                      <w:szCs w:val="21"/>
                      <w:u w:val="none"/>
                    </w:rPr>
                    <w:t>SS</w:t>
                  </w:r>
                </w:p>
              </w:tc>
              <w:tc>
                <w:tcPr>
                  <w:tcW w:w="567" w:type="pct"/>
                  <w:vAlign w:val="center"/>
                </w:tcPr>
                <w:p>
                  <w:pPr>
                    <w:pStyle w:val="69"/>
                    <w:pageBreakBefore w:val="0"/>
                    <w:widowControl w:val="0"/>
                    <w:kinsoku/>
                    <w:overflowPunct/>
                    <w:bidi w:val="0"/>
                    <w:rPr>
                      <w:color w:val="auto"/>
                      <w:szCs w:val="21"/>
                      <w:u w:val="none"/>
                    </w:rPr>
                  </w:pPr>
                  <w:r>
                    <w:rPr>
                      <w:color w:val="auto"/>
                      <w:szCs w:val="21"/>
                      <w:u w:val="none"/>
                    </w:rPr>
                    <w:t>NH</w:t>
                  </w:r>
                  <w:r>
                    <w:rPr>
                      <w:color w:val="auto"/>
                      <w:szCs w:val="21"/>
                      <w:u w:val="none"/>
                      <w:vertAlign w:val="subscript"/>
                    </w:rPr>
                    <w:t>3</w:t>
                  </w:r>
                  <w:r>
                    <w:rPr>
                      <w:color w:val="auto"/>
                      <w:szCs w:val="21"/>
                      <w:u w:val="none"/>
                    </w:rPr>
                    <w:t>-N</w:t>
                  </w:r>
                </w:p>
              </w:tc>
              <w:tc>
                <w:tcPr>
                  <w:tcW w:w="2524" w:type="pct"/>
                  <w:vAlign w:val="center"/>
                </w:tcPr>
                <w:p>
                  <w:pPr>
                    <w:pStyle w:val="69"/>
                    <w:pageBreakBefore w:val="0"/>
                    <w:widowControl w:val="0"/>
                    <w:kinsoku/>
                    <w:overflowPunct/>
                    <w:bidi w:val="0"/>
                    <w:rPr>
                      <w:color w:val="auto"/>
                      <w:szCs w:val="21"/>
                      <w:u w:val="none"/>
                    </w:rPr>
                  </w:pPr>
                  <w:r>
                    <w:rPr>
                      <w:color w:val="auto"/>
                      <w:szCs w:val="21"/>
                      <w:u w:val="none"/>
                    </w:rPr>
                    <w:t>标准来源</w:t>
                  </w:r>
                </w:p>
              </w:tc>
            </w:tr>
            <w:tr>
              <w:trPr>
                <w:trHeight w:val="454"/>
              </w:trPr>
              <w:tc>
                <w:tcPr>
                  <w:tcW w:w="681" w:type="pct"/>
                  <w:vAlign w:val="center"/>
                </w:tcPr>
                <w:p>
                  <w:pPr>
                    <w:pStyle w:val="69"/>
                    <w:pageBreakBefore w:val="0"/>
                    <w:widowControl w:val="0"/>
                    <w:kinsoku/>
                    <w:overflowPunct/>
                    <w:bidi w:val="0"/>
                    <w:rPr>
                      <w:b/>
                      <w:bCs/>
                      <w:color w:val="auto"/>
                      <w:szCs w:val="21"/>
                      <w:u w:val="none"/>
                    </w:rPr>
                  </w:pPr>
                  <w:r>
                    <w:rPr>
                      <w:b/>
                      <w:bCs/>
                      <w:color w:val="auto"/>
                      <w:szCs w:val="21"/>
                      <w:u w:val="none"/>
                    </w:rPr>
                    <w:t>接管标准</w:t>
                  </w:r>
                </w:p>
              </w:tc>
              <w:tc>
                <w:tcPr>
                  <w:tcW w:w="514" w:type="pct"/>
                  <w:vAlign w:val="center"/>
                </w:tcPr>
                <w:p>
                  <w:pPr>
                    <w:pStyle w:val="69"/>
                    <w:pageBreakBefore w:val="0"/>
                    <w:widowControl w:val="0"/>
                    <w:kinsoku/>
                    <w:overflowPunct/>
                    <w:bidi w:val="0"/>
                    <w:rPr>
                      <w:rFonts w:eastAsia="宋体"/>
                      <w:color w:val="auto"/>
                      <w:szCs w:val="21"/>
                      <w:u w:val="none"/>
                      <w:lang w:val="en-US" w:eastAsia="zh-CN"/>
                    </w:rPr>
                  </w:pPr>
                  <w:r>
                    <w:rPr>
                      <w:rFonts w:hint="eastAsia"/>
                      <w:color w:val="auto"/>
                      <w:szCs w:val="21"/>
                      <w:u w:val="none"/>
                      <w:lang w:val="en-US" w:eastAsia="zh-CN"/>
                    </w:rPr>
                    <w:t>155</w:t>
                  </w:r>
                </w:p>
              </w:tc>
              <w:tc>
                <w:tcPr>
                  <w:tcW w:w="428" w:type="pct"/>
                  <w:vAlign w:val="center"/>
                </w:tcPr>
                <w:p>
                  <w:pPr>
                    <w:pStyle w:val="69"/>
                    <w:pageBreakBefore w:val="0"/>
                    <w:widowControl w:val="0"/>
                    <w:kinsoku/>
                    <w:overflowPunct/>
                    <w:bidi w:val="0"/>
                    <w:rPr>
                      <w:rFonts w:eastAsia="宋体"/>
                      <w:color w:val="auto"/>
                      <w:szCs w:val="21"/>
                      <w:u w:val="none"/>
                      <w:lang w:val="en-US" w:eastAsia="zh-CN"/>
                    </w:rPr>
                  </w:pPr>
                  <w:r>
                    <w:rPr>
                      <w:rFonts w:hint="eastAsia"/>
                      <w:color w:val="auto"/>
                      <w:szCs w:val="21"/>
                      <w:u w:val="none"/>
                      <w:lang w:val="en-US" w:eastAsia="zh-CN"/>
                    </w:rPr>
                    <w:t>320</w:t>
                  </w:r>
                </w:p>
              </w:tc>
              <w:tc>
                <w:tcPr>
                  <w:tcW w:w="287" w:type="pct"/>
                  <w:vAlign w:val="center"/>
                </w:tcPr>
                <w:p>
                  <w:pPr>
                    <w:pStyle w:val="69"/>
                    <w:pageBreakBefore w:val="0"/>
                    <w:widowControl w:val="0"/>
                    <w:kinsoku/>
                    <w:overflowPunct/>
                    <w:bidi w:val="0"/>
                    <w:rPr>
                      <w:rFonts w:eastAsia="宋体"/>
                      <w:color w:val="auto"/>
                      <w:szCs w:val="21"/>
                      <w:u w:val="none"/>
                      <w:lang w:val="en-US" w:eastAsia="zh-CN"/>
                    </w:rPr>
                  </w:pPr>
                  <w:r>
                    <w:rPr>
                      <w:rFonts w:hint="eastAsia"/>
                      <w:color w:val="auto"/>
                      <w:szCs w:val="21"/>
                      <w:u w:val="none"/>
                      <w:lang w:val="en-US" w:eastAsia="zh-CN"/>
                    </w:rPr>
                    <w:t>265</w:t>
                  </w:r>
                </w:p>
              </w:tc>
              <w:tc>
                <w:tcPr>
                  <w:tcW w:w="567" w:type="pct"/>
                  <w:vAlign w:val="center"/>
                </w:tcPr>
                <w:p>
                  <w:pPr>
                    <w:pStyle w:val="69"/>
                    <w:pageBreakBefore w:val="0"/>
                    <w:widowControl w:val="0"/>
                    <w:kinsoku/>
                    <w:overflowPunct/>
                    <w:bidi w:val="0"/>
                    <w:rPr>
                      <w:rFonts w:eastAsia="宋体"/>
                      <w:color w:val="auto"/>
                      <w:szCs w:val="21"/>
                      <w:u w:val="none"/>
                      <w:lang w:val="en-US" w:eastAsia="zh-CN"/>
                    </w:rPr>
                  </w:pPr>
                  <w:r>
                    <w:rPr>
                      <w:rFonts w:hint="eastAsia"/>
                      <w:color w:val="auto"/>
                      <w:szCs w:val="21"/>
                      <w:u w:val="none"/>
                      <w:lang w:val="en-US" w:eastAsia="zh-CN"/>
                    </w:rPr>
                    <w:t>30</w:t>
                  </w:r>
                </w:p>
              </w:tc>
              <w:tc>
                <w:tcPr>
                  <w:tcW w:w="2524" w:type="pct"/>
                  <w:vAlign w:val="center"/>
                </w:tcPr>
                <w:p>
                  <w:pPr>
                    <w:pStyle w:val="69"/>
                    <w:pageBreakBefore w:val="0"/>
                    <w:widowControl w:val="0"/>
                    <w:kinsoku/>
                    <w:overflowPunct/>
                    <w:bidi w:val="0"/>
                    <w:rPr>
                      <w:color w:val="auto"/>
                      <w:szCs w:val="21"/>
                      <w:u w:val="none"/>
                    </w:rPr>
                  </w:pPr>
                  <w:r>
                    <w:rPr>
                      <w:color w:val="auto"/>
                      <w:szCs w:val="21"/>
                      <w:u w:val="none"/>
                    </w:rPr>
                    <w:t>《污水综合排放标准》(GB8978-96)三级标准；</w:t>
                  </w:r>
                  <w:r>
                    <w:rPr>
                      <w:rFonts w:hint="eastAsia"/>
                      <w:color w:val="auto"/>
                      <w:szCs w:val="21"/>
                      <w:u w:val="none"/>
                    </w:rPr>
                    <w:t>桃源县第二污水处理厂进水水质要求</w:t>
                  </w:r>
                  <w:r>
                    <w:rPr>
                      <w:rFonts w:hint="eastAsia"/>
                      <w:color w:val="auto"/>
                      <w:szCs w:val="21"/>
                      <w:u w:val="none"/>
                      <w:lang w:eastAsia="zh-CN"/>
                    </w:rPr>
                    <w:t>；</w:t>
                  </w:r>
                  <w:r>
                    <w:rPr>
                      <w:iCs/>
                      <w:color w:val="auto"/>
                      <w:szCs w:val="21"/>
                      <w:u w:val="none"/>
                    </w:rPr>
                    <w:t>*</w:t>
                  </w:r>
                  <w:r>
                    <w:rPr>
                      <w:color w:val="auto"/>
                      <w:szCs w:val="21"/>
                      <w:u w:val="none"/>
                    </w:rPr>
                    <w:t>NH</w:t>
                  </w:r>
                  <w:r>
                    <w:rPr>
                      <w:color w:val="auto"/>
                      <w:szCs w:val="21"/>
                      <w:u w:val="none"/>
                      <w:vertAlign w:val="subscript"/>
                    </w:rPr>
                    <w:t>3</w:t>
                  </w:r>
                  <w:r>
                    <w:rPr>
                      <w:color w:val="auto"/>
                      <w:szCs w:val="21"/>
                      <w:u w:val="none"/>
                    </w:rPr>
                    <w:t>-N参照《污水排入城镇下水道水质标准》(</w:t>
                  </w:r>
                  <w:r>
                    <w:rPr>
                      <w:rFonts w:hint="eastAsia"/>
                      <w:color w:val="auto"/>
                      <w:szCs w:val="21"/>
                      <w:u w:val="none"/>
                      <w:lang w:eastAsia="zh-CN"/>
                    </w:rPr>
                    <w:t>GB/T 31962-2015</w:t>
                  </w:r>
                  <w:r>
                    <w:rPr>
                      <w:color w:val="auto"/>
                      <w:szCs w:val="21"/>
                      <w:u w:val="none"/>
                    </w:rPr>
                    <w:t>)</w:t>
                  </w:r>
                </w:p>
              </w:tc>
            </w:tr>
            <w:tr>
              <w:trPr>
                <w:trHeight w:val="454"/>
              </w:trPr>
              <w:tc>
                <w:tcPr>
                  <w:tcW w:w="681" w:type="pct"/>
                  <w:vAlign w:val="center"/>
                </w:tcPr>
                <w:p>
                  <w:pPr>
                    <w:pStyle w:val="69"/>
                    <w:pageBreakBefore w:val="0"/>
                    <w:widowControl w:val="0"/>
                    <w:kinsoku/>
                    <w:overflowPunct/>
                    <w:bidi w:val="0"/>
                    <w:rPr>
                      <w:b/>
                      <w:bCs/>
                      <w:color w:val="auto"/>
                      <w:szCs w:val="21"/>
                      <w:u w:val="none"/>
                    </w:rPr>
                  </w:pPr>
                  <w:r>
                    <w:rPr>
                      <w:b/>
                      <w:bCs/>
                      <w:color w:val="auto"/>
                      <w:szCs w:val="21"/>
                      <w:u w:val="none"/>
                    </w:rPr>
                    <w:t>污水处理厂出水</w:t>
                  </w:r>
                </w:p>
              </w:tc>
              <w:tc>
                <w:tcPr>
                  <w:tcW w:w="514" w:type="pct"/>
                  <w:vAlign w:val="center"/>
                </w:tcPr>
                <w:p>
                  <w:pPr>
                    <w:pStyle w:val="69"/>
                    <w:pageBreakBefore w:val="0"/>
                    <w:widowControl w:val="0"/>
                    <w:kinsoku/>
                    <w:overflowPunct/>
                    <w:bidi w:val="0"/>
                    <w:rPr>
                      <w:color w:val="auto"/>
                      <w:szCs w:val="21"/>
                      <w:u w:val="none"/>
                    </w:rPr>
                  </w:pPr>
                  <w:r>
                    <w:rPr>
                      <w:color w:val="auto"/>
                      <w:szCs w:val="21"/>
                      <w:u w:val="none"/>
                    </w:rPr>
                    <w:t>10</w:t>
                  </w:r>
                </w:p>
              </w:tc>
              <w:tc>
                <w:tcPr>
                  <w:tcW w:w="428" w:type="pct"/>
                  <w:vAlign w:val="center"/>
                </w:tcPr>
                <w:p>
                  <w:pPr>
                    <w:pStyle w:val="69"/>
                    <w:pageBreakBefore w:val="0"/>
                    <w:widowControl w:val="0"/>
                    <w:kinsoku/>
                    <w:overflowPunct/>
                    <w:bidi w:val="0"/>
                    <w:rPr>
                      <w:color w:val="auto"/>
                      <w:szCs w:val="21"/>
                      <w:u w:val="none"/>
                    </w:rPr>
                  </w:pPr>
                  <w:r>
                    <w:rPr>
                      <w:color w:val="auto"/>
                      <w:szCs w:val="21"/>
                      <w:u w:val="none"/>
                    </w:rPr>
                    <w:t>50</w:t>
                  </w:r>
                </w:p>
              </w:tc>
              <w:tc>
                <w:tcPr>
                  <w:tcW w:w="287" w:type="pct"/>
                  <w:vAlign w:val="center"/>
                </w:tcPr>
                <w:p>
                  <w:pPr>
                    <w:pStyle w:val="69"/>
                    <w:pageBreakBefore w:val="0"/>
                    <w:widowControl w:val="0"/>
                    <w:kinsoku/>
                    <w:overflowPunct/>
                    <w:bidi w:val="0"/>
                    <w:rPr>
                      <w:color w:val="auto"/>
                      <w:szCs w:val="21"/>
                      <w:u w:val="none"/>
                    </w:rPr>
                  </w:pPr>
                  <w:r>
                    <w:rPr>
                      <w:color w:val="auto"/>
                      <w:szCs w:val="21"/>
                      <w:u w:val="none"/>
                    </w:rPr>
                    <w:t>10</w:t>
                  </w:r>
                </w:p>
              </w:tc>
              <w:tc>
                <w:tcPr>
                  <w:tcW w:w="567" w:type="pct"/>
                  <w:vAlign w:val="center"/>
                </w:tcPr>
                <w:p>
                  <w:pPr>
                    <w:pStyle w:val="69"/>
                    <w:pageBreakBefore w:val="0"/>
                    <w:widowControl w:val="0"/>
                    <w:kinsoku/>
                    <w:overflowPunct/>
                    <w:bidi w:val="0"/>
                    <w:rPr>
                      <w:color w:val="auto"/>
                      <w:szCs w:val="21"/>
                      <w:u w:val="none"/>
                    </w:rPr>
                  </w:pPr>
                  <w:r>
                    <w:rPr>
                      <w:color w:val="auto"/>
                      <w:szCs w:val="21"/>
                      <w:u w:val="none"/>
                    </w:rPr>
                    <w:t>5</w:t>
                  </w:r>
                </w:p>
              </w:tc>
              <w:tc>
                <w:tcPr>
                  <w:tcW w:w="2524" w:type="pct"/>
                  <w:vAlign w:val="center"/>
                </w:tcPr>
                <w:p>
                  <w:pPr>
                    <w:pStyle w:val="69"/>
                    <w:pageBreakBefore w:val="0"/>
                    <w:widowControl w:val="0"/>
                    <w:kinsoku/>
                    <w:overflowPunct/>
                    <w:bidi w:val="0"/>
                    <w:rPr>
                      <w:color w:val="auto"/>
                      <w:szCs w:val="21"/>
                      <w:u w:val="none"/>
                    </w:rPr>
                  </w:pPr>
                  <w:r>
                    <w:rPr>
                      <w:color w:val="auto"/>
                      <w:szCs w:val="21"/>
                      <w:u w:val="none"/>
                    </w:rPr>
                    <w:t>《城镇污水处理厂污染物排放标准</w:t>
                  </w:r>
                  <w:r>
                    <w:rPr>
                      <w:color w:val="auto"/>
                      <w:spacing w:val="-10"/>
                      <w:szCs w:val="21"/>
                      <w:u w:val="none"/>
                    </w:rPr>
                    <w:t>》(GB18918-2002)</w:t>
                  </w:r>
                  <w:r>
                    <w:rPr>
                      <w:color w:val="auto"/>
                      <w:szCs w:val="21"/>
                      <w:u w:val="none"/>
                    </w:rPr>
                    <w:t>一级A标准</w:t>
                  </w:r>
                </w:p>
              </w:tc>
            </w:tr>
          </w:tbl>
          <w:p>
            <w:pPr>
              <w:pageBreakBefore w:val="0"/>
              <w:widowControl w:val="0"/>
              <w:kinsoku/>
              <w:overflowPunct/>
              <w:bidi w:val="0"/>
              <w:spacing w:beforeLines="50" w:before="120" w:line="360" w:lineRule="auto"/>
              <w:ind w:firstLineChars="200" w:firstLine="480"/>
              <w:textAlignment w:val="baseline"/>
              <w:rPr>
                <w:rFonts w:ascii="Times New Roman" w:eastAsia="宋体" w:cs="Times New Roman" w:hAnsi="Times New Roman" w:hint="eastAsia"/>
                <w:b/>
                <w:bCs/>
                <w:color w:val="auto"/>
                <w:sz w:val="24"/>
                <w:lang w:val="en-US" w:eastAsia="zh-CN"/>
              </w:rPr>
            </w:pPr>
            <w:r>
              <w:rPr>
                <w:rFonts w:cs="Times New Roman" w:hint="eastAsia"/>
                <w:b/>
                <w:bCs/>
                <w:color w:val="auto"/>
                <w:sz w:val="24"/>
                <w:lang w:val="en-US" w:eastAsia="zh-CN"/>
              </w:rPr>
              <w:t>4</w:t>
            </w:r>
            <w:r>
              <w:rPr>
                <w:rFonts w:ascii="Times New Roman" w:eastAsia="宋体" w:cs="Times New Roman" w:hAnsi="Times New Roman" w:hint="eastAsia"/>
                <w:b/>
                <w:bCs/>
                <w:color w:val="auto"/>
                <w:sz w:val="24"/>
                <w:lang w:val="en-US" w:eastAsia="zh-CN"/>
              </w:rPr>
              <w:t>、废水自行监测</w:t>
            </w:r>
          </w:p>
          <w:p>
            <w:pPr>
              <w:pageBreakBefore w:val="0"/>
              <w:widowControl/>
              <w:kinsoku/>
              <w:overflowPunct/>
              <w:bidi w:val="0"/>
              <w:adjustRightInd w:val="0"/>
              <w:spacing w:line="360" w:lineRule="auto"/>
              <w:ind w:leftChars="200" w:left="420"/>
              <w:jc w:val="center"/>
              <w:rPr>
                <w:rFonts w:ascii="Times New Roman" w:cs="Times New Roman" w:hAnsi="Times New Roman"/>
                <w:b/>
                <w:bCs/>
                <w:color w:val="auto"/>
                <w:kern w:val="0"/>
                <w:szCs w:val="21"/>
                <w:lang w:val="en-GB"/>
              </w:rPr>
            </w:pPr>
            <w:r>
              <w:rPr>
                <w:rFonts w:ascii="Times New Roman" w:cs="Times New Roman" w:hAnsi="Times New Roman"/>
                <w:b/>
                <w:bCs/>
                <w:color w:val="auto"/>
                <w:kern w:val="0"/>
                <w:szCs w:val="21"/>
                <w:lang w:val="en-GB"/>
              </w:rPr>
              <w:t>表</w:t>
            </w:r>
            <w:r>
              <w:rPr>
                <w:rFonts w:ascii="Times New Roman" w:cs="Times New Roman" w:hAnsi="Times New Roman" w:hint="eastAsia"/>
                <w:b/>
                <w:bCs/>
                <w:color w:val="auto"/>
                <w:kern w:val="0"/>
                <w:szCs w:val="21"/>
                <w:lang w:val="en-US" w:eastAsia="zh-CN"/>
              </w:rPr>
              <w:t xml:space="preserve"> </w:t>
            </w:r>
            <w:r>
              <w:rPr>
                <w:rFonts w:ascii="Times New Roman" w:cs="Times New Roman" w:hAnsi="Times New Roman"/>
                <w:b/>
                <w:bCs/>
                <w:color w:val="auto"/>
                <w:kern w:val="0"/>
                <w:szCs w:val="21"/>
                <w:lang w:val="en-GB"/>
              </w:rPr>
              <w:t>4-</w:t>
            </w:r>
            <w:r>
              <w:rPr>
                <w:rFonts w:cs="Times New Roman" w:hint="eastAsia"/>
                <w:b/>
                <w:bCs/>
                <w:color w:val="auto"/>
                <w:kern w:val="0"/>
                <w:szCs w:val="21"/>
                <w:lang w:val="en-US" w:eastAsia="zh-CN"/>
              </w:rPr>
              <w:t>7</w:t>
            </w:r>
            <w:r>
              <w:rPr>
                <w:rFonts w:ascii="Times New Roman" w:cs="Times New Roman" w:hAnsi="Times New Roman"/>
                <w:b/>
                <w:bCs/>
                <w:color w:val="auto"/>
                <w:kern w:val="0"/>
                <w:szCs w:val="21"/>
                <w:lang w:val="en-GB"/>
              </w:rPr>
              <w:t xml:space="preserve"> 废水污染源监测计划</w:t>
            </w:r>
          </w:p>
          <w:tbl>
            <w:tblPr>
              <w:jc w:val="cent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344"/>
              <w:gridCol w:w="4022"/>
              <w:gridCol w:w="2296"/>
              <w:gridCol w:w="2268"/>
              <w:gridCol w:w="3117"/>
            </w:tblGrid>
            <w:tr>
              <w:trPr>
                <w:trHeight w:val="340"/>
              </w:trPr>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hint="eastAsia"/>
                      <w:b/>
                      <w:bCs/>
                      <w:color w:val="auto"/>
                      <w:szCs w:val="21"/>
                    </w:rPr>
                  </w:pPr>
                  <w:r>
                    <w:rPr>
                      <w:rFonts w:ascii="Times New Roman" w:cs="Times New Roman" w:hAnsi="Times New Roman" w:hint="eastAsia"/>
                      <w:b/>
                      <w:bCs/>
                      <w:color w:val="auto"/>
                      <w:szCs w:val="21"/>
                    </w:rPr>
                    <w:t>监测点位</w:t>
                  </w:r>
                </w:p>
              </w:tc>
              <w:tc>
                <w:tcPr>
                  <w:tcW w:w="14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hint="eastAsia"/>
                      <w:b/>
                      <w:bCs/>
                      <w:color w:val="auto"/>
                      <w:szCs w:val="21"/>
                    </w:rPr>
                  </w:pPr>
                  <w:r>
                    <w:rPr>
                      <w:rFonts w:ascii="Times New Roman" w:cs="Times New Roman" w:hAnsi="Times New Roman" w:hint="eastAsia"/>
                      <w:b/>
                      <w:bCs/>
                      <w:color w:val="auto"/>
                      <w:szCs w:val="21"/>
                    </w:rPr>
                    <w:t>监测因子</w:t>
                  </w:r>
                </w:p>
              </w:tc>
              <w:tc>
                <w:tcPr>
                  <w:tcW w:w="81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hint="eastAsia"/>
                      <w:b/>
                      <w:bCs/>
                      <w:color w:val="auto"/>
                      <w:szCs w:val="21"/>
                    </w:rPr>
                  </w:pPr>
                  <w:r>
                    <w:rPr>
                      <w:rFonts w:ascii="Times New Roman" w:cs="Times New Roman" w:hAnsi="Times New Roman" w:hint="eastAsia"/>
                      <w:b/>
                      <w:bCs/>
                      <w:color w:val="auto"/>
                      <w:szCs w:val="21"/>
                    </w:rPr>
                    <w:t>监测频次</w:t>
                  </w:r>
                </w:p>
              </w:tc>
              <w:tc>
                <w:tcPr>
                  <w:tcW w:w="80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hint="eastAsia"/>
                      <w:b/>
                      <w:bCs/>
                      <w:color w:val="auto"/>
                      <w:szCs w:val="21"/>
                    </w:rPr>
                  </w:pPr>
                  <w:r>
                    <w:rPr>
                      <w:rFonts w:ascii="Times New Roman" w:cs="Times New Roman" w:hAnsi="Times New Roman" w:hint="eastAsia"/>
                      <w:b/>
                      <w:bCs/>
                      <w:color w:val="auto"/>
                      <w:szCs w:val="21"/>
                    </w:rPr>
                    <w:t>监测设施</w:t>
                  </w:r>
                </w:p>
              </w:tc>
              <w:tc>
                <w:tcPr>
                  <w:tcW w:w="110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bCs/>
                      <w:color w:val="auto"/>
                      <w:szCs w:val="21"/>
                      <w:lang w:val="en-US" w:eastAsia="zh-CN"/>
                    </w:rPr>
                  </w:pPr>
                  <w:r>
                    <w:rPr>
                      <w:rFonts w:cs="Times New Roman" w:hint="eastAsia"/>
                      <w:b/>
                      <w:bCs/>
                      <w:color w:val="auto"/>
                      <w:szCs w:val="21"/>
                      <w:lang w:val="en-US" w:eastAsia="zh-CN"/>
                    </w:rPr>
                    <w:t>备注</w:t>
                  </w:r>
                </w:p>
              </w:tc>
            </w:tr>
            <w:tr>
              <w:trPr>
                <w:trHeight w:val="340"/>
              </w:trPr>
              <w:tc>
                <w:tcPr>
                  <w:tcW w:w="834" w:type="pct"/>
                  <w:tcBorders>
                    <w:bottom w:val="single" w:sz="4" w:space="0" w:color="auto"/>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hint="eastAsia"/>
                      <w:color w:val="auto"/>
                      <w:szCs w:val="21"/>
                    </w:rPr>
                  </w:pPr>
                  <w:r>
                    <w:rPr>
                      <w:rFonts w:cs="Times New Roman" w:hint="eastAsia"/>
                      <w:color w:val="auto"/>
                      <w:szCs w:val="21"/>
                      <w:lang w:val="en-US" w:eastAsia="zh-CN"/>
                    </w:rPr>
                    <w:t>综合废水排放口</w:t>
                  </w:r>
                  <w:r>
                    <w:rPr>
                      <w:rFonts w:ascii="Times New Roman" w:cs="Times New Roman" w:hAnsi="Times New Roman" w:hint="eastAsia"/>
                      <w:color w:val="auto"/>
                      <w:szCs w:val="21"/>
                    </w:rPr>
                    <w:t>W1</w:t>
                  </w:r>
                </w:p>
              </w:tc>
              <w:tc>
                <w:tcPr>
                  <w:tcW w:w="1431" w:type="pct"/>
                  <w:tcBorders>
                    <w:bottom w:val="single" w:sz="4" w:space="0" w:color="auto"/>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color w:val="auto"/>
                      <w:szCs w:val="21"/>
                      <w:lang w:val="en-US" w:eastAsia="zh-CN"/>
                    </w:rPr>
                    <w:t xml:space="preserve">pH </w:t>
                  </w:r>
                  <w:r>
                    <w:rPr>
                      <w:rFonts w:ascii="Times New Roman" w:eastAsia="宋体" w:cs="Times New Roman" w:hAnsi="Times New Roman" w:hint="eastAsia"/>
                      <w:color w:val="auto"/>
                      <w:szCs w:val="21"/>
                      <w:lang w:val="en-US" w:eastAsia="zh-CN"/>
                    </w:rPr>
                    <w:t>值、悬浮物、五日生化需氧量（</w:t>
                  </w:r>
                  <w:r>
                    <w:rPr>
                      <w:rFonts w:ascii="Times New Roman" w:eastAsia="宋体" w:cs="Times New Roman" w:hAnsi="Times New Roman"/>
                      <w:color w:val="auto"/>
                      <w:szCs w:val="21"/>
                      <w:lang w:val="en-US" w:eastAsia="zh-CN"/>
                    </w:rPr>
                    <w:t>BOD</w:t>
                  </w:r>
                  <w:r>
                    <w:rPr>
                      <w:rFonts w:ascii="Times New Roman" w:eastAsia="宋体" w:cs="Times New Roman" w:hAnsi="Times New Roman" w:hint="eastAsia"/>
                      <w:color w:val="auto"/>
                      <w:szCs w:val="21"/>
                      <w:lang w:val="en-US" w:eastAsia="zh-CN"/>
                    </w:rPr>
                    <w:t>）、化学需氧量（</w:t>
                  </w:r>
                  <w:r>
                    <w:rPr>
                      <w:rFonts w:ascii="Times New Roman" w:eastAsia="宋体" w:cs="Times New Roman" w:hAnsi="Times New Roman"/>
                      <w:color w:val="auto"/>
                      <w:szCs w:val="21"/>
                      <w:lang w:val="en-US" w:eastAsia="zh-CN"/>
                    </w:rPr>
                    <w:t>COD</w:t>
                  </w:r>
                  <w:r>
                    <w:rPr>
                      <w:rFonts w:ascii="Times New Roman" w:eastAsia="宋体" w:cs="Times New Roman" w:hAnsi="Times New Roman" w:hint="eastAsia"/>
                      <w:color w:val="auto"/>
                      <w:szCs w:val="21"/>
                      <w:lang w:val="en-US" w:eastAsia="zh-CN"/>
                    </w:rPr>
                    <w:t>）、氨氮、磷酸盐（总磷）、动植物油</w:t>
                  </w:r>
                  <w:r>
                    <w:rPr>
                      <w:rFonts w:ascii="Times New Roman" w:eastAsia="宋体" w:cs="Times New Roman" w:hAnsi="Times New Roman"/>
                      <w:color w:val="auto"/>
                      <w:szCs w:val="21"/>
                      <w:lang w:val="en-US" w:eastAsia="zh-CN"/>
                    </w:rPr>
                    <w:t>d</w:t>
                  </w:r>
                  <w:r>
                    <w:rPr>
                      <w:rFonts w:ascii="Times New Roman" w:eastAsia="宋体" w:cs="Times New Roman" w:hAnsi="Times New Roman" w:hint="eastAsia"/>
                      <w:color w:val="auto"/>
                      <w:szCs w:val="21"/>
                      <w:lang w:val="en-US" w:eastAsia="zh-CN"/>
                    </w:rPr>
                    <w:t>、色度</w:t>
                  </w:r>
                  <w:r>
                    <w:rPr>
                      <w:rFonts w:ascii="Times New Roman" w:eastAsia="宋体" w:cs="Times New Roman" w:hAnsi="Times New Roman"/>
                      <w:color w:val="auto"/>
                      <w:szCs w:val="21"/>
                      <w:lang w:val="en-US" w:eastAsia="zh-CN"/>
                    </w:rPr>
                    <w:t>e</w:t>
                  </w:r>
                </w:p>
              </w:tc>
              <w:tc>
                <w:tcPr>
                  <w:tcW w:w="817" w:type="pct"/>
                  <w:tcBorders>
                    <w:bottom w:val="single" w:sz="4" w:space="0" w:color="auto"/>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1次/年</w:t>
                  </w:r>
                </w:p>
              </w:tc>
              <w:tc>
                <w:tcPr>
                  <w:tcW w:w="807" w:type="pct"/>
                  <w:tcBorders>
                    <w:bottom w:val="single" w:sz="4" w:space="0" w:color="auto"/>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color w:val="auto"/>
                      <w:szCs w:val="21"/>
                      <w:lang w:val="en-US" w:eastAsia="zh-CN"/>
                    </w:rPr>
                  </w:pPr>
                  <w:r>
                    <w:rPr>
                      <w:rFonts w:cs="Times New Roman" w:hint="eastAsia"/>
                      <w:color w:val="auto"/>
                      <w:szCs w:val="21"/>
                      <w:lang w:val="en-US" w:eastAsia="zh-CN"/>
                    </w:rPr>
                    <w:t>隔油、气浮、水解酸化</w:t>
                  </w:r>
                </w:p>
              </w:tc>
              <w:tc>
                <w:tcPr>
                  <w:tcW w:w="1109" w:type="pct"/>
                  <w:tcBorders>
                    <w:bottom w:val="single" w:sz="4" w:space="0" w:color="auto"/>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s="Times New Roman" w:hAnsi="Times New Roman"/>
                      <w:color w:val="auto"/>
                      <w:szCs w:val="21"/>
                      <w:lang w:val="en-US" w:eastAsia="zh-CN"/>
                    </w:rPr>
                  </w:pPr>
                  <w:r>
                    <w:rPr>
                      <w:rFonts w:cs="Times New Roman" w:hint="eastAsia"/>
                      <w:color w:val="auto"/>
                      <w:szCs w:val="21"/>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Chars="200" w:firstLine="480"/>
              <w:jc w:val="left"/>
              <w:textAlignment w:val="auto"/>
              <w:rPr>
                <w:b/>
                <w:bCs/>
                <w:color w:val="auto"/>
                <w:kern w:val="0"/>
                <w:sz w:val="24"/>
              </w:rPr>
            </w:pPr>
            <w:r>
              <w:rPr>
                <w:rFonts w:hint="eastAsia"/>
                <w:b/>
                <w:bCs/>
                <w:color w:val="auto"/>
                <w:kern w:val="0"/>
                <w:sz w:val="24"/>
              </w:rPr>
              <w:t>（三）</w:t>
            </w:r>
            <w:r>
              <w:rPr>
                <w:b/>
                <w:bCs/>
                <w:color w:val="auto"/>
                <w:kern w:val="0"/>
                <w:sz w:val="24"/>
              </w:rPr>
              <w:t>声环境质量影响分析</w:t>
            </w:r>
          </w:p>
          <w:p>
            <w:pPr>
              <w:pStyle w:val="50"/>
              <w:pageBreakBefore w:val="0"/>
              <w:widowControl w:val="0"/>
              <w:kinsoku/>
              <w:overflowPunct/>
              <w:bidi w:val="0"/>
              <w:rPr>
                <w:rFonts w:hint="eastAsia"/>
                <w:b/>
                <w:bCs/>
                <w:color w:val="auto"/>
              </w:rPr>
            </w:pPr>
            <w:r>
              <w:rPr>
                <w:rFonts w:hint="eastAsia"/>
                <w:b/>
                <w:bCs/>
                <w:color w:val="auto"/>
              </w:rPr>
              <w:t>1、项目噪声源调查</w:t>
            </w:r>
          </w:p>
          <w:p>
            <w:pPr>
              <w:pStyle w:val="50"/>
              <w:pageBreakBefore w:val="0"/>
              <w:widowControl w:val="0"/>
              <w:kinsoku/>
              <w:overflowPunct/>
              <w:bidi w:val="0"/>
              <w:rPr>
                <w:rFonts w:hint="eastAsia"/>
                <w:color w:val="auto"/>
              </w:rPr>
            </w:pPr>
            <w:r>
              <w:rPr>
                <w:rFonts w:hint="eastAsia"/>
                <w:color w:val="auto"/>
              </w:rPr>
              <w:t>项目噪声主要来源于生产设备</w:t>
            </w:r>
            <w:r>
              <w:rPr>
                <w:rFonts w:cs="宋体" w:hint="eastAsia"/>
                <w:color w:val="auto"/>
              </w:rPr>
              <w:t>，各设备噪声</w:t>
            </w:r>
            <w:r>
              <w:rPr>
                <w:rFonts w:hint="eastAsia"/>
                <w:color w:val="auto"/>
              </w:rPr>
              <w:t>源强为</w:t>
            </w:r>
            <w:r>
              <w:rPr>
                <w:rFonts w:hint="eastAsia"/>
                <w:color w:val="auto"/>
                <w:lang w:val="en-US" w:eastAsia="zh-CN"/>
              </w:rPr>
              <w:t>65</w:t>
            </w:r>
            <w:r>
              <w:rPr>
                <w:rFonts w:hint="eastAsia"/>
                <w:color w:val="auto"/>
              </w:rPr>
              <w:t>-</w:t>
            </w:r>
            <w:r>
              <w:rPr>
                <w:rFonts w:hint="eastAsia"/>
                <w:color w:val="auto"/>
                <w:lang w:val="en-US" w:eastAsia="zh-CN"/>
              </w:rPr>
              <w:t>85</w:t>
            </w:r>
            <w:r>
              <w:rPr>
                <w:rFonts w:hint="eastAsia"/>
                <w:color w:val="auto"/>
              </w:rPr>
              <w:t>dB（A）</w:t>
            </w:r>
            <w:r>
              <w:rPr>
                <w:color w:val="auto"/>
              </w:rPr>
              <w:t>，</w:t>
            </w:r>
            <w:r>
              <w:rPr>
                <w:rFonts w:hint="eastAsia"/>
                <w:color w:val="auto"/>
              </w:rPr>
              <w:t>主要噪声源情况</w:t>
            </w:r>
            <w:r>
              <w:rPr>
                <w:color w:val="auto"/>
              </w:rPr>
              <w:t>见下表</w:t>
            </w:r>
            <w:r>
              <w:rPr>
                <w:rFonts w:hint="eastAsia"/>
                <w:color w:val="auto"/>
              </w:rPr>
              <w:t>。</w:t>
            </w:r>
          </w:p>
          <w:p>
            <w:pPr>
              <w:pageBreakBefore w:val="0"/>
              <w:widowControl w:val="0"/>
              <w:kinsoku/>
              <w:overflowPunct/>
              <w:bidi w:val="0"/>
              <w:adjustRightInd w:val="0"/>
              <w:snapToGrid w:val="0"/>
              <w:spacing w:line="360" w:lineRule="auto"/>
              <w:jc w:val="center"/>
              <w:rPr>
                <w:rFonts w:hint="eastAsia"/>
                <w:b/>
                <w:bCs/>
                <w:color w:val="auto"/>
                <w:kern w:val="0"/>
                <w:szCs w:val="21"/>
                <w:lang w:val="en-US" w:eastAsia="zh-CN"/>
              </w:rPr>
            </w:pPr>
            <w:r>
              <w:rPr>
                <w:b/>
                <w:bCs/>
                <w:color w:val="auto"/>
                <w:kern w:val="0"/>
                <w:szCs w:val="21"/>
              </w:rPr>
              <w:t>表</w:t>
            </w:r>
            <w:r>
              <w:rPr>
                <w:rFonts w:hint="eastAsia"/>
                <w:b/>
                <w:bCs/>
                <w:color w:val="auto"/>
                <w:kern w:val="0"/>
                <w:szCs w:val="21"/>
              </w:rPr>
              <w:t>4-</w:t>
            </w:r>
            <w:r>
              <w:rPr>
                <w:rFonts w:hint="eastAsia"/>
                <w:b/>
                <w:bCs/>
                <w:color w:val="auto"/>
                <w:kern w:val="0"/>
                <w:szCs w:val="21"/>
                <w:lang w:val="en-US" w:eastAsia="zh-CN"/>
              </w:rPr>
              <w:t>8工业企业噪声源强调查清单（室内声源）</w:t>
            </w:r>
          </w:p>
          <w:tbl>
            <w:tblPr>
              <w:jc w:val="cent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Look w:val="0600" w:firstRow="0" w:lastRow="0" w:firstColumn="0" w:lastColumn="0" w:noHBand="1" w:noVBand="1"/>
            </w:tblPr>
            <w:tblGrid>
              <w:gridCol w:w="500"/>
              <w:gridCol w:w="804"/>
              <w:gridCol w:w="964"/>
              <w:gridCol w:w="607"/>
              <w:gridCol w:w="1315"/>
              <w:gridCol w:w="1459"/>
              <w:gridCol w:w="649"/>
              <w:gridCol w:w="551"/>
              <w:gridCol w:w="565"/>
              <w:gridCol w:w="1130"/>
              <w:gridCol w:w="1234"/>
              <w:gridCol w:w="838"/>
              <w:gridCol w:w="1768"/>
              <w:gridCol w:w="807"/>
              <w:gridCol w:w="863"/>
            </w:tblGrid>
            <w:tr>
              <w:trPr>
                <w:trHeight w:hRule="exact" w:val="792"/>
              </w:trPr>
              <w:tc>
                <w:tcPr>
                  <w:tcW w:w="178"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序号</w:t>
                  </w:r>
                </w:p>
              </w:tc>
              <w:tc>
                <w:tcPr>
                  <w:tcW w:w="28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建筑物名称</w:t>
                  </w:r>
                </w:p>
              </w:tc>
              <w:tc>
                <w:tcPr>
                  <w:tcW w:w="34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声源名称</w:t>
                  </w:r>
                </w:p>
              </w:tc>
              <w:tc>
                <w:tcPr>
                  <w:tcW w:w="21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型号</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声源源强</w:t>
                  </w:r>
                </w:p>
              </w:tc>
              <w:tc>
                <w:tcPr>
                  <w:tcW w:w="51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声源控制措施</w:t>
                  </w:r>
                </w:p>
              </w:tc>
              <w:tc>
                <w:tcPr>
                  <w:tcW w:w="628"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空间相对位置/m</w:t>
                  </w:r>
                </w:p>
              </w:tc>
              <w:tc>
                <w:tcPr>
                  <w:tcW w:w="40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距室内边界距离/m</w:t>
                  </w:r>
                </w:p>
              </w:tc>
              <w:tc>
                <w:tcPr>
                  <w:tcW w:w="43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室内边界声级/dB(A)</w:t>
                  </w:r>
                </w:p>
              </w:tc>
              <w:tc>
                <w:tcPr>
                  <w:tcW w:w="298"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运行时段</w:t>
                  </w:r>
                </w:p>
              </w:tc>
              <w:tc>
                <w:tcPr>
                  <w:tcW w:w="62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建筑物插入损失/dB(A)</w:t>
                  </w:r>
                  <w:bookmarkStart w:id="35" w:name="PT_10"/>
                  <w:bookmarkEnd w:id="35"/>
                </w:p>
              </w:tc>
              <w:tc>
                <w:tcPr>
                  <w:tcW w:w="589"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b w:val="0"/>
                      <w:bCs w:val="0"/>
                      <w:color w:val="auto"/>
                      <w:szCs w:val="21"/>
                      <w:lang w:eastAsia="zh-CN"/>
                    </w:rPr>
                  </w:pPr>
                  <w:r>
                    <w:rPr>
                      <w:rFonts w:ascii="Times New Roman" w:eastAsia="宋体" w:cs="Times New Roman" w:hAnsi="Times New Roman" w:hint="eastAsia"/>
                      <w:b w:val="0"/>
                      <w:bCs w:val="0"/>
                      <w:color w:val="auto"/>
                      <w:szCs w:val="21"/>
                      <w:lang w:eastAsia="zh-CN"/>
                    </w:rPr>
                    <w:t>建筑物外噪声</w:t>
                  </w:r>
                </w:p>
              </w:tc>
            </w:tr>
            <w:tr>
              <w:tc>
                <w:tcPr>
                  <w:tcW w:w="178" w:type="pct"/>
                  <w:vMerge/>
                  <w:shd w:val="clear" w:color="auto" w:fill="auto"/>
                  <w:vAlign w:val="center"/>
                </w:tcPr>
                <w:p/>
              </w:tc>
              <w:tc>
                <w:tcPr>
                  <w:tcW w:w="286" w:type="pct"/>
                  <w:vMerge/>
                  <w:shd w:val="clear" w:color="auto" w:fill="auto"/>
                  <w:vAlign w:val="center"/>
                </w:tcPr>
                <w:p/>
              </w:tc>
              <w:tc>
                <w:tcPr>
                  <w:tcW w:w="343" w:type="pct"/>
                  <w:vMerge/>
                  <w:shd w:val="clear" w:color="auto" w:fill="auto"/>
                  <w:vAlign w:val="center"/>
                </w:tcPr>
                <w:p/>
              </w:tc>
              <w:tc>
                <w:tcPr>
                  <w:tcW w:w="216" w:type="pct"/>
                  <w:vMerge/>
                  <w:shd w:val="clear" w:color="auto" w:fill="auto"/>
                  <w:vAlign w:val="center"/>
                </w:tcP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声功率级/dB(A)</w:t>
                  </w:r>
                </w:p>
              </w:tc>
              <w:tc>
                <w:tcPr>
                  <w:tcW w:w="519" w:type="pct"/>
                  <w:vMerge/>
                  <w:shd w:val="clear" w:color="auto" w:fill="auto"/>
                  <w:vAlign w:val="center"/>
                </w:tcP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X</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Y</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Z</w:t>
                  </w:r>
                </w:p>
              </w:tc>
              <w:tc>
                <w:tcPr>
                  <w:tcW w:w="402" w:type="pct"/>
                  <w:vMerge/>
                  <w:shd w:val="clear" w:color="auto" w:fill="auto"/>
                  <w:vAlign w:val="center"/>
                </w:tcPr>
                <w:p/>
              </w:tc>
              <w:tc>
                <w:tcPr>
                  <w:tcW w:w="439" w:type="pct"/>
                  <w:vMerge/>
                  <w:shd w:val="clear" w:color="auto" w:fill="auto"/>
                  <w:vAlign w:val="center"/>
                </w:tcPr>
                <w:p/>
              </w:tc>
              <w:tc>
                <w:tcPr>
                  <w:tcW w:w="298" w:type="pct"/>
                  <w:vMerge/>
                  <w:shd w:val="clear" w:color="auto" w:fill="auto"/>
                  <w:vAlign w:val="center"/>
                </w:tcPr>
                <w:p/>
              </w:tc>
              <w:tc>
                <w:tcPr>
                  <w:tcW w:w="629" w:type="pct"/>
                  <w:vMerge/>
                  <w:shd w:val="clear" w:color="auto" w:fill="auto"/>
                  <w:vAlign w:val="center"/>
                </w:tcP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声压级/dB(A)</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建筑物外距离</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油泵1</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75</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2"/>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-20.3</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-3.7</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17.0</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65.9</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39.9</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油泵2</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75</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-0.4</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5.2</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25.9</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65.8</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39.8</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油泵</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75</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16.9</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5.2</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25.9</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65.8</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39.8</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油泵3</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75</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25.7</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4.6</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25.3</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65.8</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39.8</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5</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油泵4</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75</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10.1</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4.1</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24.8</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65.8</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39.8</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风机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-10.8</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4.4</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25.9</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7</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提升机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2"/>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-17.6</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4.1</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25.6</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剥壳机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2"/>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-4.6</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4.6</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26.1</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9</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双螺旋榨油机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2"/>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-0.9</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0.5</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22.0</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10</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双螺旋榨油机1</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-0.9</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9.4</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30.9</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60.9</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34.9</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11</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灌装机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23.6</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0.5</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22.0</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过滤机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-5.1</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22.5</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13</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过滤机1</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5.9</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4.6</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26.1</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14</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过滤机2</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0"/>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13.2</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22.5</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17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15</w:t>
                  </w:r>
                </w:p>
              </w:tc>
              <w:tc>
                <w:tcPr>
                  <w:tcW w:w="28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智农</w:t>
                  </w:r>
                  <w:r>
                    <w:rPr>
                      <w:rFonts w:ascii="Times New Roman" w:eastAsia="宋体" w:cs="Times New Roman" w:hAnsi="Times New Roman" w:hint="eastAsia"/>
                      <w:color w:val="auto"/>
                      <w:szCs w:val="21"/>
                      <w:lang w:val="en-US" w:eastAsia="zh-CN"/>
                    </w:rPr>
                    <w:t>厂房</w:t>
                  </w:r>
                </w:p>
              </w:tc>
              <w:tc>
                <w:tcPr>
                  <w:tcW w:w="343"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烘干机</w:t>
                  </w:r>
                </w:p>
              </w:tc>
              <w:tc>
                <w:tcPr>
                  <w:tcW w:w="21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val="en-US" w:eastAsia="zh-CN"/>
                    </w:rPr>
                    <w:t>/</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80</w:t>
                  </w:r>
                </w:p>
              </w:tc>
              <w:tc>
                <w:tcPr>
                  <w:tcW w:w="519" w:type="pct"/>
                  <w:shd w:val="clear" w:color="auto" w:fill="auto"/>
                  <w:vAlign w:val="center"/>
                </w:tcPr>
                <w:p>
                  <w:pPr>
                    <w:keepNext w:val="0"/>
                    <w:keepLines w:val="0"/>
                    <w:pageBreakBefore w:val="0"/>
                    <w:widowControl/>
                    <w:kinsoku/>
                    <w:wordWrap w:val="0"/>
                    <w:overflowPunct/>
                    <w:topLinePunct w:val="0"/>
                    <w:bidi w:val="0"/>
                    <w:jc w:val="center"/>
                    <w:textAlignment w:val="bottom"/>
                    <w:rPr>
                      <w:rFonts w:ascii="Times New Roman" w:eastAsia="宋体" w:cs="Times New Roman" w:hAnsi="Times New Roman" w:hint="eastAsia"/>
                      <w:color w:val="auto"/>
                      <w:kern w:val="2"/>
                      <w:sz w:val="21"/>
                      <w:szCs w:val="21"/>
                      <w:u w:val="none"/>
                      <w:lang w:val="en-US" w:eastAsia="zh-CN" w:bidi="ar-SA"/>
                    </w:rPr>
                  </w:pPr>
                  <w:r>
                    <w:rPr>
                      <w:bCs/>
                      <w:color w:val="auto"/>
                      <w:kern w:val="0"/>
                      <w:sz w:val="21"/>
                      <w:szCs w:val="21"/>
                    </w:rPr>
                    <w:t>厂房隔声、减振</w:t>
                  </w:r>
                </w:p>
              </w:tc>
              <w:tc>
                <w:tcPr>
                  <w:tcW w:w="23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-12.4</w:t>
                  </w:r>
                </w:p>
              </w:tc>
              <w:tc>
                <w:tcPr>
                  <w:tcW w:w="196"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0.5</w:t>
                  </w:r>
                </w:p>
              </w:tc>
              <w:tc>
                <w:tcPr>
                  <w:tcW w:w="200"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1.2</w:t>
                  </w:r>
                </w:p>
              </w:tc>
              <w:tc>
                <w:tcPr>
                  <w:tcW w:w="4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22.0</w:t>
                  </w:r>
                </w:p>
              </w:tc>
              <w:tc>
                <w:tcPr>
                  <w:tcW w:w="43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61.0</w:t>
                  </w:r>
                </w:p>
              </w:tc>
              <w:tc>
                <w:tcPr>
                  <w:tcW w:w="298"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24.0</w:t>
                  </w:r>
                </w:p>
              </w:tc>
              <w:tc>
                <w:tcPr>
                  <w:tcW w:w="629"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26.0</w:t>
                  </w:r>
                </w:p>
              </w:tc>
              <w:tc>
                <w:tcPr>
                  <w:tcW w:w="287"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35.0</w:t>
                  </w:r>
                </w:p>
              </w:tc>
              <w:tc>
                <w:tcPr>
                  <w:tcW w:w="302"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eastAsia="宋体" w:cs="Times New Roman" w:hAnsi="Times New Roman" w:hint="eastAsia"/>
                      <w:color w:val="auto"/>
                      <w:szCs w:val="21"/>
                      <w:lang w:eastAsia="zh-CN"/>
                    </w:rPr>
                  </w:pPr>
                  <w:r>
                    <w:rPr>
                      <w:rFonts w:ascii="Times New Roman" w:eastAsia="宋体" w:cs="Times New Roman" w:hAnsi="Times New Roman" w:hint="eastAsia"/>
                      <w:color w:val="auto"/>
                      <w:szCs w:val="21"/>
                      <w:lang w:eastAsia="zh-CN"/>
                    </w:rPr>
                    <w:t>1</w:t>
                  </w:r>
                </w:p>
              </w:tc>
            </w:tr>
            <w:tr>
              <w:tc>
                <w:tcPr>
                  <w:tcW w:w="5000" w:type="pct"/>
                  <w:gridSpan w:val="1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val="en-US" w:eastAsia="zh-CN"/>
                    </w:rPr>
                    <w:t>注：预测考虑昼夜都生产的不利情况</w:t>
                  </w:r>
                </w:p>
              </w:tc>
            </w:tr>
          </w:tbl>
          <w:p>
            <w:pPr>
              <w:pStyle w:val="33"/>
              <w:rPr>
                <w:rFonts w:hint="eastAsia"/>
                <w:b/>
                <w:bCs/>
                <w:color w:val="auto"/>
                <w:kern w:val="0"/>
                <w:szCs w:val="21"/>
                <w:lang w:val="en-US" w:eastAsia="zh-CN"/>
              </w:rPr>
            </w:pPr>
          </w:p>
          <w:p>
            <w:pPr>
              <w:pageBreakBefore w:val="0"/>
              <w:widowControl w:val="0"/>
              <w:kinsoku/>
              <w:overflowPunct/>
              <w:bidi w:val="0"/>
              <w:adjustRightInd w:val="0"/>
              <w:snapToGrid w:val="0"/>
              <w:spacing w:line="360" w:lineRule="auto"/>
              <w:jc w:val="center"/>
              <w:rPr>
                <w:b/>
                <w:bCs/>
                <w:color w:val="auto"/>
                <w:kern w:val="0"/>
                <w:szCs w:val="21"/>
              </w:rPr>
            </w:pPr>
            <w:r>
              <w:rPr>
                <w:b/>
                <w:bCs/>
                <w:color w:val="auto"/>
                <w:kern w:val="0"/>
                <w:szCs w:val="21"/>
              </w:rPr>
              <w:t>表</w:t>
            </w:r>
            <w:r>
              <w:rPr>
                <w:rFonts w:hint="eastAsia"/>
                <w:b/>
                <w:bCs/>
                <w:color w:val="auto"/>
                <w:kern w:val="0"/>
                <w:szCs w:val="21"/>
              </w:rPr>
              <w:t>4-</w:t>
            </w:r>
            <w:r>
              <w:rPr>
                <w:rFonts w:hint="eastAsia"/>
                <w:b/>
                <w:bCs/>
                <w:color w:val="auto"/>
                <w:kern w:val="0"/>
                <w:szCs w:val="21"/>
                <w:lang w:val="en-US" w:eastAsia="zh-CN"/>
              </w:rPr>
              <w:t>9工业企业声环境保护目标调查表</w:t>
            </w:r>
          </w:p>
          <w:tbl>
            <w:tblPr>
              <w:jc w:val="center"/>
              <w:tblW w:w="4991" w:type="pct"/>
              <w:tblBorders>
                <w:top w:val="single" w:sz="4" w:space="0" w:color="auto"/>
                <w:left w:val="single" w:sz="2" w:space="0" w:color="auto"/>
                <w:bottom w:val="single" w:sz="2" w:space="0" w:color="auto"/>
                <w:right w:val="single" w:sz="4" w:space="0" w:color="auto"/>
                <w:insideH w:val="single" w:sz="6" w:space="0" w:color="auto"/>
                <w:insideV w:val="single" w:sz="2" w:space="0" w:color="auto"/>
              </w:tblBorders>
              <w:tblLayout w:type="fixed"/>
              <w:tblCellMar>
                <w:top w:w="0" w:type="dxa"/>
                <w:left w:w="108" w:type="dxa"/>
                <w:bottom w:w="0" w:type="dxa"/>
                <w:right w:w="108" w:type="dxa"/>
              </w:tblCellMar>
              <w:tblLook w:val="0600" w:firstRow="0" w:lastRow="0" w:firstColumn="0" w:lastColumn="0" w:noHBand="1" w:noVBand="1"/>
            </w:tblPr>
            <w:tblGrid>
              <w:gridCol w:w="335"/>
              <w:gridCol w:w="567"/>
              <w:gridCol w:w="2494"/>
              <w:gridCol w:w="4025"/>
              <w:gridCol w:w="3224"/>
              <w:gridCol w:w="645"/>
              <w:gridCol w:w="433"/>
              <w:gridCol w:w="903"/>
              <w:gridCol w:w="1412"/>
            </w:tblGrid>
            <w:tr>
              <w:trPr>
                <w:trHeight w:val="454"/>
              </w:trPr>
              <w:tc>
                <w:tcPr>
                  <w:tcW w:w="295" w:type="pct"/>
                  <w:vMerge w:val="restart"/>
                  <w:tcBorders>
                    <w:tl2br w:val="nil"/>
                    <w:tr2bl w:val="nil"/>
                  </w:tcBorders>
                  <w:vAlign w:val="center"/>
                </w:tcPr>
                <w:p>
                  <w:pPr>
                    <w:pageBreakBefore w:val="0"/>
                    <w:widowControl w:val="0"/>
                    <w:kinsoku/>
                    <w:overflowPunct/>
                    <w:bidi w:val="0"/>
                    <w:ind w:left="82"/>
                    <w:jc w:val="both"/>
                    <w:rPr>
                      <w:rFonts w:ascii="Times New Roman" w:eastAsia="宋体" w:cs="Times New Roman" w:hAnsi="Times New Roman" w:hint="eastAsia"/>
                      <w:b/>
                      <w:bCs w:val="0"/>
                      <w:color w:val="auto"/>
                      <w:sz w:val="21"/>
                      <w:szCs w:val="21"/>
                      <w:lang w:val="en-US" w:eastAsia="zh-CN"/>
                    </w:rPr>
                  </w:pPr>
                  <w:r>
                    <w:rPr>
                      <w:rFonts w:ascii="Times New Roman" w:eastAsia="宋体" w:cs="Times New Roman" w:hAnsi="Times New Roman" w:hint="eastAsia"/>
                      <w:b/>
                      <w:bCs w:val="0"/>
                      <w:color w:val="auto"/>
                      <w:sz w:val="21"/>
                      <w:szCs w:val="21"/>
                      <w:lang w:val="en-US" w:eastAsia="zh-CN"/>
                    </w:rPr>
                    <w:t>序号</w:t>
                  </w:r>
                </w:p>
              </w:tc>
              <w:tc>
                <w:tcPr>
                  <w:tcW w:w="499" w:type="pct"/>
                  <w:vMerge w:val="restart"/>
                  <w:tcBorders>
                    <w:tl2br w:val="nil"/>
                    <w:tr2bl w:val="nil"/>
                  </w:tcBorders>
                  <w:vAlign w:val="center"/>
                </w:tcPr>
                <w:p>
                  <w:pPr>
                    <w:pageBreakBefore w:val="0"/>
                    <w:widowControl w:val="0"/>
                    <w:kinsoku/>
                    <w:overflowPunct/>
                    <w:bidi w:val="0"/>
                    <w:jc w:val="center"/>
                    <w:rPr>
                      <w:rFonts w:cs="Times New Roman" w:hint="eastAsia"/>
                      <w:b/>
                      <w:bCs w:val="0"/>
                      <w:color w:val="auto"/>
                      <w:kern w:val="2"/>
                      <w:sz w:val="21"/>
                      <w:szCs w:val="21"/>
                      <w:lang w:val="en-US" w:eastAsia="zh-CN" w:bidi="ar-SA"/>
                    </w:rPr>
                  </w:pPr>
                  <w:r>
                    <w:rPr>
                      <w:rFonts w:cs="Times New Roman" w:hint="eastAsia"/>
                      <w:b/>
                      <w:bCs w:val="0"/>
                      <w:color w:val="auto"/>
                      <w:kern w:val="2"/>
                      <w:sz w:val="21"/>
                      <w:szCs w:val="21"/>
                      <w:lang w:val="en-US" w:eastAsia="zh-CN" w:bidi="ar-SA"/>
                    </w:rPr>
                    <w:t>声环境保护</w:t>
                  </w:r>
                </w:p>
                <w:p>
                  <w:pPr>
                    <w:pageBreakBefore w:val="0"/>
                    <w:widowControl w:val="0"/>
                    <w:kinsoku/>
                    <w:overflowPunct/>
                    <w:bidi w:val="0"/>
                    <w:jc w:val="center"/>
                    <w:rPr>
                      <w:rFonts w:cs="Times New Roman" w:hint="eastAsia"/>
                      <w:b/>
                      <w:bCs w:val="0"/>
                      <w:color w:val="auto"/>
                      <w:kern w:val="2"/>
                      <w:sz w:val="21"/>
                      <w:szCs w:val="21"/>
                      <w:lang w:val="en-US" w:eastAsia="zh-CN" w:bidi="ar-SA"/>
                    </w:rPr>
                  </w:pPr>
                  <w:r>
                    <w:rPr>
                      <w:rFonts w:cs="Times New Roman" w:hint="eastAsia"/>
                      <w:b/>
                      <w:bCs w:val="0"/>
                      <w:color w:val="auto"/>
                      <w:kern w:val="2"/>
                      <w:sz w:val="21"/>
                      <w:szCs w:val="21"/>
                      <w:lang w:val="en-US" w:eastAsia="zh-CN" w:bidi="ar-SA"/>
                    </w:rPr>
                    <w:t>目标名称</w:t>
                  </w:r>
                </w:p>
              </w:tc>
              <w:tc>
                <w:tcPr>
                  <w:tcW w:w="1215" w:type="pct"/>
                  <w:gridSpan w:val="3"/>
                  <w:tcBorders>
                    <w:tl2br w:val="nil"/>
                    <w:tr2bl w:val="nil"/>
                  </w:tcBorders>
                  <w:shd w:val="clear" w:color="auto" w:fill="auto"/>
                  <w:vAlign w:val="center"/>
                </w:tcPr>
                <w:p>
                  <w:pPr>
                    <w:pageBreakBefore w:val="0"/>
                    <w:widowControl w:val="0"/>
                    <w:kinsoku/>
                    <w:overflowPunct/>
                    <w:bidi w:val="0"/>
                    <w:jc w:val="center"/>
                    <w:rPr>
                      <w:rFonts w:ascii="Times New Roman" w:eastAsia="宋体" w:cs="Times New Roman" w:hAnsi="Times New Roman" w:hint="eastAsia"/>
                      <w:b/>
                      <w:bCs w:val="0"/>
                      <w:color w:val="auto"/>
                      <w:kern w:val="2"/>
                      <w:sz w:val="21"/>
                      <w:szCs w:val="21"/>
                      <w:lang w:val="en-US" w:eastAsia="zh-CN" w:bidi="ar-SA"/>
                    </w:rPr>
                  </w:pPr>
                  <w:r>
                    <w:rPr>
                      <w:rFonts w:hint="eastAsia"/>
                      <w:b/>
                      <w:bCs w:val="0"/>
                      <w:color w:val="auto"/>
                      <w:kern w:val="0"/>
                      <w:sz w:val="21"/>
                      <w:szCs w:val="21"/>
                      <w:lang w:val="en-US" w:eastAsia="zh-CN"/>
                    </w:rPr>
                    <w:t>空间相对位置/m</w:t>
                  </w:r>
                </w:p>
              </w:tc>
              <w:tc>
                <w:tcPr>
                  <w:tcW w:w="568" w:type="pct"/>
                  <w:vMerge w:val="restart"/>
                  <w:tcBorders>
                    <w:tl2br w:val="nil"/>
                    <w:tr2bl w:val="nil"/>
                  </w:tcBorders>
                  <w:vAlign w:val="center"/>
                </w:tcPr>
                <w:p>
                  <w:pPr>
                    <w:pageBreakBefore w:val="0"/>
                    <w:widowControl w:val="0"/>
                    <w:kinsoku/>
                    <w:overflowPunct/>
                    <w:bidi w:val="0"/>
                    <w:jc w:val="center"/>
                    <w:rPr>
                      <w:rFonts w:hint="eastAsia"/>
                      <w:b/>
                      <w:bCs w:val="0"/>
                      <w:color w:val="auto"/>
                      <w:kern w:val="0"/>
                      <w:sz w:val="21"/>
                      <w:szCs w:val="21"/>
                      <w:lang w:val="en-US" w:eastAsia="zh-CN"/>
                    </w:rPr>
                  </w:pPr>
                  <w:r>
                    <w:rPr>
                      <w:rFonts w:hint="eastAsia"/>
                      <w:b/>
                      <w:bCs w:val="0"/>
                      <w:color w:val="auto"/>
                      <w:kern w:val="0"/>
                      <w:sz w:val="21"/>
                      <w:szCs w:val="21"/>
                      <w:lang w:val="en-US" w:eastAsia="zh-CN"/>
                    </w:rPr>
                    <w:t>距厂界最近距离/m</w:t>
                  </w:r>
                </w:p>
              </w:tc>
              <w:tc>
                <w:tcPr>
                  <w:tcW w:w="381" w:type="pct"/>
                  <w:vMerge w:val="restart"/>
                  <w:tcBorders>
                    <w:tl2br w:val="nil"/>
                    <w:tr2bl w:val="nil"/>
                  </w:tcBorders>
                  <w:vAlign w:val="center"/>
                </w:tcPr>
                <w:p>
                  <w:pPr>
                    <w:pageBreakBefore w:val="0"/>
                    <w:widowControl w:val="0"/>
                    <w:kinsoku/>
                    <w:overflowPunct/>
                    <w:bidi w:val="0"/>
                    <w:jc w:val="center"/>
                    <w:rPr>
                      <w:rFonts w:hint="eastAsia"/>
                      <w:b/>
                      <w:bCs w:val="0"/>
                      <w:color w:val="auto"/>
                      <w:kern w:val="0"/>
                      <w:sz w:val="21"/>
                      <w:szCs w:val="21"/>
                      <w:lang w:val="en-US" w:eastAsia="zh-CN"/>
                    </w:rPr>
                  </w:pPr>
                  <w:r>
                    <w:rPr>
                      <w:rFonts w:hint="eastAsia"/>
                      <w:b/>
                      <w:bCs w:val="0"/>
                      <w:color w:val="auto"/>
                      <w:kern w:val="0"/>
                      <w:sz w:val="21"/>
                      <w:szCs w:val="21"/>
                      <w:lang w:val="en-US" w:eastAsia="zh-CN"/>
                    </w:rPr>
                    <w:t>方位</w:t>
                  </w:r>
                </w:p>
              </w:tc>
              <w:tc>
                <w:tcPr>
                  <w:tcW w:w="795" w:type="pct"/>
                  <w:vMerge w:val="restart"/>
                  <w:tcBorders>
                    <w:tl2br w:val="nil"/>
                    <w:tr2bl w:val="nil"/>
                  </w:tcBorders>
                  <w:vAlign w:val="center"/>
                </w:tcPr>
                <w:p>
                  <w:pPr>
                    <w:pageBreakBefore w:val="0"/>
                    <w:widowControl/>
                    <w:kinsoku/>
                    <w:overflowPunct/>
                    <w:bidi w:val="0"/>
                    <w:jc w:val="center"/>
                    <w:textAlignment w:val="bottom"/>
                    <w:rPr>
                      <w:b/>
                      <w:bCs w:val="0"/>
                      <w:color w:val="auto"/>
                      <w:kern w:val="0"/>
                      <w:sz w:val="21"/>
                      <w:szCs w:val="21"/>
                    </w:rPr>
                  </w:pPr>
                  <w:r>
                    <w:rPr>
                      <w:rFonts w:hint="eastAsia"/>
                      <w:b/>
                      <w:bCs w:val="0"/>
                      <w:color w:val="auto"/>
                      <w:kern w:val="0"/>
                      <w:sz w:val="21"/>
                      <w:szCs w:val="21"/>
                    </w:rPr>
                    <w:t>执行标准/功能区类别</w:t>
                  </w:r>
                </w:p>
              </w:tc>
              <w:tc>
                <w:tcPr>
                  <w:tcW w:w="1243" w:type="pct"/>
                  <w:vMerge w:val="restart"/>
                  <w:tcBorders>
                    <w:tl2br w:val="nil"/>
                    <w:tr2bl w:val="nil"/>
                  </w:tcBorders>
                  <w:vAlign w:val="center"/>
                </w:tcPr>
                <w:p>
                  <w:pPr>
                    <w:pageBreakBefore w:val="0"/>
                    <w:widowControl/>
                    <w:kinsoku/>
                    <w:overflowPunct/>
                    <w:bidi w:val="0"/>
                    <w:jc w:val="center"/>
                    <w:textAlignment w:val="bottom"/>
                    <w:rPr>
                      <w:rFonts w:hint="eastAsia"/>
                      <w:b/>
                      <w:bCs w:val="0"/>
                      <w:color w:val="auto"/>
                      <w:kern w:val="0"/>
                      <w:sz w:val="21"/>
                      <w:szCs w:val="21"/>
                      <w:lang w:val="en-US" w:eastAsia="zh-CN"/>
                    </w:rPr>
                  </w:pPr>
                  <w:r>
                    <w:rPr>
                      <w:rFonts w:hint="eastAsia"/>
                      <w:b/>
                      <w:bCs w:val="0"/>
                      <w:color w:val="auto"/>
                      <w:kern w:val="0"/>
                      <w:sz w:val="21"/>
                      <w:szCs w:val="21"/>
                      <w:lang w:val="en-US" w:eastAsia="zh-CN"/>
                    </w:rPr>
                    <w:t>声环境保护目标情况说明（介绍声环境保护目标建筑结构、朝向、楼层、周围环境情况）</w:t>
                  </w:r>
                </w:p>
              </w:tc>
            </w:tr>
            <w:tr>
              <w:trPr>
                <w:trHeight w:val="454"/>
              </w:trPr>
              <w:tc>
                <w:tcPr>
                  <w:tcW w:w="295" w:type="pct"/>
                  <w:vMerge/>
                  <w:tcBorders>
                    <w:tl2br w:val="nil"/>
                    <w:tr2bl w:val="nil"/>
                  </w:tcBorders>
                  <w:vAlign w:val="center"/>
                </w:tcPr>
                <w:p/>
              </w:tc>
              <w:tc>
                <w:tcPr>
                  <w:tcW w:w="499" w:type="pct"/>
                  <w:vMerge/>
                  <w:tcBorders>
                    <w:tl2br w:val="nil"/>
                    <w:tr2bl w:val="nil"/>
                  </w:tcBorders>
                  <w:vAlign w:val="center"/>
                </w:tcPr>
                <w:p/>
              </w:tc>
              <w:tc>
                <w:tcPr>
                  <w:tcW w:w="311" w:type="pct"/>
                  <w:tcBorders>
                    <w:tl2br w:val="nil"/>
                    <w:tr2bl w:val="nil"/>
                  </w:tcBorders>
                  <w:shd w:val="clear" w:color="auto" w:fill="auto"/>
                  <w:vAlign w:val="center"/>
                </w:tcPr>
                <w:p>
                  <w:pPr>
                    <w:pageBreakBefore w:val="0"/>
                    <w:widowControl/>
                    <w:kinsoku/>
                    <w:overflowPunct/>
                    <w:bidi w:val="0"/>
                    <w:jc w:val="center"/>
                    <w:textAlignment w:val="bottom"/>
                    <w:rPr>
                      <w:rFonts w:ascii="Times New Roman" w:eastAsia="宋体" w:cs="Times New Roman" w:hAnsi="Times New Roman" w:hint="eastAsia"/>
                      <w:b/>
                      <w:i/>
                      <w:iCs/>
                      <w:color w:val="auto"/>
                      <w:kern w:val="0"/>
                      <w:sz w:val="21"/>
                      <w:szCs w:val="21"/>
                      <w:lang w:val="en-US" w:eastAsia="zh-CN"/>
                    </w:rPr>
                  </w:pPr>
                  <w:r>
                    <w:rPr>
                      <w:rFonts w:hint="eastAsia"/>
                      <w:b/>
                      <w:i/>
                      <w:iCs/>
                      <w:color w:val="auto"/>
                      <w:kern w:val="0"/>
                      <w:sz w:val="21"/>
                      <w:szCs w:val="21"/>
                      <w:lang w:val="en-US" w:eastAsia="zh-CN"/>
                    </w:rPr>
                    <w:t>X</w:t>
                  </w:r>
                </w:p>
              </w:tc>
              <w:tc>
                <w:tcPr>
                  <w:tcW w:w="502" w:type="pct"/>
                  <w:tcBorders>
                    <w:tl2br w:val="nil"/>
                    <w:tr2bl w:val="nil"/>
                  </w:tcBorders>
                  <w:shd w:val="clear" w:color="auto" w:fill="auto"/>
                  <w:vAlign w:val="center"/>
                </w:tcPr>
                <w:p>
                  <w:pPr>
                    <w:pageBreakBefore w:val="0"/>
                    <w:widowControl/>
                    <w:kinsoku/>
                    <w:overflowPunct/>
                    <w:bidi w:val="0"/>
                    <w:jc w:val="center"/>
                    <w:textAlignment w:val="bottom"/>
                    <w:rPr>
                      <w:rFonts w:ascii="Times New Roman" w:eastAsia="宋体" w:cs="Times New Roman" w:hAnsi="Times New Roman"/>
                      <w:b/>
                      <w:i/>
                      <w:iCs/>
                      <w:color w:val="auto"/>
                      <w:kern w:val="0"/>
                      <w:sz w:val="21"/>
                      <w:szCs w:val="21"/>
                      <w:lang w:val="en-US" w:eastAsia="zh-CN"/>
                    </w:rPr>
                  </w:pPr>
                  <w:r>
                    <w:rPr>
                      <w:rFonts w:hint="eastAsia"/>
                      <w:b/>
                      <w:i/>
                      <w:iCs/>
                      <w:color w:val="auto"/>
                      <w:kern w:val="0"/>
                      <w:sz w:val="21"/>
                      <w:szCs w:val="21"/>
                      <w:lang w:val="en-US" w:eastAsia="zh-CN"/>
                    </w:rPr>
                    <w:t>Y</w:t>
                  </w:r>
                </w:p>
              </w:tc>
              <w:tc>
                <w:tcPr>
                  <w:tcW w:w="402" w:type="pct"/>
                  <w:tcBorders>
                    <w:tl2br w:val="nil"/>
                    <w:tr2bl w:val="nil"/>
                  </w:tcBorders>
                  <w:shd w:val="clear" w:color="auto" w:fill="auto"/>
                  <w:vAlign w:val="center"/>
                </w:tcPr>
                <w:p>
                  <w:pPr>
                    <w:pageBreakBefore w:val="0"/>
                    <w:widowControl/>
                    <w:kinsoku/>
                    <w:overflowPunct/>
                    <w:bidi w:val="0"/>
                    <w:jc w:val="center"/>
                    <w:textAlignment w:val="bottom"/>
                    <w:rPr>
                      <w:rFonts w:ascii="Times New Roman" w:eastAsia="宋体" w:cs="Times New Roman" w:hAnsi="Times New Roman" w:hint="eastAsia"/>
                      <w:b/>
                      <w:i/>
                      <w:iCs/>
                      <w:color w:val="auto"/>
                      <w:kern w:val="0"/>
                      <w:sz w:val="21"/>
                      <w:szCs w:val="21"/>
                      <w:lang w:val="en-US" w:eastAsia="zh-CN"/>
                    </w:rPr>
                  </w:pPr>
                  <w:r>
                    <w:rPr>
                      <w:rFonts w:hint="eastAsia"/>
                      <w:b/>
                      <w:i/>
                      <w:iCs/>
                      <w:color w:val="auto"/>
                      <w:kern w:val="0"/>
                      <w:sz w:val="21"/>
                      <w:szCs w:val="21"/>
                      <w:lang w:val="en-US" w:eastAsia="zh-CN"/>
                    </w:rPr>
                    <w:t>Z</w:t>
                  </w:r>
                </w:p>
              </w:tc>
              <w:tc>
                <w:tcPr>
                  <w:tcW w:w="568" w:type="pct"/>
                  <w:vMerge/>
                  <w:tcBorders>
                    <w:tl2br w:val="nil"/>
                    <w:tr2bl w:val="nil"/>
                  </w:tcBorders>
                  <w:vAlign w:val="center"/>
                </w:tcPr>
                <w:p/>
              </w:tc>
              <w:tc>
                <w:tcPr>
                  <w:tcW w:w="381" w:type="pct"/>
                  <w:vMerge/>
                  <w:tcBorders>
                    <w:tl2br w:val="nil"/>
                    <w:tr2bl w:val="nil"/>
                  </w:tcBorders>
                  <w:vAlign w:val="center"/>
                </w:tcPr>
                <w:p/>
              </w:tc>
              <w:tc>
                <w:tcPr>
                  <w:tcW w:w="795" w:type="pct"/>
                  <w:vMerge/>
                  <w:tcBorders>
                    <w:tl2br w:val="nil"/>
                    <w:tr2bl w:val="nil"/>
                  </w:tcBorders>
                  <w:vAlign w:val="center"/>
                </w:tcPr>
                <w:p/>
              </w:tc>
              <w:tc>
                <w:tcPr>
                  <w:tcW w:w="1243" w:type="pct"/>
                  <w:vMerge/>
                  <w:tcBorders>
                    <w:tl2br w:val="nil"/>
                    <w:tr2bl w:val="nil"/>
                  </w:tcBorders>
                  <w:vAlign w:val="center"/>
                </w:tcPr>
                <w:p/>
              </w:tc>
            </w:tr>
            <w:tr>
              <w:trPr>
                <w:trHeight w:val="454"/>
              </w:trPr>
              <w:tc>
                <w:tcPr>
                  <w:tcW w:w="295" w:type="pct"/>
                  <w:tcBorders>
                    <w:tl2br w:val="nil"/>
                    <w:tr2bl w:val="nil"/>
                  </w:tcBorders>
                  <w:vAlign w:val="center"/>
                </w:tcPr>
                <w:p>
                  <w:pPr>
                    <w:pageBreakBefore w:val="0"/>
                    <w:widowControl w:val="0"/>
                    <w:numPr>
                      <w:ilvl w:val="0"/>
                      <w:numId w:val="3"/>
                    </w:numPr>
                    <w:kinsoku/>
                    <w:overflowPunct/>
                    <w:bidi w:val="0"/>
                    <w:ind w:left="227" w:hanging="145"/>
                    <w:jc w:val="center"/>
                    <w:rPr>
                      <w:rFonts w:ascii="Times New Roman" w:eastAsia="宋体" w:cs="Times New Roman" w:hAnsi="Times New Roman" w:hint="eastAsia"/>
                      <w:bCs/>
                      <w:color w:val="auto"/>
                      <w:sz w:val="21"/>
                      <w:szCs w:val="21"/>
                      <w:lang w:val="en-US" w:eastAsia="zh-CN"/>
                    </w:rPr>
                  </w:pPr>
                </w:p>
              </w:tc>
              <w:tc>
                <w:tcPr>
                  <w:tcW w:w="499" w:type="pct"/>
                  <w:tcBorders>
                    <w:tl2br w:val="nil"/>
                    <w:tr2bl w:val="nil"/>
                  </w:tcBorders>
                  <w:vAlign w:val="center"/>
                </w:tcPr>
                <w:p>
                  <w:pPr>
                    <w:pageBreakBefore w:val="0"/>
                    <w:widowControl w:val="0"/>
                    <w:kinsoku/>
                    <w:overflowPunct/>
                    <w:bidi w:val="0"/>
                    <w:jc w:val="center"/>
                    <w:rPr>
                      <w:rFonts w:cs="Times New Roman"/>
                      <w:color w:val="auto"/>
                      <w:kern w:val="2"/>
                      <w:sz w:val="21"/>
                      <w:szCs w:val="21"/>
                      <w:lang w:val="en-US" w:eastAsia="zh-CN" w:bidi="ar-SA"/>
                    </w:rPr>
                  </w:pPr>
                  <w:r>
                    <w:rPr>
                      <w:rFonts w:cs="Times New Roman" w:hint="eastAsia"/>
                      <w:color w:val="auto"/>
                      <w:kern w:val="2"/>
                      <w:sz w:val="21"/>
                      <w:szCs w:val="21"/>
                      <w:lang w:val="en-US" w:eastAsia="zh-CN" w:bidi="ar-SA"/>
                    </w:rPr>
                    <w:t>声环境居民点1</w:t>
                  </w:r>
                </w:p>
              </w:tc>
              <w:tc>
                <w:tcPr>
                  <w:tcW w:w="2195" w:type="pct"/>
                  <w:tcBorders>
                    <w:tl2br w:val="nil"/>
                    <w:tr2bl w:val="nil"/>
                  </w:tcBorders>
                  <w:vAlign w:val="center"/>
                </w:tcPr>
                <w:p>
                  <w:pPr>
                    <w:pageBreakBefore w:val="0"/>
                    <w:widowControl w:val="0"/>
                    <w:kinsoku/>
                    <w:overflowPunct/>
                    <w:bidi w:val="0"/>
                    <w:jc w:val="center"/>
                    <w:rPr>
                      <w:rFonts w:ascii="Times New Roman" w:eastAsia="宋体" w:cs="Times New Roman" w:hAnsi="Times New Roman" w:hint="eastAsia"/>
                      <w:color w:val="auto"/>
                      <w:kern w:val="0"/>
                      <w:sz w:val="21"/>
                      <w:szCs w:val="21"/>
                      <w:lang w:val="en-US" w:eastAsia="zh-CN"/>
                    </w:rPr>
                  </w:pPr>
                  <w:r>
                    <w:rPr>
                      <w:rFonts w:ascii="Times New Roman" w:eastAsia="宋体" w:cs="Times New Roman" w:hAnsi="Times New Roman" w:hint="eastAsia"/>
                      <w:color w:val="auto"/>
                      <w:kern w:val="0"/>
                      <w:sz w:val="21"/>
                      <w:szCs w:val="21"/>
                      <w:lang w:val="en-US" w:eastAsia="zh-CN"/>
                    </w:rPr>
                    <w:t>-51.9</w:t>
                  </w:r>
                </w:p>
              </w:tc>
              <w:tc>
                <w:tcPr>
                  <w:tcW w:w="3542" w:type="pct"/>
                  <w:tcBorders>
                    <w:tl2br w:val="nil"/>
                    <w:tr2bl w:val="nil"/>
                  </w:tcBorders>
                  <w:vAlign w:val="center"/>
                </w:tcPr>
                <w:p>
                  <w:pPr>
                    <w:pageBreakBefore w:val="0"/>
                    <w:widowControl w:val="0"/>
                    <w:kinsoku/>
                    <w:overflowPunct/>
                    <w:bidi w:val="0"/>
                    <w:jc w:val="center"/>
                    <w:rPr>
                      <w:rFonts w:ascii="Times New Roman" w:eastAsia="宋体" w:cs="Times New Roman" w:hAnsi="Times New Roman" w:hint="eastAsia"/>
                      <w:color w:val="auto"/>
                      <w:kern w:val="0"/>
                      <w:sz w:val="21"/>
                      <w:szCs w:val="21"/>
                      <w:lang w:val="en-US" w:eastAsia="zh-CN"/>
                    </w:rPr>
                  </w:pPr>
                  <w:r>
                    <w:rPr>
                      <w:rFonts w:ascii="Times New Roman" w:eastAsia="宋体" w:cs="Times New Roman" w:hAnsi="Times New Roman" w:hint="eastAsia"/>
                      <w:color w:val="auto"/>
                      <w:kern w:val="0"/>
                      <w:sz w:val="21"/>
                      <w:szCs w:val="21"/>
                      <w:lang w:val="en-US" w:eastAsia="zh-CN"/>
                    </w:rPr>
                    <w:t>65.8</w:t>
                  </w:r>
                </w:p>
              </w:tc>
              <w:tc>
                <w:tcPr>
                  <w:tcW w:w="2837" w:type="pct"/>
                  <w:tcBorders>
                    <w:tl2br w:val="nil"/>
                    <w:tr2bl w:val="nil"/>
                  </w:tcBorders>
                  <w:vAlign w:val="center"/>
                </w:tcPr>
                <w:p>
                  <w:pPr>
                    <w:pageBreakBefore w:val="0"/>
                    <w:widowControl w:val="0"/>
                    <w:kinsoku/>
                    <w:overflowPunct/>
                    <w:bidi w:val="0"/>
                    <w:jc w:val="center"/>
                    <w:rPr>
                      <w:rFonts w:ascii="Times New Roman" w:eastAsia="宋体" w:cs="Times New Roman" w:hAnsi="Times New Roman"/>
                      <w:color w:val="auto"/>
                      <w:kern w:val="0"/>
                      <w:sz w:val="21"/>
                      <w:szCs w:val="21"/>
                      <w:lang w:val="en-US" w:eastAsia="zh-CN"/>
                    </w:rPr>
                  </w:pPr>
                  <w:r>
                    <w:rPr>
                      <w:rFonts w:ascii="Times New Roman" w:eastAsia="宋体" w:cs="Times New Roman" w:hAnsi="Times New Roman" w:hint="eastAsia"/>
                      <w:color w:val="auto"/>
                      <w:kern w:val="0"/>
                      <w:sz w:val="21"/>
                      <w:szCs w:val="21"/>
                      <w:lang w:val="en-US" w:eastAsia="zh-CN"/>
                    </w:rPr>
                    <w:t>1.2</w:t>
                  </w:r>
                </w:p>
              </w:tc>
              <w:tc>
                <w:tcPr>
                  <w:tcW w:w="568" w:type="pct"/>
                  <w:tcBorders>
                    <w:tl2br w:val="nil"/>
                    <w:tr2bl w:val="nil"/>
                  </w:tcBorders>
                  <w:vAlign w:val="center"/>
                </w:tcPr>
                <w:p>
                  <w:pPr>
                    <w:pageBreakBefore w:val="0"/>
                    <w:widowControl w:val="0"/>
                    <w:kinsoku/>
                    <w:overflowPunct/>
                    <w:bidi w:val="0"/>
                    <w:jc w:val="center"/>
                    <w:rPr>
                      <w:color w:val="auto"/>
                      <w:kern w:val="0"/>
                      <w:sz w:val="21"/>
                      <w:szCs w:val="21"/>
                      <w:lang w:val="en-US" w:eastAsia="zh-CN"/>
                    </w:rPr>
                  </w:pPr>
                  <w:r>
                    <w:rPr>
                      <w:rFonts w:hint="eastAsia"/>
                      <w:color w:val="auto"/>
                      <w:kern w:val="0"/>
                      <w:sz w:val="21"/>
                      <w:szCs w:val="21"/>
                      <w:lang w:val="en-US" w:eastAsia="zh-CN"/>
                    </w:rPr>
                    <w:t>50</w:t>
                  </w:r>
                </w:p>
              </w:tc>
              <w:tc>
                <w:tcPr>
                  <w:tcW w:w="381" w:type="pct"/>
                  <w:tcBorders>
                    <w:tl2br w:val="nil"/>
                    <w:tr2bl w:val="nil"/>
                  </w:tcBorders>
                  <w:vAlign w:val="center"/>
                </w:tcPr>
                <w:p>
                  <w:pPr>
                    <w:pageBreakBefore w:val="0"/>
                    <w:widowControl w:val="0"/>
                    <w:kinsoku/>
                    <w:overflowPunct/>
                    <w:bidi w:val="0"/>
                    <w:jc w:val="center"/>
                    <w:rPr>
                      <w:color w:val="auto"/>
                      <w:kern w:val="0"/>
                      <w:sz w:val="21"/>
                      <w:szCs w:val="21"/>
                      <w:lang w:val="en-US" w:eastAsia="zh-CN"/>
                    </w:rPr>
                  </w:pPr>
                  <w:r>
                    <w:rPr>
                      <w:rFonts w:hint="eastAsia"/>
                      <w:color w:val="auto"/>
                      <w:kern w:val="0"/>
                      <w:sz w:val="21"/>
                      <w:szCs w:val="21"/>
                      <w:lang w:val="en-US" w:eastAsia="zh-CN"/>
                    </w:rPr>
                    <w:t>北</w:t>
                  </w:r>
                </w:p>
              </w:tc>
              <w:tc>
                <w:tcPr>
                  <w:tcW w:w="795" w:type="pct"/>
                  <w:tcBorders>
                    <w:tl2br w:val="nil"/>
                    <w:tr2bl w:val="nil"/>
                  </w:tcBorders>
                  <w:vAlign w:val="center"/>
                </w:tcPr>
                <w:p>
                  <w:pPr>
                    <w:pageBreakBefore w:val="0"/>
                    <w:widowControl/>
                    <w:kinsoku/>
                    <w:overflowPunct/>
                    <w:bidi w:val="0"/>
                    <w:jc w:val="center"/>
                    <w:textAlignment w:val="bottom"/>
                    <w:rPr>
                      <w:rFonts w:eastAsia="宋体"/>
                      <w:bCs/>
                      <w:color w:val="auto"/>
                      <w:kern w:val="0"/>
                      <w:sz w:val="21"/>
                      <w:szCs w:val="21"/>
                      <w:lang w:val="en-US" w:eastAsia="zh-CN"/>
                    </w:rPr>
                  </w:pPr>
                  <w:r>
                    <w:rPr>
                      <w:rFonts w:hint="eastAsia"/>
                      <w:bCs/>
                      <w:color w:val="auto"/>
                      <w:kern w:val="0"/>
                      <w:sz w:val="21"/>
                      <w:szCs w:val="21"/>
                      <w:lang w:val="en-US" w:eastAsia="zh-CN"/>
                    </w:rPr>
                    <w:t>二级/2类</w:t>
                  </w:r>
                </w:p>
              </w:tc>
              <w:tc>
                <w:tcPr>
                  <w:tcW w:w="1243" w:type="pct"/>
                  <w:tcBorders>
                    <w:tl2br w:val="nil"/>
                    <w:tr2bl w:val="nil"/>
                  </w:tcBorders>
                  <w:vAlign w:val="center"/>
                </w:tcPr>
                <w:p>
                  <w:pPr>
                    <w:pageBreakBefore w:val="0"/>
                    <w:widowControl/>
                    <w:kinsoku/>
                    <w:overflowPunct/>
                    <w:bidi w:val="0"/>
                    <w:jc w:val="center"/>
                    <w:textAlignment w:val="bottom"/>
                    <w:rPr>
                      <w:bCs/>
                      <w:color w:val="auto"/>
                      <w:kern w:val="0"/>
                      <w:sz w:val="21"/>
                      <w:szCs w:val="21"/>
                      <w:lang w:val="en-US" w:eastAsia="zh-CN"/>
                    </w:rPr>
                  </w:pPr>
                  <w:r>
                    <w:rPr>
                      <w:rFonts w:hint="eastAsia"/>
                      <w:bCs/>
                      <w:color w:val="auto"/>
                      <w:kern w:val="0"/>
                      <w:sz w:val="21"/>
                      <w:szCs w:val="21"/>
                      <w:lang w:val="en-US" w:eastAsia="zh-CN"/>
                    </w:rPr>
                    <w:t>砖混2.5层自建房，朝向西北，东、南侧有树木环绕，西侧为马路，北侧为居民</w:t>
                  </w:r>
                </w:p>
              </w:tc>
            </w:tr>
          </w:tbl>
          <w:p>
            <w:pPr>
              <w:pStyle w:val="50"/>
              <w:pageBreakBefore w:val="0"/>
              <w:widowControl w:val="0"/>
              <w:kinsoku/>
              <w:overflowPunct/>
              <w:bidi w:val="0"/>
              <w:spacing w:beforeLines="50" w:before="120"/>
              <w:rPr>
                <w:rFonts w:hint="eastAsia"/>
                <w:b/>
                <w:bCs/>
                <w:color w:val="auto"/>
              </w:rPr>
            </w:pPr>
          </w:p>
          <w:p>
            <w:pPr>
              <w:pStyle w:val="50"/>
              <w:pageBreakBefore w:val="0"/>
              <w:widowControl w:val="0"/>
              <w:kinsoku/>
              <w:overflowPunct/>
              <w:bidi w:val="0"/>
              <w:spacing w:beforeLines="50" w:before="120"/>
              <w:rPr>
                <w:b/>
                <w:bCs/>
                <w:color w:val="auto"/>
              </w:rPr>
            </w:pPr>
            <w:r>
              <w:rPr>
                <w:rFonts w:hint="eastAsia"/>
                <w:b/>
                <w:bCs/>
                <w:color w:val="auto"/>
              </w:rPr>
              <w:t>2、项目噪声环境影响</w:t>
            </w:r>
          </w:p>
          <w:p>
            <w:pPr>
              <w:pStyle w:val="38"/>
              <w:pageBreakBefore w:val="0"/>
              <w:widowControl w:val="0"/>
              <w:kinsoku/>
              <w:overflowPunct/>
              <w:bidi w:val="0"/>
              <w:rPr>
                <w:rFonts w:eastAsia="宋体" w:hint="eastAsia"/>
                <w:color w:val="auto"/>
                <w:sz w:val="24"/>
                <w:lang w:eastAsia="zh-CN"/>
              </w:rPr>
            </w:pPr>
            <w:r>
              <w:rPr>
                <w:rFonts w:ascii="宋体" w:eastAsia="宋体" w:cs="宋体" w:hAnsi="宋体" w:hint="eastAsia"/>
                <w:color w:val="auto"/>
                <w:sz w:val="24"/>
              </w:rPr>
              <w:t>①</w:t>
            </w:r>
            <w:r>
              <w:rPr>
                <w:rFonts w:eastAsia="宋体" w:hint="eastAsia"/>
                <w:color w:val="auto"/>
                <w:sz w:val="24"/>
                <w:lang w:eastAsia="zh-CN"/>
              </w:rPr>
              <w:t>噪声影响分析</w:t>
            </w:r>
          </w:p>
          <w:p>
            <w:pPr>
              <w:pStyle w:val="38"/>
              <w:pageBreakBefore w:val="0"/>
              <w:widowControl w:val="0"/>
              <w:kinsoku/>
              <w:overflowPunct/>
              <w:bidi w:val="0"/>
              <w:rPr>
                <w:rFonts w:eastAsia="宋体"/>
                <w:color w:val="auto"/>
                <w:sz w:val="24"/>
              </w:rPr>
            </w:pPr>
            <w:r>
              <w:rPr>
                <w:rFonts w:eastAsia="宋体"/>
                <w:color w:val="auto"/>
                <w:sz w:val="24"/>
              </w:rPr>
              <w:t>本次预测</w:t>
            </w:r>
            <w:r>
              <w:rPr>
                <w:rFonts w:eastAsia="宋体" w:hint="eastAsia"/>
                <w:color w:val="auto"/>
                <w:sz w:val="24"/>
              </w:rPr>
              <w:t>根据</w:t>
            </w:r>
            <w:r>
              <w:rPr>
                <w:rFonts w:eastAsia="宋体" w:hAnsi="宋体"/>
                <w:color w:val="auto"/>
                <w:sz w:val="24"/>
              </w:rPr>
              <w:t>《</w:t>
            </w:r>
            <w:r>
              <w:rPr>
                <w:rFonts w:eastAsia="宋体" w:hAnsi="宋体" w:hint="eastAsia"/>
                <w:color w:val="auto"/>
                <w:sz w:val="24"/>
              </w:rPr>
              <w:t>环境影响评价技术导则声环境</w:t>
            </w:r>
            <w:r>
              <w:rPr>
                <w:rFonts w:eastAsia="宋体" w:hAnsi="宋体"/>
                <w:color w:val="auto"/>
                <w:sz w:val="24"/>
              </w:rPr>
              <w:t>》（</w:t>
            </w:r>
            <w:r>
              <w:rPr>
                <w:rFonts w:eastAsia="宋体"/>
                <w:color w:val="auto"/>
                <w:sz w:val="24"/>
              </w:rPr>
              <w:t>HJ2.4-20</w:t>
            </w:r>
            <w:r>
              <w:rPr>
                <w:rFonts w:eastAsia="宋体" w:hint="eastAsia"/>
                <w:color w:val="auto"/>
                <w:sz w:val="24"/>
              </w:rPr>
              <w:t>21</w:t>
            </w:r>
            <w:r>
              <w:rPr>
                <w:rFonts w:eastAsia="宋体" w:hAnsi="宋体"/>
                <w:color w:val="auto"/>
                <w:sz w:val="24"/>
              </w:rPr>
              <w:t>）上推荐模式</w:t>
            </w:r>
            <w:r>
              <w:rPr>
                <w:rFonts w:eastAsia="宋体"/>
                <w:color w:val="auto"/>
                <w:sz w:val="24"/>
              </w:rPr>
              <w:t>，基本公式如下。</w:t>
            </w:r>
          </w:p>
          <w:p>
            <w:pPr>
              <w:pStyle w:val="38"/>
              <w:pageBreakBefore w:val="0"/>
              <w:widowControl w:val="0"/>
              <w:kinsoku/>
              <w:overflowPunct/>
              <w:bidi w:val="0"/>
              <w:jc w:val="left"/>
              <w:rPr>
                <w:rFonts w:eastAsia="宋体"/>
                <w:color w:val="auto"/>
                <w:sz w:val="24"/>
              </w:rPr>
            </w:pPr>
            <w:r>
              <w:rPr>
                <w:rFonts w:eastAsia="宋体" w:hint="eastAsia"/>
                <w:color w:val="auto"/>
                <w:sz w:val="24"/>
              </w:rPr>
              <w:t>声源位于室内，室内声源可采用等效室外声源声功率级法进行计算。设靠近开口处（或窗户）室内、室外某倍频带的声压级或A声级分别为Lp</w:t>
            </w:r>
            <w:r>
              <w:rPr>
                <w:rFonts w:eastAsia="宋体" w:hint="eastAsia"/>
                <w:color w:val="auto"/>
                <w:sz w:val="24"/>
                <w:vertAlign w:val="subscript"/>
              </w:rPr>
              <w:t>1</w:t>
            </w:r>
            <w:r>
              <w:rPr>
                <w:rFonts w:eastAsia="宋体" w:hint="eastAsia"/>
                <w:color w:val="auto"/>
                <w:sz w:val="24"/>
              </w:rPr>
              <w:t>和Lp</w:t>
            </w:r>
            <w:r>
              <w:rPr>
                <w:rFonts w:eastAsia="宋体" w:hint="eastAsia"/>
                <w:color w:val="auto"/>
                <w:sz w:val="24"/>
                <w:vertAlign w:val="subscript"/>
              </w:rPr>
              <w:t>2</w:t>
            </w:r>
            <w:r>
              <w:rPr>
                <w:rFonts w:eastAsia="宋体" w:hint="eastAsia"/>
                <w:color w:val="auto"/>
                <w:sz w:val="24"/>
              </w:rPr>
              <w:t>。若声源所在室内声场为近似扩散声场，则室外的倍频带声压级可按式（B.1）近似求出：</w:t>
            </w:r>
          </w:p>
          <w:p>
            <w:pPr>
              <w:pStyle w:val="38"/>
              <w:pageBreakBefore w:val="0"/>
              <w:widowControl w:val="0"/>
              <w:kinsoku/>
              <w:overflowPunct/>
              <w:bidi w:val="0"/>
              <w:jc w:val="center"/>
              <w:rPr>
                <w:rFonts w:eastAsia="宋体"/>
                <w:color w:val="auto"/>
                <w:sz w:val="24"/>
              </w:rPr>
            </w:pPr>
            <w:r>
              <w:rPr>
                <w:rFonts w:eastAsia="宋体"/>
                <w:color w:val="auto"/>
                <w:sz w:val="24"/>
              </w:rPr>
              <w:t>L</w:t>
            </w:r>
            <w:r>
              <w:rPr>
                <w:rFonts w:eastAsia="宋体" w:hint="eastAsia"/>
                <w:color w:val="auto"/>
                <w:sz w:val="24"/>
                <w:vertAlign w:val="subscript"/>
              </w:rPr>
              <w:t>p2</w:t>
            </w:r>
            <w:r>
              <w:rPr>
                <w:rFonts w:eastAsia="宋体"/>
                <w:color w:val="auto"/>
                <w:sz w:val="24"/>
              </w:rPr>
              <w:t>=L</w:t>
            </w:r>
            <w:r>
              <w:rPr>
                <w:rFonts w:eastAsia="宋体" w:hint="eastAsia"/>
                <w:color w:val="auto"/>
                <w:sz w:val="24"/>
                <w:vertAlign w:val="subscript"/>
              </w:rPr>
              <w:t>p1</w:t>
            </w:r>
            <w:r>
              <w:rPr>
                <w:rFonts w:eastAsia="宋体"/>
                <w:color w:val="auto"/>
                <w:sz w:val="24"/>
              </w:rPr>
              <w:t>-</w:t>
            </w:r>
            <w:r>
              <w:rPr>
                <w:rFonts w:eastAsia="宋体" w:hint="eastAsia"/>
                <w:color w:val="auto"/>
                <w:sz w:val="24"/>
                <w:lang w:eastAsia="zh-CN"/>
              </w:rPr>
              <w:t>(</w:t>
            </w:r>
            <w:r>
              <w:rPr>
                <w:rFonts w:eastAsia="宋体" w:hint="eastAsia"/>
                <w:color w:val="auto"/>
                <w:sz w:val="24"/>
              </w:rPr>
              <w:t>TL+6</w:t>
            </w:r>
            <w:r>
              <w:rPr>
                <w:rFonts w:eastAsia="宋体" w:hint="eastAsia"/>
                <w:color w:val="auto"/>
                <w:sz w:val="24"/>
                <w:lang w:eastAsia="zh-CN"/>
              </w:rPr>
              <w:t>)</w:t>
            </w:r>
          </w:p>
          <w:p>
            <w:pPr>
              <w:pageBreakBefore w:val="0"/>
              <w:widowControl w:val="0"/>
              <w:kinsoku/>
              <w:overflowPunct/>
              <w:bidi w:val="0"/>
              <w:snapToGrid w:val="0"/>
              <w:spacing w:line="360" w:lineRule="auto"/>
              <w:ind w:firstLineChars="200" w:firstLine="480"/>
              <w:rPr>
                <w:color w:val="auto"/>
                <w:sz w:val="24"/>
              </w:rPr>
            </w:pPr>
            <w:r>
              <w:rPr>
                <w:rFonts w:hint="eastAsia"/>
                <w:color w:val="auto"/>
                <w:sz w:val="24"/>
              </w:rPr>
              <w:t>式中：</w:t>
            </w:r>
          </w:p>
          <w:p>
            <w:pPr>
              <w:pageBreakBefore w:val="0"/>
              <w:widowControl w:val="0"/>
              <w:kinsoku/>
              <w:overflowPunct/>
              <w:bidi w:val="0"/>
              <w:snapToGrid w:val="0"/>
              <w:spacing w:line="360" w:lineRule="auto"/>
              <w:ind w:firstLineChars="500" w:firstLine="1200"/>
              <w:rPr>
                <w:color w:val="auto"/>
                <w:sz w:val="24"/>
              </w:rPr>
            </w:pPr>
            <w:r>
              <w:rPr>
                <w:color w:val="auto"/>
                <w:sz w:val="24"/>
              </w:rPr>
              <w:t>L</w:t>
            </w:r>
            <w:r>
              <w:rPr>
                <w:rFonts w:hint="eastAsia"/>
                <w:color w:val="auto"/>
                <w:sz w:val="24"/>
                <w:vertAlign w:val="subscript"/>
              </w:rPr>
              <w:t>p1</w:t>
            </w:r>
            <w:r>
              <w:rPr>
                <w:color w:val="auto"/>
                <w:sz w:val="24"/>
              </w:rPr>
              <w:t>—</w:t>
            </w:r>
            <w:r>
              <w:rPr>
                <w:rFonts w:hint="eastAsia"/>
                <w:color w:val="auto"/>
                <w:w w:val="90"/>
                <w:sz w:val="24"/>
              </w:rPr>
              <w:t>靠近开口处（或窗户）室内某倍频带的声压级或A声级，dB；</w:t>
            </w:r>
          </w:p>
          <w:p>
            <w:pPr>
              <w:pageBreakBefore w:val="0"/>
              <w:widowControl w:val="0"/>
              <w:kinsoku/>
              <w:overflowPunct/>
              <w:bidi w:val="0"/>
              <w:snapToGrid w:val="0"/>
              <w:spacing w:line="360" w:lineRule="auto"/>
              <w:ind w:firstLineChars="500" w:firstLine="1200"/>
              <w:rPr>
                <w:color w:val="auto"/>
                <w:sz w:val="24"/>
              </w:rPr>
            </w:pPr>
            <w:r>
              <w:rPr>
                <w:color w:val="auto"/>
                <w:sz w:val="24"/>
              </w:rPr>
              <w:t>L</w:t>
            </w:r>
            <w:r>
              <w:rPr>
                <w:rFonts w:hint="eastAsia"/>
                <w:color w:val="auto"/>
                <w:sz w:val="24"/>
                <w:vertAlign w:val="subscript"/>
              </w:rPr>
              <w:t>p2</w:t>
            </w:r>
            <w:r>
              <w:rPr>
                <w:color w:val="auto"/>
                <w:sz w:val="24"/>
              </w:rPr>
              <w:t>—</w:t>
            </w:r>
            <w:r>
              <w:rPr>
                <w:rFonts w:hint="eastAsia"/>
                <w:color w:val="auto"/>
                <w:w w:val="90"/>
                <w:sz w:val="24"/>
              </w:rPr>
              <w:t>靠近开口处（或窗户）室外某倍频带的声压级或A声级，dB；</w:t>
            </w:r>
          </w:p>
          <w:p>
            <w:pPr>
              <w:pageBreakBefore w:val="0"/>
              <w:widowControl w:val="0"/>
              <w:kinsoku/>
              <w:overflowPunct/>
              <w:bidi w:val="0"/>
              <w:snapToGrid w:val="0"/>
              <w:spacing w:line="360" w:lineRule="auto"/>
              <w:ind w:firstLineChars="500" w:firstLine="1200"/>
              <w:rPr>
                <w:color w:val="auto"/>
                <w:w w:val="90"/>
                <w:sz w:val="24"/>
              </w:rPr>
            </w:pPr>
            <w:r>
              <w:rPr>
                <w:rFonts w:hint="eastAsia"/>
                <w:color w:val="auto"/>
                <w:sz w:val="24"/>
              </w:rPr>
              <w:t>TL</w:t>
            </w:r>
            <w:r>
              <w:rPr>
                <w:color w:val="auto"/>
                <w:sz w:val="24"/>
              </w:rPr>
              <w:t>—</w:t>
            </w:r>
            <w:r>
              <w:rPr>
                <w:rFonts w:hint="eastAsia"/>
                <w:color w:val="auto"/>
                <w:w w:val="90"/>
                <w:sz w:val="24"/>
              </w:rPr>
              <w:t>隔墙（或窗户）倍频带或A声级的隔声量，dB</w:t>
            </w:r>
          </w:p>
          <w:p>
            <w:pPr>
              <w:pStyle w:val="3"/>
              <w:keepNext/>
              <w:keepLines/>
              <w:pageBreakBefore w:val="0"/>
              <w:kinsoku/>
              <w:overflowPunct/>
              <w:bidi w:val="0"/>
              <w:jc w:val="center"/>
              <w:rPr>
                <w:color w:val="auto"/>
              </w:rPr>
            </w:pPr>
            <w:r>
              <w:rPr>
                <w:color w:val="auto"/>
              </w:rPr>
              <w:drawing>
                <wp:inline distT="0" distB="0" distL="114300" distR="114300">
                  <wp:extent cx="2477135" cy="655320"/>
                  <wp:effectExtent l="0" t="0" r="1" b="0"/>
                  <wp:docPr id="35" name="图片 3"/>
                  <wp:cNvGraphicFramePr>
                    <a:graphicFrameLocks noChangeAspect="1"/>
                  </wp:cNvGraphicFramePr>
                  <a:graphic>
                    <a:graphicData uri="http://schemas.openxmlformats.org/drawingml/2006/picture">
                      <pic:pic>
                        <pic:nvPicPr>
                          <pic:cNvPr id="15" name="图片 3 15"/>
                          <pic:cNvPicPr/>
                        </pic:nvPicPr>
                        <pic:blipFill>
                          <a:blip r:embed="rId12"/>
                          <a:stretch>
                            <a:fillRect/>
                          </a:stretch>
                        </pic:blipFill>
                        <pic:spPr>
                          <a:xfrm rot="0">
                            <a:off x="0" y="0"/>
                            <a:ext cx="2477135" cy="655320"/>
                          </a:xfrm>
                          <a:prstGeom prst="rect"/>
                          <a:noFill/>
                          <a:ln cmpd="sng" cap="flat">
                            <a:noFill/>
                            <a:prstDash val="solid"/>
                            <a:round/>
                          </a:ln>
                        </pic:spPr>
                      </pic:pic>
                    </a:graphicData>
                  </a:graphic>
                </wp:inline>
              </w:drawing>
            </w:r>
          </w:p>
          <w:p>
            <w:pPr>
              <w:pageBreakBefore w:val="0"/>
              <w:widowControl w:val="0"/>
              <w:kinsoku/>
              <w:overflowPunct/>
              <w:bidi w:val="0"/>
              <w:snapToGrid w:val="0"/>
              <w:spacing w:line="360" w:lineRule="auto"/>
              <w:ind w:firstLineChars="200" w:firstLine="480"/>
              <w:rPr>
                <w:color w:val="auto"/>
                <w:sz w:val="24"/>
              </w:rPr>
            </w:pPr>
            <w:r>
              <w:rPr>
                <w:rFonts w:hint="eastAsia"/>
                <w:color w:val="auto"/>
                <w:sz w:val="24"/>
              </w:rPr>
              <w:t>式中：</w:t>
            </w:r>
          </w:p>
          <w:p>
            <w:pPr>
              <w:pageBreakBefore w:val="0"/>
              <w:widowControl w:val="0"/>
              <w:kinsoku/>
              <w:overflowPunct/>
              <w:bidi w:val="0"/>
              <w:snapToGrid w:val="0"/>
              <w:spacing w:line="360" w:lineRule="auto"/>
              <w:ind w:firstLineChars="500" w:firstLine="1200"/>
              <w:rPr>
                <w:color w:val="auto"/>
                <w:sz w:val="24"/>
              </w:rPr>
            </w:pPr>
            <w:r>
              <w:rPr>
                <w:color w:val="auto"/>
                <w:sz w:val="24"/>
              </w:rPr>
              <w:t>L</w:t>
            </w:r>
            <w:r>
              <w:rPr>
                <w:rFonts w:hint="eastAsia"/>
                <w:color w:val="auto"/>
                <w:sz w:val="24"/>
                <w:vertAlign w:val="subscript"/>
              </w:rPr>
              <w:t>pli</w:t>
            </w:r>
            <w:r>
              <w:rPr>
                <w:rFonts w:hint="eastAsia"/>
                <w:color w:val="auto"/>
                <w:sz w:val="24"/>
              </w:rPr>
              <w:t>（T）</w:t>
            </w:r>
            <w:r>
              <w:rPr>
                <w:color w:val="auto"/>
                <w:sz w:val="24"/>
              </w:rPr>
              <w:t>—</w:t>
            </w:r>
            <w:r>
              <w:rPr>
                <w:rFonts w:hint="eastAsia"/>
                <w:color w:val="auto"/>
                <w:w w:val="90"/>
                <w:sz w:val="24"/>
              </w:rPr>
              <w:t>靠近围护结构处室内N个声源i倍频带的叠加声压级，dB；</w:t>
            </w:r>
          </w:p>
          <w:p>
            <w:pPr>
              <w:pageBreakBefore w:val="0"/>
              <w:widowControl w:val="0"/>
              <w:kinsoku/>
              <w:overflowPunct/>
              <w:bidi w:val="0"/>
              <w:snapToGrid w:val="0"/>
              <w:spacing w:line="360" w:lineRule="auto"/>
              <w:ind w:firstLineChars="500" w:firstLine="1200"/>
              <w:rPr>
                <w:rFonts w:eastAsia="宋体" w:hint="eastAsia"/>
                <w:color w:val="auto"/>
                <w:sz w:val="24"/>
                <w:lang w:eastAsia="zh-CN"/>
              </w:rPr>
            </w:pPr>
            <w:r>
              <w:rPr>
                <w:color w:val="auto"/>
                <w:sz w:val="24"/>
              </w:rPr>
              <w:t>L</w:t>
            </w:r>
            <w:r>
              <w:rPr>
                <w:rFonts w:hint="eastAsia"/>
                <w:color w:val="auto"/>
                <w:sz w:val="24"/>
                <w:vertAlign w:val="subscript"/>
              </w:rPr>
              <w:t>plij</w:t>
            </w:r>
            <w:r>
              <w:rPr>
                <w:color w:val="auto"/>
                <w:sz w:val="24"/>
              </w:rPr>
              <w:t>—</w:t>
            </w:r>
            <w:r>
              <w:rPr>
                <w:rFonts w:hint="eastAsia"/>
                <w:color w:val="auto"/>
                <w:w w:val="90"/>
                <w:sz w:val="24"/>
              </w:rPr>
              <w:t>室内j声源i倍频带的声压级，dB；</w:t>
            </w:r>
          </w:p>
          <w:p>
            <w:pPr>
              <w:pageBreakBefore w:val="0"/>
              <w:widowControl w:val="0"/>
              <w:kinsoku/>
              <w:overflowPunct/>
              <w:bidi w:val="0"/>
              <w:ind w:firstLineChars="500" w:firstLine="1200"/>
              <w:contextualSpacing/>
              <w:rPr>
                <w:color w:val="auto"/>
                <w:sz w:val="24"/>
              </w:rPr>
            </w:pPr>
            <w:r>
              <w:rPr>
                <w:color w:val="auto"/>
                <w:sz w:val="24"/>
              </w:rPr>
              <w:t>N—</w:t>
            </w:r>
            <w:r>
              <w:rPr>
                <w:rFonts w:hint="eastAsia"/>
                <w:color w:val="auto"/>
                <w:w w:val="90"/>
                <w:sz w:val="24"/>
              </w:rPr>
              <w:t>室内声源总数。</w:t>
            </w:r>
          </w:p>
          <w:p>
            <w:pPr>
              <w:pageBreakBefore w:val="0"/>
              <w:widowControl w:val="0"/>
              <w:kinsoku/>
              <w:overflowPunct/>
              <w:bidi w:val="0"/>
              <w:spacing w:line="360" w:lineRule="auto"/>
              <w:ind w:firstLineChars="200" w:firstLine="480"/>
              <w:rPr>
                <w:color w:val="auto"/>
                <w:sz w:val="24"/>
              </w:rPr>
            </w:pPr>
            <w:r>
              <w:rPr>
                <w:rFonts w:hint="eastAsia"/>
                <w:color w:val="auto"/>
                <w:sz w:val="24"/>
              </w:rPr>
              <w:t>在室内近似为扩散声场时，按式（B.4）计算出靠近室外围护结构处的声压级：</w:t>
            </w:r>
          </w:p>
          <w:p>
            <w:pPr>
              <w:pageBreakBefore w:val="0"/>
              <w:widowControl w:val="0"/>
              <w:kinsoku/>
              <w:overflowPunct/>
              <w:bidi w:val="0"/>
              <w:spacing w:line="360" w:lineRule="auto"/>
              <w:ind w:firstLineChars="200" w:firstLine="480"/>
              <w:jc w:val="center"/>
              <w:rPr>
                <w:color w:val="auto"/>
                <w:sz w:val="24"/>
              </w:rPr>
            </w:pPr>
            <w:r>
              <w:rPr>
                <w:rFonts w:hint="eastAsia"/>
                <w:color w:val="auto"/>
                <w:sz w:val="24"/>
              </w:rPr>
              <w:t>L</w:t>
            </w:r>
            <w:r>
              <w:rPr>
                <w:rFonts w:hint="eastAsia"/>
                <w:color w:val="auto"/>
                <w:sz w:val="24"/>
                <w:vertAlign w:val="subscript"/>
              </w:rPr>
              <w:t>p2</w:t>
            </w:r>
            <w:r>
              <w:rPr>
                <w:rFonts w:hint="eastAsia"/>
                <w:color w:val="auto"/>
                <w:sz w:val="24"/>
              </w:rPr>
              <w:t>i</w:t>
            </w:r>
            <w:r>
              <w:rPr>
                <w:rFonts w:hint="eastAsia"/>
                <w:color w:val="auto"/>
                <w:sz w:val="24"/>
                <w:lang w:eastAsia="zh-CN"/>
              </w:rPr>
              <w:t>(</w:t>
            </w:r>
            <w:r>
              <w:rPr>
                <w:rFonts w:hint="eastAsia"/>
                <w:color w:val="auto"/>
                <w:sz w:val="24"/>
              </w:rPr>
              <w:t>T</w:t>
            </w:r>
            <w:r>
              <w:rPr>
                <w:rFonts w:hint="eastAsia"/>
                <w:color w:val="auto"/>
                <w:sz w:val="24"/>
                <w:lang w:eastAsia="zh-CN"/>
              </w:rPr>
              <w:t>)</w:t>
            </w:r>
            <w:r>
              <w:rPr>
                <w:color w:val="auto"/>
                <w:sz w:val="24"/>
              </w:rPr>
              <w:t>=</w:t>
            </w:r>
            <w:r>
              <w:rPr>
                <w:rFonts w:hint="eastAsia"/>
                <w:color w:val="auto"/>
                <w:sz w:val="24"/>
              </w:rPr>
              <w:t>L</w:t>
            </w:r>
            <w:r>
              <w:rPr>
                <w:rFonts w:hint="eastAsia"/>
                <w:color w:val="auto"/>
                <w:sz w:val="24"/>
                <w:vertAlign w:val="subscript"/>
              </w:rPr>
              <w:t>p1</w:t>
            </w:r>
            <w:r>
              <w:rPr>
                <w:rFonts w:hint="eastAsia"/>
                <w:color w:val="auto"/>
                <w:sz w:val="24"/>
              </w:rPr>
              <w:t>i</w:t>
            </w:r>
            <w:r>
              <w:rPr>
                <w:rFonts w:hint="eastAsia"/>
                <w:color w:val="auto"/>
                <w:sz w:val="24"/>
                <w:lang w:eastAsia="zh-CN"/>
              </w:rPr>
              <w:t>(</w:t>
            </w:r>
            <w:r>
              <w:rPr>
                <w:rFonts w:hint="eastAsia"/>
                <w:color w:val="auto"/>
                <w:sz w:val="24"/>
              </w:rPr>
              <w:t>T</w:t>
            </w:r>
            <w:r>
              <w:rPr>
                <w:rFonts w:hint="eastAsia"/>
                <w:color w:val="auto"/>
                <w:sz w:val="24"/>
                <w:lang w:eastAsia="zh-CN"/>
              </w:rPr>
              <w:t>)</w:t>
            </w:r>
            <w:r>
              <w:rPr>
                <w:color w:val="auto"/>
                <w:sz w:val="24"/>
              </w:rPr>
              <w:t>-</w:t>
            </w:r>
            <w:r>
              <w:rPr>
                <w:rFonts w:hint="eastAsia"/>
                <w:color w:val="auto"/>
                <w:sz w:val="24"/>
                <w:lang w:eastAsia="zh-CN"/>
              </w:rPr>
              <w:t>(</w:t>
            </w:r>
            <w:r>
              <w:rPr>
                <w:rFonts w:hint="eastAsia"/>
                <w:color w:val="auto"/>
                <w:sz w:val="24"/>
              </w:rPr>
              <w:t>TL</w:t>
            </w:r>
            <w:r>
              <w:rPr>
                <w:rFonts w:hint="eastAsia"/>
                <w:color w:val="auto"/>
                <w:sz w:val="24"/>
                <w:vertAlign w:val="subscript"/>
              </w:rPr>
              <w:t>i</w:t>
            </w:r>
            <w:r>
              <w:rPr>
                <w:rFonts w:hint="eastAsia"/>
                <w:color w:val="auto"/>
                <w:sz w:val="24"/>
              </w:rPr>
              <w:t>+6</w:t>
            </w:r>
            <w:r>
              <w:rPr>
                <w:rFonts w:hint="eastAsia"/>
                <w:color w:val="auto"/>
                <w:sz w:val="24"/>
                <w:lang w:eastAsia="zh-CN"/>
              </w:rPr>
              <w:t>)</w:t>
            </w:r>
          </w:p>
          <w:p>
            <w:pPr>
              <w:pageBreakBefore w:val="0"/>
              <w:widowControl w:val="0"/>
              <w:kinsoku/>
              <w:overflowPunct/>
              <w:bidi w:val="0"/>
              <w:spacing w:line="360" w:lineRule="auto"/>
              <w:ind w:firstLineChars="200" w:firstLine="480"/>
              <w:rPr>
                <w:color w:val="auto"/>
                <w:sz w:val="24"/>
              </w:rPr>
            </w:pPr>
            <w:r>
              <w:rPr>
                <w:rFonts w:hint="eastAsia"/>
                <w:color w:val="auto"/>
                <w:sz w:val="24"/>
              </w:rPr>
              <w:t>式中：</w:t>
            </w:r>
          </w:p>
          <w:p>
            <w:pPr>
              <w:pageBreakBefore w:val="0"/>
              <w:widowControl w:val="0"/>
              <w:kinsoku/>
              <w:overflowPunct/>
              <w:bidi w:val="0"/>
              <w:snapToGrid w:val="0"/>
              <w:spacing w:line="360" w:lineRule="auto"/>
              <w:ind w:firstLineChars="500" w:firstLine="1200"/>
              <w:rPr>
                <w:color w:val="auto"/>
                <w:w w:val="90"/>
                <w:sz w:val="24"/>
              </w:rPr>
            </w:pPr>
            <w:r>
              <w:rPr>
                <w:rFonts w:hint="eastAsia"/>
                <w:color w:val="auto"/>
                <w:sz w:val="24"/>
              </w:rPr>
              <w:t>L</w:t>
            </w:r>
            <w:r>
              <w:rPr>
                <w:rFonts w:hint="eastAsia"/>
                <w:color w:val="auto"/>
                <w:sz w:val="24"/>
                <w:vertAlign w:val="subscript"/>
              </w:rPr>
              <w:t>p2i</w:t>
            </w:r>
            <w:r>
              <w:rPr>
                <w:rFonts w:hint="eastAsia"/>
                <w:color w:val="auto"/>
                <w:sz w:val="24"/>
              </w:rPr>
              <w:t>（T）</w:t>
            </w:r>
            <w:r>
              <w:rPr>
                <w:color w:val="auto"/>
                <w:sz w:val="24"/>
              </w:rPr>
              <w:t>—</w:t>
            </w:r>
            <w:r>
              <w:rPr>
                <w:rFonts w:hint="eastAsia"/>
                <w:color w:val="auto"/>
                <w:w w:val="90"/>
                <w:sz w:val="24"/>
              </w:rPr>
              <w:t>靠近围护结构处室外N个声源i倍频带的叠加声压级，dB；</w:t>
            </w:r>
          </w:p>
          <w:p>
            <w:pPr>
              <w:pageBreakBefore w:val="0"/>
              <w:widowControl w:val="0"/>
              <w:kinsoku/>
              <w:overflowPunct/>
              <w:bidi w:val="0"/>
              <w:snapToGrid w:val="0"/>
              <w:spacing w:line="360" w:lineRule="auto"/>
              <w:ind w:firstLineChars="500" w:firstLine="1200"/>
              <w:rPr>
                <w:color w:val="auto"/>
                <w:sz w:val="24"/>
              </w:rPr>
            </w:pPr>
            <w:r>
              <w:rPr>
                <w:rFonts w:hint="eastAsia"/>
                <w:color w:val="auto"/>
                <w:sz w:val="24"/>
              </w:rPr>
              <w:t>L</w:t>
            </w:r>
            <w:r>
              <w:rPr>
                <w:rFonts w:hint="eastAsia"/>
                <w:color w:val="auto"/>
                <w:sz w:val="24"/>
                <w:vertAlign w:val="subscript"/>
              </w:rPr>
              <w:t>p1i</w:t>
            </w:r>
            <w:r>
              <w:rPr>
                <w:rFonts w:hint="eastAsia"/>
                <w:color w:val="auto"/>
                <w:sz w:val="24"/>
              </w:rPr>
              <w:t>（T）</w:t>
            </w:r>
            <w:r>
              <w:rPr>
                <w:color w:val="auto"/>
                <w:sz w:val="24"/>
              </w:rPr>
              <w:t>—</w:t>
            </w:r>
            <w:r>
              <w:rPr>
                <w:rFonts w:hint="eastAsia"/>
                <w:color w:val="auto"/>
                <w:w w:val="90"/>
                <w:sz w:val="24"/>
              </w:rPr>
              <w:t>靠近围护结构处室内N个声源i倍频带的叠加声压级，dB；</w:t>
            </w:r>
          </w:p>
          <w:p>
            <w:pPr>
              <w:pageBreakBefore w:val="0"/>
              <w:widowControl w:val="0"/>
              <w:kinsoku/>
              <w:overflowPunct/>
              <w:bidi w:val="0"/>
              <w:snapToGrid w:val="0"/>
              <w:spacing w:line="360" w:lineRule="auto"/>
              <w:ind w:firstLineChars="500" w:firstLine="1200"/>
              <w:rPr>
                <w:color w:val="auto"/>
                <w:sz w:val="24"/>
              </w:rPr>
            </w:pPr>
            <w:r>
              <w:rPr>
                <w:rFonts w:hint="eastAsia"/>
                <w:color w:val="auto"/>
                <w:sz w:val="24"/>
              </w:rPr>
              <w:t>T</w:t>
            </w:r>
            <w:r>
              <w:rPr>
                <w:rFonts w:hint="eastAsia"/>
                <w:color w:val="auto"/>
                <w:sz w:val="24"/>
                <w:vertAlign w:val="subscript"/>
              </w:rPr>
              <w:t>Li</w:t>
            </w:r>
            <w:r>
              <w:rPr>
                <w:color w:val="auto"/>
                <w:sz w:val="24"/>
              </w:rPr>
              <w:t>—</w:t>
            </w:r>
            <w:r>
              <w:rPr>
                <w:rFonts w:hint="eastAsia"/>
                <w:color w:val="auto"/>
                <w:w w:val="90"/>
                <w:sz w:val="24"/>
              </w:rPr>
              <w:t>围护结构i倍频带的隔声量，dB。</w:t>
            </w:r>
          </w:p>
          <w:p>
            <w:pPr>
              <w:pageBreakBefore w:val="0"/>
              <w:widowControl w:val="0"/>
              <w:kinsoku/>
              <w:overflowPunct/>
              <w:bidi w:val="0"/>
              <w:spacing w:line="360" w:lineRule="auto"/>
              <w:ind w:firstLineChars="200" w:firstLine="480"/>
              <w:rPr>
                <w:color w:val="auto"/>
                <w:sz w:val="24"/>
              </w:rPr>
            </w:pPr>
            <w:r>
              <w:rPr>
                <w:color w:val="auto"/>
                <w:sz w:val="24"/>
              </w:rPr>
              <w:t>计算得出项目厂界</w:t>
            </w:r>
            <w:r>
              <w:rPr>
                <w:rFonts w:hint="eastAsia"/>
                <w:color w:val="auto"/>
                <w:sz w:val="24"/>
              </w:rPr>
              <w:t>噪声</w:t>
            </w:r>
            <w:r>
              <w:rPr>
                <w:color w:val="auto"/>
                <w:sz w:val="24"/>
              </w:rPr>
              <w:t>的预测</w:t>
            </w:r>
            <w:r>
              <w:rPr>
                <w:rFonts w:hint="eastAsia"/>
                <w:color w:val="auto"/>
                <w:sz w:val="24"/>
              </w:rPr>
              <w:t>贡献</w:t>
            </w:r>
            <w:r>
              <w:rPr>
                <w:color w:val="auto"/>
                <w:sz w:val="24"/>
              </w:rPr>
              <w:t>值。</w:t>
            </w:r>
          </w:p>
          <w:p>
            <w:pPr>
              <w:pStyle w:val="38"/>
              <w:pageBreakBefore w:val="0"/>
              <w:widowControl w:val="0"/>
              <w:kinsoku/>
              <w:overflowPunct/>
              <w:bidi w:val="0"/>
              <w:rPr>
                <w:rFonts w:eastAsia="宋体"/>
                <w:color w:val="auto"/>
                <w:sz w:val="24"/>
              </w:rPr>
            </w:pPr>
            <w:r>
              <w:rPr>
                <w:rFonts w:eastAsia="宋体" w:hint="eastAsia"/>
                <w:color w:val="auto"/>
                <w:sz w:val="24"/>
              </w:rPr>
              <w:t>噪声预测值：预测点的贡献值和背景值按能量叠加方法计算得到的声级。</w:t>
            </w:r>
          </w:p>
          <w:p>
            <w:pPr>
              <w:pStyle w:val="38"/>
              <w:pageBreakBefore w:val="0"/>
              <w:widowControl w:val="0"/>
              <w:kinsoku/>
              <w:overflowPunct/>
              <w:bidi w:val="0"/>
              <w:rPr>
                <w:rFonts w:eastAsia="宋体"/>
                <w:color w:val="auto"/>
                <w:sz w:val="24"/>
              </w:rPr>
            </w:pPr>
            <w:r>
              <w:rPr>
                <w:rFonts w:eastAsia="宋体" w:hint="eastAsia"/>
                <w:color w:val="auto"/>
                <w:sz w:val="24"/>
              </w:rPr>
              <w:t>噪声预测值（Leq）计算公式为</w:t>
            </w:r>
          </w:p>
          <w:p>
            <w:pPr>
              <w:pageBreakBefore w:val="0"/>
              <w:widowControl w:val="0"/>
              <w:kinsoku/>
              <w:overflowPunct/>
              <w:bidi w:val="0"/>
              <w:jc w:val="center"/>
              <w:rPr>
                <w:color w:val="auto"/>
              </w:rPr>
            </w:pPr>
            <w:r>
              <w:rPr>
                <w:color w:val="auto"/>
              </w:rPr>
              <w:drawing>
                <wp:inline distT="0" distB="0" distL="114300" distR="114300">
                  <wp:extent cx="2743200" cy="514350"/>
                  <wp:effectExtent l="0" t="0" r="0" b="0"/>
                  <wp:docPr id="36" name="图片 10"/>
                  <wp:cNvGraphicFramePr>
                    <a:graphicFrameLocks noChangeAspect="1"/>
                  </wp:cNvGraphicFramePr>
                  <a:graphic>
                    <a:graphicData uri="http://schemas.openxmlformats.org/drawingml/2006/picture">
                      <pic:pic>
                        <pic:nvPicPr>
                          <pic:cNvPr id="17" name="图片 10 17"/>
                          <pic:cNvPicPr/>
                        </pic:nvPicPr>
                        <pic:blipFill>
                          <a:blip r:embed="rId13"/>
                          <a:stretch>
                            <a:fillRect/>
                          </a:stretch>
                        </pic:blipFill>
                        <pic:spPr>
                          <a:xfrm rot="0">
                            <a:off x="0" y="0"/>
                            <a:ext cx="2743200" cy="514350"/>
                          </a:xfrm>
                          <a:prstGeom prst="rect"/>
                          <a:noFill/>
                          <a:ln cmpd="sng" cap="flat">
                            <a:noFill/>
                            <a:prstDash val="solid"/>
                            <a:round/>
                          </a:ln>
                        </pic:spPr>
                      </pic:pic>
                    </a:graphicData>
                  </a:graphic>
                </wp:inline>
              </w:drawing>
            </w:r>
          </w:p>
          <w:p>
            <w:pPr>
              <w:pageBreakBefore w:val="0"/>
              <w:widowControl w:val="0"/>
              <w:kinsoku/>
              <w:overflowPunct/>
              <w:bidi w:val="0"/>
              <w:spacing w:line="360" w:lineRule="auto"/>
              <w:ind w:firstLineChars="200" w:firstLine="480"/>
              <w:rPr>
                <w:color w:val="auto"/>
                <w:sz w:val="24"/>
              </w:rPr>
            </w:pPr>
            <w:r>
              <w:rPr>
                <w:rFonts w:hint="eastAsia"/>
                <w:color w:val="auto"/>
                <w:sz w:val="24"/>
              </w:rPr>
              <w:t>式中：</w:t>
            </w:r>
          </w:p>
          <w:p>
            <w:pPr>
              <w:pageBreakBefore w:val="0"/>
              <w:widowControl w:val="0"/>
              <w:kinsoku/>
              <w:overflowPunct/>
              <w:bidi w:val="0"/>
              <w:snapToGrid w:val="0"/>
              <w:spacing w:line="360" w:lineRule="auto"/>
              <w:ind w:firstLineChars="500" w:firstLine="1200"/>
              <w:rPr>
                <w:color w:val="auto"/>
                <w:sz w:val="24"/>
              </w:rPr>
            </w:pPr>
            <w:r>
              <w:rPr>
                <w:rFonts w:hint="eastAsia"/>
                <w:color w:val="auto"/>
                <w:sz w:val="24"/>
              </w:rPr>
              <w:t>Leq——预测点的噪声预测值，dB；</w:t>
            </w:r>
          </w:p>
          <w:p>
            <w:pPr>
              <w:pageBreakBefore w:val="0"/>
              <w:widowControl w:val="0"/>
              <w:kinsoku/>
              <w:overflowPunct/>
              <w:bidi w:val="0"/>
              <w:snapToGrid w:val="0"/>
              <w:spacing w:line="360" w:lineRule="auto"/>
              <w:ind w:firstLineChars="500" w:firstLine="1200"/>
              <w:rPr>
                <w:color w:val="auto"/>
                <w:sz w:val="24"/>
              </w:rPr>
            </w:pPr>
            <w:r>
              <w:rPr>
                <w:rFonts w:hint="eastAsia"/>
                <w:color w:val="auto"/>
                <w:sz w:val="24"/>
              </w:rPr>
              <w:t>Leqg——建设项目声源在预测点产生的噪声贡献值，dB；</w:t>
            </w:r>
          </w:p>
          <w:p>
            <w:pPr>
              <w:pageBreakBefore w:val="0"/>
              <w:widowControl w:val="0"/>
              <w:kinsoku/>
              <w:overflowPunct/>
              <w:bidi w:val="0"/>
              <w:ind w:firstLineChars="500" w:firstLine="1200"/>
              <w:contextualSpacing/>
              <w:rPr>
                <w:rFonts w:hint="eastAsia"/>
                <w:color w:val="auto"/>
                <w:sz w:val="24"/>
              </w:rPr>
            </w:pPr>
            <w:r>
              <w:rPr>
                <w:rFonts w:hint="eastAsia"/>
                <w:color w:val="auto"/>
                <w:sz w:val="24"/>
              </w:rPr>
              <w:t>Leqb——预测点的背景噪声值，dB。</w:t>
            </w:r>
          </w:p>
          <w:p>
            <w:pPr>
              <w:pageBreakBefore w:val="0"/>
              <w:widowControl w:val="0"/>
              <w:kinsoku/>
              <w:overflowPunct/>
              <w:bidi w:val="0"/>
              <w:spacing w:line="360" w:lineRule="auto"/>
              <w:ind w:firstLineChars="200" w:firstLine="480"/>
              <w:rPr>
                <w:color w:val="auto"/>
                <w:sz w:val="24"/>
              </w:rPr>
            </w:pPr>
            <w:r>
              <w:rPr>
                <w:color w:val="auto"/>
                <w:sz w:val="24"/>
              </w:rPr>
              <w:t>计算得出项目厂界</w:t>
            </w:r>
            <w:r>
              <w:rPr>
                <w:rFonts w:hint="eastAsia"/>
                <w:color w:val="auto"/>
                <w:sz w:val="24"/>
              </w:rPr>
              <w:t>噪声</w:t>
            </w:r>
            <w:r>
              <w:rPr>
                <w:color w:val="auto"/>
                <w:sz w:val="24"/>
              </w:rPr>
              <w:t>的预测值。</w:t>
            </w:r>
          </w:p>
          <w:p>
            <w:pPr>
              <w:pageBreakBefore w:val="0"/>
              <w:widowControl w:val="0"/>
              <w:kinsoku/>
              <w:overflowPunct/>
              <w:bidi w:val="0"/>
              <w:adjustRightInd w:val="0"/>
              <w:snapToGrid w:val="0"/>
              <w:spacing w:line="360" w:lineRule="auto"/>
              <w:jc w:val="center"/>
              <w:rPr>
                <w:b/>
                <w:bCs/>
                <w:color w:val="auto"/>
                <w:szCs w:val="21"/>
              </w:rPr>
            </w:pPr>
            <w:r>
              <w:rPr>
                <w:b/>
                <w:bCs/>
                <w:color w:val="auto"/>
                <w:kern w:val="0"/>
                <w:szCs w:val="21"/>
              </w:rPr>
              <w:t>表</w:t>
            </w:r>
            <w:r>
              <w:rPr>
                <w:rFonts w:hint="eastAsia"/>
                <w:b/>
                <w:bCs/>
                <w:color w:val="auto"/>
                <w:kern w:val="0"/>
                <w:szCs w:val="21"/>
              </w:rPr>
              <w:t>4-</w:t>
            </w:r>
            <w:r>
              <w:rPr>
                <w:rFonts w:hint="eastAsia"/>
                <w:b/>
                <w:bCs/>
                <w:color w:val="auto"/>
                <w:kern w:val="0"/>
                <w:szCs w:val="21"/>
                <w:lang w:val="en-US" w:eastAsia="zh-CN"/>
              </w:rPr>
              <w:t>10</w:t>
            </w:r>
            <w:r>
              <w:rPr>
                <w:b/>
                <w:bCs/>
                <w:color w:val="auto"/>
              </w:rPr>
              <w:t>项目厂界声环境</w:t>
            </w:r>
            <w:r>
              <w:rPr>
                <w:rFonts w:hint="eastAsia"/>
                <w:b/>
                <w:bCs/>
                <w:color w:val="auto"/>
              </w:rPr>
              <w:t>源强预测</w:t>
            </w:r>
            <w:r>
              <w:rPr>
                <w:b/>
                <w:bCs/>
                <w:color w:val="auto"/>
              </w:rPr>
              <w:t>结果表</w:t>
            </w:r>
            <w:r>
              <w:rPr>
                <w:b/>
                <w:bCs/>
                <w:color w:val="auto"/>
                <w:szCs w:val="21"/>
              </w:rPr>
              <w:t>（dBA）</w:t>
            </w:r>
          </w:p>
          <w:tbl>
            <w:tblPr>
              <w:jc w:val="cent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Look w:val="0600" w:firstRow="0" w:lastRow="0" w:firstColumn="0" w:lastColumn="0" w:noHBand="1" w:noVBand="1"/>
            </w:tblPr>
            <w:tblGrid>
              <w:gridCol w:w="1813"/>
              <w:gridCol w:w="1321"/>
              <w:gridCol w:w="1321"/>
              <w:gridCol w:w="1330"/>
              <w:gridCol w:w="1633"/>
              <w:gridCol w:w="2333"/>
              <w:gridCol w:w="2339"/>
              <w:gridCol w:w="1957"/>
            </w:tblGrid>
            <w:tr>
              <w:trPr>
                <w:trHeight w:hRule="exact" w:val="590"/>
              </w:trPr>
              <w:tc>
                <w:tcPr>
                  <w:tcW w:w="645"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预测方位</w:t>
                  </w:r>
                </w:p>
              </w:tc>
              <w:tc>
                <w:tcPr>
                  <w:tcW w:w="1413" w:type="pct"/>
                  <w:gridSpan w:val="3"/>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最大值点空间相对位置/m</w:t>
                  </w:r>
                </w:p>
              </w:tc>
              <w:tc>
                <w:tcPr>
                  <w:tcW w:w="581"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时段</w:t>
                  </w:r>
                </w:p>
              </w:tc>
              <w:tc>
                <w:tcPr>
                  <w:tcW w:w="830"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贡献值（dB(A)）</w:t>
                  </w:r>
                </w:p>
              </w:tc>
              <w:tc>
                <w:tcPr>
                  <w:tcW w:w="832"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标准限值（dB(A)）</w:t>
                  </w:r>
                </w:p>
              </w:tc>
              <w:tc>
                <w:tcPr>
                  <w:tcW w:w="696"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达标情况</w:t>
                  </w:r>
                </w:p>
              </w:tc>
            </w:tr>
            <w:tr>
              <w:trPr>
                <w:trHeight w:val="408"/>
              </w:trPr>
              <w:tc>
                <w:tcPr>
                  <w:tcW w:w="645" w:type="pct"/>
                  <w:vMerge/>
                  <w:shd w:val="clear" w:color="auto" w:fill="auto"/>
                  <w:vAlign w:val="center"/>
                </w:tcP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X</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Y</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Z</w:t>
                  </w:r>
                </w:p>
              </w:tc>
              <w:tc>
                <w:tcPr>
                  <w:tcW w:w="581" w:type="pct"/>
                  <w:vMerge/>
                  <w:shd w:val="clear" w:color="auto" w:fill="auto"/>
                  <w:vAlign w:val="center"/>
                </w:tcPr>
                <w:p/>
              </w:tc>
              <w:tc>
                <w:tcPr>
                  <w:tcW w:w="830" w:type="pct"/>
                  <w:vMerge/>
                  <w:shd w:val="clear" w:color="auto" w:fill="auto"/>
                  <w:vAlign w:val="center"/>
                </w:tcPr>
                <w:p/>
              </w:tc>
              <w:tc>
                <w:tcPr>
                  <w:tcW w:w="832" w:type="pct"/>
                  <w:vMerge/>
                  <w:shd w:val="clear" w:color="auto" w:fill="auto"/>
                  <w:vAlign w:val="center"/>
                </w:tcPr>
                <w:p/>
              </w:tc>
              <w:tc>
                <w:tcPr>
                  <w:tcW w:w="696" w:type="pct"/>
                  <w:vMerge/>
                  <w:shd w:val="clear" w:color="auto" w:fill="auto"/>
                  <w:vAlign w:val="center"/>
                </w:tcPr>
                <w:p/>
              </w:tc>
            </w:tr>
            <w:tr>
              <w:trPr>
                <w:trHeight w:hRule="exact" w:val="408"/>
              </w:trPr>
              <w:tc>
                <w:tcPr>
                  <w:tcW w:w="645"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东侧</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51.2</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25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65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shd w:val="clear" w:color="auto" w:fill="auto"/>
                  <w:vAlign w:val="center"/>
                </w:tcP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51.2</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25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南侧</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-8.8</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35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65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shd w:val="clear" w:color="auto" w:fill="auto"/>
                  <w:vAlign w:val="center"/>
                </w:tcP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-8.8</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35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西侧</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-50.6</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14.8</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25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65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shd w:val="clear" w:color="auto" w:fill="auto"/>
                  <w:vAlign w:val="center"/>
                </w:tcP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-50.6</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14.8</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25</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北侧</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0.4</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42.9</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65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hRule="exact" w:val="408"/>
              </w:trPr>
              <w:tc>
                <w:tcPr>
                  <w:tcW w:w="645" w:type="pct"/>
                  <w:vMerge/>
                  <w:shd w:val="clear" w:color="auto" w:fill="auto"/>
                  <w:vAlign w:val="center"/>
                </w:tcP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0.4</w:t>
                  </w:r>
                </w:p>
              </w:tc>
              <w:tc>
                <w:tcPr>
                  <w:tcW w:w="47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15</w:t>
                  </w:r>
                </w:p>
              </w:tc>
              <w:tc>
                <w:tcPr>
                  <w:tcW w:w="47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1.2</w:t>
                  </w:r>
                </w:p>
              </w:tc>
              <w:tc>
                <w:tcPr>
                  <w:tcW w:w="581"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30"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42.9</w:t>
                  </w:r>
                </w:p>
              </w:tc>
              <w:tc>
                <w:tcPr>
                  <w:tcW w:w="832"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55</w:t>
                  </w:r>
                </w:p>
              </w:tc>
              <w:tc>
                <w:tcPr>
                  <w:tcW w:w="696" w:type="pc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bl>
          <w:p>
            <w:pPr>
              <w:pageBreakBefore w:val="0"/>
              <w:widowControl w:val="0"/>
              <w:kinsoku/>
              <w:overflowPunct/>
              <w:bidi w:val="0"/>
              <w:adjustRightInd w:val="0"/>
              <w:snapToGrid w:val="0"/>
              <w:spacing w:line="360" w:lineRule="auto"/>
              <w:jc w:val="center"/>
              <w:rPr>
                <w:b/>
                <w:bCs/>
                <w:color w:val="auto"/>
                <w:szCs w:val="21"/>
              </w:rPr>
            </w:pPr>
          </w:p>
          <w:p>
            <w:pPr>
              <w:pageBreakBefore w:val="0"/>
              <w:widowControl w:val="0"/>
              <w:kinsoku/>
              <w:overflowPunct/>
              <w:bidi w:val="0"/>
              <w:adjustRightInd w:val="0"/>
              <w:snapToGrid w:val="0"/>
              <w:spacing w:line="360" w:lineRule="auto"/>
              <w:jc w:val="center"/>
              <w:rPr>
                <w:b/>
                <w:bCs/>
                <w:color w:val="auto"/>
                <w:szCs w:val="21"/>
              </w:rPr>
            </w:pPr>
            <w:r>
              <w:rPr>
                <w:b/>
                <w:bCs/>
                <w:color w:val="auto"/>
                <w:kern w:val="0"/>
                <w:szCs w:val="21"/>
              </w:rPr>
              <w:t>表</w:t>
            </w:r>
            <w:r>
              <w:rPr>
                <w:rFonts w:hint="eastAsia"/>
                <w:b/>
                <w:bCs/>
                <w:color w:val="auto"/>
                <w:kern w:val="0"/>
                <w:szCs w:val="21"/>
              </w:rPr>
              <w:t>4-</w:t>
            </w:r>
            <w:r>
              <w:rPr>
                <w:rFonts w:hint="eastAsia"/>
                <w:b/>
                <w:bCs/>
                <w:color w:val="auto"/>
                <w:kern w:val="0"/>
                <w:szCs w:val="21"/>
                <w:lang w:val="en-US" w:eastAsia="zh-CN"/>
              </w:rPr>
              <w:t>11</w:t>
            </w:r>
            <w:r>
              <w:rPr>
                <w:rFonts w:hint="eastAsia"/>
                <w:b/>
                <w:bCs/>
                <w:color w:val="auto"/>
                <w:szCs w:val="21"/>
              </w:rPr>
              <w:t>工业企业声环境保护目标噪声预测结果与达标分析表</w:t>
            </w:r>
          </w:p>
          <w:tbl>
            <w:tblPr>
              <w:jc w:val="cente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Look w:val="0600" w:firstRow="0" w:lastRow="0" w:firstColumn="0" w:lastColumn="0" w:noHBand="1" w:noVBand="1"/>
            </w:tblPr>
            <w:tblGrid>
              <w:gridCol w:w="573"/>
              <w:gridCol w:w="1901"/>
              <w:gridCol w:w="844"/>
              <w:gridCol w:w="844"/>
              <w:gridCol w:w="844"/>
              <w:gridCol w:w="844"/>
              <w:gridCol w:w="749"/>
              <w:gridCol w:w="750"/>
              <w:gridCol w:w="844"/>
              <w:gridCol w:w="844"/>
              <w:gridCol w:w="844"/>
              <w:gridCol w:w="844"/>
              <w:gridCol w:w="844"/>
              <w:gridCol w:w="844"/>
              <w:gridCol w:w="760"/>
              <w:gridCol w:w="882"/>
            </w:tblGrid>
            <w:tr>
              <w:trPr>
                <w:trHeight w:hRule="exact" w:val="594"/>
              </w:trPr>
              <w:tc>
                <w:tcPr>
                  <w:tcW w:w="573" w:type="dxa"/>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序号</w:t>
                  </w:r>
                </w:p>
              </w:tc>
              <w:tc>
                <w:tcPr>
                  <w:tcW w:w="1901" w:type="dxa"/>
                  <w:vMerge w:val="restart"/>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声环境保护目标名称</w:t>
                  </w:r>
                </w:p>
              </w:tc>
              <w:tc>
                <w:tcPr>
                  <w:tcW w:w="1688"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噪声背景值/dB(A)</w:t>
                  </w:r>
                </w:p>
              </w:tc>
              <w:tc>
                <w:tcPr>
                  <w:tcW w:w="1688"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噪声现状值/dB(A)</w:t>
                  </w:r>
                </w:p>
              </w:tc>
              <w:tc>
                <w:tcPr>
                  <w:tcW w:w="1499"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噪声标准/dB(A)</w:t>
                  </w:r>
                </w:p>
              </w:tc>
              <w:tc>
                <w:tcPr>
                  <w:tcW w:w="1688"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噪声贡献值/dB(A)</w:t>
                  </w:r>
                </w:p>
              </w:tc>
              <w:tc>
                <w:tcPr>
                  <w:tcW w:w="1688"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噪声预测值/dB(A)</w:t>
                  </w:r>
                </w:p>
              </w:tc>
              <w:tc>
                <w:tcPr>
                  <w:tcW w:w="1688"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较现状增量/dB(A)</w:t>
                  </w:r>
                </w:p>
              </w:tc>
              <w:tc>
                <w:tcPr>
                  <w:tcW w:w="1642" w:type="dxa"/>
                  <w:gridSpan w:val="2"/>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bCs/>
                      <w:color w:val="auto"/>
                      <w:szCs w:val="21"/>
                      <w:vertAlign w:val="baseline"/>
                      <w:lang w:val="en-US" w:eastAsia="zh-CN"/>
                    </w:rPr>
                  </w:pPr>
                  <w:r>
                    <w:rPr>
                      <w:rFonts w:ascii="Times New Roman" w:eastAsia="宋体" w:cs="Times New Roman" w:hAnsi="Times New Roman" w:hint="eastAsia"/>
                      <w:b/>
                      <w:bCs/>
                      <w:color w:val="auto"/>
                      <w:szCs w:val="21"/>
                      <w:vertAlign w:val="baseline"/>
                      <w:lang w:val="en-US" w:eastAsia="zh-CN"/>
                    </w:rPr>
                    <w:t>超标和达标情况</w:t>
                  </w:r>
                </w:p>
              </w:tc>
            </w:tr>
            <w:tr>
              <w:trPr>
                <w:trHeight w:val="473"/>
              </w:trPr>
              <w:tc>
                <w:tcPr>
                  <w:tcW w:w="573" w:type="dxa"/>
                  <w:vMerge/>
                  <w:shd w:val="clear" w:color="auto" w:fill="auto"/>
                  <w:vAlign w:val="center"/>
                </w:tcPr>
                <w:p/>
              </w:tc>
              <w:tc>
                <w:tcPr>
                  <w:tcW w:w="1901" w:type="dxa"/>
                  <w:vMerge/>
                  <w:shd w:val="clear" w:color="auto" w:fill="auto"/>
                  <w:vAlign w:val="center"/>
                </w:tcP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749"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750"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c>
                <w:tcPr>
                  <w:tcW w:w="760"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昼间</w:t>
                  </w:r>
                </w:p>
              </w:tc>
              <w:tc>
                <w:tcPr>
                  <w:tcW w:w="882"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夜间</w:t>
                  </w:r>
                </w:p>
              </w:tc>
            </w:tr>
            <w:tr>
              <w:trPr>
                <w:trHeight w:val="499"/>
              </w:trPr>
              <w:tc>
                <w:tcPr>
                  <w:tcW w:w="573"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w:t>
                  </w:r>
                </w:p>
              </w:tc>
              <w:tc>
                <w:tcPr>
                  <w:tcW w:w="1901"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居民点1</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51</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48</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51</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48</w:t>
                  </w:r>
                </w:p>
              </w:tc>
              <w:tc>
                <w:tcPr>
                  <w:tcW w:w="749"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60</w:t>
                  </w:r>
                </w:p>
              </w:tc>
              <w:tc>
                <w:tcPr>
                  <w:tcW w:w="750"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50</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14.1</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16.1</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51.0</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48.0</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0.0</w:t>
                  </w:r>
                </w:p>
              </w:tc>
              <w:tc>
                <w:tcPr>
                  <w:tcW w:w="844"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0.0</w:t>
                  </w:r>
                </w:p>
              </w:tc>
              <w:tc>
                <w:tcPr>
                  <w:tcW w:w="760"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c>
                <w:tcPr>
                  <w:tcW w:w="882" w:type="dxa"/>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rPr>
                      <w:rFonts w:ascii="Times New Roman" w:eastAsia="宋体" w:cs="Times New Roman" w:hAnsi="Times New Roman" w:hint="eastAsia"/>
                      <w:b w:val="0"/>
                      <w:bCs w:val="0"/>
                      <w:color w:val="auto"/>
                      <w:szCs w:val="21"/>
                      <w:vertAlign w:val="baseline"/>
                      <w:lang w:val="en-US" w:eastAsia="zh-CN"/>
                    </w:rPr>
                    <w:t>达标</w:t>
                  </w:r>
                </w:p>
              </w:tc>
            </w:tr>
            <w:tr>
              <w:trPr>
                <w:trHeight w:val="499"/>
              </w:trPr>
              <w:tc>
                <w:tcPr>
                  <w:tcW w:w="14055" w:type="dxa"/>
                  <w:gridSpan w:val="16"/>
                  <w:shd w:val="clear" w:color="auto" w:fill="auto"/>
                  <w:vAlign w:val="center"/>
                </w:tcPr>
                <w:p>
                  <w:pPr>
                    <w:pStyle w:val="51"/>
                    <w:spacing w:line="240" w:lineRule="auto"/>
                    <w:ind w:left="0" w:firstLineChars="0" w:firstLine="0"/>
                    <w:jc w:val="center"/>
                    <w:rPr>
                      <w:rFonts w:ascii="Times New Roman" w:eastAsia="宋体" w:cs="Times New Roman" w:hAnsi="Times New Roman" w:hint="eastAsia"/>
                      <w:b w:val="0"/>
                      <w:bCs w:val="0"/>
                      <w:color w:val="auto"/>
                      <w:szCs w:val="21"/>
                      <w:vertAlign w:val="baseline"/>
                      <w:lang w:val="en-US" w:eastAsia="zh-CN"/>
                    </w:rPr>
                  </w:pPr>
                  <w:r>
                    <w:drawing>
                      <wp:inline distT="0" distB="0" distL="114300" distR="114300">
                        <wp:extent cx="7647940" cy="4445635"/>
                        <wp:effectExtent l="0" t="1" r="0" b="2"/>
                        <wp:docPr id="37" name="图片 11"/>
                        <wp:cNvGraphicFramePr>
                          <a:graphicFrameLocks noChangeAspect="1"/>
                        </wp:cNvGraphicFramePr>
                        <a:graphic>
                          <a:graphicData uri="http://schemas.openxmlformats.org/drawingml/2006/picture">
                            <pic:pic>
                              <pic:nvPicPr>
                                <pic:cNvPr id="19" name="图片 11 19"/>
                                <pic:cNvPicPr/>
                              </pic:nvPicPr>
                              <pic:blipFill>
                                <a:blip r:embed="rId14"/>
                                <a:srcRect t="5379" l="13774"/>
                                <a:stretch>
                                  <a:fillRect/>
                                </a:stretch>
                              </pic:blipFill>
                              <pic:spPr>
                                <a:xfrm rot="0">
                                  <a:off x="0" y="0"/>
                                  <a:ext cx="7647940" cy="4445635"/>
                                </a:xfrm>
                                <a:prstGeom prst="rect"/>
                                <a:noFill/>
                                <a:ln cmpd="sng" cap="flat">
                                  <a:noFill/>
                                  <a:prstDash val="solid"/>
                                  <a:round/>
                                </a:ln>
                              </pic:spPr>
                            </pic:pic>
                          </a:graphicData>
                        </a:graphic>
                      </wp:inline>
                    </w:drawing>
                  </w:r>
                </w:p>
              </w:tc>
            </w:tr>
          </w:tbl>
          <w:p>
            <w:pPr>
              <w:pageBreakBefore w:val="0"/>
              <w:widowControl w:val="0"/>
              <w:kinsoku/>
              <w:overflowPunct/>
              <w:bidi w:val="0"/>
              <w:spacing w:line="360" w:lineRule="auto"/>
              <w:ind w:firstLineChars="200" w:firstLine="480"/>
              <w:rPr>
                <w:rFonts w:ascii="Times New Roman" w:eastAsia="宋体" w:cs="Times New Roman" w:hAnsi="Times New Roman" w:hint="eastAsia"/>
                <w:color w:val="auto"/>
                <w:kern w:val="2"/>
                <w:sz w:val="24"/>
                <w:lang w:eastAsia="zh-CN"/>
              </w:rPr>
            </w:pPr>
            <w:r>
              <w:rPr>
                <w:color w:val="auto"/>
                <w:sz w:val="24"/>
              </w:rPr>
              <w:t>从上表预测可知，本项目在采取减振、隔声等措施后，厂界四周噪声值均满足《工业企业厂界环境噪声排放标准》（GB12348-2008）中</w:t>
            </w:r>
            <w:r>
              <w:rPr>
                <w:rFonts w:hint="eastAsia"/>
                <w:color w:val="auto"/>
                <w:sz w:val="24"/>
                <w:lang w:val="en-US" w:eastAsia="zh-CN"/>
              </w:rPr>
              <w:t>3类</w:t>
            </w:r>
            <w:r>
              <w:rPr>
                <w:color w:val="auto"/>
                <w:sz w:val="24"/>
              </w:rPr>
              <w:t>标准</w:t>
            </w:r>
            <w:r>
              <w:rPr>
                <w:rFonts w:hint="eastAsia"/>
                <w:color w:val="auto"/>
                <w:sz w:val="24"/>
                <w:u w:val="none"/>
                <w:lang w:val="en-US" w:eastAsia="zh-CN"/>
              </w:rPr>
              <w:t>、敏感点的噪声满足《声环境质量标准》（GB3096-2008）中2类标准限值</w:t>
            </w:r>
            <w:r>
              <w:rPr>
                <w:color w:val="auto"/>
                <w:sz w:val="24"/>
              </w:rPr>
              <w:t>。项目营运期噪声对周围声环境影响较小。</w:t>
            </w:r>
          </w:p>
          <w:p>
            <w:pPr>
              <w:pStyle w:val="50"/>
              <w:pageBreakBefore w:val="0"/>
              <w:widowControl w:val="0"/>
              <w:kinsoku/>
              <w:overflowPunct/>
              <w:bidi w:val="0"/>
              <w:rPr>
                <w:b/>
                <w:bCs/>
                <w:color w:val="auto"/>
              </w:rPr>
            </w:pPr>
            <w:r>
              <w:rPr>
                <w:rFonts w:hint="eastAsia"/>
                <w:b/>
                <w:bCs/>
                <w:color w:val="auto"/>
              </w:rPr>
              <w:t>3、</w:t>
            </w:r>
            <w:r>
              <w:rPr>
                <w:b/>
                <w:bCs/>
                <w:color w:val="auto"/>
              </w:rPr>
              <w:t>噪声</w:t>
            </w:r>
            <w:r>
              <w:rPr>
                <w:rFonts w:hint="eastAsia"/>
                <w:b/>
                <w:bCs/>
                <w:color w:val="auto"/>
              </w:rPr>
              <w:t>防治措施及可行性分析</w:t>
            </w:r>
          </w:p>
          <w:p>
            <w:pPr>
              <w:pStyle w:val="38"/>
              <w:pageBreakBefore w:val="0"/>
              <w:widowControl w:val="0"/>
              <w:kinsoku/>
              <w:overflowPunct/>
              <w:bidi w:val="0"/>
              <w:rPr>
                <w:rFonts w:eastAsia="宋体"/>
                <w:color w:val="auto"/>
                <w:kern w:val="2"/>
                <w:sz w:val="24"/>
              </w:rPr>
            </w:pPr>
            <w:r>
              <w:rPr>
                <w:rFonts w:eastAsia="宋体"/>
                <w:color w:val="auto"/>
                <w:kern w:val="2"/>
                <w:sz w:val="24"/>
              </w:rPr>
              <w:t>为进一步减小项目营运期的生产噪声对周边环境的影响，确保厂界噪声达标排放，采取以下防治措施：</w:t>
            </w:r>
          </w:p>
          <w:p>
            <w:pPr>
              <w:pStyle w:val="38"/>
              <w:pageBreakBefore w:val="0"/>
              <w:widowControl w:val="0"/>
              <w:kinsoku/>
              <w:overflowPunct/>
              <w:bidi w:val="0"/>
              <w:rPr>
                <w:rFonts w:eastAsia="宋体"/>
                <w:color w:val="auto"/>
                <w:kern w:val="2"/>
                <w:sz w:val="24"/>
              </w:rPr>
            </w:pPr>
            <w:r>
              <w:rPr>
                <w:rFonts w:eastAsia="宋体"/>
                <w:color w:val="auto"/>
                <w:kern w:val="2"/>
                <w:sz w:val="24"/>
              </w:rPr>
              <w:t>①加强设备的保养和维护，对生产设备定期检查与维护，使设备随时处于良好的运行状态，避免偶发强噪声产生。</w:t>
            </w:r>
          </w:p>
          <w:p>
            <w:pPr>
              <w:pStyle w:val="38"/>
              <w:pageBreakBefore w:val="0"/>
              <w:widowControl w:val="0"/>
              <w:kinsoku/>
              <w:overflowPunct/>
              <w:bidi w:val="0"/>
              <w:rPr>
                <w:rFonts w:eastAsia="宋体"/>
                <w:color w:val="auto"/>
                <w:kern w:val="2"/>
                <w:sz w:val="24"/>
              </w:rPr>
            </w:pPr>
            <w:r>
              <w:rPr>
                <w:rFonts w:eastAsia="宋体"/>
                <w:color w:val="auto"/>
                <w:kern w:val="2"/>
                <w:sz w:val="24"/>
              </w:rPr>
              <w:t>②夜间避免高噪声设备生产。</w:t>
            </w:r>
          </w:p>
          <w:p>
            <w:pPr>
              <w:pageBreakBefore w:val="0"/>
              <w:widowControl w:val="0"/>
              <w:kinsoku/>
              <w:overflowPunct/>
              <w:bidi w:val="0"/>
              <w:adjustRightInd w:val="0"/>
              <w:snapToGrid w:val="0"/>
              <w:spacing w:line="360" w:lineRule="auto"/>
              <w:ind w:firstLineChars="200" w:firstLine="480"/>
              <w:rPr>
                <w:color w:val="auto"/>
                <w:sz w:val="24"/>
                <w:u w:val="none"/>
              </w:rPr>
            </w:pPr>
            <w:r>
              <w:rPr>
                <w:rFonts w:ascii="宋体" w:eastAsia="宋体" w:cs="宋体" w:hAnsi="宋体" w:hint="eastAsia"/>
                <w:color w:val="auto"/>
                <w:sz w:val="24"/>
                <w:u w:val="none"/>
              </w:rPr>
              <w:t>③</w:t>
            </w:r>
            <w:r>
              <w:rPr>
                <w:color w:val="auto"/>
                <w:sz w:val="24"/>
                <w:u w:val="none"/>
              </w:rPr>
              <w:t>对设备采取减振措施，对</w:t>
            </w:r>
            <w:r>
              <w:rPr>
                <w:rFonts w:hint="eastAsia"/>
                <w:color w:val="auto"/>
                <w:sz w:val="24"/>
                <w:u w:val="none"/>
              </w:rPr>
              <w:t>高噪声设备安装降噪减振设施</w:t>
            </w:r>
            <w:r>
              <w:rPr>
                <w:color w:val="auto"/>
                <w:sz w:val="24"/>
                <w:u w:val="none"/>
              </w:rPr>
              <w:t>。</w:t>
            </w:r>
          </w:p>
          <w:p>
            <w:pPr>
              <w:pageBreakBefore w:val="0"/>
              <w:widowControl w:val="0"/>
              <w:kinsoku/>
              <w:overflowPunct/>
              <w:bidi w:val="0"/>
              <w:adjustRightInd w:val="0"/>
              <w:snapToGrid w:val="0"/>
              <w:spacing w:line="360" w:lineRule="auto"/>
              <w:ind w:firstLineChars="200" w:firstLine="480"/>
              <w:rPr>
                <w:color w:val="auto"/>
                <w:sz w:val="24"/>
              </w:rPr>
            </w:pPr>
            <w:r>
              <w:rPr>
                <w:rFonts w:ascii="宋体" w:eastAsia="宋体" w:cs="宋体" w:hAnsi="宋体" w:hint="eastAsia"/>
                <w:color w:val="auto"/>
                <w:sz w:val="24"/>
              </w:rPr>
              <w:t>④</w:t>
            </w:r>
            <w:r>
              <w:rPr>
                <w:color w:val="auto"/>
                <w:sz w:val="24"/>
              </w:rPr>
              <w:t>所有产噪设备均布置在生产车间内，利用车间厂房进行隔声，将高噪声设备集中摆放，置于厂房内合理位置，以有效利用噪声距离衰减作用。</w:t>
            </w:r>
          </w:p>
          <w:p>
            <w:pPr>
              <w:pStyle w:val="38"/>
              <w:pageBreakBefore w:val="0"/>
              <w:widowControl w:val="0"/>
              <w:kinsoku/>
              <w:overflowPunct/>
              <w:bidi w:val="0"/>
              <w:rPr>
                <w:rFonts w:eastAsia="宋体"/>
                <w:color w:val="auto"/>
                <w:kern w:val="2"/>
                <w:sz w:val="24"/>
              </w:rPr>
            </w:pPr>
            <w:r>
              <w:rPr>
                <w:rFonts w:eastAsia="宋体"/>
                <w:color w:val="auto"/>
                <w:kern w:val="2"/>
                <w:sz w:val="24"/>
              </w:rPr>
              <w:t>本次噪声预测仅考虑固定声源，没有考虑交通运输噪声，故现场噪声比预测噪声稍偏大，建议建设方控制好交通运输噪声，采取以下措施，降低交通噪声对周边敏感点的影响</w:t>
            </w:r>
            <w:r>
              <w:rPr>
                <w:rFonts w:eastAsia="宋体" w:hint="eastAsia"/>
                <w:color w:val="auto"/>
                <w:kern w:val="2"/>
                <w:sz w:val="24"/>
              </w:rPr>
              <w:t>。</w:t>
            </w:r>
          </w:p>
          <w:p>
            <w:pPr>
              <w:pageBreakBefore w:val="0"/>
              <w:widowControl w:val="0"/>
              <w:kinsoku/>
              <w:overflowPunct/>
              <w:bidi w:val="0"/>
              <w:adjustRightInd w:val="0"/>
              <w:snapToGrid w:val="0"/>
              <w:spacing w:line="360" w:lineRule="auto"/>
              <w:ind w:firstLineChars="200" w:firstLine="480"/>
              <w:rPr>
                <w:color w:val="auto"/>
                <w:sz w:val="24"/>
              </w:rPr>
            </w:pPr>
            <w:r>
              <w:rPr>
                <w:color w:val="auto"/>
                <w:sz w:val="24"/>
              </w:rPr>
              <w:t>①对运输车辆进行严格管理，定时检查，防止故障车辆作业；</w:t>
            </w:r>
          </w:p>
          <w:p>
            <w:pPr>
              <w:pageBreakBefore w:val="0"/>
              <w:widowControl w:val="0"/>
              <w:kinsoku/>
              <w:overflowPunct/>
              <w:bidi w:val="0"/>
              <w:adjustRightInd w:val="0"/>
              <w:snapToGrid w:val="0"/>
              <w:spacing w:line="360" w:lineRule="auto"/>
              <w:ind w:firstLineChars="200" w:firstLine="480"/>
              <w:rPr>
                <w:color w:val="auto"/>
                <w:sz w:val="24"/>
              </w:rPr>
            </w:pPr>
            <w:r>
              <w:rPr>
                <w:color w:val="auto"/>
                <w:sz w:val="24"/>
              </w:rPr>
              <w:t>②合理安排运输时间，尽量避开夜间休息时间；</w:t>
            </w:r>
          </w:p>
          <w:p>
            <w:pPr>
              <w:pageBreakBefore w:val="0"/>
              <w:widowControl w:val="0"/>
              <w:kinsoku/>
              <w:overflowPunct/>
              <w:bidi w:val="0"/>
              <w:adjustRightInd w:val="0"/>
              <w:snapToGrid w:val="0"/>
              <w:spacing w:line="360" w:lineRule="auto"/>
              <w:ind w:firstLineChars="200" w:firstLine="480"/>
              <w:rPr>
                <w:color w:val="auto"/>
                <w:sz w:val="24"/>
              </w:rPr>
            </w:pPr>
            <w:r>
              <w:rPr>
                <w:color w:val="auto"/>
                <w:sz w:val="24"/>
              </w:rPr>
              <w:t>③运输过程中严禁鸣笛。</w:t>
            </w:r>
          </w:p>
          <w:p>
            <w:pPr>
              <w:pageBreakBefore w:val="0"/>
              <w:widowControl w:val="0"/>
              <w:kinsoku/>
              <w:overflowPunct/>
              <w:bidi w:val="0"/>
              <w:adjustRightInd w:val="0"/>
              <w:snapToGrid w:val="0"/>
              <w:spacing w:line="360" w:lineRule="auto"/>
              <w:ind w:firstLineChars="200" w:firstLine="480"/>
              <w:rPr>
                <w:color w:val="auto"/>
                <w:sz w:val="24"/>
              </w:rPr>
            </w:pPr>
            <w:r>
              <w:rPr>
                <w:rFonts w:ascii="宋体" w:cs="宋体" w:hAnsi="宋体" w:hint="eastAsia"/>
                <w:color w:val="auto"/>
                <w:sz w:val="24"/>
              </w:rPr>
              <w:t>④</w:t>
            </w:r>
            <w:r>
              <w:rPr>
                <w:color w:val="auto"/>
                <w:sz w:val="24"/>
              </w:rPr>
              <w:t>加强职工环保意识教育，提倡文明生产；强化行车管理制度，设置降噪标准，严禁鸣号，进入厂区低速行驶</w:t>
            </w:r>
            <w:r>
              <w:rPr>
                <w:rFonts w:hint="eastAsia"/>
                <w:color w:val="auto"/>
                <w:sz w:val="24"/>
              </w:rPr>
              <w:t>。</w:t>
            </w:r>
            <w:r>
              <w:rPr>
                <w:color w:val="auto"/>
                <w:sz w:val="24"/>
              </w:rPr>
              <w:t>项目生产过程中噪声对周边环境影响很小。</w:t>
            </w:r>
          </w:p>
          <w:p>
            <w:pPr>
              <w:pStyle w:val="50"/>
              <w:pageBreakBefore w:val="0"/>
              <w:widowControl w:val="0"/>
              <w:kinsoku/>
              <w:overflowPunct/>
              <w:bidi w:val="0"/>
              <w:rPr>
                <w:rFonts w:hint="eastAsia"/>
                <w:b/>
                <w:bCs/>
                <w:color w:val="auto"/>
              </w:rPr>
            </w:pPr>
            <w:r>
              <w:rPr>
                <w:rFonts w:hint="eastAsia"/>
                <w:b/>
                <w:bCs/>
                <w:color w:val="auto"/>
              </w:rPr>
              <w:t>建设单位必须严格落实相关防噪降噪措施，高噪声设备加装减振垫等确保噪声达标排放。</w:t>
            </w:r>
          </w:p>
          <w:p>
            <w:pPr>
              <w:pStyle w:val="50"/>
              <w:pageBreakBefore w:val="0"/>
              <w:widowControl w:val="0"/>
              <w:kinsoku/>
              <w:overflowPunct/>
              <w:bidi w:val="0"/>
              <w:rPr>
                <w:rFonts w:hint="eastAsia"/>
                <w:color w:val="auto"/>
              </w:rPr>
            </w:pPr>
            <w:r>
              <w:rPr>
                <w:rFonts w:hint="eastAsia"/>
                <w:color w:val="auto"/>
              </w:rPr>
              <w:t>通过以上措施治理后，厂界噪声排放能够达到</w:t>
            </w:r>
            <w:r>
              <w:rPr>
                <w:color w:val="auto"/>
              </w:rPr>
              <w:t>《工业企业厂界环境噪声排放标准》（GB12348-2008）中</w:t>
            </w:r>
            <w:r>
              <w:rPr>
                <w:rFonts w:hint="eastAsia"/>
                <w:color w:val="auto"/>
                <w:lang w:val="en-US" w:eastAsia="zh-CN"/>
              </w:rPr>
              <w:t>3</w:t>
            </w:r>
            <w:r>
              <w:rPr>
                <w:color w:val="auto"/>
              </w:rPr>
              <w:t>类标准</w:t>
            </w:r>
            <w:r>
              <w:rPr>
                <w:rFonts w:hint="eastAsia"/>
                <w:color w:val="auto"/>
              </w:rPr>
              <w:t>。</w:t>
            </w:r>
          </w:p>
          <w:p>
            <w:pPr>
              <w:pStyle w:val="50"/>
              <w:pageBreakBefore w:val="0"/>
              <w:widowControl w:val="0"/>
              <w:kinsoku/>
              <w:overflowPunct/>
              <w:bidi w:val="0"/>
              <w:rPr>
                <w:b/>
                <w:bCs/>
                <w:color w:val="auto"/>
              </w:rPr>
            </w:pPr>
            <w:r>
              <w:rPr>
                <w:rFonts w:hint="eastAsia"/>
                <w:b/>
                <w:bCs/>
                <w:color w:val="auto"/>
              </w:rPr>
              <w:t>4、</w:t>
            </w:r>
            <w:r>
              <w:rPr>
                <w:b/>
                <w:bCs/>
                <w:color w:val="auto"/>
              </w:rPr>
              <w:t>噪声</w:t>
            </w:r>
            <w:r>
              <w:rPr>
                <w:rFonts w:hint="eastAsia"/>
                <w:b/>
                <w:bCs/>
                <w:color w:val="auto"/>
              </w:rPr>
              <w:t>自行监测</w:t>
            </w:r>
          </w:p>
          <w:p>
            <w:pPr>
              <w:pageBreakBefore w:val="0"/>
              <w:widowControl w:val="0"/>
              <w:kinsoku/>
              <w:overflowPunct/>
              <w:bidi w:val="0"/>
              <w:adjustRightInd w:val="0"/>
              <w:snapToGrid w:val="0"/>
              <w:spacing w:line="360" w:lineRule="auto"/>
              <w:ind w:firstLineChars="200" w:firstLine="480"/>
              <w:rPr>
                <w:color w:val="auto"/>
                <w:sz w:val="24"/>
              </w:rPr>
            </w:pPr>
            <w:r>
              <w:rPr>
                <w:color w:val="auto"/>
                <w:sz w:val="24"/>
              </w:rPr>
              <w:t>根据</w:t>
            </w:r>
            <w:r>
              <w:rPr>
                <w:rFonts w:hint="eastAsia"/>
                <w:color w:val="auto"/>
                <w:sz w:val="24"/>
                <w:lang w:eastAsia="zh-CN"/>
              </w:rPr>
              <w:t>《</w:t>
            </w:r>
            <w:r>
              <w:rPr>
                <w:rFonts w:hint="eastAsia"/>
                <w:color w:val="auto"/>
                <w:sz w:val="24"/>
              </w:rPr>
              <w:t>排污单位自行监测技术指南 总则</w:t>
            </w:r>
            <w:r>
              <w:rPr>
                <w:rFonts w:hint="eastAsia"/>
                <w:color w:val="auto"/>
                <w:sz w:val="24"/>
                <w:lang w:eastAsia="zh-CN"/>
              </w:rPr>
              <w:t>》（</w:t>
            </w:r>
            <w:r>
              <w:rPr>
                <w:rFonts w:hint="eastAsia"/>
                <w:color w:val="auto"/>
                <w:sz w:val="24"/>
              </w:rPr>
              <w:t>HJ 819-2017</w:t>
            </w:r>
            <w:r>
              <w:rPr>
                <w:rFonts w:hint="eastAsia"/>
                <w:color w:val="auto"/>
                <w:sz w:val="24"/>
                <w:lang w:eastAsia="zh-CN"/>
              </w:rPr>
              <w:t>）、《排污许可证申请与核发技术规范 工业噪声》（HJ 1301</w:t>
            </w:r>
            <w:r>
              <w:rPr>
                <w:rFonts w:hint="eastAsia"/>
                <w:color w:val="auto"/>
                <w:sz w:val="24"/>
                <w:lang w:val="en-US" w:eastAsia="zh-CN"/>
              </w:rPr>
              <w:t>-</w:t>
            </w:r>
            <w:r>
              <w:rPr>
                <w:rFonts w:hint="eastAsia"/>
                <w:color w:val="auto"/>
                <w:sz w:val="24"/>
                <w:lang w:eastAsia="zh-CN"/>
              </w:rPr>
              <w:t>2023）</w:t>
            </w:r>
            <w:r>
              <w:rPr>
                <w:color w:val="auto"/>
                <w:sz w:val="24"/>
              </w:rPr>
              <w:t>，项目投产后，企业应定期组织噪声监测。若企业不具备监测条件，需委托当地具有监测资质的单位开展噪声监测。项目监测计划具体如下表所示。</w:t>
            </w:r>
          </w:p>
          <w:p>
            <w:pPr>
              <w:keepNext/>
              <w:keepLines/>
              <w:pageBreakBefore w:val="0"/>
              <w:kinsoku/>
              <w:overflowPunct/>
              <w:bidi w:val="0"/>
              <w:spacing w:line="360" w:lineRule="exact"/>
              <w:jc w:val="center"/>
              <w:outlineLvl w:val="1"/>
              <w:rPr>
                <w:rFonts w:hint="eastAsia"/>
                <w:bCs/>
                <w:color w:val="auto"/>
                <w:szCs w:val="32"/>
                <w:u w:val="none"/>
              </w:rPr>
            </w:pPr>
            <w:r>
              <w:rPr>
                <w:b/>
                <w:color w:val="auto"/>
                <w:szCs w:val="21"/>
                <w:u w:val="none"/>
              </w:rPr>
              <w:t>表4-</w:t>
            </w:r>
            <w:r>
              <w:rPr>
                <w:rFonts w:hint="eastAsia"/>
                <w:b/>
                <w:color w:val="auto"/>
                <w:szCs w:val="21"/>
                <w:u w:val="none"/>
                <w:lang w:val="en-US" w:eastAsia="zh-CN"/>
              </w:rPr>
              <w:t xml:space="preserve">12 </w:t>
            </w:r>
            <w:r>
              <w:rPr>
                <w:rFonts w:hint="eastAsia"/>
                <w:b/>
                <w:color w:val="auto"/>
                <w:szCs w:val="21"/>
                <w:u w:val="none"/>
              </w:rPr>
              <w:t>项目噪声监测计划</w:t>
            </w:r>
          </w:p>
          <w:tbl>
            <w:tblPr>
              <w:jc w:val="left"/>
              <w:tblInd w:w="0" w:type="dx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038"/>
              <w:gridCol w:w="3202"/>
              <w:gridCol w:w="2696"/>
              <w:gridCol w:w="3505"/>
              <w:gridCol w:w="2603"/>
            </w:tblGrid>
            <w:tr>
              <w:trPr>
                <w:trHeight w:val="454"/>
              </w:trPr>
              <w:tc>
                <w:tcPr>
                  <w:tcW w:w="725"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项目</w:t>
                  </w:r>
                </w:p>
              </w:tc>
              <w:tc>
                <w:tcPr>
                  <w:tcW w:w="1139"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监测点位</w:t>
                  </w:r>
                </w:p>
              </w:tc>
              <w:tc>
                <w:tcPr>
                  <w:tcW w:w="959" w:type="pct"/>
                  <w:vAlign w:val="center"/>
                </w:tcPr>
                <w:p>
                  <w:pPr>
                    <w:pageBreakBefore w:val="0"/>
                    <w:widowControl/>
                    <w:kinsoku/>
                    <w:overflowPunct/>
                    <w:bidi w:val="0"/>
                    <w:adjustRightInd w:val="0"/>
                    <w:snapToGrid w:val="0"/>
                    <w:jc w:val="center"/>
                    <w:rPr>
                      <w:b/>
                      <w:bCs/>
                      <w:color w:val="auto"/>
                      <w:szCs w:val="21"/>
                      <w:u w:val="none"/>
                    </w:rPr>
                  </w:pPr>
                  <w:r>
                    <w:rPr>
                      <w:b/>
                      <w:bCs/>
                      <w:color w:val="auto"/>
                      <w:szCs w:val="21"/>
                      <w:u w:val="none"/>
                    </w:rPr>
                    <w:t>监测时段</w:t>
                  </w:r>
                </w:p>
              </w:tc>
              <w:tc>
                <w:tcPr>
                  <w:tcW w:w="1247"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监测指标</w:t>
                  </w:r>
                </w:p>
              </w:tc>
              <w:tc>
                <w:tcPr>
                  <w:tcW w:w="926"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监测频次</w:t>
                  </w:r>
                </w:p>
              </w:tc>
            </w:tr>
            <w:tr>
              <w:trPr>
                <w:trHeight w:val="454"/>
              </w:trPr>
              <w:tc>
                <w:tcPr>
                  <w:tcW w:w="725" w:type="pct"/>
                  <w:vAlign w:val="center"/>
                </w:tcPr>
                <w:p>
                  <w:pPr>
                    <w:pageBreakBefore w:val="0"/>
                    <w:widowControl/>
                    <w:kinsoku/>
                    <w:overflowPunct/>
                    <w:bidi w:val="0"/>
                    <w:adjustRightInd w:val="0"/>
                    <w:snapToGrid w:val="0"/>
                    <w:jc w:val="center"/>
                    <w:rPr>
                      <w:color w:val="auto"/>
                      <w:szCs w:val="21"/>
                      <w:u w:val="none"/>
                    </w:rPr>
                  </w:pPr>
                  <w:r>
                    <w:rPr>
                      <w:rFonts w:hint="eastAsia"/>
                      <w:color w:val="auto"/>
                      <w:szCs w:val="21"/>
                      <w:u w:val="none"/>
                    </w:rPr>
                    <w:t>噪声</w:t>
                  </w:r>
                </w:p>
              </w:tc>
              <w:tc>
                <w:tcPr>
                  <w:tcW w:w="1139" w:type="pct"/>
                  <w:vAlign w:val="center"/>
                </w:tcPr>
                <w:p>
                  <w:pPr>
                    <w:pageBreakBefore w:val="0"/>
                    <w:widowControl/>
                    <w:kinsoku/>
                    <w:overflowPunct/>
                    <w:bidi w:val="0"/>
                    <w:adjustRightInd w:val="0"/>
                    <w:snapToGrid w:val="0"/>
                    <w:jc w:val="center"/>
                    <w:rPr>
                      <w:color w:val="auto"/>
                      <w:szCs w:val="21"/>
                      <w:u w:val="none"/>
                    </w:rPr>
                  </w:pPr>
                  <w:r>
                    <w:rPr>
                      <w:rFonts w:hint="eastAsia"/>
                      <w:color w:val="auto"/>
                      <w:szCs w:val="21"/>
                      <w:u w:val="none"/>
                    </w:rPr>
                    <w:t>厂界四周</w:t>
                  </w:r>
                </w:p>
              </w:tc>
              <w:tc>
                <w:tcPr>
                  <w:tcW w:w="959" w:type="pct"/>
                  <w:vAlign w:val="center"/>
                </w:tcPr>
                <w:p>
                  <w:pPr>
                    <w:pageBreakBefore w:val="0"/>
                    <w:widowControl/>
                    <w:kinsoku/>
                    <w:overflowPunct/>
                    <w:bidi w:val="0"/>
                    <w:adjustRightInd w:val="0"/>
                    <w:snapToGrid w:val="0"/>
                    <w:jc w:val="center"/>
                    <w:rPr>
                      <w:rFonts w:hint="eastAsia"/>
                      <w:color w:val="auto"/>
                      <w:szCs w:val="21"/>
                      <w:u w:val="none"/>
                    </w:rPr>
                  </w:pPr>
                  <w:r>
                    <w:rPr>
                      <w:rFonts w:hint="eastAsia"/>
                      <w:color w:val="auto"/>
                      <w:szCs w:val="21"/>
                      <w:u w:val="none"/>
                    </w:rPr>
                    <w:t>昼</w:t>
                  </w:r>
                </w:p>
              </w:tc>
              <w:tc>
                <w:tcPr>
                  <w:tcW w:w="1247" w:type="pct"/>
                  <w:vAlign w:val="center"/>
                </w:tcPr>
                <w:p>
                  <w:pPr>
                    <w:pageBreakBefore w:val="0"/>
                    <w:widowControl/>
                    <w:kinsoku/>
                    <w:overflowPunct/>
                    <w:bidi w:val="0"/>
                    <w:adjustRightInd w:val="0"/>
                    <w:snapToGrid w:val="0"/>
                    <w:jc w:val="center"/>
                    <w:rPr>
                      <w:color w:val="auto"/>
                      <w:szCs w:val="21"/>
                      <w:u w:val="none"/>
                    </w:rPr>
                  </w:pPr>
                  <w:r>
                    <w:rPr>
                      <w:rFonts w:hint="eastAsia"/>
                      <w:color w:val="auto"/>
                      <w:szCs w:val="21"/>
                      <w:u w:val="none"/>
                    </w:rPr>
                    <w:t>连续等级 A 声级</w:t>
                  </w:r>
                </w:p>
              </w:tc>
              <w:tc>
                <w:tcPr>
                  <w:tcW w:w="926" w:type="pct"/>
                  <w:vAlign w:val="center"/>
                </w:tcPr>
                <w:p>
                  <w:pPr>
                    <w:pageBreakBefore w:val="0"/>
                    <w:widowControl/>
                    <w:kinsoku/>
                    <w:overflowPunct/>
                    <w:bidi w:val="0"/>
                    <w:adjustRightInd w:val="0"/>
                    <w:snapToGrid w:val="0"/>
                    <w:jc w:val="center"/>
                    <w:rPr>
                      <w:color w:val="auto"/>
                      <w:szCs w:val="21"/>
                      <w:u w:val="none"/>
                    </w:rPr>
                  </w:pPr>
                  <w:r>
                    <w:rPr>
                      <w:rFonts w:hint="eastAsia"/>
                      <w:color w:val="auto"/>
                      <w:szCs w:val="21"/>
                      <w:u w:val="none"/>
                    </w:rPr>
                    <w:t>一</w:t>
                  </w:r>
                  <w:r>
                    <w:rPr>
                      <w:rFonts w:hint="eastAsia"/>
                      <w:color w:val="auto"/>
                      <w:szCs w:val="21"/>
                      <w:u w:val="none"/>
                      <w:lang w:val="en-US" w:eastAsia="zh-CN"/>
                    </w:rPr>
                    <w:t>季</w:t>
                  </w:r>
                  <w:r>
                    <w:rPr>
                      <w:rFonts w:hint="eastAsia"/>
                      <w:color w:val="auto"/>
                      <w:szCs w:val="21"/>
                      <w:u w:val="none"/>
                    </w:rPr>
                    <w:t>一次</w:t>
                  </w:r>
                </w:p>
              </w:tc>
            </w:tr>
          </w:tbl>
          <w:p>
            <w:pPr>
              <w:pageBreakBefore w:val="0"/>
              <w:widowControl w:val="0"/>
              <w:kinsoku/>
              <w:overflowPunct/>
              <w:autoSpaceDE w:val="0"/>
              <w:autoSpaceDN w:val="0"/>
              <w:bidi w:val="0"/>
              <w:adjustRightInd w:val="0"/>
              <w:snapToGrid w:val="0"/>
              <w:spacing w:beforeLines="50" w:before="120" w:line="360" w:lineRule="auto"/>
              <w:ind w:firstLineChars="200" w:firstLine="480"/>
              <w:jc w:val="left"/>
              <w:rPr>
                <w:b/>
                <w:bCs/>
                <w:color w:val="auto"/>
                <w:kern w:val="0"/>
                <w:sz w:val="24"/>
              </w:rPr>
            </w:pPr>
            <w:r>
              <w:rPr>
                <w:rFonts w:hint="eastAsia"/>
                <w:b/>
                <w:bCs/>
                <w:color w:val="auto"/>
                <w:kern w:val="0"/>
                <w:sz w:val="24"/>
              </w:rPr>
              <w:t>（四）</w:t>
            </w:r>
            <w:r>
              <w:rPr>
                <w:b/>
                <w:bCs/>
                <w:color w:val="auto"/>
                <w:kern w:val="0"/>
                <w:sz w:val="24"/>
              </w:rPr>
              <w:t>固体废物环境影响分析</w:t>
            </w:r>
          </w:p>
          <w:p>
            <w:pPr>
              <w:pageBreakBefore w:val="0"/>
              <w:widowControl w:val="0"/>
              <w:kinsoku/>
              <w:overflowPunct/>
              <w:bidi w:val="0"/>
              <w:spacing w:line="360" w:lineRule="auto"/>
              <w:ind w:firstLineChars="200" w:firstLine="480"/>
              <w:rPr>
                <w:b/>
                <w:bCs/>
                <w:color w:val="auto"/>
                <w:sz w:val="24"/>
              </w:rPr>
            </w:pPr>
            <w:r>
              <w:rPr>
                <w:rFonts w:hint="eastAsia"/>
                <w:b/>
                <w:bCs/>
                <w:color w:val="auto"/>
                <w:sz w:val="24"/>
              </w:rPr>
              <w:t>1、</w:t>
            </w:r>
            <w:r>
              <w:rPr>
                <w:b/>
                <w:bCs/>
                <w:color w:val="auto"/>
                <w:sz w:val="24"/>
              </w:rPr>
              <w:t>固体废物产生及处置情况</w:t>
            </w:r>
          </w:p>
          <w:p>
            <w:pPr>
              <w:pageBreakBefore w:val="0"/>
              <w:widowControl w:val="0"/>
              <w:kinsoku/>
              <w:overflowPunct/>
              <w:bidi w:val="0"/>
              <w:spacing w:line="360" w:lineRule="auto"/>
              <w:ind w:firstLineChars="200" w:firstLine="480"/>
              <w:rPr>
                <w:color w:val="auto"/>
                <w:sz w:val="24"/>
              </w:rPr>
            </w:pPr>
            <w:r>
              <w:rPr>
                <w:color w:val="auto"/>
                <w:sz w:val="24"/>
              </w:rPr>
              <w:t>（1）生活垃圾</w:t>
            </w:r>
          </w:p>
          <w:p>
            <w:pPr>
              <w:pageBreakBefore w:val="0"/>
              <w:widowControl w:val="0"/>
              <w:kinsoku/>
              <w:overflowPunct/>
              <w:bidi w:val="0"/>
              <w:adjustRightInd w:val="0"/>
              <w:snapToGrid w:val="0"/>
              <w:spacing w:line="360" w:lineRule="auto"/>
              <w:ind w:firstLineChars="200" w:firstLine="480"/>
              <w:rPr>
                <w:rFonts w:hint="eastAsia"/>
                <w:color w:val="auto"/>
                <w:sz w:val="24"/>
              </w:rPr>
            </w:pPr>
            <w:r>
              <w:rPr>
                <w:rFonts w:hint="eastAsia"/>
                <w:color w:val="auto"/>
                <w:sz w:val="24"/>
              </w:rPr>
              <w:t>本</w:t>
            </w:r>
            <w:r>
              <w:rPr>
                <w:color w:val="auto"/>
                <w:sz w:val="24"/>
              </w:rPr>
              <w:t>项目员工</w:t>
            </w:r>
            <w:r>
              <w:rPr>
                <w:rFonts w:hint="eastAsia"/>
                <w:color w:val="auto"/>
                <w:sz w:val="24"/>
                <w:lang w:val="en-US" w:eastAsia="zh-CN"/>
              </w:rPr>
              <w:t>10</w:t>
            </w:r>
            <w:r>
              <w:rPr>
                <w:color w:val="auto"/>
                <w:sz w:val="24"/>
              </w:rPr>
              <w:t>人，生活垃圾产生量按0.</w:t>
            </w:r>
            <w:r>
              <w:rPr>
                <w:rFonts w:hint="eastAsia"/>
                <w:color w:val="auto"/>
                <w:sz w:val="24"/>
              </w:rPr>
              <w:t>3</w:t>
            </w:r>
            <w:r>
              <w:rPr>
                <w:color w:val="auto"/>
                <w:sz w:val="24"/>
              </w:rPr>
              <w:t>kg/人·d计算，项目年工作</w:t>
            </w:r>
            <w:r>
              <w:rPr>
                <w:rFonts w:hint="eastAsia"/>
                <w:color w:val="auto"/>
                <w:sz w:val="24"/>
                <w:lang w:val="en-US" w:eastAsia="zh-CN"/>
              </w:rPr>
              <w:t>1</w:t>
            </w:r>
            <w:r>
              <w:rPr>
                <w:color w:val="auto"/>
                <w:sz w:val="24"/>
              </w:rPr>
              <w:t>00日，则生活垃圾量为</w:t>
            </w:r>
            <w:r>
              <w:rPr>
                <w:rFonts w:hint="eastAsia"/>
                <w:color w:val="auto"/>
                <w:sz w:val="24"/>
                <w:lang w:val="en-US" w:eastAsia="zh-CN"/>
              </w:rPr>
              <w:t>3</w:t>
            </w:r>
            <w:r>
              <w:rPr>
                <w:color w:val="auto"/>
                <w:sz w:val="24"/>
              </w:rPr>
              <w:t>kg/d，</w:t>
            </w:r>
            <w:r>
              <w:rPr>
                <w:rFonts w:hint="eastAsia"/>
                <w:color w:val="auto"/>
                <w:sz w:val="24"/>
                <w:lang w:val="en-US" w:eastAsia="zh-CN"/>
              </w:rPr>
              <w:t>3</w:t>
            </w:r>
            <w:r>
              <w:rPr>
                <w:color w:val="auto"/>
                <w:sz w:val="24"/>
              </w:rPr>
              <w:t>t/</w:t>
            </w:r>
            <w:r>
              <w:rPr>
                <w:color w:val="auto"/>
                <w:sz w:val="24"/>
                <w:u w:val="single"/>
              </w:rPr>
              <w:t>a，生活垃圾收集后交由环卫部门处理，能够合理处置，对周围环境影响较小</w:t>
            </w:r>
            <w:r>
              <w:rPr>
                <w:rFonts w:hint="eastAsia"/>
                <w:color w:val="auto"/>
                <w:sz w:val="24"/>
              </w:rPr>
              <w:t>。</w:t>
            </w:r>
          </w:p>
          <w:p>
            <w:pPr>
              <w:pageBreakBefore w:val="0"/>
              <w:widowControl w:val="0"/>
              <w:kinsoku/>
              <w:overflowPunct/>
              <w:bidi w:val="0"/>
              <w:spacing w:line="360" w:lineRule="auto"/>
              <w:ind w:firstLineChars="200" w:firstLine="480"/>
              <w:rPr>
                <w:color w:val="auto"/>
                <w:sz w:val="24"/>
              </w:rPr>
            </w:pPr>
            <w:r>
              <w:rPr>
                <w:color w:val="auto"/>
                <w:sz w:val="24"/>
              </w:rPr>
              <w:t>（2）一般工业固废</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eastAsia="宋体" w:cs="Times New Roman" w:hAnsi="Times New Roman" w:hint="eastAsia"/>
                <w:color w:val="auto"/>
                <w:sz w:val="24"/>
                <w:lang w:eastAsia="zh-CN"/>
              </w:rPr>
            </w:pPr>
            <w:r>
              <w:rPr>
                <w:rFonts w:ascii="Times New Roman" w:cs="Times New Roman" w:hAnsi="Times New Roman"/>
                <w:color w:val="auto"/>
                <w:sz w:val="24"/>
              </w:rPr>
              <w:t>①</w:t>
            </w:r>
            <w:r>
              <w:rPr>
                <w:rFonts w:ascii="Times New Roman" w:cs="Times New Roman" w:hAnsi="Times New Roman" w:hint="eastAsia"/>
                <w:color w:val="auto"/>
                <w:sz w:val="24"/>
                <w:lang w:val="en-US" w:eastAsia="zh-CN"/>
              </w:rPr>
              <w:t>剥壳</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color w:val="auto"/>
                <w:kern w:val="2"/>
                <w:sz w:val="24"/>
                <w:szCs w:val="24"/>
                <w:u w:val="none"/>
              </w:rPr>
            </w:pPr>
            <w:r>
              <w:rPr>
                <w:rFonts w:ascii="Times New Roman" w:eastAsia="宋体" w:cs="Times New Roman" w:hAnsi="Times New Roman" w:hint="eastAsia"/>
                <w:color w:val="auto"/>
                <w:kern w:val="2"/>
                <w:sz w:val="24"/>
                <w:szCs w:val="24"/>
                <w:lang w:val="en-US" w:eastAsia="zh-CN" w:bidi="ar-SA"/>
              </w:rPr>
              <w:t>根据企业提供的相关资料，茶籽出油率约在20%左右，本项目茶油产量为100t/a，茶籽用量为834t/a，其</w:t>
            </w:r>
            <w:r>
              <w:rPr>
                <w:rFonts w:ascii="Times New Roman" w:eastAsia="宋体" w:cs="Times New Roman" w:hAnsi="Times New Roman" w:hint="eastAsia"/>
                <w:color w:val="auto"/>
                <w:kern w:val="2"/>
                <w:sz w:val="24"/>
                <w:szCs w:val="24"/>
                <w:u w:val="single"/>
                <w:lang w:val="en-US" w:eastAsia="zh-CN" w:bidi="ar-SA"/>
              </w:rPr>
              <w:t>中茶仁和茶壳</w:t>
            </w:r>
            <w:r>
              <w:rPr>
                <w:rFonts w:ascii="Times New Roman" w:cs="Times New Roman" w:hAnsi="Times New Roman" w:hint="eastAsia"/>
                <w:color w:val="auto"/>
                <w:kern w:val="2"/>
                <w:sz w:val="24"/>
                <w:szCs w:val="24"/>
                <w:u w:val="single"/>
                <w:lang w:val="en-US" w:eastAsia="zh-CN" w:bidi="ar-SA"/>
              </w:rPr>
              <w:t>比例</w:t>
            </w:r>
            <w:r>
              <w:rPr>
                <w:rFonts w:ascii="Times New Roman" w:eastAsia="宋体" w:cs="Times New Roman" w:hAnsi="Times New Roman" w:hint="eastAsia"/>
                <w:color w:val="auto"/>
                <w:kern w:val="2"/>
                <w:sz w:val="24"/>
                <w:szCs w:val="24"/>
                <w:u w:val="single"/>
                <w:lang w:val="en-US" w:eastAsia="zh-CN" w:bidi="ar-SA"/>
              </w:rPr>
              <w:t>为6:4，即茶仁为500t/a，茶壳为33</w:t>
            </w:r>
            <w:r>
              <w:rPr>
                <w:rFonts w:ascii="Times New Roman" w:cs="Times New Roman" w:hAnsi="Times New Roman" w:hint="eastAsia"/>
                <w:color w:val="auto"/>
                <w:kern w:val="2"/>
                <w:sz w:val="24"/>
                <w:szCs w:val="24"/>
                <w:u w:val="single"/>
                <w:lang w:val="en-US" w:eastAsia="zh-CN" w:bidi="ar-SA"/>
              </w:rPr>
              <w:t>4</w:t>
            </w:r>
            <w:r>
              <w:rPr>
                <w:rFonts w:ascii="Times New Roman" w:eastAsia="宋体" w:cs="Times New Roman" w:hAnsi="Times New Roman" w:hint="eastAsia"/>
                <w:color w:val="auto"/>
                <w:kern w:val="2"/>
                <w:sz w:val="24"/>
                <w:szCs w:val="24"/>
                <w:u w:val="single"/>
                <w:lang w:val="en-US" w:eastAsia="zh-CN" w:bidi="ar-SA"/>
              </w:rPr>
              <w:t>t/a</w:t>
            </w:r>
            <w:r>
              <w:rPr>
                <w:rFonts w:ascii="Times New Roman" w:cs="Times New Roman" w:hAnsi="Times New Roman" w:hint="eastAsia"/>
                <w:color w:val="auto"/>
                <w:kern w:val="2"/>
                <w:sz w:val="24"/>
                <w:szCs w:val="24"/>
                <w:u w:val="single"/>
                <w:lang w:val="en-US" w:eastAsia="zh-CN" w:bidi="ar-SA"/>
              </w:rPr>
              <w:t>，茶壳堆放在原料暂存区的东侧，后期外售</w:t>
            </w:r>
            <w:r>
              <w:rPr>
                <w:rFonts w:ascii="Times New Roman" w:cs="Times New Roman" w:hAnsi="Times New Roman"/>
                <w:color w:val="auto"/>
                <w:kern w:val="2"/>
                <w:sz w:val="24"/>
                <w:szCs w:val="24"/>
                <w:u w:val="single"/>
              </w:rPr>
              <w:t>。</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宋体" w:cs="宋体" w:hAnsi="宋体"/>
                <w:color w:val="auto"/>
                <w:kern w:val="2"/>
                <w:sz w:val="24"/>
                <w:szCs w:val="24"/>
                <w:lang w:val="en-US"/>
              </w:rPr>
            </w:pPr>
            <w:r>
              <w:rPr>
                <w:rFonts w:ascii="宋体" w:cs="宋体" w:hAnsi="宋体" w:hint="eastAsia"/>
                <w:color w:val="auto"/>
                <w:kern w:val="2"/>
                <w:sz w:val="24"/>
                <w:szCs w:val="24"/>
              </w:rPr>
              <w:t>②</w:t>
            </w:r>
            <w:r>
              <w:rPr>
                <w:rFonts w:hint="eastAsia"/>
                <w:color w:val="auto"/>
                <w:sz w:val="24"/>
                <w:lang w:val="en-US" w:eastAsia="zh-CN"/>
              </w:rPr>
              <w:t>压榨、过滤</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color w:val="auto"/>
                <w:kern w:val="2"/>
                <w:sz w:val="24"/>
                <w:szCs w:val="24"/>
              </w:rPr>
            </w:pPr>
            <w:r>
              <w:rPr>
                <w:rFonts w:ascii="Times New Roman" w:eastAsia="宋体" w:cs="Times New Roman" w:hAnsi="Times New Roman" w:hint="eastAsia"/>
                <w:color w:val="auto"/>
                <w:kern w:val="2"/>
                <w:sz w:val="24"/>
                <w:szCs w:val="24"/>
                <w:lang w:val="en-US" w:eastAsia="zh-CN" w:bidi="ar-SA"/>
              </w:rPr>
              <w:t>茶籽出油率约在20%左右</w:t>
            </w:r>
            <w:r>
              <w:rPr>
                <w:rFonts w:ascii="Times New Roman" w:cs="Times New Roman" w:hAnsi="Times New Roman" w:hint="eastAsia"/>
                <w:color w:val="auto"/>
                <w:sz w:val="24"/>
                <w:szCs w:val="24"/>
                <w:lang w:val="en-US" w:eastAsia="zh-CN"/>
              </w:rPr>
              <w:t>根据物料平衡，压榨后茶枯、过滤渣的产生量为400t，堆放暂存在</w:t>
            </w:r>
            <w:r>
              <w:rPr>
                <w:rFonts w:ascii="Times New Roman" w:cs="Times New Roman" w:hAnsi="Times New Roman" w:hint="eastAsia"/>
                <w:color w:val="auto"/>
                <w:kern w:val="2"/>
                <w:sz w:val="24"/>
                <w:szCs w:val="24"/>
                <w:lang w:val="en-US" w:eastAsia="zh-CN" w:bidi="ar-SA"/>
              </w:rPr>
              <w:t>原料暂存区的东侧，后期外售</w:t>
            </w:r>
            <w:r>
              <w:rPr>
                <w:rFonts w:ascii="Times New Roman" w:cs="Times New Roman" w:hAnsi="Times New Roman"/>
                <w:color w:val="auto"/>
                <w:kern w:val="2"/>
                <w:sz w:val="24"/>
                <w:szCs w:val="24"/>
              </w:rPr>
              <w:t>。</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hint="eastAsia"/>
                <w:color w:val="auto"/>
                <w:kern w:val="2"/>
                <w:sz w:val="24"/>
                <w:szCs w:val="24"/>
                <w:lang w:val="en-US" w:eastAsia="zh-CN"/>
              </w:rPr>
            </w:pPr>
            <w:r>
              <w:rPr>
                <w:rFonts w:ascii="Times New Roman" w:cs="Times New Roman" w:hAnsi="Times New Roman" w:hint="eastAsia"/>
                <w:color w:val="auto"/>
                <w:kern w:val="2"/>
                <w:sz w:val="24"/>
                <w:szCs w:val="24"/>
                <w:lang w:val="en-US" w:eastAsia="zh-CN"/>
              </w:rPr>
              <w:t>③脱酸/脱胶</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color w:val="0000FF"/>
                <w:kern w:val="2"/>
                <w:sz w:val="24"/>
                <w:szCs w:val="24"/>
                <w:lang w:val="en-US" w:eastAsia="zh-CN"/>
              </w:rPr>
            </w:pPr>
            <w:r>
              <w:rPr>
                <w:rFonts w:ascii="Times New Roman" w:cs="Times New Roman" w:hAnsi="Times New Roman" w:hint="eastAsia"/>
                <w:color w:val="auto"/>
                <w:sz w:val="24"/>
                <w:szCs w:val="24"/>
                <w:u w:val="none"/>
                <w:lang w:eastAsia="zh-CN"/>
              </w:rPr>
              <w:t>根据废水产排量分析，</w:t>
            </w:r>
            <w:r>
              <w:rPr>
                <w:rFonts w:ascii="Times New Roman" w:cs="Times New Roman" w:hAnsi="Times New Roman" w:hint="eastAsia"/>
                <w:color w:val="auto"/>
                <w:kern w:val="2"/>
                <w:sz w:val="24"/>
                <w:szCs w:val="24"/>
                <w:lang w:val="en-US" w:eastAsia="zh-CN"/>
              </w:rPr>
              <w:t>脱酸/脱胶废水中含有皂角</w:t>
            </w:r>
            <w:r>
              <w:rPr>
                <w:rFonts w:ascii="Times New Roman" w:cs="Times New Roman" w:hAnsi="Times New Roman" w:hint="eastAsia"/>
                <w:color w:val="auto"/>
                <w:kern w:val="2"/>
                <w:sz w:val="24"/>
                <w:szCs w:val="24"/>
                <w:u w:val="single"/>
                <w:lang w:val="en-US" w:eastAsia="zh-CN"/>
              </w:rPr>
              <w:t>，混合罐装后作为一般化工原料外售</w:t>
            </w:r>
            <w:r>
              <w:rPr>
                <w:rFonts w:ascii="Times New Roman" w:cs="Times New Roman" w:hAnsi="Times New Roman" w:hint="eastAsia"/>
                <w:color w:val="auto"/>
                <w:kern w:val="2"/>
                <w:sz w:val="24"/>
                <w:szCs w:val="24"/>
                <w:lang w:val="en-US" w:eastAsia="zh-CN"/>
              </w:rPr>
              <w:t>，产生量为11.025t/a。</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hint="eastAsia"/>
                <w:color w:val="auto"/>
                <w:kern w:val="2"/>
                <w:sz w:val="24"/>
                <w:szCs w:val="24"/>
                <w:lang w:val="en-US" w:eastAsia="zh-CN"/>
              </w:rPr>
            </w:pPr>
            <w:r>
              <w:rPr>
                <w:rFonts w:ascii="Times New Roman" w:cs="Times New Roman" w:hAnsi="Times New Roman" w:hint="eastAsia"/>
                <w:color w:val="auto"/>
                <w:kern w:val="2"/>
                <w:sz w:val="24"/>
                <w:szCs w:val="24"/>
                <w:lang w:val="en-US" w:eastAsia="zh-CN"/>
              </w:rPr>
              <w:t>④污水设施污泥</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color w:val="auto"/>
                <w:kern w:val="2"/>
                <w:sz w:val="24"/>
                <w:szCs w:val="24"/>
                <w:u w:val="none"/>
              </w:rPr>
            </w:pPr>
            <w:r>
              <w:rPr>
                <w:rFonts w:ascii="Times New Roman" w:cs="Times New Roman" w:hAnsi="Times New Roman" w:hint="eastAsia"/>
                <w:color w:val="auto"/>
                <w:sz w:val="24"/>
                <w:szCs w:val="24"/>
                <w:u w:val="none"/>
                <w:lang w:eastAsia="zh-CN"/>
              </w:rPr>
              <w:t>根据废水产排量分析，进入沉淀池的</w:t>
            </w:r>
            <w:r>
              <w:rPr>
                <w:rFonts w:ascii="Times New Roman" w:cs="Times New Roman" w:hAnsi="Times New Roman" w:hint="eastAsia"/>
                <w:color w:val="auto"/>
                <w:sz w:val="24"/>
                <w:szCs w:val="24"/>
                <w:u w:val="none"/>
                <w:lang w:val="en-US" w:eastAsia="zh-CN"/>
              </w:rPr>
              <w:t>处理的</w:t>
            </w:r>
            <w:r>
              <w:rPr>
                <w:rFonts w:ascii="Times New Roman" w:cs="Times New Roman" w:hAnsi="Times New Roman" w:hint="eastAsia"/>
                <w:color w:val="auto"/>
                <w:sz w:val="24"/>
                <w:szCs w:val="24"/>
                <w:u w:val="none"/>
                <w:lang w:eastAsia="zh-CN"/>
              </w:rPr>
              <w:t>废水</w:t>
            </w:r>
            <w:r>
              <w:rPr>
                <w:rFonts w:ascii="Times New Roman" w:cs="Times New Roman" w:hAnsi="Times New Roman" w:hint="eastAsia"/>
                <w:color w:val="auto"/>
                <w:sz w:val="24"/>
                <w:szCs w:val="24"/>
                <w:u w:val="none"/>
                <w:lang w:val="en-US" w:eastAsia="zh-CN"/>
              </w:rPr>
              <w:t>SS量为0.01362t/a，污泥的含水率约80%，则污泥的产生量为0.0681t/a</w:t>
            </w:r>
            <w:r>
              <w:rPr>
                <w:rFonts w:ascii="Times New Roman" w:cs="Times New Roman" w:hAnsi="Times New Roman" w:hint="eastAsia"/>
                <w:color w:val="auto"/>
                <w:sz w:val="24"/>
                <w:szCs w:val="24"/>
                <w:u w:val="single"/>
                <w:lang w:val="en-US" w:eastAsia="zh-CN"/>
              </w:rPr>
              <w:t>，运至垃圾填埋场进行填埋</w:t>
            </w:r>
            <w:r>
              <w:rPr>
                <w:rFonts w:ascii="Times New Roman" w:cs="Times New Roman" w:hAnsi="Times New Roman"/>
                <w:color w:val="auto"/>
                <w:kern w:val="2"/>
                <w:sz w:val="24"/>
                <w:szCs w:val="24"/>
                <w:u w:val="single"/>
              </w:rPr>
              <w:t>。</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hint="eastAsia"/>
                <w:color w:val="auto"/>
                <w:kern w:val="2"/>
                <w:sz w:val="24"/>
                <w:szCs w:val="24"/>
                <w:u w:val="none"/>
                <w:lang w:val="en-US" w:eastAsia="zh-CN"/>
              </w:rPr>
            </w:pPr>
            <w:r>
              <w:rPr>
                <w:rFonts w:ascii="Times New Roman" w:cs="Times New Roman" w:hAnsi="Times New Roman" w:hint="eastAsia"/>
                <w:color w:val="auto"/>
                <w:kern w:val="2"/>
                <w:sz w:val="24"/>
                <w:szCs w:val="24"/>
                <w:u w:val="none"/>
                <w:lang w:val="en-US" w:eastAsia="zh-CN"/>
              </w:rPr>
              <w:t>⑤废包装桶</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ascii="Times New Roman" w:cs="Times New Roman" w:hAnsi="Times New Roman" w:hint="eastAsia"/>
                <w:color w:val="auto"/>
                <w:kern w:val="2"/>
                <w:sz w:val="24"/>
                <w:szCs w:val="24"/>
                <w:u w:val="none"/>
                <w:lang w:val="en-US" w:eastAsia="zh-CN"/>
              </w:rPr>
              <w:t>根据业主提供资料，废桶</w:t>
            </w:r>
            <w:r>
              <w:rPr>
                <w:rFonts w:cs="Times New Roman" w:hint="eastAsia"/>
                <w:color w:val="auto"/>
                <w:kern w:val="2"/>
                <w:sz w:val="24"/>
                <w:szCs w:val="24"/>
                <w:u w:val="none"/>
                <w:lang w:val="en-US" w:eastAsia="zh-CN"/>
              </w:rPr>
              <w:t>的年产生量控制在50个，单个重量按大桶计算约40g/个，则产生量为0.2kg/a。</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cs="Times New Roman" w:hint="eastAsia"/>
                <w:color w:val="auto"/>
                <w:kern w:val="2"/>
                <w:sz w:val="24"/>
                <w:szCs w:val="24"/>
                <w:u w:val="none"/>
                <w:lang w:val="en-US" w:eastAsia="zh-CN"/>
              </w:rPr>
              <w:t>⑥废布袋</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cs="Times New Roman" w:hint="eastAsia"/>
                <w:color w:val="auto"/>
                <w:kern w:val="2"/>
                <w:sz w:val="24"/>
                <w:szCs w:val="24"/>
                <w:u w:val="none"/>
                <w:lang w:val="en-US" w:eastAsia="zh-CN"/>
              </w:rPr>
              <w:t>每2年更换一次，单次更换量为10kg/次，外售综合利用。</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cs="Times New Roman" w:hint="eastAsia"/>
                <w:color w:val="auto"/>
                <w:kern w:val="2"/>
                <w:sz w:val="24"/>
                <w:szCs w:val="24"/>
                <w:u w:val="none"/>
                <w:lang w:val="en-US" w:eastAsia="zh-CN"/>
              </w:rPr>
              <w:t>⑦除尘灰</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cs="Times New Roman" w:hint="eastAsia"/>
                <w:color w:val="auto"/>
                <w:kern w:val="2"/>
                <w:sz w:val="24"/>
                <w:szCs w:val="24"/>
                <w:u w:val="none"/>
                <w:lang w:val="en-US" w:eastAsia="zh-CN"/>
              </w:rPr>
              <w:t>根据废气计算章节，除尘废气量为0.399t/a，混入生活垃圾清运。</w:t>
            </w:r>
          </w:p>
          <w:p>
            <w:pPr>
              <w:pageBreakBefore w:val="0"/>
              <w:widowControl w:val="0"/>
              <w:kinsoku/>
              <w:overflowPunct/>
              <w:bidi w:val="0"/>
              <w:spacing w:line="360" w:lineRule="auto"/>
              <w:ind w:firstLineChars="200" w:firstLine="480"/>
              <w:rPr>
                <w:rFonts w:cs="Times New Roman" w:hint="eastAsia"/>
                <w:color w:val="auto"/>
                <w:kern w:val="2"/>
                <w:sz w:val="24"/>
                <w:szCs w:val="24"/>
                <w:u w:val="none"/>
                <w:lang w:val="en-US" w:eastAsia="zh-CN"/>
              </w:rPr>
            </w:pPr>
            <w:r>
              <w:rPr>
                <w:rFonts w:cs="Times New Roman" w:hint="eastAsia"/>
                <w:color w:val="auto"/>
                <w:kern w:val="2"/>
                <w:sz w:val="24"/>
                <w:szCs w:val="24"/>
                <w:u w:val="none"/>
                <w:lang w:val="en-US" w:eastAsia="zh-CN"/>
              </w:rPr>
              <w:t>⑧检验废物</w:t>
            </w:r>
          </w:p>
          <w:p>
            <w:pPr>
              <w:pageBreakBefore w:val="0"/>
              <w:widowControl w:val="0"/>
              <w:kinsoku/>
              <w:overflowPunct/>
              <w:bidi w:val="0"/>
              <w:spacing w:line="360" w:lineRule="auto"/>
              <w:ind w:firstLineChars="200" w:firstLine="480"/>
              <w:rPr>
                <w:rFonts w:cs="Times New Roman"/>
                <w:color w:val="auto"/>
                <w:kern w:val="2"/>
                <w:sz w:val="24"/>
                <w:szCs w:val="24"/>
                <w:u w:val="none"/>
                <w:lang w:val="en-US" w:eastAsia="zh-CN"/>
              </w:rPr>
            </w:pPr>
            <w:r>
              <w:rPr>
                <w:rFonts w:cs="Times New Roman" w:hint="eastAsia"/>
                <w:color w:val="auto"/>
                <w:kern w:val="2"/>
                <w:sz w:val="24"/>
                <w:szCs w:val="24"/>
                <w:u w:val="none"/>
                <w:lang w:val="en-US" w:eastAsia="zh-CN"/>
              </w:rPr>
              <w:t>以检验头擦拭纸、抹布等为主，根据企业经验数据，年产生量约0.5kg，混入生活垃圾清运。</w:t>
            </w:r>
          </w:p>
          <w:p>
            <w:pPr>
              <w:pageBreakBefore w:val="0"/>
              <w:widowControl w:val="0"/>
              <w:kinsoku/>
              <w:overflowPunct/>
              <w:bidi w:val="0"/>
              <w:spacing w:line="360" w:lineRule="auto"/>
              <w:ind w:firstLineChars="200" w:firstLine="480"/>
              <w:rPr>
                <w:color w:val="auto"/>
                <w:sz w:val="24"/>
                <w:u w:val="none"/>
              </w:rPr>
            </w:pPr>
            <w:r>
              <w:rPr>
                <w:rFonts w:cs="Times New Roman" w:hint="eastAsia"/>
                <w:color w:val="auto"/>
                <w:kern w:val="2"/>
                <w:sz w:val="24"/>
                <w:szCs w:val="24"/>
                <w:u w:val="none"/>
                <w:lang w:val="en-US" w:eastAsia="zh-CN"/>
              </w:rPr>
              <w:t>（3</w:t>
            </w:r>
            <w:r>
              <w:rPr>
                <w:color w:val="auto"/>
                <w:sz w:val="24"/>
                <w:u w:val="none"/>
              </w:rPr>
              <w:t>）危险废物</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hint="eastAsia"/>
                <w:color w:val="auto"/>
                <w:kern w:val="2"/>
                <w:sz w:val="24"/>
                <w:szCs w:val="24"/>
                <w:u w:val="none"/>
                <w:lang w:eastAsia="zh-CN"/>
              </w:rPr>
            </w:pPr>
            <w:r>
              <w:rPr>
                <w:rFonts w:ascii="Times New Roman" w:cs="Times New Roman" w:hAnsi="Times New Roman" w:hint="eastAsia"/>
                <w:color w:val="auto"/>
                <w:kern w:val="2"/>
                <w:sz w:val="24"/>
                <w:szCs w:val="24"/>
                <w:u w:val="none"/>
              </w:rPr>
              <w:t>废</w:t>
            </w:r>
            <w:r>
              <w:rPr>
                <w:rFonts w:ascii="Times New Roman" w:cs="Times New Roman" w:hAnsi="Times New Roman" w:hint="eastAsia"/>
                <w:color w:val="auto"/>
                <w:kern w:val="2"/>
                <w:sz w:val="24"/>
                <w:szCs w:val="24"/>
                <w:u w:val="none"/>
                <w:lang w:val="en-US" w:eastAsia="zh-CN"/>
              </w:rPr>
              <w:t>导热油</w:t>
            </w:r>
            <w:r>
              <w:rPr>
                <w:rFonts w:ascii="Times New Roman" w:cs="Times New Roman" w:hAnsi="Times New Roman" w:hint="eastAsia"/>
                <w:color w:val="auto"/>
                <w:kern w:val="2"/>
                <w:sz w:val="24"/>
                <w:szCs w:val="24"/>
                <w:u w:val="none"/>
                <w:lang w:eastAsia="zh-CN"/>
              </w:rPr>
              <w:t>：本项目</w:t>
            </w:r>
            <w:r>
              <w:rPr>
                <w:rFonts w:ascii="Times New Roman" w:cs="Times New Roman" w:hAnsi="Times New Roman" w:hint="eastAsia"/>
                <w:color w:val="auto"/>
                <w:kern w:val="2"/>
                <w:sz w:val="24"/>
                <w:szCs w:val="24"/>
                <w:u w:val="none"/>
                <w:lang w:val="en-US" w:eastAsia="zh-CN"/>
              </w:rPr>
              <w:t>导热油炉在线暂存导热油170L×2，平均约3年更换一次，由有资质单位转运</w:t>
            </w:r>
            <w:r>
              <w:rPr>
                <w:rFonts w:ascii="Times New Roman" w:cs="Times New Roman" w:hAnsi="Times New Roman" w:hint="eastAsia"/>
                <w:color w:val="auto"/>
                <w:kern w:val="2"/>
                <w:sz w:val="24"/>
                <w:szCs w:val="24"/>
                <w:u w:val="none"/>
                <w:lang w:eastAsia="zh-CN"/>
              </w:rPr>
              <w:t>。</w:t>
            </w:r>
            <w:r>
              <w:rPr>
                <w:rFonts w:ascii="Times New Roman" w:cs="Times New Roman" w:hAnsi="Times New Roman" w:hint="eastAsia"/>
                <w:color w:val="auto"/>
                <w:kern w:val="2"/>
                <w:sz w:val="24"/>
                <w:szCs w:val="24"/>
                <w:u w:val="none"/>
              </w:rPr>
              <w:t>查阅《国家危险废物名录》(202</w:t>
            </w:r>
            <w:r>
              <w:rPr>
                <w:rFonts w:ascii="Times New Roman" w:cs="Times New Roman" w:hAnsi="Times New Roman" w:hint="eastAsia"/>
                <w:color w:val="auto"/>
                <w:kern w:val="2"/>
                <w:sz w:val="24"/>
                <w:szCs w:val="24"/>
                <w:u w:val="none"/>
                <w:lang w:val="en-US" w:eastAsia="zh-CN"/>
              </w:rPr>
              <w:t>5</w:t>
            </w:r>
            <w:r>
              <w:rPr>
                <w:rFonts w:ascii="Times New Roman" w:cs="Times New Roman" w:hAnsi="Times New Roman" w:hint="eastAsia"/>
                <w:color w:val="auto"/>
                <w:kern w:val="2"/>
                <w:sz w:val="24"/>
                <w:szCs w:val="24"/>
                <w:u w:val="none"/>
              </w:rPr>
              <w:t>)，废</w:t>
            </w:r>
            <w:r>
              <w:rPr>
                <w:rFonts w:ascii="Times New Roman" w:cs="Times New Roman" w:hAnsi="Times New Roman" w:hint="eastAsia"/>
                <w:color w:val="auto"/>
                <w:kern w:val="2"/>
                <w:sz w:val="24"/>
                <w:szCs w:val="24"/>
                <w:u w:val="none"/>
                <w:lang w:eastAsia="zh-CN"/>
              </w:rPr>
              <w:t>机油</w:t>
            </w:r>
            <w:r>
              <w:rPr>
                <w:rFonts w:ascii="Times New Roman" w:cs="Times New Roman" w:hAnsi="Times New Roman" w:hint="eastAsia"/>
                <w:color w:val="auto"/>
                <w:kern w:val="2"/>
                <w:sz w:val="24"/>
                <w:szCs w:val="24"/>
                <w:u w:val="none"/>
              </w:rPr>
              <w:t>应认定为“HW08废矿物油与含矿物油废物900-249-08其他生产、销售、使用过程产生的废矿物油及含矿物油废物”，属于危险废物</w:t>
            </w:r>
            <w:r>
              <w:rPr>
                <w:rFonts w:ascii="Times New Roman" w:cs="Times New Roman" w:hAnsi="Times New Roman" w:hint="eastAsia"/>
                <w:color w:val="auto"/>
                <w:kern w:val="2"/>
                <w:sz w:val="24"/>
                <w:szCs w:val="24"/>
                <w:u w:val="none"/>
                <w:lang w:eastAsia="zh-CN"/>
              </w:rPr>
              <w:t>，</w:t>
            </w:r>
            <w:r>
              <w:rPr>
                <w:rFonts w:ascii="Times New Roman" w:cs="Times New Roman" w:hAnsi="Times New Roman" w:hint="eastAsia"/>
                <w:color w:val="auto"/>
                <w:kern w:val="2"/>
                <w:sz w:val="24"/>
                <w:szCs w:val="24"/>
                <w:u w:val="none"/>
                <w:lang w:val="en-US" w:eastAsia="zh-CN"/>
              </w:rPr>
              <w:t>委托有资质单位转运</w:t>
            </w:r>
            <w:r>
              <w:rPr>
                <w:rFonts w:ascii="Times New Roman" w:cs="Times New Roman" w:hAnsi="Times New Roman" w:hint="eastAsia"/>
                <w:color w:val="auto"/>
                <w:kern w:val="2"/>
                <w:sz w:val="24"/>
                <w:szCs w:val="24"/>
                <w:u w:val="none"/>
                <w:lang w:eastAsia="zh-CN"/>
              </w:rPr>
              <w:t>；</w:t>
            </w:r>
          </w:p>
          <w:p>
            <w:pPr>
              <w:pStyle w:val="28"/>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bidi w:val="0"/>
              <w:spacing w:line="360" w:lineRule="auto"/>
              <w:ind w:firstLineChars="200" w:firstLine="480"/>
              <w:rPr>
                <w:rFonts w:ascii="Times New Roman" w:cs="Times New Roman" w:hAnsi="Times New Roman" w:hint="eastAsia"/>
                <w:color w:val="auto"/>
                <w:kern w:val="2"/>
                <w:sz w:val="24"/>
                <w:szCs w:val="24"/>
                <w:u w:val="none"/>
                <w:lang w:eastAsia="zh-CN"/>
              </w:rPr>
            </w:pPr>
            <w:r>
              <w:rPr>
                <w:rFonts w:ascii="Times New Roman" w:cs="Times New Roman" w:hAnsi="Times New Roman" w:hint="eastAsia"/>
                <w:color w:val="auto"/>
                <w:kern w:val="2"/>
                <w:sz w:val="24"/>
                <w:szCs w:val="24"/>
                <w:u w:val="none"/>
                <w:lang w:val="en-US" w:eastAsia="zh-CN"/>
              </w:rPr>
              <w:t>废活性炭：项目脱色、脱臭工序的活性炭约1年更换一次，更换量为0.2t/a，废气处置的活性炭1年更换一次，更换量为0.0064×5≈0.032t，</w:t>
            </w:r>
            <w:r>
              <w:rPr>
                <w:rFonts w:ascii="Times New Roman" w:cs="Times New Roman" w:hAnsi="Times New Roman" w:hint="eastAsia"/>
                <w:color w:val="auto"/>
                <w:kern w:val="2"/>
                <w:sz w:val="24"/>
                <w:szCs w:val="24"/>
                <w:u w:val="none"/>
              </w:rPr>
              <w:t>认定为HW</w:t>
            </w:r>
            <w:r>
              <w:rPr>
                <w:rFonts w:ascii="Times New Roman" w:cs="Times New Roman" w:hAnsi="Times New Roman" w:hint="eastAsia"/>
                <w:color w:val="auto"/>
                <w:kern w:val="2"/>
                <w:sz w:val="24"/>
                <w:szCs w:val="24"/>
                <w:u w:val="none"/>
                <w:lang w:val="en-US" w:eastAsia="zh-CN"/>
              </w:rPr>
              <w:t>49 900-039-49</w:t>
            </w:r>
            <w:r>
              <w:rPr>
                <w:rFonts w:ascii="Times New Roman" w:cs="Times New Roman" w:hAnsi="Times New Roman" w:hint="eastAsia"/>
                <w:color w:val="auto"/>
                <w:kern w:val="2"/>
                <w:sz w:val="24"/>
                <w:szCs w:val="24"/>
                <w:u w:val="none"/>
              </w:rPr>
              <w:t>，属于危险废物</w:t>
            </w:r>
            <w:r>
              <w:rPr>
                <w:rFonts w:ascii="Times New Roman" w:cs="Times New Roman" w:hAnsi="Times New Roman" w:hint="eastAsia"/>
                <w:color w:val="auto"/>
                <w:kern w:val="2"/>
                <w:sz w:val="24"/>
                <w:szCs w:val="24"/>
                <w:u w:val="none"/>
                <w:lang w:eastAsia="zh-CN"/>
              </w:rPr>
              <w:t>，</w:t>
            </w:r>
            <w:r>
              <w:rPr>
                <w:rFonts w:ascii="Times New Roman" w:cs="Times New Roman" w:hAnsi="Times New Roman" w:hint="eastAsia"/>
                <w:color w:val="auto"/>
                <w:kern w:val="2"/>
                <w:sz w:val="24"/>
                <w:szCs w:val="24"/>
                <w:u w:val="none"/>
                <w:lang w:val="en-US" w:eastAsia="zh-CN"/>
              </w:rPr>
              <w:t>委托有资质单位转运</w:t>
            </w:r>
            <w:r>
              <w:rPr>
                <w:rFonts w:ascii="Times New Roman" w:cs="Times New Roman" w:hAnsi="Times New Roman" w:hint="eastAsia"/>
                <w:color w:val="auto"/>
                <w:kern w:val="2"/>
                <w:sz w:val="24"/>
                <w:szCs w:val="24"/>
                <w:u w:val="none"/>
                <w:lang w:eastAsia="zh-CN"/>
              </w:rPr>
              <w:t>。</w:t>
            </w:r>
          </w:p>
          <w:p>
            <w:pPr>
              <w:keepNext/>
              <w:keepLines/>
              <w:pageBreakBefore w:val="0"/>
              <w:widowControl w:val="0"/>
              <w:kinsoku/>
              <w:wordWrap/>
              <w:overflowPunct/>
              <w:topLinePunct w:val="0"/>
              <w:autoSpaceDE/>
              <w:autoSpaceDN/>
              <w:bidi w:val="0"/>
              <w:adjustRightInd/>
              <w:snapToGrid/>
              <w:spacing w:line="240" w:lineRule="auto"/>
              <w:jc w:val="center"/>
              <w:textAlignment w:val="auto"/>
              <w:outlineLvl w:val="1"/>
              <w:rPr>
                <w:b/>
                <w:color w:val="auto"/>
                <w:szCs w:val="21"/>
                <w:u w:val="none"/>
              </w:rPr>
            </w:pPr>
            <w:r>
              <w:rPr>
                <w:b/>
                <w:color w:val="auto"/>
                <w:szCs w:val="21"/>
              </w:rPr>
              <w:t>表4-</w:t>
            </w:r>
            <w:r>
              <w:rPr>
                <w:rFonts w:hint="eastAsia"/>
                <w:b/>
                <w:color w:val="auto"/>
                <w:szCs w:val="21"/>
                <w:lang w:val="en-US" w:eastAsia="zh-CN"/>
              </w:rPr>
              <w:t>13</w:t>
            </w:r>
            <w:r>
              <w:rPr>
                <w:rFonts w:hint="eastAsia"/>
                <w:b/>
                <w:color w:val="auto"/>
                <w:szCs w:val="21"/>
              </w:rPr>
              <w:t xml:space="preserve"> 一般固废</w:t>
            </w:r>
            <w:r>
              <w:rPr>
                <w:b/>
                <w:color w:val="auto"/>
                <w:szCs w:val="21"/>
              </w:rPr>
              <w:t>治理情况一览表</w:t>
            </w:r>
          </w:p>
          <w:tbl>
            <w:tblPr>
              <w:jc w:val="left"/>
              <w:tblInd w:w="0" w:type="dx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608"/>
              <w:gridCol w:w="1330"/>
              <w:gridCol w:w="2080"/>
              <w:gridCol w:w="1400"/>
              <w:gridCol w:w="1456"/>
              <w:gridCol w:w="1712"/>
              <w:gridCol w:w="2538"/>
              <w:gridCol w:w="1920"/>
            </w:tblGrid>
            <w:tr>
              <w:trPr>
                <w:trHeight w:val="664"/>
              </w:trPr>
              <w:tc>
                <w:tcPr>
                  <w:tcW w:w="572" w:type="pct"/>
                  <w:vAlign w:val="center"/>
                </w:tcPr>
                <w:p>
                  <w:pPr>
                    <w:pageBreakBefore w:val="0"/>
                    <w:widowControl/>
                    <w:kinsoku/>
                    <w:overflowPunct/>
                    <w:bidi w:val="0"/>
                    <w:adjustRightInd w:val="0"/>
                    <w:snapToGrid w:val="0"/>
                    <w:jc w:val="center"/>
                    <w:rPr>
                      <w:b/>
                      <w:bCs/>
                      <w:color w:val="auto"/>
                      <w:szCs w:val="21"/>
                    </w:rPr>
                  </w:pPr>
                  <w:r>
                    <w:rPr>
                      <w:rFonts w:hint="eastAsia"/>
                      <w:b/>
                      <w:bCs/>
                      <w:color w:val="auto"/>
                      <w:szCs w:val="21"/>
                    </w:rPr>
                    <w:t>固废名称</w:t>
                  </w:r>
                </w:p>
              </w:tc>
              <w:tc>
                <w:tcPr>
                  <w:tcW w:w="473" w:type="pct"/>
                  <w:vAlign w:val="center"/>
                </w:tcPr>
                <w:p>
                  <w:pPr>
                    <w:pageBreakBefore w:val="0"/>
                    <w:widowControl/>
                    <w:kinsoku/>
                    <w:overflowPunct/>
                    <w:bidi w:val="0"/>
                    <w:adjustRightInd w:val="0"/>
                    <w:snapToGrid w:val="0"/>
                    <w:jc w:val="center"/>
                    <w:rPr>
                      <w:b/>
                      <w:bCs/>
                      <w:color w:val="auto"/>
                      <w:szCs w:val="21"/>
                    </w:rPr>
                  </w:pPr>
                  <w:r>
                    <w:rPr>
                      <w:b/>
                      <w:bCs/>
                      <w:color w:val="auto"/>
                      <w:szCs w:val="21"/>
                    </w:rPr>
                    <w:t>产污环节</w:t>
                  </w:r>
                </w:p>
              </w:tc>
              <w:tc>
                <w:tcPr>
                  <w:tcW w:w="740" w:type="pct"/>
                  <w:vAlign w:val="center"/>
                </w:tcPr>
                <w:p>
                  <w:pPr>
                    <w:pageBreakBefore w:val="0"/>
                    <w:widowControl/>
                    <w:kinsoku/>
                    <w:overflowPunct/>
                    <w:bidi w:val="0"/>
                    <w:adjustRightInd w:val="0"/>
                    <w:snapToGrid w:val="0"/>
                    <w:jc w:val="center"/>
                    <w:rPr>
                      <w:b/>
                      <w:bCs/>
                      <w:color w:val="auto"/>
                      <w:szCs w:val="21"/>
                    </w:rPr>
                  </w:pPr>
                  <w:r>
                    <w:rPr>
                      <w:rFonts w:hint="eastAsia"/>
                      <w:b/>
                      <w:bCs/>
                      <w:color w:val="auto"/>
                      <w:szCs w:val="21"/>
                    </w:rPr>
                    <w:t>性质</w:t>
                  </w:r>
                </w:p>
              </w:tc>
              <w:tc>
                <w:tcPr>
                  <w:tcW w:w="498" w:type="pct"/>
                  <w:vAlign w:val="center"/>
                </w:tcPr>
                <w:p>
                  <w:pPr>
                    <w:pageBreakBefore w:val="0"/>
                    <w:widowControl/>
                    <w:kinsoku/>
                    <w:overflowPunct/>
                    <w:bidi w:val="0"/>
                    <w:adjustRightInd w:val="0"/>
                    <w:snapToGrid w:val="0"/>
                    <w:jc w:val="center"/>
                    <w:rPr>
                      <w:rFonts w:hint="eastAsia"/>
                      <w:b/>
                      <w:bCs/>
                      <w:color w:val="auto"/>
                      <w:szCs w:val="21"/>
                    </w:rPr>
                  </w:pPr>
                  <w:r>
                    <w:rPr>
                      <w:rFonts w:hint="eastAsia"/>
                      <w:b/>
                      <w:bCs/>
                      <w:color w:val="auto"/>
                      <w:szCs w:val="21"/>
                    </w:rPr>
                    <w:t>产生量</w:t>
                  </w:r>
                  <w:r>
                    <w:rPr>
                      <w:rFonts w:hint="eastAsia"/>
                      <w:color w:val="auto"/>
                      <w:szCs w:val="21"/>
                    </w:rPr>
                    <w:t>t/a</w:t>
                  </w:r>
                </w:p>
              </w:tc>
              <w:tc>
                <w:tcPr>
                  <w:tcW w:w="518" w:type="pct"/>
                  <w:vAlign w:val="center"/>
                </w:tcPr>
                <w:p>
                  <w:pPr>
                    <w:pageBreakBefore w:val="0"/>
                    <w:widowControl/>
                    <w:kinsoku/>
                    <w:overflowPunct/>
                    <w:bidi w:val="0"/>
                    <w:adjustRightInd w:val="0"/>
                    <w:snapToGrid w:val="0"/>
                    <w:jc w:val="center"/>
                    <w:rPr>
                      <w:b/>
                      <w:bCs/>
                      <w:color w:val="auto"/>
                      <w:szCs w:val="21"/>
                    </w:rPr>
                  </w:pPr>
                  <w:r>
                    <w:rPr>
                      <w:rFonts w:hint="eastAsia"/>
                      <w:b/>
                      <w:bCs/>
                      <w:color w:val="auto"/>
                      <w:szCs w:val="21"/>
                    </w:rPr>
                    <w:t>形态</w:t>
                  </w:r>
                </w:p>
              </w:tc>
              <w:tc>
                <w:tcPr>
                  <w:tcW w:w="609" w:type="pct"/>
                  <w:vAlign w:val="center"/>
                </w:tcPr>
                <w:p>
                  <w:pPr>
                    <w:pageBreakBefore w:val="0"/>
                    <w:widowControl/>
                    <w:kinsoku/>
                    <w:overflowPunct/>
                    <w:bidi w:val="0"/>
                    <w:adjustRightInd w:val="0"/>
                    <w:snapToGrid w:val="0"/>
                    <w:jc w:val="center"/>
                    <w:rPr>
                      <w:rFonts w:hint="eastAsia"/>
                      <w:b/>
                      <w:bCs/>
                      <w:color w:val="auto"/>
                      <w:szCs w:val="21"/>
                    </w:rPr>
                  </w:pPr>
                  <w:r>
                    <w:rPr>
                      <w:rFonts w:hint="eastAsia"/>
                      <w:b/>
                      <w:bCs/>
                      <w:color w:val="auto"/>
                      <w:szCs w:val="21"/>
                    </w:rPr>
                    <w:t>暂存场所</w:t>
                  </w:r>
                </w:p>
              </w:tc>
              <w:tc>
                <w:tcPr>
                  <w:tcW w:w="903" w:type="pct"/>
                  <w:vAlign w:val="center"/>
                </w:tcPr>
                <w:p>
                  <w:pPr>
                    <w:pageBreakBefore w:val="0"/>
                    <w:widowControl/>
                    <w:kinsoku/>
                    <w:overflowPunct/>
                    <w:bidi w:val="0"/>
                    <w:adjustRightInd w:val="0"/>
                    <w:snapToGrid w:val="0"/>
                    <w:jc w:val="center"/>
                    <w:rPr>
                      <w:b/>
                      <w:bCs/>
                      <w:color w:val="auto"/>
                      <w:szCs w:val="21"/>
                    </w:rPr>
                  </w:pPr>
                  <w:r>
                    <w:rPr>
                      <w:b/>
                      <w:bCs/>
                      <w:color w:val="auto"/>
                      <w:szCs w:val="21"/>
                    </w:rPr>
                    <w:t>治理措施</w:t>
                  </w:r>
                </w:p>
              </w:tc>
              <w:tc>
                <w:tcPr>
                  <w:tcW w:w="683" w:type="pct"/>
                  <w:vAlign w:val="center"/>
                </w:tcPr>
                <w:p>
                  <w:pPr>
                    <w:pageBreakBefore w:val="0"/>
                    <w:widowControl/>
                    <w:kinsoku/>
                    <w:overflowPunct/>
                    <w:bidi w:val="0"/>
                    <w:adjustRightInd w:val="0"/>
                    <w:snapToGrid w:val="0"/>
                    <w:jc w:val="center"/>
                    <w:rPr>
                      <w:b/>
                      <w:bCs/>
                      <w:color w:val="auto"/>
                      <w:szCs w:val="21"/>
                    </w:rPr>
                  </w:pPr>
                  <w:r>
                    <w:rPr>
                      <w:rFonts w:hint="eastAsia"/>
                      <w:b/>
                      <w:bCs/>
                      <w:color w:val="auto"/>
                      <w:szCs w:val="21"/>
                    </w:rPr>
                    <w:t>处置量</w:t>
                  </w:r>
                </w:p>
              </w:tc>
            </w:tr>
            <w:tr>
              <w:trPr>
                <w:trHeight w:val="664"/>
              </w:trPr>
              <w:tc>
                <w:tcPr>
                  <w:tcW w:w="572" w:type="pct"/>
                  <w:vAlign w:val="center"/>
                </w:tcPr>
                <w:p>
                  <w:pPr>
                    <w:pageBreakBefore w:val="0"/>
                    <w:widowControl/>
                    <w:kinsoku/>
                    <w:overflowPunct/>
                    <w:bidi w:val="0"/>
                    <w:adjustRightInd w:val="0"/>
                    <w:snapToGrid w:val="0"/>
                    <w:jc w:val="center"/>
                    <w:rPr>
                      <w:rFonts w:eastAsia="宋体"/>
                      <w:color w:val="auto"/>
                      <w:szCs w:val="21"/>
                      <w:lang w:val="en-US" w:eastAsia="zh-CN"/>
                    </w:rPr>
                  </w:pPr>
                  <w:r>
                    <w:rPr>
                      <w:rFonts w:hint="eastAsia"/>
                      <w:color w:val="auto"/>
                      <w:szCs w:val="21"/>
                      <w:lang w:val="en-US" w:eastAsia="zh-CN"/>
                    </w:rPr>
                    <w:t>茶壳</w:t>
                  </w:r>
                </w:p>
              </w:tc>
              <w:tc>
                <w:tcPr>
                  <w:tcW w:w="47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剥壳</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rPr>
                  </w:pPr>
                  <w:r>
                    <w:rPr>
                      <w:rFonts w:hint="eastAsia"/>
                      <w:color w:val="auto"/>
                      <w:szCs w:val="21"/>
                      <w:lang w:val="en-US" w:eastAsia="zh-CN"/>
                    </w:rPr>
                    <w:t>334</w:t>
                  </w:r>
                </w:p>
              </w:tc>
              <w:tc>
                <w:tcPr>
                  <w:tcW w:w="518"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固体</w:t>
                  </w:r>
                </w:p>
              </w:tc>
              <w:tc>
                <w:tcPr>
                  <w:tcW w:w="609" w:type="pct"/>
                  <w:vAlign w:val="center"/>
                </w:tcPr>
                <w:p>
                  <w:pPr>
                    <w:pageBreakBefore w:val="0"/>
                    <w:widowControl/>
                    <w:kinsoku/>
                    <w:overflowPunct/>
                    <w:bidi w:val="0"/>
                    <w:adjustRightInd w:val="0"/>
                    <w:snapToGrid w:val="0"/>
                    <w:jc w:val="center"/>
                    <w:rPr>
                      <w:rFonts w:eastAsia="宋体"/>
                      <w:color w:val="auto"/>
                      <w:szCs w:val="21"/>
                      <w:lang w:val="en-US" w:eastAsia="zh-CN"/>
                    </w:rPr>
                  </w:pPr>
                  <w:r>
                    <w:rPr>
                      <w:rFonts w:hint="eastAsia"/>
                      <w:color w:val="auto"/>
                      <w:szCs w:val="21"/>
                      <w:lang w:val="en-US" w:eastAsia="zh-CN"/>
                    </w:rPr>
                    <w:t>原料车间</w:t>
                  </w:r>
                </w:p>
              </w:tc>
              <w:tc>
                <w:tcPr>
                  <w:tcW w:w="903" w:type="pct"/>
                  <w:vAlign w:val="center"/>
                </w:tcPr>
                <w:p>
                  <w:pPr>
                    <w:pageBreakBefore w:val="0"/>
                    <w:widowControl/>
                    <w:kinsoku/>
                    <w:overflowPunct/>
                    <w:bidi w:val="0"/>
                    <w:adjustRightInd w:val="0"/>
                    <w:snapToGrid w:val="0"/>
                    <w:jc w:val="center"/>
                    <w:rPr>
                      <w:rFonts w:hint="eastAsia"/>
                      <w:color w:val="auto"/>
                      <w:szCs w:val="21"/>
                      <w:lang w:eastAsia="zh-CN"/>
                    </w:rPr>
                  </w:pPr>
                  <w:r>
                    <w:rPr>
                      <w:rFonts w:hint="eastAsia"/>
                      <w:color w:val="auto"/>
                      <w:szCs w:val="21"/>
                      <w:lang w:val="en-US" w:eastAsia="zh-CN"/>
                    </w:rPr>
                    <w:t>外售</w:t>
                  </w:r>
                </w:p>
              </w:tc>
              <w:tc>
                <w:tcPr>
                  <w:tcW w:w="68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lang w:val="en-US" w:eastAsia="zh-CN"/>
                    </w:rPr>
                    <w:t>334</w:t>
                  </w:r>
                </w:p>
              </w:tc>
            </w:tr>
            <w:tr>
              <w:trPr>
                <w:trHeight w:val="664"/>
              </w:trPr>
              <w:tc>
                <w:tcPr>
                  <w:tcW w:w="572" w:type="pct"/>
                  <w:vAlign w:val="center"/>
                </w:tcPr>
                <w:p>
                  <w:pPr>
                    <w:pageBreakBefore w:val="0"/>
                    <w:widowControl/>
                    <w:kinsoku/>
                    <w:overflowPunct/>
                    <w:bidi w:val="0"/>
                    <w:adjustRightInd w:val="0"/>
                    <w:snapToGrid w:val="0"/>
                    <w:jc w:val="center"/>
                    <w:rPr>
                      <w:rFonts w:eastAsia="宋体"/>
                      <w:color w:val="auto"/>
                      <w:szCs w:val="21"/>
                      <w:lang w:val="en-US" w:eastAsia="zh-CN"/>
                    </w:rPr>
                  </w:pPr>
                  <w:r>
                    <w:rPr>
                      <w:rFonts w:hint="eastAsia"/>
                      <w:color w:val="auto"/>
                      <w:szCs w:val="21"/>
                      <w:lang w:val="en-US" w:eastAsia="zh-CN"/>
                    </w:rPr>
                    <w:t>茶枯、滤渣</w:t>
                  </w:r>
                </w:p>
              </w:tc>
              <w:tc>
                <w:tcPr>
                  <w:tcW w:w="47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压榨、过滤</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400</w:t>
                  </w:r>
                </w:p>
              </w:tc>
              <w:tc>
                <w:tcPr>
                  <w:tcW w:w="518"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固体</w:t>
                  </w:r>
                </w:p>
              </w:tc>
              <w:tc>
                <w:tcPr>
                  <w:tcW w:w="609"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原料车间</w:t>
                  </w:r>
                </w:p>
              </w:tc>
              <w:tc>
                <w:tcPr>
                  <w:tcW w:w="903" w:type="pct"/>
                  <w:vAlign w:val="center"/>
                </w:tcPr>
                <w:p>
                  <w:pPr>
                    <w:pageBreakBefore w:val="0"/>
                    <w:widowControl/>
                    <w:kinsoku/>
                    <w:overflowPunct/>
                    <w:bidi w:val="0"/>
                    <w:adjustRightInd w:val="0"/>
                    <w:snapToGrid w:val="0"/>
                    <w:jc w:val="center"/>
                    <w:rPr>
                      <w:rFonts w:hint="eastAsia"/>
                      <w:color w:val="auto"/>
                      <w:szCs w:val="21"/>
                      <w:lang w:eastAsia="zh-CN"/>
                    </w:rPr>
                  </w:pPr>
                  <w:r>
                    <w:rPr>
                      <w:rFonts w:hint="eastAsia"/>
                      <w:color w:val="auto"/>
                      <w:szCs w:val="21"/>
                      <w:lang w:val="en-US" w:eastAsia="zh-CN"/>
                    </w:rPr>
                    <w:t>外售</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400</w:t>
                  </w:r>
                </w:p>
              </w:tc>
            </w:tr>
            <w:tr>
              <w:trPr>
                <w:trHeight w:val="664"/>
              </w:trPr>
              <w:tc>
                <w:tcPr>
                  <w:tcW w:w="572" w:type="pct"/>
                  <w:vAlign w:val="center"/>
                </w:tcPr>
                <w:p>
                  <w:pPr>
                    <w:pageBreakBefore w:val="0"/>
                    <w:widowControl/>
                    <w:kinsoku/>
                    <w:overflowPunct/>
                    <w:bidi w:val="0"/>
                    <w:adjustRightInd w:val="0"/>
                    <w:snapToGrid w:val="0"/>
                    <w:jc w:val="center"/>
                    <w:rPr>
                      <w:rFonts w:eastAsia="宋体"/>
                      <w:color w:val="auto"/>
                      <w:szCs w:val="21"/>
                      <w:lang w:val="en-US" w:eastAsia="zh-CN"/>
                    </w:rPr>
                  </w:pPr>
                  <w:r>
                    <w:rPr>
                      <w:rFonts w:hint="eastAsia"/>
                      <w:color w:val="auto"/>
                      <w:szCs w:val="21"/>
                      <w:lang w:val="en-US" w:eastAsia="zh-CN"/>
                    </w:rPr>
                    <w:t>皂角</w:t>
                  </w:r>
                </w:p>
              </w:tc>
              <w:tc>
                <w:tcPr>
                  <w:tcW w:w="473" w:type="pct"/>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szCs w:val="21"/>
                    </w:rPr>
                  </w:pPr>
                  <w:r>
                    <w:rPr>
                      <w:rFonts w:ascii="Times New Roman" w:eastAsia="宋体" w:cs="Times New Roman" w:hAnsi="Times New Roman" w:hint="eastAsia"/>
                      <w:color w:val="auto"/>
                      <w:szCs w:val="21"/>
                      <w:lang w:val="en-US" w:eastAsia="zh-CN"/>
                    </w:rPr>
                    <w:t>脱酸/脱胶</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11.025</w:t>
                  </w:r>
                </w:p>
              </w:tc>
              <w:tc>
                <w:tcPr>
                  <w:tcW w:w="518" w:type="pct"/>
                  <w:vAlign w:val="center"/>
                </w:tcPr>
                <w:p>
                  <w:pPr>
                    <w:pageBreakBefore w:val="0"/>
                    <w:widowControl/>
                    <w:kinsoku/>
                    <w:overflowPunct/>
                    <w:bidi w:val="0"/>
                    <w:adjustRightInd w:val="0"/>
                    <w:snapToGrid w:val="0"/>
                    <w:jc w:val="center"/>
                    <w:rPr>
                      <w:rFonts w:eastAsia="宋体"/>
                      <w:color w:val="auto"/>
                      <w:szCs w:val="21"/>
                      <w:lang w:val="en-US" w:eastAsia="zh-CN"/>
                    </w:rPr>
                  </w:pPr>
                  <w:r>
                    <w:rPr>
                      <w:rFonts w:hint="eastAsia"/>
                      <w:color w:val="auto"/>
                      <w:szCs w:val="21"/>
                      <w:lang w:val="en-US" w:eastAsia="zh-CN"/>
                    </w:rPr>
                    <w:t>固态/半固态</w:t>
                  </w:r>
                </w:p>
              </w:tc>
              <w:tc>
                <w:tcPr>
                  <w:tcW w:w="609"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暂存处</w:t>
                  </w:r>
                </w:p>
              </w:tc>
              <w:tc>
                <w:tcPr>
                  <w:tcW w:w="903" w:type="pct"/>
                  <w:vAlign w:val="center"/>
                </w:tcPr>
                <w:p>
                  <w:pPr>
                    <w:pageBreakBefore w:val="0"/>
                    <w:widowControl/>
                    <w:kinsoku/>
                    <w:overflowPunct/>
                    <w:bidi w:val="0"/>
                    <w:adjustRightInd w:val="0"/>
                    <w:snapToGrid w:val="0"/>
                    <w:jc w:val="center"/>
                    <w:rPr>
                      <w:rFonts w:hint="eastAsia"/>
                      <w:color w:val="auto"/>
                      <w:szCs w:val="21"/>
                      <w:lang w:eastAsia="zh-CN"/>
                    </w:rPr>
                  </w:pPr>
                  <w:r>
                    <w:rPr>
                      <w:rFonts w:hint="eastAsia"/>
                      <w:color w:val="auto"/>
                      <w:szCs w:val="21"/>
                      <w:lang w:val="en-US" w:eastAsia="zh-CN"/>
                    </w:rPr>
                    <w:t>外售</w:t>
                  </w:r>
                </w:p>
              </w:tc>
              <w:tc>
                <w:tcPr>
                  <w:tcW w:w="683"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11.025</w:t>
                  </w:r>
                </w:p>
              </w:tc>
            </w:tr>
            <w:tr>
              <w:trPr>
                <w:trHeight w:val="664"/>
              </w:trPr>
              <w:tc>
                <w:tcPr>
                  <w:tcW w:w="572" w:type="pct"/>
                  <w:vAlign w:val="center"/>
                </w:tcPr>
                <w:p>
                  <w:pPr>
                    <w:pageBreakBefore w:val="0"/>
                    <w:widowControl/>
                    <w:kinsoku/>
                    <w:overflowPunct/>
                    <w:bidi w:val="0"/>
                    <w:adjustRightInd w:val="0"/>
                    <w:snapToGrid w:val="0"/>
                    <w:jc w:val="center"/>
                    <w:rPr>
                      <w:rFonts w:hint="eastAsia"/>
                      <w:color w:val="auto"/>
                      <w:szCs w:val="21"/>
                    </w:rPr>
                  </w:pPr>
                  <w:r>
                    <w:rPr>
                      <w:rFonts w:ascii="Times New Roman" w:eastAsia="宋体" w:cs="Times New Roman" w:hAnsi="Times New Roman" w:hint="eastAsia"/>
                      <w:color w:val="auto"/>
                      <w:szCs w:val="21"/>
                      <w:lang w:val="en-US" w:eastAsia="zh-CN"/>
                    </w:rPr>
                    <w:t>污泥</w:t>
                  </w:r>
                </w:p>
              </w:tc>
              <w:tc>
                <w:tcPr>
                  <w:tcW w:w="473" w:type="pct"/>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szCs w:val="21"/>
                    </w:rPr>
                  </w:pPr>
                  <w:r>
                    <w:rPr>
                      <w:rFonts w:ascii="Times New Roman" w:eastAsia="宋体" w:cs="Times New Roman" w:hAnsi="Times New Roman" w:hint="eastAsia"/>
                      <w:color w:val="auto"/>
                      <w:szCs w:val="21"/>
                      <w:lang w:val="en-US" w:eastAsia="zh-CN"/>
                    </w:rPr>
                    <w:t>污水设施</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0.069</w:t>
                  </w:r>
                </w:p>
              </w:tc>
              <w:tc>
                <w:tcPr>
                  <w:tcW w:w="518"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lang w:val="en-US" w:eastAsia="zh-CN"/>
                    </w:rPr>
                    <w:t>固态/半固态</w:t>
                  </w:r>
                </w:p>
              </w:tc>
              <w:tc>
                <w:tcPr>
                  <w:tcW w:w="609"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暂存处</w:t>
                  </w:r>
                </w:p>
              </w:tc>
              <w:tc>
                <w:tcPr>
                  <w:tcW w:w="903"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外运填埋</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0.069</w:t>
                  </w:r>
                </w:p>
              </w:tc>
            </w:tr>
            <w:tr>
              <w:trPr>
                <w:trHeight w:val="664"/>
              </w:trPr>
              <w:tc>
                <w:tcPr>
                  <w:tcW w:w="572" w:type="pct"/>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废包装桶</w:t>
                  </w:r>
                </w:p>
              </w:tc>
              <w:tc>
                <w:tcPr>
                  <w:tcW w:w="473" w:type="pct"/>
                  <w:vAlign w:val="center"/>
                </w:tcPr>
                <w:p>
                  <w:pPr>
                    <w:pageBreakBefore w:val="0"/>
                    <w:widowControl/>
                    <w:kinsoku/>
                    <w:overflowPunct/>
                    <w:bidi w:val="0"/>
                    <w:adjustRightInd w:val="0"/>
                    <w:snapToGrid w:val="0"/>
                    <w:jc w:val="center"/>
                    <w:rPr>
                      <w:rFonts w:ascii="Times New Roman" w:eastAsia="宋体" w:cs="Times New Roman" w:hAnsi="Times New Roman"/>
                      <w:color w:val="auto"/>
                      <w:szCs w:val="21"/>
                      <w:lang w:val="en-US" w:eastAsia="zh-CN"/>
                    </w:rPr>
                  </w:pPr>
                  <w:r>
                    <w:rPr>
                      <w:rFonts w:cs="Times New Roman" w:hint="eastAsia"/>
                      <w:color w:val="auto"/>
                      <w:szCs w:val="21"/>
                      <w:lang w:val="en-US" w:eastAsia="zh-CN"/>
                    </w:rPr>
                    <w:t>灌装</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0.0002</w:t>
                  </w:r>
                </w:p>
              </w:tc>
              <w:tc>
                <w:tcPr>
                  <w:tcW w:w="518"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固态</w:t>
                  </w:r>
                </w:p>
              </w:tc>
              <w:tc>
                <w:tcPr>
                  <w:tcW w:w="609"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暂存处</w:t>
                  </w:r>
                </w:p>
              </w:tc>
              <w:tc>
                <w:tcPr>
                  <w:tcW w:w="90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外售</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0.0002</w:t>
                  </w:r>
                </w:p>
              </w:tc>
            </w:tr>
            <w:tr>
              <w:trPr>
                <w:trHeight w:val="664"/>
              </w:trPr>
              <w:tc>
                <w:tcPr>
                  <w:tcW w:w="572" w:type="pct"/>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废布袋</w:t>
                  </w:r>
                </w:p>
              </w:tc>
              <w:tc>
                <w:tcPr>
                  <w:tcW w:w="473" w:type="pct"/>
                  <w:vAlign w:val="center"/>
                </w:tcPr>
                <w:p>
                  <w:pPr>
                    <w:pageBreakBefore w:val="0"/>
                    <w:widowControl/>
                    <w:kinsoku/>
                    <w:overflowPunct/>
                    <w:bidi w:val="0"/>
                    <w:adjustRightInd w:val="0"/>
                    <w:snapToGrid w:val="0"/>
                    <w:jc w:val="center"/>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val="en-US" w:eastAsia="zh-CN"/>
                    </w:rPr>
                    <w:t>废气处理</w:t>
                  </w:r>
                </w:p>
              </w:tc>
              <w:tc>
                <w:tcPr>
                  <w:tcW w:w="740"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0.01/次</w:t>
                  </w:r>
                </w:p>
              </w:tc>
              <w:tc>
                <w:tcPr>
                  <w:tcW w:w="518"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lang w:val="en-US" w:eastAsia="zh-CN"/>
                    </w:rPr>
                    <w:t>固态</w:t>
                  </w:r>
                </w:p>
              </w:tc>
              <w:tc>
                <w:tcPr>
                  <w:tcW w:w="609"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lang w:val="en-US" w:eastAsia="zh-CN"/>
                    </w:rPr>
                    <w:t>暂存处</w:t>
                  </w:r>
                </w:p>
              </w:tc>
              <w:tc>
                <w:tcPr>
                  <w:tcW w:w="903"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lang w:val="en-US" w:eastAsia="zh-CN"/>
                    </w:rPr>
                    <w:t>外售</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0.01/次</w:t>
                  </w:r>
                </w:p>
              </w:tc>
            </w:tr>
            <w:tr>
              <w:trPr>
                <w:trHeight w:val="664"/>
              </w:trPr>
              <w:tc>
                <w:tcPr>
                  <w:tcW w:w="572" w:type="pct"/>
                  <w:vAlign w:val="center"/>
                </w:tcPr>
                <w:p>
                  <w:pPr>
                    <w:pageBreakBefore w:val="0"/>
                    <w:widowControl/>
                    <w:kinsoku/>
                    <w:overflowPunct/>
                    <w:bidi w:val="0"/>
                    <w:adjustRightInd w:val="0"/>
                    <w:snapToGrid w:val="0"/>
                    <w:jc w:val="center"/>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val="en-US" w:eastAsia="zh-CN"/>
                    </w:rPr>
                    <w:t>除尘灰</w:t>
                  </w:r>
                </w:p>
              </w:tc>
              <w:tc>
                <w:tcPr>
                  <w:tcW w:w="473"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szCs w:val="21"/>
                      <w:lang w:val="en-US" w:eastAsia="zh-CN"/>
                    </w:rPr>
                    <w:t>废气处理</w:t>
                  </w:r>
                </w:p>
              </w:tc>
              <w:tc>
                <w:tcPr>
                  <w:tcW w:w="740"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0.399</w:t>
                  </w:r>
                </w:p>
              </w:tc>
              <w:tc>
                <w:tcPr>
                  <w:tcW w:w="518" w:type="pct"/>
                  <w:shd w:val="clear" w:color="auto" w:fill="auto"/>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固态</w:t>
                  </w:r>
                </w:p>
              </w:tc>
              <w:tc>
                <w:tcPr>
                  <w:tcW w:w="609"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rPr>
                    <w:t>垃圾桶</w:t>
                  </w:r>
                </w:p>
              </w:tc>
              <w:tc>
                <w:tcPr>
                  <w:tcW w:w="903"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rPr>
                    <w:t>交由环卫部门清运</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0.399</w:t>
                  </w:r>
                </w:p>
              </w:tc>
            </w:tr>
            <w:tr>
              <w:trPr>
                <w:trHeight w:val="664"/>
              </w:trPr>
              <w:tc>
                <w:tcPr>
                  <w:tcW w:w="572" w:type="pct"/>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szCs w:val="21"/>
                      <w:lang w:val="en-US" w:eastAsia="zh-CN"/>
                    </w:rPr>
                  </w:pPr>
                  <w:r>
                    <w:rPr>
                      <w:rFonts w:ascii="Times New Roman" w:eastAsia="宋体" w:cs="Times New Roman" w:hAnsi="Times New Roman" w:hint="eastAsia"/>
                      <w:color w:val="auto"/>
                      <w:szCs w:val="21"/>
                      <w:lang w:val="en-US" w:eastAsia="zh-CN"/>
                    </w:rPr>
                    <w:t>检验废物</w:t>
                  </w:r>
                </w:p>
              </w:tc>
              <w:tc>
                <w:tcPr>
                  <w:tcW w:w="473"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color w:val="auto"/>
                      <w:szCs w:val="21"/>
                      <w:lang w:val="en-US" w:eastAsia="zh-CN"/>
                    </w:rPr>
                  </w:pPr>
                  <w:r>
                    <w:rPr>
                      <w:rFonts w:ascii="Times New Roman" w:eastAsia="宋体" w:cs="Times New Roman" w:hAnsi="Times New Roman" w:hint="eastAsia"/>
                      <w:color w:val="auto"/>
                      <w:szCs w:val="21"/>
                      <w:lang w:val="en-US" w:eastAsia="zh-CN"/>
                    </w:rPr>
                    <w:t>检验</w:t>
                  </w:r>
                </w:p>
              </w:tc>
              <w:tc>
                <w:tcPr>
                  <w:tcW w:w="740" w:type="pct"/>
                  <w:shd w:val="clear" w:color="auto" w:fill="auto"/>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一般工业固废</w:t>
                  </w:r>
                </w:p>
              </w:tc>
              <w:tc>
                <w:tcPr>
                  <w:tcW w:w="498" w:type="pct"/>
                  <w:vAlign w:val="center"/>
                </w:tcPr>
                <w:p>
                  <w:pPr>
                    <w:pageBreakBefore w:val="0"/>
                    <w:widowControl/>
                    <w:kinsoku/>
                    <w:overflowPunct/>
                    <w:bidi w:val="0"/>
                    <w:adjustRightInd w:val="0"/>
                    <w:snapToGrid w:val="0"/>
                    <w:jc w:val="center"/>
                    <w:rPr>
                      <w:color w:val="auto"/>
                      <w:szCs w:val="21"/>
                      <w:lang w:val="en-US" w:eastAsia="zh-CN"/>
                    </w:rPr>
                  </w:pPr>
                  <w:r>
                    <w:rPr>
                      <w:rFonts w:hint="eastAsia"/>
                      <w:color w:val="auto"/>
                      <w:szCs w:val="21"/>
                      <w:lang w:val="en-US" w:eastAsia="zh-CN"/>
                    </w:rPr>
                    <w:t>0.5kg</w:t>
                  </w:r>
                </w:p>
              </w:tc>
              <w:tc>
                <w:tcPr>
                  <w:tcW w:w="518"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lang w:val="en-US" w:eastAsia="zh-CN"/>
                    </w:rPr>
                    <w:t>固态</w:t>
                  </w:r>
                </w:p>
              </w:tc>
              <w:tc>
                <w:tcPr>
                  <w:tcW w:w="609"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rPr>
                    <w:t>垃圾桶</w:t>
                  </w:r>
                </w:p>
              </w:tc>
              <w:tc>
                <w:tcPr>
                  <w:tcW w:w="903" w:type="pct"/>
                  <w:shd w:val="clear" w:color="auto" w:fill="auto"/>
                  <w:vAlign w:val="center"/>
                </w:tcPr>
                <w:p>
                  <w:pPr>
                    <w:pageBreakBefore w:val="0"/>
                    <w:widowControl/>
                    <w:kinsoku/>
                    <w:overflowPunct/>
                    <w:bidi w:val="0"/>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Cs w:val="21"/>
                    </w:rPr>
                    <w:t>交由环卫部门清运</w:t>
                  </w:r>
                </w:p>
              </w:tc>
              <w:tc>
                <w:tcPr>
                  <w:tcW w:w="683" w:type="pct"/>
                  <w:vAlign w:val="center"/>
                </w:tcPr>
                <w:p>
                  <w:pPr>
                    <w:pageBreakBefore w:val="0"/>
                    <w:widowControl/>
                    <w:kinsoku/>
                    <w:overflowPunct/>
                    <w:bidi w:val="0"/>
                    <w:adjustRightInd w:val="0"/>
                    <w:snapToGrid w:val="0"/>
                    <w:jc w:val="center"/>
                    <w:rPr>
                      <w:rFonts w:hint="eastAsia"/>
                      <w:color w:val="auto"/>
                      <w:szCs w:val="21"/>
                      <w:lang w:val="en-US" w:eastAsia="zh-CN"/>
                    </w:rPr>
                  </w:pPr>
                  <w:r>
                    <w:rPr>
                      <w:rFonts w:hint="eastAsia"/>
                      <w:color w:val="auto"/>
                      <w:szCs w:val="21"/>
                      <w:lang w:val="en-US" w:eastAsia="zh-CN"/>
                    </w:rPr>
                    <w:t>0.5kg</w:t>
                  </w:r>
                </w:p>
              </w:tc>
            </w:tr>
            <w:tr>
              <w:trPr>
                <w:trHeight w:val="769"/>
              </w:trPr>
              <w:tc>
                <w:tcPr>
                  <w:tcW w:w="572" w:type="pct"/>
                  <w:vAlign w:val="center"/>
                </w:tcPr>
                <w:p>
                  <w:pPr>
                    <w:pageBreakBefore w:val="0"/>
                    <w:widowControl/>
                    <w:kinsoku/>
                    <w:overflowPunct/>
                    <w:bidi w:val="0"/>
                    <w:adjustRightInd w:val="0"/>
                    <w:snapToGrid w:val="0"/>
                    <w:jc w:val="center"/>
                    <w:rPr>
                      <w:color w:val="auto"/>
                      <w:szCs w:val="21"/>
                    </w:rPr>
                  </w:pPr>
                  <w:r>
                    <w:rPr>
                      <w:rFonts w:ascii="宋体" w:hAnsi="宋体" w:hint="eastAsia"/>
                      <w:color w:val="auto"/>
                      <w:szCs w:val="21"/>
                    </w:rPr>
                    <w:t>员工生活垃圾</w:t>
                  </w:r>
                </w:p>
              </w:tc>
              <w:tc>
                <w:tcPr>
                  <w:tcW w:w="47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职工生活</w:t>
                  </w:r>
                </w:p>
              </w:tc>
              <w:tc>
                <w:tcPr>
                  <w:tcW w:w="740" w:type="pct"/>
                  <w:vAlign w:val="center"/>
                </w:tcPr>
                <w:p>
                  <w:pPr>
                    <w:pageBreakBefore w:val="0"/>
                    <w:widowControl/>
                    <w:kinsoku/>
                    <w:overflowPunct/>
                    <w:bidi w:val="0"/>
                    <w:adjustRightInd w:val="0"/>
                    <w:snapToGrid w:val="0"/>
                    <w:jc w:val="center"/>
                    <w:rPr>
                      <w:color w:val="auto"/>
                      <w:szCs w:val="21"/>
                    </w:rPr>
                  </w:pPr>
                  <w:r>
                    <w:rPr>
                      <w:rFonts w:hint="eastAsia"/>
                      <w:color w:val="auto"/>
                      <w:szCs w:val="21"/>
                    </w:rPr>
                    <w:t>/</w:t>
                  </w:r>
                </w:p>
              </w:tc>
              <w:tc>
                <w:tcPr>
                  <w:tcW w:w="498" w:type="pct"/>
                  <w:vAlign w:val="center"/>
                </w:tcPr>
                <w:p>
                  <w:pPr>
                    <w:pageBreakBefore w:val="0"/>
                    <w:widowControl/>
                    <w:kinsoku/>
                    <w:overflowPunct/>
                    <w:bidi w:val="0"/>
                    <w:adjustRightInd w:val="0"/>
                    <w:snapToGrid w:val="0"/>
                    <w:jc w:val="center"/>
                    <w:rPr>
                      <w:color w:val="auto"/>
                      <w:szCs w:val="21"/>
                    </w:rPr>
                  </w:pPr>
                  <w:r>
                    <w:rPr>
                      <w:rFonts w:hint="eastAsia"/>
                      <w:color w:val="auto"/>
                      <w:szCs w:val="21"/>
                      <w:lang w:val="en-US" w:eastAsia="zh-CN"/>
                    </w:rPr>
                    <w:t>3</w:t>
                  </w:r>
                </w:p>
              </w:tc>
              <w:tc>
                <w:tcPr>
                  <w:tcW w:w="518" w:type="pct"/>
                  <w:vAlign w:val="center"/>
                </w:tcPr>
                <w:p>
                  <w:pPr>
                    <w:pageBreakBefore w:val="0"/>
                    <w:widowControl/>
                    <w:kinsoku/>
                    <w:overflowPunct/>
                    <w:bidi w:val="0"/>
                    <w:adjustRightInd w:val="0"/>
                    <w:snapToGrid w:val="0"/>
                    <w:jc w:val="center"/>
                    <w:rPr>
                      <w:color w:val="auto"/>
                      <w:szCs w:val="21"/>
                    </w:rPr>
                  </w:pPr>
                  <w:r>
                    <w:rPr>
                      <w:rFonts w:hint="eastAsia"/>
                      <w:color w:val="auto"/>
                      <w:szCs w:val="21"/>
                    </w:rPr>
                    <w:t>固体</w:t>
                  </w:r>
                </w:p>
              </w:tc>
              <w:tc>
                <w:tcPr>
                  <w:tcW w:w="609"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垃圾桶</w:t>
                  </w:r>
                </w:p>
              </w:tc>
              <w:tc>
                <w:tcPr>
                  <w:tcW w:w="90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rPr>
                    <w:t>交由环卫部门清运</w:t>
                  </w:r>
                </w:p>
              </w:tc>
              <w:tc>
                <w:tcPr>
                  <w:tcW w:w="683" w:type="pct"/>
                  <w:vAlign w:val="center"/>
                </w:tcPr>
                <w:p>
                  <w:pPr>
                    <w:pageBreakBefore w:val="0"/>
                    <w:widowControl/>
                    <w:kinsoku/>
                    <w:overflowPunct/>
                    <w:bidi w:val="0"/>
                    <w:adjustRightInd w:val="0"/>
                    <w:snapToGrid w:val="0"/>
                    <w:jc w:val="center"/>
                    <w:rPr>
                      <w:rFonts w:hint="eastAsia"/>
                      <w:color w:val="auto"/>
                      <w:szCs w:val="21"/>
                    </w:rPr>
                  </w:pPr>
                  <w:r>
                    <w:rPr>
                      <w:rFonts w:hint="eastAsia"/>
                      <w:color w:val="auto"/>
                      <w:szCs w:val="21"/>
                      <w:lang w:val="en-US" w:eastAsia="zh-CN"/>
                    </w:rPr>
                    <w:t>3</w:t>
                  </w:r>
                </w:p>
              </w:tc>
            </w:tr>
          </w:tbl>
          <w:p>
            <w:pPr>
              <w:keepNext/>
              <w:keepLines/>
              <w:pageBreakBefore w:val="0"/>
              <w:kinsoku/>
              <w:overflowPunct/>
              <w:bidi w:val="0"/>
              <w:spacing w:beforeLines="50" w:before="120" w:line="360" w:lineRule="exact"/>
              <w:jc w:val="center"/>
              <w:outlineLvl w:val="1"/>
              <w:rPr>
                <w:rFonts w:hint="eastAsia"/>
                <w:b/>
                <w:color w:val="auto"/>
                <w:szCs w:val="21"/>
                <w:u w:val="none"/>
              </w:rPr>
            </w:pPr>
            <w:r>
              <w:rPr>
                <w:b/>
                <w:color w:val="auto"/>
                <w:szCs w:val="21"/>
                <w:u w:val="none"/>
              </w:rPr>
              <w:t>表4-</w:t>
            </w:r>
            <w:r>
              <w:rPr>
                <w:rFonts w:hint="eastAsia"/>
                <w:b/>
                <w:color w:val="auto"/>
                <w:szCs w:val="21"/>
                <w:u w:val="none"/>
                <w:lang w:val="en-US" w:eastAsia="zh-CN"/>
              </w:rPr>
              <w:t>14</w:t>
            </w:r>
            <w:r>
              <w:rPr>
                <w:rFonts w:hint="eastAsia"/>
                <w:b/>
                <w:color w:val="auto"/>
                <w:szCs w:val="21"/>
                <w:u w:val="none"/>
              </w:rPr>
              <w:t xml:space="preserve"> 危险废物</w:t>
            </w:r>
            <w:r>
              <w:rPr>
                <w:b/>
                <w:color w:val="auto"/>
                <w:szCs w:val="21"/>
                <w:u w:val="none"/>
              </w:rPr>
              <w:t>治理情况一览表</w:t>
            </w:r>
          </w:p>
          <w:tbl>
            <w:tblPr>
              <w:jc w:val="left"/>
              <w:tblInd w:w="0" w:type="dxa"/>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91"/>
              <w:gridCol w:w="755"/>
              <w:gridCol w:w="770"/>
              <w:gridCol w:w="590"/>
              <w:gridCol w:w="820"/>
              <w:gridCol w:w="981"/>
              <w:gridCol w:w="1512"/>
              <w:gridCol w:w="1034"/>
              <w:gridCol w:w="990"/>
              <w:gridCol w:w="1425"/>
              <w:gridCol w:w="4387"/>
            </w:tblGrid>
            <w:tr>
              <w:trPr>
                <w:trHeight w:val="672"/>
              </w:trPr>
              <w:tc>
                <w:tcPr>
                  <w:tcW w:w="374"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危险名称</w:t>
                  </w:r>
                </w:p>
              </w:tc>
              <w:tc>
                <w:tcPr>
                  <w:tcW w:w="357" w:type="pct"/>
                  <w:vAlign w:val="center"/>
                </w:tcPr>
                <w:p>
                  <w:pPr>
                    <w:pageBreakBefore w:val="0"/>
                    <w:widowControl/>
                    <w:kinsoku/>
                    <w:overflowPunct/>
                    <w:bidi w:val="0"/>
                    <w:adjustRightInd w:val="0"/>
                    <w:snapToGrid w:val="0"/>
                    <w:jc w:val="center"/>
                    <w:rPr>
                      <w:b/>
                      <w:bCs/>
                      <w:color w:val="auto"/>
                      <w:szCs w:val="21"/>
                      <w:u w:val="none"/>
                    </w:rPr>
                  </w:pPr>
                  <w:r>
                    <w:rPr>
                      <w:b/>
                      <w:bCs/>
                      <w:color w:val="auto"/>
                      <w:szCs w:val="21"/>
                      <w:u w:val="none"/>
                    </w:rPr>
                    <w:t>产污环节</w:t>
                  </w:r>
                </w:p>
              </w:tc>
              <w:tc>
                <w:tcPr>
                  <w:tcW w:w="364"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性质</w:t>
                  </w:r>
                </w:p>
              </w:tc>
              <w:tc>
                <w:tcPr>
                  <w:tcW w:w="279"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形态</w:t>
                  </w:r>
                </w:p>
              </w:tc>
              <w:tc>
                <w:tcPr>
                  <w:tcW w:w="388"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危险</w:t>
                  </w:r>
                </w:p>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特性</w:t>
                  </w:r>
                </w:p>
              </w:tc>
              <w:tc>
                <w:tcPr>
                  <w:tcW w:w="464"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废物类别</w:t>
                  </w:r>
                </w:p>
              </w:tc>
              <w:tc>
                <w:tcPr>
                  <w:tcW w:w="715"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废物代码</w:t>
                  </w:r>
                </w:p>
              </w:tc>
              <w:tc>
                <w:tcPr>
                  <w:tcW w:w="489" w:type="pct"/>
                  <w:vAlign w:val="center"/>
                </w:tcPr>
                <w:p>
                  <w:pPr>
                    <w:pageBreakBefore w:val="0"/>
                    <w:widowControl/>
                    <w:kinsoku/>
                    <w:overflowPunct/>
                    <w:bidi w:val="0"/>
                    <w:adjustRightInd w:val="0"/>
                    <w:snapToGrid w:val="0"/>
                    <w:jc w:val="center"/>
                    <w:rPr>
                      <w:rFonts w:eastAsia="宋体" w:hint="eastAsia"/>
                      <w:b/>
                      <w:bCs/>
                      <w:color w:val="auto"/>
                      <w:szCs w:val="21"/>
                      <w:u w:val="none"/>
                      <w:lang w:val="en-US" w:eastAsia="zh-CN"/>
                    </w:rPr>
                  </w:pPr>
                  <w:r>
                    <w:rPr>
                      <w:rFonts w:hint="eastAsia"/>
                      <w:b/>
                      <w:bCs/>
                      <w:color w:val="auto"/>
                      <w:szCs w:val="21"/>
                      <w:u w:val="none"/>
                    </w:rPr>
                    <w:t>产生量</w:t>
                  </w:r>
                  <w:r>
                    <w:rPr>
                      <w:rFonts w:hint="eastAsia"/>
                      <w:b/>
                      <w:bCs/>
                      <w:color w:val="auto"/>
                      <w:szCs w:val="21"/>
                      <w:u w:val="none"/>
                      <w:lang w:val="en-US" w:eastAsia="zh-CN"/>
                    </w:rPr>
                    <w:t>t</w:t>
                  </w:r>
                </w:p>
              </w:tc>
              <w:tc>
                <w:tcPr>
                  <w:tcW w:w="468" w:type="pct"/>
                  <w:vAlign w:val="center"/>
                </w:tcPr>
                <w:p>
                  <w:pPr>
                    <w:pageBreakBefore w:val="0"/>
                    <w:widowControl/>
                    <w:kinsoku/>
                    <w:overflowPunct/>
                    <w:bidi w:val="0"/>
                    <w:adjustRightInd w:val="0"/>
                    <w:snapToGrid w:val="0"/>
                    <w:jc w:val="center"/>
                    <w:rPr>
                      <w:rFonts w:hint="eastAsia"/>
                      <w:b/>
                      <w:bCs/>
                      <w:color w:val="auto"/>
                      <w:szCs w:val="21"/>
                      <w:u w:val="none"/>
                    </w:rPr>
                  </w:pPr>
                  <w:r>
                    <w:rPr>
                      <w:rFonts w:hint="eastAsia"/>
                      <w:b/>
                      <w:bCs/>
                      <w:color w:val="auto"/>
                      <w:szCs w:val="21"/>
                      <w:u w:val="none"/>
                    </w:rPr>
                    <w:t>暂存场所</w:t>
                  </w:r>
                </w:p>
              </w:tc>
              <w:tc>
                <w:tcPr>
                  <w:tcW w:w="674" w:type="pct"/>
                  <w:vAlign w:val="center"/>
                </w:tcPr>
                <w:p>
                  <w:pPr>
                    <w:pageBreakBefore w:val="0"/>
                    <w:widowControl/>
                    <w:kinsoku/>
                    <w:overflowPunct/>
                    <w:bidi w:val="0"/>
                    <w:adjustRightInd w:val="0"/>
                    <w:snapToGrid w:val="0"/>
                    <w:jc w:val="center"/>
                    <w:rPr>
                      <w:b/>
                      <w:bCs/>
                      <w:color w:val="auto"/>
                      <w:szCs w:val="21"/>
                      <w:u w:val="none"/>
                    </w:rPr>
                  </w:pPr>
                  <w:r>
                    <w:rPr>
                      <w:b/>
                      <w:bCs/>
                      <w:color w:val="auto"/>
                      <w:szCs w:val="21"/>
                      <w:u w:val="none"/>
                    </w:rPr>
                    <w:t>治理措施</w:t>
                  </w:r>
                </w:p>
              </w:tc>
              <w:tc>
                <w:tcPr>
                  <w:tcW w:w="423" w:type="pct"/>
                  <w:vAlign w:val="center"/>
                </w:tcPr>
                <w:p>
                  <w:pPr>
                    <w:pageBreakBefore w:val="0"/>
                    <w:widowControl/>
                    <w:kinsoku/>
                    <w:overflowPunct/>
                    <w:bidi w:val="0"/>
                    <w:adjustRightInd w:val="0"/>
                    <w:snapToGrid w:val="0"/>
                    <w:jc w:val="center"/>
                    <w:rPr>
                      <w:b/>
                      <w:bCs/>
                      <w:color w:val="auto"/>
                      <w:szCs w:val="21"/>
                      <w:u w:val="none"/>
                    </w:rPr>
                  </w:pPr>
                  <w:r>
                    <w:rPr>
                      <w:rFonts w:hint="eastAsia"/>
                      <w:b/>
                      <w:bCs/>
                      <w:color w:val="auto"/>
                      <w:szCs w:val="21"/>
                      <w:u w:val="none"/>
                    </w:rPr>
                    <w:t>处置量</w:t>
                  </w:r>
                </w:p>
              </w:tc>
            </w:tr>
            <w:tr>
              <w:trPr>
                <w:trHeight w:val="672"/>
              </w:trPr>
              <w:tc>
                <w:tcPr>
                  <w:tcW w:w="374" w:type="pct"/>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废</w:t>
                  </w:r>
                  <w:r>
                    <w:rPr>
                      <w:rFonts w:hint="eastAsia"/>
                      <w:bCs/>
                      <w:color w:val="auto"/>
                      <w:szCs w:val="21"/>
                      <w:u w:val="none"/>
                      <w:lang w:val="en-US" w:bidi="zh-CN"/>
                    </w:rPr>
                    <w:t>导热油</w:t>
                  </w:r>
                </w:p>
              </w:tc>
              <w:tc>
                <w:tcPr>
                  <w:tcW w:w="357"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val="zh-CN" w:bidi="zh-CN"/>
                    </w:rPr>
                    <w:t>设备维护</w:t>
                  </w:r>
                </w:p>
              </w:tc>
              <w:tc>
                <w:tcPr>
                  <w:tcW w:w="364"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危险废物</w:t>
                  </w:r>
                </w:p>
              </w:tc>
              <w:tc>
                <w:tcPr>
                  <w:tcW w:w="279" w:type="pct"/>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液态</w:t>
                  </w:r>
                </w:p>
              </w:tc>
              <w:tc>
                <w:tcPr>
                  <w:tcW w:w="388" w:type="pct"/>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T，I</w:t>
                  </w:r>
                </w:p>
              </w:tc>
              <w:tc>
                <w:tcPr>
                  <w:tcW w:w="464"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HW08</w:t>
                  </w:r>
                </w:p>
              </w:tc>
              <w:tc>
                <w:tcPr>
                  <w:tcW w:w="715"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900-249-08</w:t>
                  </w:r>
                </w:p>
              </w:tc>
              <w:tc>
                <w:tcPr>
                  <w:tcW w:w="489"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val="en-US" w:bidi="zh-CN"/>
                    </w:rPr>
                    <w:t>0.34</w:t>
                  </w:r>
                </w:p>
              </w:tc>
              <w:tc>
                <w:tcPr>
                  <w:tcW w:w="468"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在线</w:t>
                  </w:r>
                </w:p>
              </w:tc>
              <w:tc>
                <w:tcPr>
                  <w:tcW w:w="674"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由有资质单位转运</w:t>
                  </w:r>
                </w:p>
              </w:tc>
              <w:tc>
                <w:tcPr>
                  <w:tcW w:w="2075"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0.34</w:t>
                  </w:r>
                </w:p>
              </w:tc>
            </w:tr>
            <w:tr>
              <w:trPr>
                <w:trHeight w:val="672"/>
              </w:trPr>
              <w:tc>
                <w:tcPr>
                  <w:tcW w:w="374"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废活性炭</w:t>
                  </w:r>
                </w:p>
              </w:tc>
              <w:tc>
                <w:tcPr>
                  <w:tcW w:w="357"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废气处置、生产</w:t>
                  </w:r>
                </w:p>
              </w:tc>
              <w:tc>
                <w:tcPr>
                  <w:tcW w:w="364"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危险废物</w:t>
                  </w:r>
                </w:p>
              </w:tc>
              <w:tc>
                <w:tcPr>
                  <w:tcW w:w="279"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固态</w:t>
                  </w:r>
                </w:p>
              </w:tc>
              <w:tc>
                <w:tcPr>
                  <w:tcW w:w="388"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T</w:t>
                  </w:r>
                </w:p>
              </w:tc>
              <w:tc>
                <w:tcPr>
                  <w:tcW w:w="464"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bidi="zh-CN"/>
                    </w:rPr>
                    <w:t>HW</w:t>
                  </w:r>
                  <w:r>
                    <w:rPr>
                      <w:rFonts w:hint="eastAsia"/>
                      <w:bCs/>
                      <w:color w:val="auto"/>
                      <w:szCs w:val="21"/>
                      <w:u w:val="none"/>
                      <w:lang w:val="en-US" w:bidi="zh-CN"/>
                    </w:rPr>
                    <w:t>49</w:t>
                  </w:r>
                </w:p>
              </w:tc>
              <w:tc>
                <w:tcPr>
                  <w:tcW w:w="715" w:type="pct"/>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08900-039-49</w:t>
                  </w:r>
                </w:p>
              </w:tc>
              <w:tc>
                <w:tcPr>
                  <w:tcW w:w="489"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0.232</w:t>
                  </w:r>
                </w:p>
              </w:tc>
              <w:tc>
                <w:tcPr>
                  <w:tcW w:w="468" w:type="pct"/>
                  <w:vAlign w:val="center"/>
                </w:tcPr>
                <w:p>
                  <w:pPr>
                    <w:pageBreakBefore w:val="0"/>
                    <w:widowControl/>
                    <w:kinsoku/>
                    <w:overflowPunct/>
                    <w:bidi w:val="0"/>
                    <w:jc w:val="center"/>
                    <w:rPr>
                      <w:rFonts w:hint="eastAsia"/>
                      <w:bCs/>
                      <w:color w:val="auto"/>
                      <w:szCs w:val="21"/>
                      <w:u w:val="none"/>
                      <w:lang w:val="en-US" w:bidi="zh-CN"/>
                    </w:rPr>
                  </w:pPr>
                  <w:r>
                    <w:rPr>
                      <w:rFonts w:hint="eastAsia"/>
                      <w:bCs/>
                      <w:color w:val="auto"/>
                      <w:szCs w:val="21"/>
                      <w:u w:val="none"/>
                      <w:lang w:val="en-US" w:bidi="zh-CN"/>
                    </w:rPr>
                    <w:t>在线</w:t>
                  </w:r>
                </w:p>
              </w:tc>
              <w:tc>
                <w:tcPr>
                  <w:tcW w:w="674" w:type="pct"/>
                  <w:vAlign w:val="center"/>
                </w:tcPr>
                <w:p>
                  <w:pPr>
                    <w:pageBreakBefore w:val="0"/>
                    <w:widowControl/>
                    <w:kinsoku/>
                    <w:overflowPunct/>
                    <w:bidi w:val="0"/>
                    <w:jc w:val="center"/>
                    <w:rPr>
                      <w:rFonts w:hint="eastAsia"/>
                      <w:bCs/>
                      <w:color w:val="auto"/>
                      <w:szCs w:val="21"/>
                      <w:u w:val="none"/>
                      <w:lang w:val="en-US" w:bidi="zh-CN"/>
                    </w:rPr>
                  </w:pPr>
                  <w:r>
                    <w:rPr>
                      <w:rFonts w:hint="eastAsia"/>
                      <w:bCs/>
                      <w:color w:val="auto"/>
                      <w:szCs w:val="21"/>
                      <w:u w:val="none"/>
                      <w:lang w:val="en-US" w:bidi="zh-CN"/>
                    </w:rPr>
                    <w:t>由有资质单位转运</w:t>
                  </w:r>
                </w:p>
              </w:tc>
              <w:tc>
                <w:tcPr>
                  <w:tcW w:w="2075" w:type="pct"/>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0.232</w:t>
                  </w:r>
                </w:p>
              </w:tc>
            </w:tr>
          </w:tbl>
          <w:p>
            <w:pPr>
              <w:keepNext w:val="0"/>
              <w:keepLines w:val="0"/>
              <w:pageBreakBefore w:val="0"/>
              <w:widowControl w:val="0"/>
              <w:kinsoku/>
              <w:wordWrap/>
              <w:overflowPunct/>
              <w:topLinePunct w:val="0"/>
              <w:autoSpaceDE/>
              <w:autoSpaceDN/>
              <w:bidi w:val="0"/>
              <w:adjustRightInd/>
              <w:snapToGrid/>
              <w:spacing w:beforeLines="50" w:before="120" w:line="360" w:lineRule="auto"/>
              <w:ind w:firstLineChars="200" w:firstLine="480"/>
              <w:jc w:val="left"/>
              <w:textAlignment w:val="auto"/>
              <w:rPr>
                <w:b/>
                <w:bCs/>
                <w:color w:val="auto"/>
                <w:sz w:val="24"/>
              </w:rPr>
            </w:pPr>
            <w:r>
              <w:rPr>
                <w:rFonts w:hint="eastAsia"/>
                <w:b/>
                <w:bCs/>
                <w:color w:val="auto"/>
                <w:sz w:val="24"/>
              </w:rPr>
              <w:t>2、</w:t>
            </w:r>
            <w:r>
              <w:rPr>
                <w:b/>
                <w:bCs/>
                <w:color w:val="auto"/>
                <w:sz w:val="24"/>
              </w:rPr>
              <w:t>固废贮存场所设置规范</w:t>
            </w:r>
          </w:p>
          <w:p>
            <w:pPr>
              <w:pageBreakBefore w:val="0"/>
              <w:widowControl w:val="0"/>
              <w:kinsoku/>
              <w:overflowPunct/>
              <w:bidi w:val="0"/>
              <w:spacing w:line="360" w:lineRule="auto"/>
              <w:ind w:firstLineChars="200" w:firstLine="480"/>
              <w:rPr>
                <w:b/>
                <w:bCs/>
                <w:color w:val="auto"/>
                <w:sz w:val="24"/>
              </w:rPr>
            </w:pPr>
            <w:r>
              <w:rPr>
                <w:b/>
                <w:bCs/>
                <w:color w:val="auto"/>
                <w:sz w:val="24"/>
              </w:rPr>
              <w:t>一般工业固体废物贮存场所（设施）</w:t>
            </w:r>
          </w:p>
          <w:p>
            <w:pPr>
              <w:pageBreakBefore w:val="0"/>
              <w:widowControl w:val="0"/>
              <w:kinsoku/>
              <w:overflowPunct/>
              <w:bidi w:val="0"/>
              <w:spacing w:line="360" w:lineRule="auto"/>
              <w:ind w:firstLineChars="200" w:firstLine="480"/>
              <w:rPr>
                <w:color w:val="auto"/>
                <w:sz w:val="24"/>
              </w:rPr>
            </w:pPr>
            <w:r>
              <w:rPr>
                <w:color w:val="auto"/>
                <w:sz w:val="24"/>
              </w:rPr>
              <w:t>一般固废堆场按照</w:t>
            </w:r>
            <w:r>
              <w:rPr>
                <w:color w:val="auto"/>
                <w:spacing w:val="-2"/>
                <w:sz w:val="24"/>
              </w:rPr>
              <w:t>《一般工业固体废物贮存</w:t>
            </w:r>
            <w:r>
              <w:rPr>
                <w:rFonts w:hint="eastAsia"/>
                <w:color w:val="auto"/>
                <w:spacing w:val="-2"/>
                <w:sz w:val="24"/>
              </w:rPr>
              <w:t>和填埋污染控制</w:t>
            </w:r>
            <w:r>
              <w:rPr>
                <w:color w:val="auto"/>
                <w:spacing w:val="-2"/>
                <w:sz w:val="24"/>
              </w:rPr>
              <w:t>标准》</w:t>
            </w:r>
            <w:r>
              <w:rPr>
                <w:rFonts w:hint="eastAsia"/>
                <w:color w:val="auto"/>
                <w:spacing w:val="-2"/>
                <w:sz w:val="24"/>
              </w:rPr>
              <w:t>（</w:t>
            </w:r>
            <w:r>
              <w:rPr>
                <w:color w:val="auto"/>
                <w:spacing w:val="-2"/>
                <w:sz w:val="24"/>
              </w:rPr>
              <w:t>GB18599-</w:t>
            </w:r>
            <w:r>
              <w:rPr>
                <w:rFonts w:hint="eastAsia"/>
                <w:color w:val="auto"/>
                <w:spacing w:val="-2"/>
                <w:sz w:val="24"/>
              </w:rPr>
              <w:t>2020）</w:t>
            </w:r>
            <w:r>
              <w:rPr>
                <w:color w:val="auto"/>
                <w:sz w:val="24"/>
              </w:rPr>
              <w:t>及其修改单要求设置。具体设置如下：</w:t>
            </w:r>
          </w:p>
          <w:p>
            <w:pPr>
              <w:pageBreakBefore w:val="0"/>
              <w:widowControl w:val="0"/>
              <w:kinsoku/>
              <w:overflowPunct/>
              <w:bidi w:val="0"/>
              <w:spacing w:line="360" w:lineRule="auto"/>
              <w:ind w:firstLineChars="200" w:firstLine="480"/>
              <w:rPr>
                <w:rFonts w:hint="eastAsia"/>
                <w:bCs/>
                <w:color w:val="auto"/>
                <w:sz w:val="24"/>
              </w:rPr>
            </w:pPr>
            <w:r>
              <w:rPr>
                <w:rFonts w:ascii="宋体" w:hAnsi="宋体" w:hint="eastAsia"/>
                <w:bCs/>
                <w:color w:val="auto"/>
                <w:sz w:val="24"/>
              </w:rPr>
              <w:t>①</w:t>
            </w:r>
            <w:r>
              <w:rPr>
                <w:rFonts w:hint="eastAsia"/>
                <w:bCs/>
                <w:color w:val="auto"/>
                <w:sz w:val="24"/>
              </w:rPr>
              <w:t>地面应采取硬化措施并满足承载力要求，</w:t>
            </w:r>
            <w:r>
              <w:rPr>
                <w:color w:val="auto"/>
                <w:sz w:val="24"/>
              </w:rPr>
              <w:t>地面基础及内墙采取防渗措施，使用防水混凝土</w:t>
            </w:r>
            <w:r>
              <w:rPr>
                <w:rFonts w:hint="eastAsia"/>
                <w:color w:val="auto"/>
                <w:sz w:val="24"/>
              </w:rPr>
              <w:t>，</w:t>
            </w:r>
            <w:r>
              <w:rPr>
                <w:rFonts w:hint="eastAsia"/>
                <w:bCs/>
                <w:color w:val="auto"/>
                <w:sz w:val="24"/>
              </w:rPr>
              <w:t>必要时采取相应措施防止地基下沉。</w:t>
            </w:r>
          </w:p>
          <w:p>
            <w:pPr>
              <w:pStyle w:val="52"/>
              <w:pageBreakBefore w:val="0"/>
              <w:widowControl w:val="0"/>
              <w:kinsoku/>
              <w:overflowPunct/>
              <w:bidi w:val="0"/>
              <w:snapToGrid w:val="0"/>
              <w:rPr>
                <w:rFonts w:hint="eastAsia"/>
                <w:bCs/>
                <w:color w:val="auto"/>
              </w:rPr>
            </w:pPr>
            <w:r>
              <w:rPr>
                <w:rFonts w:ascii="宋体" w:hAnsi="宋体" w:hint="eastAsia"/>
                <w:bCs/>
                <w:color w:val="auto"/>
              </w:rPr>
              <w:t>②</w:t>
            </w:r>
            <w:r>
              <w:rPr>
                <w:rFonts w:hint="eastAsia"/>
                <w:bCs/>
                <w:color w:val="auto"/>
              </w:rPr>
              <w:t>要求设置必要的防风、防雨、防渗漏措施，并采取相应的防尘措施。</w:t>
            </w:r>
            <w:r>
              <w:rPr>
                <w:rFonts w:cs="Times New Roman"/>
                <w:color w:val="auto"/>
              </w:rPr>
              <w:t>不得露天堆放，防止雨水进入产生二次污染</w:t>
            </w:r>
            <w:r>
              <w:rPr>
                <w:rFonts w:cs="Times New Roman" w:hint="eastAsia"/>
                <w:color w:val="auto"/>
              </w:rPr>
              <w:t>。</w:t>
            </w:r>
          </w:p>
          <w:p>
            <w:pPr>
              <w:pStyle w:val="52"/>
              <w:pageBreakBefore w:val="0"/>
              <w:widowControl w:val="0"/>
              <w:kinsoku/>
              <w:overflowPunct/>
              <w:bidi w:val="0"/>
              <w:snapToGrid w:val="0"/>
              <w:rPr>
                <w:rFonts w:hint="eastAsia"/>
                <w:bCs/>
                <w:color w:val="auto"/>
              </w:rPr>
            </w:pPr>
            <w:r>
              <w:rPr>
                <w:rFonts w:ascii="宋体" w:hAnsi="宋体" w:hint="eastAsia"/>
                <w:bCs/>
                <w:color w:val="auto"/>
              </w:rPr>
              <w:t>③</w:t>
            </w:r>
            <w:r>
              <w:rPr>
                <w:rFonts w:hint="eastAsia"/>
                <w:bCs/>
                <w:color w:val="auto"/>
              </w:rPr>
              <w:t>按《环境保护图形标识－固体废物贮存（处置）场》（GB15562.2）要求设置环境保护图形标志。</w:t>
            </w:r>
          </w:p>
          <w:p>
            <w:pPr>
              <w:pageBreakBefore w:val="0"/>
              <w:widowControl w:val="0"/>
              <w:kinsoku/>
              <w:overflowPunct/>
              <w:bidi w:val="0"/>
              <w:spacing w:line="360" w:lineRule="auto"/>
              <w:ind w:firstLineChars="200" w:firstLine="480"/>
              <w:rPr>
                <w:color w:val="auto"/>
                <w:sz w:val="24"/>
              </w:rPr>
            </w:pPr>
            <w:r>
              <w:rPr>
                <w:rFonts w:ascii="宋体" w:cs="宋体" w:hAnsi="宋体" w:hint="eastAsia"/>
                <w:color w:val="auto"/>
                <w:sz w:val="24"/>
              </w:rPr>
              <w:t>④</w:t>
            </w:r>
            <w:r>
              <w:rPr>
                <w:color w:val="auto"/>
                <w:sz w:val="24"/>
              </w:rPr>
              <w:t>一般固体废物按照不同的类别和性质，分区堆放。通过规范设置固体废物暂存场。</w:t>
            </w:r>
          </w:p>
          <w:p>
            <w:pPr>
              <w:pageBreakBefore w:val="0"/>
              <w:widowControl w:val="0"/>
              <w:kinsoku/>
              <w:overflowPunct/>
              <w:bidi w:val="0"/>
              <w:spacing w:line="360" w:lineRule="auto"/>
              <w:ind w:firstLineChars="200" w:firstLine="480"/>
              <w:rPr>
                <w:color w:val="auto"/>
                <w:sz w:val="24"/>
              </w:rPr>
            </w:pPr>
            <w:r>
              <w:rPr>
                <w:rFonts w:ascii="宋体" w:cs="宋体" w:hAnsi="宋体" w:hint="eastAsia"/>
                <w:color w:val="auto"/>
                <w:sz w:val="24"/>
              </w:rPr>
              <w:t>⑤</w:t>
            </w:r>
            <w:r>
              <w:rPr>
                <w:color w:val="auto"/>
                <w:sz w:val="24"/>
              </w:rPr>
              <w:t>同时建立完善厂内固体废物防范措施和管理制度，可使固体废物在收集、存放过程中对环境的影响至最低限度</w:t>
            </w:r>
            <w:r>
              <w:rPr>
                <w:rFonts w:hint="eastAsia"/>
                <w:color w:val="auto"/>
                <w:sz w:val="24"/>
              </w:rPr>
              <w:t>。</w:t>
            </w:r>
          </w:p>
          <w:p>
            <w:pPr>
              <w:pStyle w:val="52"/>
              <w:pageBreakBefore w:val="0"/>
              <w:widowControl w:val="0"/>
              <w:kinsoku/>
              <w:overflowPunct/>
              <w:bidi w:val="0"/>
              <w:snapToGrid w:val="0"/>
              <w:rPr>
                <w:color w:val="auto"/>
                <w:sz w:val="24"/>
              </w:rPr>
            </w:pPr>
            <w:bookmarkStart w:id="36" w:name="_Toc8094"/>
            <w:bookmarkStart w:id="37" w:name="_Toc20178"/>
            <w:bookmarkStart w:id="38" w:name="_Toc15409"/>
            <w:r>
              <w:rPr>
                <w:rFonts w:ascii="Times New Roman" w:eastAsia="宋体" w:cs="宋体" w:hAnsi="Times New Roman" w:hint="eastAsia"/>
                <w:bCs/>
                <w:color w:val="auto"/>
              </w:rPr>
              <w:t>综上所述，本项目产生的固废经妥善处理、处置后，可以实现零排放，对周围环境及人体不会造成影响，亦不会对环境产生二次污染，所采取的治理措施是可行的。但必须指出的是，固体废物综合利用、处理处置前在厂内的堆放、贮存场所应按照国家固体废物贮存有关要求设置，避免产生二次污染。建设单位在生产过程中必须做好固废的暂存工作，要有合适的暂存场所，暂存场所必须做好防渗、防漏、防晒、防淋等工作。在运输过程注意运输安全，途中不得沿路抛洒，并在堆放场所</w:t>
            </w:r>
            <w:r>
              <w:rPr>
                <w:rFonts w:ascii="Times New Roman" w:eastAsia="宋体" w:cs="宋体" w:hAnsi="Times New Roman" w:hint="eastAsia"/>
                <w:bCs/>
                <w:color w:val="auto"/>
                <w:lang w:eastAsia="zh-CN"/>
              </w:rPr>
              <w:t>竖立</w:t>
            </w:r>
            <w:r>
              <w:rPr>
                <w:rFonts w:ascii="Times New Roman" w:eastAsia="宋体" w:cs="宋体" w:hAnsi="Times New Roman" w:hint="eastAsia"/>
                <w:bCs/>
                <w:color w:val="auto"/>
              </w:rPr>
              <w:t>明显的标志牌，措施可行</w:t>
            </w:r>
            <w:bookmarkEnd w:id="36"/>
            <w:bookmarkEnd w:id="37"/>
            <w:bookmarkEnd w:id="38"/>
            <w:r>
              <w:rPr>
                <w:color w:val="auto"/>
                <w:sz w:val="24"/>
              </w:rPr>
              <w:t>。</w:t>
            </w:r>
          </w:p>
          <w:p>
            <w:pPr>
              <w:pageBreakBefore w:val="0"/>
              <w:widowControl w:val="0"/>
              <w:kinsoku/>
              <w:overflowPunct/>
              <w:bidi w:val="0"/>
              <w:spacing w:line="360" w:lineRule="auto"/>
              <w:ind w:firstLineChars="200" w:firstLine="480"/>
              <w:rPr>
                <w:rFonts w:eastAsia="宋体" w:hint="eastAsia"/>
                <w:color w:val="auto"/>
                <w:sz w:val="24"/>
                <w:lang w:eastAsia="zh-CN"/>
              </w:rPr>
            </w:pPr>
            <w:r>
              <w:rPr>
                <w:b/>
                <w:bCs/>
                <w:color w:val="auto"/>
                <w:sz w:val="24"/>
              </w:rPr>
              <w:t>危废暂存间建设要求</w:t>
            </w:r>
          </w:p>
          <w:p>
            <w:pPr>
              <w:pageBreakBefore w:val="0"/>
              <w:widowControl w:val="0"/>
              <w:kinsoku/>
              <w:overflowPunct/>
              <w:bidi w:val="0"/>
              <w:spacing w:line="360" w:lineRule="auto"/>
              <w:ind w:firstLineChars="200" w:firstLine="480"/>
              <w:rPr>
                <w:rFonts w:eastAsia="宋体" w:hint="eastAsia"/>
                <w:color w:val="auto"/>
                <w:sz w:val="24"/>
                <w:lang w:eastAsia="zh-CN"/>
              </w:rPr>
            </w:pPr>
            <w:r>
              <w:rPr>
                <w:color w:val="auto"/>
                <w:sz w:val="24"/>
              </w:rPr>
              <w:t>贮存条件和贮存容量必须符合《危险废物贮存污染控制标准》（</w:t>
            </w:r>
            <w:r>
              <w:rPr>
                <w:rFonts w:hint="eastAsia"/>
                <w:color w:val="auto"/>
                <w:sz w:val="24"/>
              </w:rPr>
              <w:t>GB18597-2023</w:t>
            </w:r>
            <w:r>
              <w:rPr>
                <w:color w:val="auto"/>
                <w:sz w:val="24"/>
              </w:rPr>
              <w:t>）要求和《</w:t>
            </w:r>
            <w:r>
              <w:rPr>
                <w:rFonts w:hint="eastAsia"/>
                <w:color w:val="auto"/>
                <w:sz w:val="24"/>
              </w:rPr>
              <w:t>危险废物收集贮存运输技术规范</w:t>
            </w:r>
            <w:r>
              <w:rPr>
                <w:color w:val="auto"/>
                <w:sz w:val="24"/>
              </w:rPr>
              <w:t>》(HJ2025-2012</w:t>
            </w:r>
            <w:r>
              <w:rPr>
                <w:rFonts w:hint="eastAsia"/>
                <w:color w:val="auto"/>
                <w:sz w:val="24"/>
                <w:lang w:eastAsia="zh-CN"/>
              </w:rPr>
              <w:t>）</w:t>
            </w:r>
            <w:r>
              <w:rPr>
                <w:color w:val="auto"/>
                <w:sz w:val="24"/>
              </w:rPr>
              <w:t>的相关要求。</w:t>
            </w:r>
          </w:p>
          <w:p>
            <w:pPr>
              <w:pageBreakBefore w:val="0"/>
              <w:widowControl w:val="0"/>
              <w:kinsoku/>
              <w:overflowPunct/>
              <w:bidi w:val="0"/>
              <w:spacing w:line="360" w:lineRule="auto"/>
              <w:ind w:firstLineChars="200" w:firstLine="480"/>
              <w:rPr>
                <w:rFonts w:eastAsia="宋体" w:hint="eastAsia"/>
                <w:color w:val="auto"/>
                <w:sz w:val="24"/>
                <w:lang w:eastAsia="zh-CN"/>
              </w:rPr>
            </w:pPr>
            <w:r>
              <w:rPr>
                <w:color w:val="auto"/>
                <w:sz w:val="24"/>
              </w:rPr>
              <w:t>①危废间应满</w:t>
            </w:r>
            <w:r>
              <w:rPr>
                <w:rFonts w:hint="eastAsia"/>
                <w:color w:val="auto"/>
                <w:sz w:val="24"/>
                <w:lang w:val="en-US" w:eastAsia="zh-CN"/>
              </w:rPr>
              <w:t>足</w:t>
            </w:r>
            <w:r>
              <w:rPr>
                <w:color w:val="auto"/>
                <w:sz w:val="24"/>
              </w:rPr>
              <w:t>“四防”（防</w:t>
            </w:r>
            <w:r>
              <w:rPr>
                <w:rFonts w:hint="eastAsia"/>
                <w:color w:val="auto"/>
                <w:sz w:val="24"/>
                <w:lang w:val="en-US" w:eastAsia="zh-CN"/>
              </w:rPr>
              <w:t>风</w:t>
            </w:r>
            <w:r>
              <w:rPr>
                <w:color w:val="auto"/>
                <w:sz w:val="24"/>
              </w:rPr>
              <w:t>、防⾬、防晒、防渗漏）；</w:t>
            </w:r>
          </w:p>
          <w:p>
            <w:pPr>
              <w:pageBreakBefore w:val="0"/>
              <w:widowControl w:val="0"/>
              <w:kinsoku/>
              <w:overflowPunct/>
              <w:bidi w:val="0"/>
              <w:spacing w:line="360" w:lineRule="auto"/>
              <w:ind w:firstLineChars="200" w:firstLine="480"/>
              <w:rPr>
                <w:rFonts w:eastAsia="宋体" w:hint="eastAsia"/>
                <w:color w:val="auto"/>
                <w:sz w:val="24"/>
                <w:lang w:eastAsia="zh-CN"/>
              </w:rPr>
            </w:pPr>
            <w:r>
              <w:rPr>
                <w:color w:val="auto"/>
                <w:sz w:val="24"/>
              </w:rPr>
              <w:t>②危废间应有完善的防渗措施和渗漏收集措施，</w:t>
            </w:r>
          </w:p>
          <w:p>
            <w:pPr>
              <w:pageBreakBefore w:val="0"/>
              <w:widowControl w:val="0"/>
              <w:kinsoku/>
              <w:overflowPunct/>
              <w:bidi w:val="0"/>
              <w:spacing w:line="360" w:lineRule="auto"/>
              <w:ind w:firstLineChars="200" w:firstLine="480"/>
              <w:rPr>
                <w:rFonts w:eastAsia="宋体" w:hint="eastAsia"/>
                <w:color w:val="auto"/>
                <w:sz w:val="24"/>
                <w:lang w:eastAsia="zh-CN"/>
              </w:rPr>
            </w:pPr>
            <w:r>
              <w:rPr>
                <w:color w:val="auto"/>
                <w:sz w:val="24"/>
              </w:rPr>
              <w:t>③防渗措施应满⾜《危险废物贮存污染控制标准》（</w:t>
            </w:r>
            <w:r>
              <w:rPr>
                <w:rFonts w:hint="eastAsia"/>
                <w:color w:val="auto"/>
                <w:sz w:val="24"/>
              </w:rPr>
              <w:t>GB18597-2023</w:t>
            </w:r>
            <w:r>
              <w:rPr>
                <w:color w:val="auto"/>
                <w:sz w:val="24"/>
              </w:rPr>
              <w:t>）（2013</w:t>
            </w:r>
          </w:p>
          <w:p>
            <w:pPr>
              <w:pageBreakBefore w:val="0"/>
              <w:widowControl w:val="0"/>
              <w:kinsoku/>
              <w:overflowPunct/>
              <w:bidi w:val="0"/>
              <w:spacing w:line="360" w:lineRule="auto"/>
              <w:ind w:firstLineChars="200" w:firstLine="480"/>
              <w:rPr>
                <w:rFonts w:eastAsia="宋体" w:hint="eastAsia"/>
                <w:color w:val="auto"/>
                <w:sz w:val="24"/>
                <w:lang w:eastAsia="zh-CN"/>
              </w:rPr>
            </w:pPr>
            <w:r>
              <w:rPr>
                <w:color w:val="auto"/>
                <w:sz w:val="24"/>
              </w:rPr>
              <w:t>年修订）6.3.1防渗要求，防渗要求：6.3.1基础必须防渗，防渗层为⾄少1</w:t>
            </w:r>
            <w:r>
              <w:rPr>
                <w:rFonts w:hint="eastAsia"/>
                <w:color w:val="auto"/>
                <w:sz w:val="24"/>
                <w:lang w:eastAsia="zh-CN"/>
              </w:rPr>
              <w:t>米</w:t>
            </w:r>
            <w:r>
              <w:rPr>
                <w:color w:val="auto"/>
                <w:sz w:val="24"/>
              </w:rPr>
              <w:t>厚粘⼟层（渗透系数≤10</w:t>
            </w:r>
            <w:r>
              <w:rPr>
                <w:color w:val="auto"/>
                <w:sz w:val="24"/>
                <w:vertAlign w:val="superscript"/>
              </w:rPr>
              <w:t>-7</w:t>
            </w:r>
            <w:r>
              <w:rPr>
                <w:color w:val="auto"/>
                <w:sz w:val="24"/>
              </w:rPr>
              <w:t>厘</w:t>
            </w:r>
            <w:r>
              <w:rPr>
                <w:rFonts w:hint="eastAsia"/>
                <w:color w:val="auto"/>
                <w:sz w:val="24"/>
                <w:lang w:eastAsia="zh-CN"/>
              </w:rPr>
              <w:t>米</w:t>
            </w:r>
            <w:r>
              <w:rPr>
                <w:color w:val="auto"/>
                <w:sz w:val="24"/>
              </w:rPr>
              <w:t>/秒），或2毫</w:t>
            </w:r>
            <w:r>
              <w:rPr>
                <w:rFonts w:hint="eastAsia"/>
                <w:color w:val="auto"/>
                <w:sz w:val="24"/>
                <w:lang w:eastAsia="zh-CN"/>
              </w:rPr>
              <w:t>米</w:t>
            </w:r>
            <w:r>
              <w:rPr>
                <w:color w:val="auto"/>
                <w:sz w:val="24"/>
              </w:rPr>
              <w:t>厚⾼密度聚⼄烯，或⾄少2毫</w:t>
            </w:r>
            <w:r>
              <w:rPr>
                <w:rFonts w:hint="eastAsia"/>
                <w:color w:val="auto"/>
                <w:sz w:val="24"/>
                <w:lang w:val="en-US" w:eastAsia="zh-CN"/>
              </w:rPr>
              <w:t>米</w:t>
            </w:r>
            <w:r>
              <w:rPr>
                <w:color w:val="auto"/>
                <w:sz w:val="24"/>
              </w:rPr>
              <w:t>厚的其它⼈⼯材料，渗透系数≤10</w:t>
            </w:r>
            <w:r>
              <w:rPr>
                <w:color w:val="auto"/>
                <w:sz w:val="24"/>
                <w:vertAlign w:val="superscript"/>
              </w:rPr>
              <w:t>-10</w:t>
            </w:r>
            <w:r>
              <w:rPr>
                <w:color w:val="auto"/>
                <w:sz w:val="24"/>
              </w:rPr>
              <w:t>厘</w:t>
            </w:r>
            <w:r>
              <w:rPr>
                <w:rFonts w:hint="eastAsia"/>
                <w:color w:val="auto"/>
                <w:sz w:val="24"/>
                <w:lang w:eastAsia="zh-CN"/>
              </w:rPr>
              <w:t>米</w:t>
            </w:r>
            <w:r>
              <w:rPr>
                <w:color w:val="auto"/>
                <w:sz w:val="24"/>
              </w:rPr>
              <w:t>/秒；</w:t>
            </w:r>
          </w:p>
          <w:p>
            <w:pPr>
              <w:pageBreakBefore w:val="0"/>
              <w:widowControl w:val="0"/>
              <w:kinsoku/>
              <w:overflowPunct/>
              <w:bidi w:val="0"/>
              <w:spacing w:line="360" w:lineRule="auto"/>
              <w:ind w:firstLineChars="200" w:firstLine="480"/>
              <w:rPr>
                <w:color w:val="auto"/>
                <w:sz w:val="24"/>
              </w:rPr>
            </w:pPr>
            <w:r>
              <w:rPr>
                <w:color w:val="auto"/>
                <w:sz w:val="24"/>
              </w:rPr>
              <w:t>④渗漏收集措施应满</w:t>
            </w:r>
            <w:r>
              <w:rPr>
                <w:rFonts w:hint="eastAsia"/>
                <w:color w:val="auto"/>
                <w:sz w:val="24"/>
                <w:lang w:val="en-US" w:eastAsia="zh-CN"/>
              </w:rPr>
              <w:t>足</w:t>
            </w:r>
            <w:r>
              <w:rPr>
                <w:color w:val="auto"/>
                <w:sz w:val="24"/>
              </w:rPr>
              <w:t>《危险废物贮存污染控制标准》（</w:t>
            </w:r>
            <w:r>
              <w:rPr>
                <w:rFonts w:hint="eastAsia"/>
                <w:color w:val="auto"/>
                <w:sz w:val="24"/>
              </w:rPr>
              <w:t>GB18597-2023</w:t>
            </w:r>
            <w:r>
              <w:rPr>
                <w:color w:val="auto"/>
                <w:sz w:val="24"/>
              </w:rPr>
              <w:t>）（2013年修订）要求：</w:t>
            </w:r>
          </w:p>
          <w:p>
            <w:pPr>
              <w:pageBreakBefore w:val="0"/>
              <w:widowControl w:val="0"/>
              <w:kinsoku/>
              <w:overflowPunct/>
              <w:bidi w:val="0"/>
              <w:spacing w:line="360" w:lineRule="auto"/>
              <w:ind w:firstLineChars="200" w:firstLine="480"/>
              <w:rPr>
                <w:color w:val="auto"/>
                <w:sz w:val="24"/>
              </w:rPr>
            </w:pPr>
            <w:r>
              <w:rPr>
                <w:rFonts w:hint="eastAsia"/>
                <w:color w:val="auto"/>
                <w:sz w:val="24"/>
              </w:rPr>
              <w:t>⑤地⾯与裙脚要⽤坚固、防渗的材料建造，建筑材料必须与危险废物相容</w:t>
            </w:r>
            <w:r>
              <w:rPr>
                <w:rFonts w:hint="eastAsia"/>
                <w:color w:val="auto"/>
                <w:sz w:val="24"/>
                <w:lang w:eastAsia="zh-CN"/>
              </w:rPr>
              <w:t>。</w:t>
            </w:r>
          </w:p>
          <w:p>
            <w:pPr>
              <w:pageBreakBefore w:val="0"/>
              <w:widowControl w:val="0"/>
              <w:kinsoku/>
              <w:overflowPunct/>
              <w:bidi w:val="0"/>
              <w:spacing w:line="360" w:lineRule="auto"/>
              <w:ind w:firstLineChars="200" w:firstLine="480"/>
              <w:rPr>
                <w:color w:val="auto"/>
                <w:sz w:val="24"/>
              </w:rPr>
            </w:pPr>
            <w:r>
              <w:rPr>
                <w:rFonts w:hint="eastAsia"/>
                <w:color w:val="auto"/>
                <w:sz w:val="24"/>
              </w:rPr>
              <w:t>⑥必须有泄漏液体收集装置、⽓体导出</w:t>
            </w:r>
            <w:r>
              <w:rPr>
                <w:rFonts w:hint="eastAsia"/>
                <w:color w:val="auto"/>
                <w:sz w:val="24"/>
                <w:lang w:val="en-US" w:eastAsia="zh-CN"/>
              </w:rPr>
              <w:t>口</w:t>
            </w:r>
            <w:r>
              <w:rPr>
                <w:rFonts w:hint="eastAsia"/>
                <w:color w:val="auto"/>
                <w:sz w:val="24"/>
              </w:rPr>
              <w:t>及⽓体净化装置。</w:t>
            </w:r>
          </w:p>
          <w:p>
            <w:pPr>
              <w:pageBreakBefore w:val="0"/>
              <w:widowControl w:val="0"/>
              <w:kinsoku/>
              <w:overflowPunct/>
              <w:bidi w:val="0"/>
              <w:spacing w:line="360" w:lineRule="auto"/>
              <w:ind w:firstLineChars="200" w:firstLine="480"/>
              <w:rPr>
                <w:color w:val="auto"/>
                <w:sz w:val="24"/>
              </w:rPr>
            </w:pPr>
            <w:r>
              <w:rPr>
                <w:rFonts w:hint="eastAsia"/>
                <w:color w:val="auto"/>
                <w:sz w:val="24"/>
              </w:rPr>
              <w:t>⑦设施内要有安全照明设施和观察窗</w:t>
            </w:r>
            <w:r>
              <w:rPr>
                <w:rFonts w:hint="eastAsia"/>
                <w:color w:val="auto"/>
                <w:sz w:val="24"/>
                <w:lang w:eastAsia="zh-CN"/>
              </w:rPr>
              <w:t>口</w:t>
            </w:r>
            <w:r>
              <w:rPr>
                <w:rFonts w:hint="eastAsia"/>
                <w:color w:val="auto"/>
                <w:sz w:val="24"/>
              </w:rPr>
              <w:t>。危废间应配备通讯设备、防爆照明</w:t>
            </w:r>
          </w:p>
          <w:p>
            <w:pPr>
              <w:pageBreakBefore w:val="0"/>
              <w:widowControl w:val="0"/>
              <w:kinsoku/>
              <w:overflowPunct/>
              <w:bidi w:val="0"/>
              <w:spacing w:line="360" w:lineRule="auto"/>
              <w:ind w:firstLineChars="200" w:firstLine="480"/>
              <w:rPr>
                <w:color w:val="auto"/>
                <w:sz w:val="24"/>
              </w:rPr>
            </w:pPr>
            <w:r>
              <w:rPr>
                <w:rFonts w:hint="eastAsia"/>
                <w:color w:val="auto"/>
                <w:sz w:val="24"/>
              </w:rPr>
              <w:t>设施和观察窗</w:t>
            </w:r>
            <w:r>
              <w:rPr>
                <w:rFonts w:hint="eastAsia"/>
                <w:color w:val="auto"/>
                <w:sz w:val="24"/>
                <w:lang w:eastAsia="zh-CN"/>
              </w:rPr>
              <w:t>口</w:t>
            </w:r>
            <w:r>
              <w:rPr>
                <w:rFonts w:hint="eastAsia"/>
                <w:color w:val="auto"/>
                <w:sz w:val="24"/>
              </w:rPr>
              <w:t>、安全防护服装及⼯具，并设有应急防护设施（结合贮存的危废性质设置洗眼器、灭</w:t>
            </w:r>
            <w:r>
              <w:rPr>
                <w:rFonts w:hint="eastAsia"/>
                <w:color w:val="auto"/>
                <w:sz w:val="24"/>
                <w:lang w:eastAsia="zh-CN"/>
              </w:rPr>
              <w:t>火</w:t>
            </w:r>
            <w:r>
              <w:rPr>
                <w:rFonts w:hint="eastAsia"/>
                <w:color w:val="auto"/>
                <w:sz w:val="24"/>
              </w:rPr>
              <w:t>沙、灭</w:t>
            </w:r>
            <w:r>
              <w:rPr>
                <w:rFonts w:hint="eastAsia"/>
                <w:color w:val="auto"/>
                <w:sz w:val="24"/>
                <w:lang w:eastAsia="zh-CN"/>
              </w:rPr>
              <w:t>火</w:t>
            </w:r>
            <w:r>
              <w:rPr>
                <w:rFonts w:hint="eastAsia"/>
                <w:color w:val="auto"/>
                <w:sz w:val="24"/>
              </w:rPr>
              <w:t>器、收集桶、吸收棉、沙</w:t>
            </w:r>
            <w:r>
              <w:rPr>
                <w:rFonts w:hint="eastAsia"/>
                <w:color w:val="auto"/>
                <w:sz w:val="24"/>
                <w:lang w:val="en-US" w:eastAsia="zh-CN"/>
              </w:rPr>
              <w:t>土</w:t>
            </w:r>
            <w:r>
              <w:rPr>
                <w:rFonts w:hint="eastAsia"/>
                <w:color w:val="auto"/>
                <w:sz w:val="24"/>
              </w:rPr>
              <w:t>、防爆泵等）。</w:t>
            </w:r>
          </w:p>
          <w:p>
            <w:pPr>
              <w:pageBreakBefore w:val="0"/>
              <w:widowControl w:val="0"/>
              <w:kinsoku/>
              <w:overflowPunct/>
              <w:bidi w:val="0"/>
              <w:spacing w:line="360" w:lineRule="auto"/>
              <w:ind w:firstLineChars="200" w:firstLine="480"/>
              <w:rPr>
                <w:color w:val="auto"/>
                <w:sz w:val="24"/>
              </w:rPr>
            </w:pPr>
            <w:r>
              <w:rPr>
                <w:rFonts w:hint="eastAsia"/>
                <w:color w:val="auto"/>
                <w:sz w:val="24"/>
              </w:rPr>
              <w:t>⑧⽤以存放装载液体、半固体危险废物容器的地⽅，必须有耐腐蚀的硬化地⾯，且表⾯⽆裂隙。</w:t>
            </w:r>
          </w:p>
          <w:p>
            <w:pPr>
              <w:pageBreakBefore w:val="0"/>
              <w:widowControl w:val="0"/>
              <w:kinsoku/>
              <w:overflowPunct/>
              <w:bidi w:val="0"/>
              <w:spacing w:line="360" w:lineRule="auto"/>
              <w:ind w:firstLineChars="200" w:firstLine="480"/>
              <w:rPr>
                <w:color w:val="auto"/>
                <w:sz w:val="24"/>
              </w:rPr>
            </w:pPr>
            <w:r>
              <w:rPr>
                <w:rFonts w:hint="eastAsia"/>
                <w:color w:val="auto"/>
                <w:sz w:val="24"/>
              </w:rPr>
              <w:t>⑨应设计堵截泄漏的裙脚，地⾯与裙脚所围建的容积不低于堵截最⼤容器的最⼤储量或总储量的五分之⼀。（存放液体类危废的危废间四周应有围堰，围堰容积要满⾜总储量的1/5）。</w:t>
            </w:r>
          </w:p>
          <w:p>
            <w:pPr>
              <w:pageBreakBefore w:val="0"/>
              <w:widowControl w:val="0"/>
              <w:kinsoku/>
              <w:overflowPunct/>
              <w:bidi w:val="0"/>
              <w:spacing w:line="360" w:lineRule="auto"/>
              <w:ind w:firstLineChars="200" w:firstLine="480"/>
              <w:rPr>
                <w:color w:val="auto"/>
                <w:sz w:val="24"/>
              </w:rPr>
            </w:pPr>
            <w:r>
              <w:rPr>
                <w:rFonts w:hint="eastAsia"/>
                <w:color w:val="auto"/>
                <w:sz w:val="24"/>
              </w:rPr>
              <w:t>⑩不相容的危险废物必须分开存放，并设有隔离间隔断。</w:t>
            </w:r>
          </w:p>
          <w:p>
            <w:pPr>
              <w:pageBreakBefore w:val="0"/>
              <w:widowControl w:val="0"/>
              <w:kinsoku/>
              <w:overflowPunct/>
              <w:bidi w:val="0"/>
              <w:spacing w:line="360" w:lineRule="auto"/>
              <w:ind w:firstLineChars="200" w:firstLine="480"/>
              <w:rPr>
                <w:color w:val="auto"/>
                <w:sz w:val="24"/>
              </w:rPr>
            </w:pPr>
            <w:r>
              <w:rPr>
                <w:rFonts w:hint="eastAsia"/>
                <w:color w:val="auto"/>
                <w:sz w:val="24"/>
              </w:rPr>
              <w:t>⑪基础必须防渗，防渗层为⾄少1</w:t>
            </w:r>
            <w:r>
              <w:rPr>
                <w:rFonts w:hint="eastAsia"/>
                <w:color w:val="auto"/>
                <w:sz w:val="24"/>
                <w:lang w:eastAsia="zh-CN"/>
              </w:rPr>
              <w:t>米</w:t>
            </w:r>
            <w:r>
              <w:rPr>
                <w:rFonts w:hint="eastAsia"/>
                <w:color w:val="auto"/>
                <w:sz w:val="24"/>
              </w:rPr>
              <w:t>厚粘⼟层（渗透系数≤10</w:t>
            </w:r>
            <w:r>
              <w:rPr>
                <w:rFonts w:hint="eastAsia"/>
                <w:color w:val="auto"/>
                <w:sz w:val="24"/>
                <w:vertAlign w:val="superscript"/>
              </w:rPr>
              <w:t>-7</w:t>
            </w:r>
            <w:r>
              <w:rPr>
                <w:rFonts w:hint="eastAsia"/>
                <w:color w:val="auto"/>
                <w:sz w:val="24"/>
              </w:rPr>
              <w:t>厘</w:t>
            </w:r>
            <w:r>
              <w:rPr>
                <w:rFonts w:hint="eastAsia"/>
                <w:color w:val="auto"/>
                <w:sz w:val="24"/>
                <w:lang w:eastAsia="zh-CN"/>
              </w:rPr>
              <w:t>米</w:t>
            </w:r>
            <w:r>
              <w:rPr>
                <w:rFonts w:hint="eastAsia"/>
                <w:color w:val="auto"/>
                <w:sz w:val="24"/>
              </w:rPr>
              <w:t>/秒），或2毫</w:t>
            </w:r>
            <w:r>
              <w:rPr>
                <w:rFonts w:hint="eastAsia"/>
                <w:color w:val="auto"/>
                <w:sz w:val="24"/>
                <w:lang w:eastAsia="zh-CN"/>
              </w:rPr>
              <w:t>米</w:t>
            </w:r>
            <w:r>
              <w:rPr>
                <w:rFonts w:hint="eastAsia"/>
                <w:color w:val="auto"/>
                <w:sz w:val="24"/>
              </w:rPr>
              <w:t>厚⾼密度聚⼄烯，或⾄少2毫</w:t>
            </w:r>
            <w:r>
              <w:rPr>
                <w:rFonts w:hint="eastAsia"/>
                <w:color w:val="auto"/>
                <w:sz w:val="24"/>
                <w:lang w:eastAsia="zh-CN"/>
              </w:rPr>
              <w:t>米</w:t>
            </w:r>
            <w:r>
              <w:rPr>
                <w:rFonts w:hint="eastAsia"/>
                <w:color w:val="auto"/>
                <w:sz w:val="24"/>
              </w:rPr>
              <w:t>厚的其它⼈⼯材料，渗透系数≤10</w:t>
            </w:r>
            <w:r>
              <w:rPr>
                <w:rFonts w:hint="eastAsia"/>
                <w:color w:val="auto"/>
                <w:sz w:val="24"/>
                <w:vertAlign w:val="superscript"/>
              </w:rPr>
              <w:t>-10</w:t>
            </w:r>
            <w:r>
              <w:rPr>
                <w:rFonts w:hint="eastAsia"/>
                <w:color w:val="auto"/>
                <w:sz w:val="24"/>
              </w:rPr>
              <w:t>厘</w:t>
            </w:r>
            <w:r>
              <w:rPr>
                <w:rFonts w:hint="eastAsia"/>
                <w:color w:val="auto"/>
                <w:sz w:val="24"/>
                <w:lang w:val="en-US" w:eastAsia="zh-CN"/>
              </w:rPr>
              <w:t>米</w:t>
            </w:r>
            <w:r>
              <w:rPr>
                <w:rFonts w:hint="eastAsia"/>
                <w:color w:val="auto"/>
                <w:sz w:val="24"/>
              </w:rPr>
              <w:t>/秒。</w:t>
            </w:r>
          </w:p>
          <w:p>
            <w:pPr>
              <w:pageBreakBefore w:val="0"/>
              <w:widowControl w:val="0"/>
              <w:kinsoku/>
              <w:overflowPunct/>
              <w:bidi w:val="0"/>
              <w:spacing w:line="360" w:lineRule="auto"/>
              <w:ind w:firstLineChars="200" w:firstLine="480"/>
              <w:rPr>
                <w:color w:val="auto"/>
                <w:sz w:val="24"/>
              </w:rPr>
            </w:pPr>
            <w:r>
              <w:rPr>
                <w:rFonts w:hint="eastAsia"/>
                <w:color w:val="auto"/>
                <w:sz w:val="24"/>
              </w:rPr>
              <w:t>⑫堆放危险废物的⾼度应根据地⾯承载能⼒确定。</w:t>
            </w:r>
          </w:p>
          <w:p>
            <w:pPr>
              <w:pageBreakBefore w:val="0"/>
              <w:widowControl w:val="0"/>
              <w:kinsoku/>
              <w:overflowPunct/>
              <w:bidi w:val="0"/>
              <w:spacing w:line="360" w:lineRule="auto"/>
              <w:ind w:firstLineChars="200" w:firstLine="480"/>
              <w:rPr>
                <w:color w:val="auto"/>
                <w:sz w:val="24"/>
              </w:rPr>
            </w:pPr>
            <w:r>
              <w:rPr>
                <w:rFonts w:hint="eastAsia"/>
                <w:color w:val="auto"/>
                <w:sz w:val="24"/>
              </w:rPr>
              <w:t>⑬衬</w:t>
            </w:r>
            <w:r>
              <w:rPr>
                <w:rFonts w:hint="eastAsia"/>
                <w:color w:val="auto"/>
                <w:sz w:val="24"/>
                <w:lang w:eastAsia="zh-CN"/>
              </w:rPr>
              <w:t>里</w:t>
            </w:r>
            <w:r>
              <w:rPr>
                <w:rFonts w:hint="eastAsia"/>
                <w:color w:val="auto"/>
                <w:sz w:val="24"/>
              </w:rPr>
              <w:t>放在⼀个基础或底座上。</w:t>
            </w:r>
          </w:p>
          <w:p>
            <w:pPr>
              <w:pageBreakBefore w:val="0"/>
              <w:widowControl w:val="0"/>
              <w:kinsoku/>
              <w:overflowPunct/>
              <w:bidi w:val="0"/>
              <w:spacing w:line="360" w:lineRule="auto"/>
              <w:ind w:firstLineChars="200" w:firstLine="480"/>
              <w:rPr>
                <w:color w:val="auto"/>
                <w:sz w:val="24"/>
              </w:rPr>
            </w:pPr>
            <w:r>
              <w:rPr>
                <w:rFonts w:hint="eastAsia"/>
                <w:color w:val="auto"/>
                <w:sz w:val="24"/>
              </w:rPr>
              <w:t>⑭衬</w:t>
            </w:r>
            <w:r>
              <w:rPr>
                <w:rFonts w:hint="eastAsia"/>
                <w:color w:val="auto"/>
                <w:sz w:val="24"/>
                <w:lang w:eastAsia="zh-CN"/>
              </w:rPr>
              <w:t>里</w:t>
            </w:r>
            <w:r>
              <w:rPr>
                <w:rFonts w:hint="eastAsia"/>
                <w:color w:val="auto"/>
                <w:sz w:val="24"/>
              </w:rPr>
              <w:t>要能够覆盖危险废物或其溶出物可能</w:t>
            </w:r>
            <w:r>
              <w:rPr>
                <w:rFonts w:hint="eastAsia"/>
                <w:color w:val="auto"/>
                <w:sz w:val="24"/>
                <w:lang w:eastAsia="zh-CN"/>
              </w:rPr>
              <w:t>涉及</w:t>
            </w:r>
            <w:r>
              <w:rPr>
                <w:rFonts w:hint="eastAsia"/>
                <w:color w:val="auto"/>
                <w:sz w:val="24"/>
              </w:rPr>
              <w:t>的范围。</w:t>
            </w:r>
          </w:p>
          <w:p>
            <w:pPr>
              <w:pageBreakBefore w:val="0"/>
              <w:widowControl w:val="0"/>
              <w:kinsoku/>
              <w:overflowPunct/>
              <w:bidi w:val="0"/>
              <w:spacing w:line="360" w:lineRule="auto"/>
              <w:ind w:firstLineChars="200" w:firstLine="480"/>
              <w:rPr>
                <w:color w:val="auto"/>
                <w:sz w:val="24"/>
              </w:rPr>
            </w:pPr>
            <w:r>
              <w:rPr>
                <w:rFonts w:hint="eastAsia"/>
                <w:color w:val="auto"/>
                <w:sz w:val="24"/>
              </w:rPr>
              <w:t>⑮不相容的危险废物不能堆放在⼀起。（解析：化学性质不相容的危废⼀律分隔堆放，其分区应采⽤完整的隔离间不渗透隔墙或围堰分割，并在各区域醒⽬位置</w:t>
            </w:r>
            <w:r>
              <w:rPr>
                <w:rFonts w:hint="eastAsia"/>
                <w:color w:val="auto"/>
                <w:sz w:val="24"/>
                <w:lang w:eastAsia="zh-CN"/>
              </w:rPr>
              <w:t>设置</w:t>
            </w:r>
            <w:r>
              <w:rPr>
                <w:rFonts w:hint="eastAsia"/>
                <w:color w:val="auto"/>
                <w:sz w:val="24"/>
              </w:rPr>
              <w:t>该类危废的标志牌。）</w:t>
            </w:r>
          </w:p>
          <w:p>
            <w:pPr>
              <w:pageBreakBefore w:val="0"/>
              <w:widowControl w:val="0"/>
              <w:kinsoku/>
              <w:overflowPunct/>
              <w:bidi w:val="0"/>
              <w:spacing w:line="360" w:lineRule="auto"/>
              <w:ind w:firstLineChars="200" w:firstLine="480"/>
              <w:rPr>
                <w:color w:val="auto"/>
                <w:sz w:val="24"/>
              </w:rPr>
            </w:pPr>
            <w:r>
              <w:rPr>
                <w:rFonts w:hint="eastAsia"/>
                <w:color w:val="auto"/>
                <w:sz w:val="24"/>
              </w:rPr>
              <w:t>⑯总贮存量不超过300Kg(L</w:t>
            </w:r>
            <w:r>
              <w:rPr>
                <w:rFonts w:hint="eastAsia"/>
                <w:color w:val="auto"/>
                <w:sz w:val="24"/>
                <w:lang w:eastAsia="zh-CN"/>
              </w:rPr>
              <w:t>）</w:t>
            </w:r>
            <w:r>
              <w:rPr>
                <w:rFonts w:hint="eastAsia"/>
                <w:color w:val="auto"/>
                <w:sz w:val="24"/>
              </w:rPr>
              <w:t>的危险废物要放</w:t>
            </w:r>
            <w:r>
              <w:rPr>
                <w:rFonts w:hint="eastAsia"/>
                <w:color w:val="auto"/>
                <w:sz w:val="24"/>
                <w:lang w:val="en-US" w:eastAsia="zh-CN"/>
              </w:rPr>
              <w:t>入</w:t>
            </w:r>
            <w:r>
              <w:rPr>
                <w:rFonts w:hint="eastAsia"/>
                <w:color w:val="auto"/>
                <w:sz w:val="24"/>
              </w:rPr>
              <w:t>符合标准的容器内，加上标签，容器放⼊坚固的柜或箱中，柜或箱应设多个直径不</w:t>
            </w:r>
            <w:r>
              <w:rPr>
                <w:rFonts w:hint="eastAsia"/>
                <w:color w:val="auto"/>
                <w:sz w:val="24"/>
                <w:lang w:eastAsia="zh-CN"/>
              </w:rPr>
              <w:t>小于</w:t>
            </w:r>
            <w:r>
              <w:rPr>
                <w:rFonts w:hint="eastAsia"/>
                <w:color w:val="auto"/>
                <w:sz w:val="24"/>
              </w:rPr>
              <w:t>30毫</w:t>
            </w:r>
            <w:r>
              <w:rPr>
                <w:rFonts w:hint="eastAsia"/>
                <w:color w:val="auto"/>
                <w:sz w:val="24"/>
                <w:lang w:eastAsia="zh-CN"/>
              </w:rPr>
              <w:t>米</w:t>
            </w:r>
            <w:r>
              <w:rPr>
                <w:rFonts w:hint="eastAsia"/>
                <w:color w:val="auto"/>
                <w:sz w:val="24"/>
              </w:rPr>
              <w:t>的排⽓孔。不相容危险废物要分别存放或存放在不渗透间隔分开的区域内，每个部分都应有防漏裙脚或储漏盘，防漏裙脚或储漏盘的材料要与危险废物相容。</w:t>
            </w:r>
          </w:p>
          <w:p>
            <w:pPr>
              <w:pageBreakBefore w:val="0"/>
              <w:widowControl w:val="0"/>
              <w:kinsoku/>
              <w:overflowPunct/>
              <w:bidi w:val="0"/>
              <w:spacing w:line="360" w:lineRule="auto"/>
              <w:ind w:firstLineChars="200" w:firstLine="480"/>
              <w:rPr>
                <w:color w:val="auto"/>
                <w:sz w:val="24"/>
              </w:rPr>
            </w:pPr>
            <w:r>
              <w:rPr>
                <w:rFonts w:hint="eastAsia"/>
                <w:color w:val="auto"/>
                <w:sz w:val="24"/>
              </w:rPr>
              <w:t>不同种类危险废物应有明显的过道划分（应设置搬运通道、⼈员运输通道），墙上张贴对应的危废名称。装载液体、半固体危险废物的容器内须留⾜够空间，容器顶部与液体表⾯</w:t>
            </w:r>
          </w:p>
          <w:p>
            <w:pPr>
              <w:pageBreakBefore w:val="0"/>
              <w:widowControl w:val="0"/>
              <w:kinsoku/>
              <w:overflowPunct/>
              <w:autoSpaceDE w:val="0"/>
              <w:autoSpaceDN w:val="0"/>
              <w:bidi w:val="0"/>
              <w:adjustRightInd w:val="0"/>
              <w:snapToGrid w:val="0"/>
              <w:spacing w:line="360" w:lineRule="auto"/>
              <w:ind w:firstLineChars="200" w:firstLine="480"/>
              <w:jc w:val="left"/>
              <w:rPr>
                <w:rFonts w:hint="eastAsia"/>
                <w:b/>
                <w:bCs/>
                <w:color w:val="auto"/>
                <w:kern w:val="0"/>
                <w:sz w:val="24"/>
                <w:lang w:val="en-GB"/>
              </w:rPr>
            </w:pPr>
            <w:r>
              <w:rPr>
                <w:rFonts w:hint="eastAsia"/>
                <w:b/>
                <w:bCs/>
                <w:color w:val="auto"/>
                <w:kern w:val="0"/>
                <w:sz w:val="24"/>
                <w:lang w:val="en-GB"/>
              </w:rPr>
              <w:t>（</w:t>
            </w:r>
            <w:r>
              <w:rPr>
                <w:rFonts w:hint="eastAsia"/>
                <w:b/>
                <w:bCs/>
                <w:color w:val="auto"/>
                <w:kern w:val="0"/>
                <w:sz w:val="24"/>
                <w:lang w:val="en-GB" w:eastAsia="zh-CN"/>
              </w:rPr>
              <w:t>五</w:t>
            </w:r>
            <w:r>
              <w:rPr>
                <w:rFonts w:hint="eastAsia"/>
                <w:b/>
                <w:bCs/>
                <w:color w:val="auto"/>
                <w:kern w:val="0"/>
                <w:sz w:val="24"/>
                <w:lang w:val="en-GB"/>
              </w:rPr>
              <w:t>）环境风险分析</w:t>
            </w:r>
          </w:p>
          <w:p>
            <w:pPr>
              <w:pageBreakBefore w:val="0"/>
              <w:widowControl w:val="0"/>
              <w:kinsoku/>
              <w:overflowPunct/>
              <w:bidi w:val="0"/>
              <w:adjustRightInd w:val="0"/>
              <w:spacing w:line="360" w:lineRule="auto"/>
              <w:ind w:firstLineChars="200" w:firstLine="480"/>
              <w:contextualSpacing/>
              <w:rPr>
                <w:color w:val="auto"/>
                <w:sz w:val="24"/>
              </w:rPr>
            </w:pPr>
            <w:r>
              <w:rPr>
                <w:color w:val="auto"/>
                <w:sz w:val="24"/>
              </w:rPr>
              <w:t>参照《建设项目环境风险评价技术导则》（HJ 169-2018），结合《危险化学品安全管理条例》（国务院令第344号），根据《危险化学品重大危险源</w:t>
            </w:r>
            <w:r>
              <w:rPr>
                <w:rFonts w:hint="eastAsia"/>
                <w:color w:val="auto"/>
                <w:sz w:val="24"/>
              </w:rPr>
              <w:t>辨识</w:t>
            </w:r>
            <w:r>
              <w:rPr>
                <w:color w:val="auto"/>
                <w:sz w:val="24"/>
              </w:rPr>
              <w:t>》（GB18218-2018）中规定，项目风险物质最大贮存量及临界量如下所示。</w:t>
            </w:r>
          </w:p>
          <w:p>
            <w:pPr>
              <w:pageBreakBefore w:val="0"/>
              <w:widowControl w:val="0"/>
              <w:kinsoku/>
              <w:overflowPunct/>
              <w:bidi w:val="0"/>
              <w:contextualSpacing/>
              <w:jc w:val="center"/>
              <w:rPr>
                <w:rFonts w:hint="eastAsia"/>
                <w:b/>
                <w:color w:val="auto"/>
                <w:szCs w:val="21"/>
              </w:rPr>
            </w:pPr>
            <w:r>
              <w:rPr>
                <w:b/>
                <w:color w:val="auto"/>
                <w:szCs w:val="21"/>
              </w:rPr>
              <w:t>表</w:t>
            </w:r>
            <w:r>
              <w:rPr>
                <w:rFonts w:hint="eastAsia"/>
                <w:b/>
                <w:color w:val="auto"/>
                <w:szCs w:val="21"/>
              </w:rPr>
              <w:t>4-</w:t>
            </w:r>
            <w:r>
              <w:rPr>
                <w:rFonts w:hint="eastAsia"/>
                <w:b/>
                <w:color w:val="auto"/>
                <w:szCs w:val="21"/>
                <w:lang w:val="en-US" w:eastAsia="zh-CN"/>
              </w:rPr>
              <w:t>15</w:t>
            </w:r>
            <w:r>
              <w:rPr>
                <w:b/>
                <w:color w:val="auto"/>
                <w:szCs w:val="21"/>
              </w:rPr>
              <w:t xml:space="preserve"> 本项目涉及</w:t>
            </w:r>
            <w:r>
              <w:rPr>
                <w:rFonts w:hint="eastAsia"/>
                <w:b/>
                <w:color w:val="auto"/>
                <w:szCs w:val="21"/>
              </w:rPr>
              <w:t>环境风险物质危险特性及储存情况</w:t>
            </w:r>
          </w:p>
          <w:tbl>
            <w:tblPr>
              <w:jc w:val="left"/>
              <w:tblInd w:w="0" w:type="dxa"/>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600" w:firstRow="0" w:lastRow="0" w:firstColumn="0" w:lastColumn="0" w:noHBand="1" w:noVBand="1"/>
            </w:tblPr>
            <w:tblGrid>
              <w:gridCol w:w="1734"/>
              <w:gridCol w:w="1672"/>
              <w:gridCol w:w="1793"/>
              <w:gridCol w:w="1911"/>
              <w:gridCol w:w="1793"/>
              <w:gridCol w:w="1793"/>
              <w:gridCol w:w="2074"/>
              <w:gridCol w:w="1270"/>
            </w:tblGrid>
            <w:tr>
              <w:trPr>
                <w:trHeight w:val="454"/>
              </w:trPr>
              <w:tc>
                <w:tcPr>
                  <w:tcW w:w="617" w:type="pct"/>
                  <w:tcBorders>
                    <w:tl2br w:val="nil"/>
                    <w:tr2bl w:val="nil"/>
                  </w:tcBorders>
                  <w:vAlign w:val="center"/>
                </w:tcPr>
                <w:p>
                  <w:pPr>
                    <w:pageBreakBefore w:val="0"/>
                    <w:widowControl/>
                    <w:kinsoku/>
                    <w:overflowPunct/>
                    <w:bidi w:val="0"/>
                    <w:jc w:val="center"/>
                    <w:rPr>
                      <w:b/>
                      <w:color w:val="auto"/>
                      <w:szCs w:val="21"/>
                      <w:u w:val="none"/>
                      <w:lang w:val="zh-CN" w:bidi="zh-CN"/>
                    </w:rPr>
                  </w:pPr>
                  <w:r>
                    <w:rPr>
                      <w:b/>
                      <w:color w:val="auto"/>
                      <w:szCs w:val="21"/>
                      <w:u w:val="none"/>
                      <w:lang w:val="zh-CN" w:bidi="zh-CN"/>
                    </w:rPr>
                    <w:t>名称</w:t>
                  </w:r>
                </w:p>
              </w:tc>
              <w:tc>
                <w:tcPr>
                  <w:tcW w:w="595" w:type="pct"/>
                  <w:tcBorders>
                    <w:tl2br w:val="nil"/>
                    <w:tr2bl w:val="nil"/>
                  </w:tcBorders>
                  <w:vAlign w:val="center"/>
                </w:tcPr>
                <w:p>
                  <w:pPr>
                    <w:pageBreakBefore w:val="0"/>
                    <w:widowControl/>
                    <w:kinsoku/>
                    <w:overflowPunct/>
                    <w:bidi w:val="0"/>
                    <w:jc w:val="center"/>
                    <w:rPr>
                      <w:b/>
                      <w:color w:val="auto"/>
                      <w:szCs w:val="21"/>
                      <w:u w:val="none"/>
                      <w:lang w:val="zh-CN" w:bidi="zh-CN"/>
                    </w:rPr>
                  </w:pPr>
                  <w:r>
                    <w:rPr>
                      <w:rFonts w:hint="eastAsia"/>
                      <w:b/>
                      <w:color w:val="auto"/>
                      <w:szCs w:val="21"/>
                      <w:u w:val="none"/>
                      <w:lang w:val="zh-CN" w:bidi="zh-CN"/>
                    </w:rPr>
                    <w:t>形态</w:t>
                  </w:r>
                </w:p>
              </w:tc>
              <w:tc>
                <w:tcPr>
                  <w:tcW w:w="638" w:type="pct"/>
                  <w:tcBorders>
                    <w:tl2br w:val="nil"/>
                    <w:tr2bl w:val="nil"/>
                  </w:tcBorders>
                  <w:vAlign w:val="center"/>
                </w:tcPr>
                <w:p>
                  <w:pPr>
                    <w:pageBreakBefore w:val="0"/>
                    <w:widowControl/>
                    <w:kinsoku/>
                    <w:overflowPunct/>
                    <w:bidi w:val="0"/>
                    <w:jc w:val="center"/>
                    <w:rPr>
                      <w:b/>
                      <w:color w:val="auto"/>
                      <w:szCs w:val="21"/>
                      <w:u w:val="none"/>
                      <w:lang w:val="zh-CN" w:bidi="zh-CN"/>
                    </w:rPr>
                  </w:pPr>
                  <w:r>
                    <w:rPr>
                      <w:rFonts w:hint="eastAsia"/>
                      <w:b/>
                      <w:color w:val="auto"/>
                      <w:szCs w:val="21"/>
                      <w:u w:val="none"/>
                      <w:lang w:val="zh-CN" w:bidi="zh-CN"/>
                    </w:rPr>
                    <w:t>危险特性</w:t>
                  </w:r>
                </w:p>
              </w:tc>
              <w:tc>
                <w:tcPr>
                  <w:tcW w:w="680" w:type="pct"/>
                  <w:tcBorders>
                    <w:tl2br w:val="nil"/>
                    <w:tr2bl w:val="nil"/>
                  </w:tcBorders>
                  <w:vAlign w:val="center"/>
                </w:tcPr>
                <w:p>
                  <w:pPr>
                    <w:pageBreakBefore w:val="0"/>
                    <w:widowControl/>
                    <w:kinsoku/>
                    <w:overflowPunct/>
                    <w:bidi w:val="0"/>
                    <w:jc w:val="center"/>
                    <w:rPr>
                      <w:b/>
                      <w:color w:val="auto"/>
                      <w:szCs w:val="21"/>
                      <w:u w:val="none"/>
                      <w:lang w:val="zh-CN" w:bidi="zh-CN"/>
                    </w:rPr>
                  </w:pPr>
                  <w:r>
                    <w:rPr>
                      <w:rFonts w:hint="eastAsia"/>
                      <w:b/>
                      <w:color w:val="auto"/>
                      <w:szCs w:val="21"/>
                      <w:u w:val="none"/>
                      <w:lang w:val="zh-CN" w:bidi="zh-CN"/>
                    </w:rPr>
                    <w:t>储存方式</w:t>
                  </w:r>
                </w:p>
              </w:tc>
              <w:tc>
                <w:tcPr>
                  <w:tcW w:w="638" w:type="pct"/>
                  <w:tcBorders>
                    <w:tl2br w:val="nil"/>
                    <w:tr2bl w:val="nil"/>
                  </w:tcBorders>
                  <w:vAlign w:val="center"/>
                </w:tcPr>
                <w:p>
                  <w:pPr>
                    <w:pageBreakBefore w:val="0"/>
                    <w:widowControl/>
                    <w:kinsoku/>
                    <w:overflowPunct/>
                    <w:bidi w:val="0"/>
                    <w:jc w:val="center"/>
                    <w:rPr>
                      <w:b/>
                      <w:color w:val="auto"/>
                      <w:szCs w:val="21"/>
                      <w:u w:val="none"/>
                      <w:lang w:bidi="zh-CN"/>
                    </w:rPr>
                  </w:pPr>
                  <w:r>
                    <w:rPr>
                      <w:rFonts w:hint="eastAsia"/>
                      <w:b/>
                      <w:color w:val="auto"/>
                      <w:szCs w:val="21"/>
                      <w:u w:val="none"/>
                      <w:lang w:val="zh-CN" w:bidi="zh-CN"/>
                    </w:rPr>
                    <w:t>最大储存量</w:t>
                  </w:r>
                  <w:r>
                    <w:rPr>
                      <w:rFonts w:hint="eastAsia"/>
                      <w:b/>
                      <w:color w:val="auto"/>
                      <w:szCs w:val="21"/>
                      <w:u w:val="none"/>
                      <w:lang w:bidi="zh-CN"/>
                    </w:rPr>
                    <w:t>q</w:t>
                  </w:r>
                  <w:r>
                    <w:rPr>
                      <w:rFonts w:hint="eastAsia"/>
                      <w:b/>
                      <w:color w:val="auto"/>
                      <w:szCs w:val="21"/>
                      <w:u w:val="none"/>
                      <w:vertAlign w:val="subscript"/>
                      <w:lang w:bidi="zh-CN"/>
                    </w:rPr>
                    <w:t>n</w:t>
                  </w:r>
                  <w:r>
                    <w:rPr>
                      <w:rFonts w:hint="eastAsia"/>
                      <w:b/>
                      <w:color w:val="auto"/>
                      <w:szCs w:val="21"/>
                      <w:u w:val="none"/>
                      <w:lang w:bidi="zh-CN"/>
                    </w:rPr>
                    <w:t>（t）</w:t>
                  </w:r>
                </w:p>
              </w:tc>
              <w:tc>
                <w:tcPr>
                  <w:tcW w:w="638" w:type="pct"/>
                  <w:tcBorders>
                    <w:tl2br w:val="nil"/>
                    <w:tr2bl w:val="nil"/>
                  </w:tcBorders>
                  <w:vAlign w:val="center"/>
                </w:tcPr>
                <w:p>
                  <w:pPr>
                    <w:pageBreakBefore w:val="0"/>
                    <w:widowControl/>
                    <w:kinsoku/>
                    <w:overflowPunct/>
                    <w:bidi w:val="0"/>
                    <w:jc w:val="center"/>
                    <w:rPr>
                      <w:b/>
                      <w:color w:val="auto"/>
                      <w:szCs w:val="21"/>
                      <w:u w:val="none"/>
                      <w:lang w:bidi="zh-CN"/>
                    </w:rPr>
                  </w:pPr>
                  <w:r>
                    <w:rPr>
                      <w:rFonts w:hint="eastAsia"/>
                      <w:b/>
                      <w:color w:val="auto"/>
                      <w:szCs w:val="21"/>
                      <w:u w:val="none"/>
                      <w:lang w:val="zh-CN" w:bidi="zh-CN"/>
                    </w:rPr>
                    <w:t>标准临界量</w:t>
                  </w:r>
                  <w:r>
                    <w:rPr>
                      <w:rFonts w:hint="eastAsia"/>
                      <w:b/>
                      <w:color w:val="auto"/>
                      <w:szCs w:val="21"/>
                      <w:u w:val="none"/>
                      <w:lang w:bidi="zh-CN"/>
                    </w:rPr>
                    <w:t>Q</w:t>
                  </w:r>
                  <w:r>
                    <w:rPr>
                      <w:rFonts w:hint="eastAsia"/>
                      <w:b/>
                      <w:color w:val="auto"/>
                      <w:szCs w:val="21"/>
                      <w:u w:val="none"/>
                      <w:vertAlign w:val="subscript"/>
                      <w:lang w:bidi="zh-CN"/>
                    </w:rPr>
                    <w:t>n</w:t>
                  </w:r>
                  <w:r>
                    <w:rPr>
                      <w:rFonts w:hint="eastAsia"/>
                      <w:b/>
                      <w:color w:val="auto"/>
                      <w:szCs w:val="21"/>
                      <w:u w:val="none"/>
                      <w:lang w:bidi="zh-CN"/>
                    </w:rPr>
                    <w:t>（t）</w:t>
                  </w:r>
                </w:p>
              </w:tc>
              <w:tc>
                <w:tcPr>
                  <w:tcW w:w="738" w:type="pct"/>
                  <w:tcBorders>
                    <w:tl2br w:val="nil"/>
                    <w:tr2bl w:val="nil"/>
                  </w:tcBorders>
                  <w:vAlign w:val="center"/>
                </w:tcPr>
                <w:p>
                  <w:pPr>
                    <w:pageBreakBefore w:val="0"/>
                    <w:widowControl/>
                    <w:kinsoku/>
                    <w:overflowPunct/>
                    <w:bidi w:val="0"/>
                    <w:jc w:val="center"/>
                    <w:rPr>
                      <w:rFonts w:hint="eastAsia"/>
                      <w:b/>
                      <w:color w:val="auto"/>
                      <w:szCs w:val="21"/>
                      <w:u w:val="none"/>
                      <w:lang w:val="zh-CN" w:bidi="zh-CN"/>
                    </w:rPr>
                  </w:pPr>
                  <w:r>
                    <w:rPr>
                      <w:rFonts w:hint="eastAsia"/>
                      <w:b/>
                      <w:color w:val="auto"/>
                      <w:szCs w:val="21"/>
                      <w:u w:val="none"/>
                      <w:lang w:val="zh-CN" w:bidi="zh-CN"/>
                    </w:rPr>
                    <w:t>储存位置</w:t>
                  </w:r>
                </w:p>
              </w:tc>
              <w:tc>
                <w:tcPr>
                  <w:tcW w:w="452" w:type="pct"/>
                  <w:tcBorders>
                    <w:tl2br w:val="nil"/>
                    <w:tr2bl w:val="nil"/>
                  </w:tcBorders>
                  <w:vAlign w:val="center"/>
                </w:tcPr>
                <w:p>
                  <w:pPr>
                    <w:pageBreakBefore w:val="0"/>
                    <w:widowControl/>
                    <w:kinsoku/>
                    <w:overflowPunct/>
                    <w:bidi w:val="0"/>
                    <w:jc w:val="center"/>
                    <w:rPr>
                      <w:b/>
                      <w:color w:val="auto"/>
                      <w:szCs w:val="21"/>
                      <w:u w:val="none"/>
                      <w:lang w:bidi="zh-CN"/>
                    </w:rPr>
                  </w:pPr>
                  <w:r>
                    <w:rPr>
                      <w:rFonts w:hint="eastAsia"/>
                      <w:b/>
                      <w:color w:val="auto"/>
                      <w:szCs w:val="21"/>
                      <w:u w:val="none"/>
                      <w:lang w:bidi="zh-CN"/>
                    </w:rPr>
                    <w:t>Q</w:t>
                  </w:r>
                </w:p>
              </w:tc>
            </w:tr>
            <w:tr>
              <w:trPr>
                <w:trHeight w:val="454"/>
              </w:trPr>
              <w:tc>
                <w:tcPr>
                  <w:tcW w:w="617"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废导热油</w:t>
                  </w:r>
                </w:p>
              </w:tc>
              <w:tc>
                <w:tcPr>
                  <w:tcW w:w="595" w:type="pct"/>
                  <w:tcBorders>
                    <w:tl2br w:val="nil"/>
                    <w:tr2bl w:val="nil"/>
                  </w:tcBorders>
                  <w:vAlign w:val="center"/>
                </w:tcPr>
                <w:p>
                  <w:pPr>
                    <w:pageBreakBefore w:val="0"/>
                    <w:widowControl/>
                    <w:kinsoku/>
                    <w:overflowPunct/>
                    <w:bidi w:val="0"/>
                    <w:jc w:val="center"/>
                    <w:rPr>
                      <w:bCs/>
                      <w:color w:val="auto"/>
                      <w:szCs w:val="21"/>
                      <w:u w:val="none"/>
                      <w:lang w:val="zh-CN" w:bidi="zh-CN"/>
                    </w:rPr>
                  </w:pPr>
                  <w:r>
                    <w:rPr>
                      <w:rFonts w:hint="eastAsia"/>
                      <w:bCs/>
                      <w:color w:val="auto"/>
                      <w:szCs w:val="21"/>
                      <w:u w:val="none"/>
                      <w:lang w:val="zh-CN" w:bidi="zh-CN"/>
                    </w:rPr>
                    <w:t>液态</w:t>
                  </w:r>
                </w:p>
              </w:tc>
              <w:tc>
                <w:tcPr>
                  <w:tcW w:w="638" w:type="pct"/>
                  <w:tcBorders>
                    <w:tl2br w:val="nil"/>
                    <w:tr2bl w:val="nil"/>
                  </w:tcBorders>
                  <w:vAlign w:val="center"/>
                </w:tcPr>
                <w:p>
                  <w:pPr>
                    <w:pageBreakBefore w:val="0"/>
                    <w:widowControl/>
                    <w:kinsoku/>
                    <w:overflowPunct/>
                    <w:bidi w:val="0"/>
                    <w:jc w:val="center"/>
                    <w:rPr>
                      <w:bCs/>
                      <w:color w:val="auto"/>
                      <w:szCs w:val="21"/>
                      <w:u w:val="none"/>
                      <w:lang w:val="zh-CN" w:bidi="zh-CN"/>
                    </w:rPr>
                  </w:pPr>
                  <w:r>
                    <w:rPr>
                      <w:rFonts w:hint="eastAsia"/>
                      <w:bCs/>
                      <w:color w:val="auto"/>
                      <w:szCs w:val="21"/>
                      <w:u w:val="none"/>
                      <w:lang w:val="zh-CN" w:bidi="zh-CN"/>
                    </w:rPr>
                    <w:t>可燃、有毒</w:t>
                  </w:r>
                </w:p>
              </w:tc>
              <w:tc>
                <w:tcPr>
                  <w:tcW w:w="680" w:type="pct"/>
                  <w:tcBorders>
                    <w:tl2br w:val="nil"/>
                    <w:tr2bl w:val="nil"/>
                  </w:tcBorders>
                  <w:vAlign w:val="center"/>
                </w:tcPr>
                <w:p>
                  <w:pPr>
                    <w:pageBreakBefore w:val="0"/>
                    <w:widowControl/>
                    <w:kinsoku/>
                    <w:overflowPunct/>
                    <w:bidi w:val="0"/>
                    <w:jc w:val="center"/>
                    <w:rPr>
                      <w:bCs/>
                      <w:color w:val="auto"/>
                      <w:szCs w:val="21"/>
                      <w:u w:val="none"/>
                      <w:lang w:val="zh-CN" w:bidi="zh-CN"/>
                    </w:rPr>
                  </w:pPr>
                  <w:r>
                    <w:rPr>
                      <w:rFonts w:hint="eastAsia"/>
                      <w:bCs/>
                      <w:color w:val="auto"/>
                      <w:szCs w:val="21"/>
                      <w:u w:val="none"/>
                      <w:lang w:val="zh-CN" w:bidi="zh-CN"/>
                    </w:rPr>
                    <w:t>桶装</w:t>
                  </w:r>
                </w:p>
              </w:tc>
              <w:tc>
                <w:tcPr>
                  <w:tcW w:w="638"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bidi="zh-CN"/>
                    </w:rPr>
                    <w:t>0.</w:t>
                  </w:r>
                  <w:r>
                    <w:rPr>
                      <w:rFonts w:hint="eastAsia"/>
                      <w:bCs/>
                      <w:color w:val="auto"/>
                      <w:szCs w:val="21"/>
                      <w:u w:val="none"/>
                      <w:lang w:val="en-US" w:bidi="zh-CN"/>
                    </w:rPr>
                    <w:t>34</w:t>
                  </w:r>
                </w:p>
              </w:tc>
              <w:tc>
                <w:tcPr>
                  <w:tcW w:w="638"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val="en-US" w:bidi="zh-CN"/>
                    </w:rPr>
                    <w:t>25</w:t>
                  </w:r>
                  <w:r>
                    <w:rPr>
                      <w:rFonts w:hint="eastAsia"/>
                      <w:bCs/>
                      <w:color w:val="auto"/>
                      <w:szCs w:val="21"/>
                      <w:u w:val="none"/>
                      <w:lang w:bidi="zh-CN"/>
                    </w:rPr>
                    <w:t>00</w:t>
                  </w:r>
                </w:p>
              </w:tc>
              <w:tc>
                <w:tcPr>
                  <w:tcW w:w="738" w:type="pct"/>
                  <w:tcBorders>
                    <w:tl2br w:val="nil"/>
                    <w:tr2bl w:val="nil"/>
                  </w:tcBorders>
                  <w:vAlign w:val="center"/>
                </w:tcPr>
                <w:p>
                  <w:pPr>
                    <w:pageBreakBefore w:val="0"/>
                    <w:widowControl/>
                    <w:kinsoku/>
                    <w:overflowPunct/>
                    <w:bidi w:val="0"/>
                    <w:jc w:val="center"/>
                    <w:rPr>
                      <w:bCs/>
                      <w:color w:val="auto"/>
                      <w:szCs w:val="21"/>
                      <w:u w:val="none"/>
                      <w:lang w:val="zh-CN" w:bidi="zh-CN"/>
                    </w:rPr>
                  </w:pPr>
                  <w:r>
                    <w:rPr>
                      <w:rFonts w:hint="eastAsia"/>
                      <w:bCs/>
                      <w:color w:val="auto"/>
                      <w:szCs w:val="21"/>
                      <w:u w:val="none"/>
                      <w:lang w:val="zh-CN" w:bidi="zh-CN"/>
                    </w:rPr>
                    <w:t>危险化学品间</w:t>
                  </w:r>
                </w:p>
              </w:tc>
              <w:tc>
                <w:tcPr>
                  <w:tcW w:w="452"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bidi="zh-CN"/>
                    </w:rPr>
                    <w:t>0.000</w:t>
                  </w:r>
                  <w:r>
                    <w:rPr>
                      <w:rFonts w:hint="eastAsia"/>
                      <w:bCs/>
                      <w:color w:val="auto"/>
                      <w:szCs w:val="21"/>
                      <w:u w:val="none"/>
                      <w:lang w:val="en-US" w:bidi="zh-CN"/>
                    </w:rPr>
                    <w:t>02</w:t>
                  </w:r>
                </w:p>
              </w:tc>
            </w:tr>
            <w:tr>
              <w:trPr>
                <w:trHeight w:val="454"/>
              </w:trPr>
              <w:tc>
                <w:tcPr>
                  <w:tcW w:w="617" w:type="pct"/>
                  <w:tcBorders>
                    <w:tl2br w:val="nil"/>
                    <w:tr2bl w:val="nil"/>
                  </w:tcBorders>
                  <w:vAlign w:val="center"/>
                </w:tcPr>
                <w:p>
                  <w:pPr>
                    <w:pageBreakBefore w:val="0"/>
                    <w:widowControl/>
                    <w:kinsoku/>
                    <w:overflowPunct/>
                    <w:bidi w:val="0"/>
                    <w:jc w:val="center"/>
                    <w:rPr>
                      <w:rFonts w:hint="eastAsia"/>
                      <w:bCs/>
                      <w:color w:val="auto"/>
                      <w:szCs w:val="21"/>
                      <w:u w:val="none"/>
                      <w:lang w:val="en-US" w:bidi="zh-CN"/>
                    </w:rPr>
                  </w:pPr>
                  <w:r>
                    <w:rPr>
                      <w:rFonts w:hint="eastAsia"/>
                      <w:bCs/>
                      <w:color w:val="auto"/>
                      <w:szCs w:val="21"/>
                      <w:u w:val="none"/>
                      <w:lang w:val="en-US" w:bidi="zh-CN"/>
                    </w:rPr>
                    <w:t>导热油</w:t>
                  </w:r>
                </w:p>
              </w:tc>
              <w:tc>
                <w:tcPr>
                  <w:tcW w:w="595" w:type="pct"/>
                  <w:tcBorders>
                    <w:tl2br w:val="nil"/>
                    <w:tr2bl w:val="nil"/>
                  </w:tcBorders>
                  <w:vAlign w:val="center"/>
                </w:tcPr>
                <w:p>
                  <w:pPr>
                    <w:pageBreakBefore w:val="0"/>
                    <w:widowControl/>
                    <w:kinsoku/>
                    <w:overflowPunct/>
                    <w:bidi w:val="0"/>
                    <w:jc w:val="center"/>
                    <w:rPr>
                      <w:rFonts w:hint="eastAsia"/>
                      <w:bCs/>
                      <w:color w:val="auto"/>
                      <w:szCs w:val="21"/>
                      <w:u w:val="none"/>
                      <w:lang w:val="zh-CN" w:bidi="zh-CN"/>
                    </w:rPr>
                  </w:pPr>
                  <w:r>
                    <w:rPr>
                      <w:rFonts w:hint="eastAsia"/>
                      <w:bCs/>
                      <w:color w:val="auto"/>
                      <w:szCs w:val="21"/>
                      <w:u w:val="none"/>
                      <w:lang w:val="zh-CN" w:bidi="zh-CN"/>
                    </w:rPr>
                    <w:t>液态</w:t>
                  </w:r>
                </w:p>
              </w:tc>
              <w:tc>
                <w:tcPr>
                  <w:tcW w:w="638" w:type="pct"/>
                  <w:tcBorders>
                    <w:tl2br w:val="nil"/>
                    <w:tr2bl w:val="nil"/>
                  </w:tcBorders>
                  <w:shd w:val="clear" w:color="auto" w:fill="auto"/>
                  <w:vAlign w:val="center"/>
                </w:tcPr>
                <w:p>
                  <w:pPr>
                    <w:pageBreakBefore w:val="0"/>
                    <w:widowControl/>
                    <w:kinsoku/>
                    <w:overflowPunct/>
                    <w:bidi w:val="0"/>
                    <w:jc w:val="center"/>
                    <w:rPr>
                      <w:rFonts w:ascii="Times New Roman" w:eastAsia="宋体" w:cs="Times New Roman" w:hAnsi="Times New Roman" w:hint="eastAsia"/>
                      <w:bCs/>
                      <w:color w:val="auto"/>
                      <w:kern w:val="2"/>
                      <w:sz w:val="21"/>
                      <w:szCs w:val="21"/>
                      <w:u w:val="none"/>
                      <w:lang w:val="zh-CN" w:eastAsia="zh-CN" w:bidi="zh-CN"/>
                    </w:rPr>
                  </w:pPr>
                  <w:r>
                    <w:rPr>
                      <w:rFonts w:hint="eastAsia"/>
                      <w:bCs/>
                      <w:color w:val="auto"/>
                      <w:szCs w:val="21"/>
                      <w:u w:val="none"/>
                      <w:lang w:val="zh-CN" w:bidi="zh-CN"/>
                    </w:rPr>
                    <w:t>可燃、有毒</w:t>
                  </w:r>
                </w:p>
              </w:tc>
              <w:tc>
                <w:tcPr>
                  <w:tcW w:w="680" w:type="pct"/>
                  <w:tcBorders>
                    <w:tl2br w:val="nil"/>
                    <w:tr2bl w:val="nil"/>
                  </w:tcBorders>
                  <w:shd w:val="clear" w:color="auto" w:fill="auto"/>
                  <w:vAlign w:val="center"/>
                </w:tcPr>
                <w:p>
                  <w:pPr>
                    <w:pageBreakBefore w:val="0"/>
                    <w:widowControl/>
                    <w:kinsoku/>
                    <w:overflowPunct/>
                    <w:bidi w:val="0"/>
                    <w:jc w:val="center"/>
                    <w:rPr>
                      <w:rFonts w:ascii="Times New Roman" w:eastAsia="宋体" w:cs="Times New Roman" w:hAnsi="Times New Roman" w:hint="eastAsia"/>
                      <w:bCs/>
                      <w:color w:val="auto"/>
                      <w:kern w:val="2"/>
                      <w:sz w:val="21"/>
                      <w:szCs w:val="21"/>
                      <w:u w:val="none"/>
                      <w:lang w:val="zh-CN" w:eastAsia="zh-CN" w:bidi="zh-CN"/>
                    </w:rPr>
                  </w:pPr>
                  <w:r>
                    <w:rPr>
                      <w:rFonts w:hint="eastAsia"/>
                      <w:bCs/>
                      <w:color w:val="auto"/>
                      <w:szCs w:val="21"/>
                      <w:u w:val="none"/>
                      <w:lang w:val="zh-CN" w:bidi="zh-CN"/>
                    </w:rPr>
                    <w:t>桶装</w:t>
                  </w:r>
                </w:p>
              </w:tc>
              <w:tc>
                <w:tcPr>
                  <w:tcW w:w="638"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0.34</w:t>
                  </w:r>
                </w:p>
              </w:tc>
              <w:tc>
                <w:tcPr>
                  <w:tcW w:w="638" w:type="pct"/>
                  <w:tcBorders>
                    <w:tl2br w:val="nil"/>
                    <w:tr2bl w:val="nil"/>
                  </w:tcBorders>
                  <w:vAlign w:val="center"/>
                </w:tcPr>
                <w:p>
                  <w:pPr>
                    <w:pageBreakBefore w:val="0"/>
                    <w:widowControl/>
                    <w:kinsoku/>
                    <w:overflowPunct/>
                    <w:bidi w:val="0"/>
                    <w:jc w:val="center"/>
                    <w:rPr>
                      <w:rFonts w:hint="eastAsia"/>
                      <w:bCs/>
                      <w:color w:val="auto"/>
                      <w:szCs w:val="21"/>
                      <w:u w:val="none"/>
                      <w:lang w:val="en-US" w:bidi="zh-CN"/>
                    </w:rPr>
                  </w:pPr>
                  <w:r>
                    <w:rPr>
                      <w:rFonts w:hint="eastAsia"/>
                      <w:bCs/>
                      <w:color w:val="auto"/>
                      <w:szCs w:val="21"/>
                      <w:u w:val="none"/>
                      <w:lang w:val="en-US" w:bidi="zh-CN"/>
                    </w:rPr>
                    <w:t>25</w:t>
                  </w:r>
                  <w:r>
                    <w:rPr>
                      <w:rFonts w:hint="eastAsia"/>
                      <w:bCs/>
                      <w:color w:val="auto"/>
                      <w:szCs w:val="21"/>
                      <w:u w:val="none"/>
                      <w:lang w:bidi="zh-CN"/>
                    </w:rPr>
                    <w:t>00</w:t>
                  </w:r>
                </w:p>
              </w:tc>
              <w:tc>
                <w:tcPr>
                  <w:tcW w:w="738"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val="en-US" w:bidi="zh-CN"/>
                    </w:rPr>
                    <w:t>在线</w:t>
                  </w:r>
                </w:p>
              </w:tc>
              <w:tc>
                <w:tcPr>
                  <w:tcW w:w="452" w:type="pct"/>
                  <w:tcBorders>
                    <w:tl2br w:val="nil"/>
                    <w:tr2bl w:val="nil"/>
                  </w:tcBorders>
                  <w:vAlign w:val="center"/>
                </w:tcPr>
                <w:p>
                  <w:pPr>
                    <w:pageBreakBefore w:val="0"/>
                    <w:widowControl/>
                    <w:kinsoku/>
                    <w:overflowPunct/>
                    <w:bidi w:val="0"/>
                    <w:jc w:val="center"/>
                    <w:rPr>
                      <w:rFonts w:hint="eastAsia"/>
                      <w:bCs/>
                      <w:color w:val="auto"/>
                      <w:szCs w:val="21"/>
                      <w:u w:val="none"/>
                      <w:lang w:bidi="zh-CN"/>
                    </w:rPr>
                  </w:pPr>
                  <w:r>
                    <w:rPr>
                      <w:rFonts w:hint="eastAsia"/>
                      <w:bCs/>
                      <w:color w:val="auto"/>
                      <w:szCs w:val="21"/>
                      <w:u w:val="none"/>
                      <w:lang w:bidi="zh-CN"/>
                    </w:rPr>
                    <w:t>0.000</w:t>
                  </w:r>
                  <w:r>
                    <w:rPr>
                      <w:rFonts w:hint="eastAsia"/>
                      <w:bCs/>
                      <w:color w:val="auto"/>
                      <w:szCs w:val="21"/>
                      <w:u w:val="none"/>
                      <w:lang w:val="en-US" w:bidi="zh-CN"/>
                    </w:rPr>
                    <w:t>02</w:t>
                  </w:r>
                </w:p>
              </w:tc>
            </w:tr>
            <w:tr>
              <w:trPr>
                <w:trHeight w:val="454"/>
              </w:trPr>
              <w:tc>
                <w:tcPr>
                  <w:tcW w:w="617" w:type="pct"/>
                  <w:tcBorders>
                    <w:tl2br w:val="nil"/>
                    <w:tr2bl w:val="nil"/>
                  </w:tcBorders>
                  <w:vAlign w:val="center"/>
                </w:tcPr>
                <w:p>
                  <w:pPr>
                    <w:pageBreakBefore w:val="0"/>
                    <w:widowControl/>
                    <w:kinsoku/>
                    <w:overflowPunct/>
                    <w:bidi w:val="0"/>
                    <w:jc w:val="center"/>
                    <w:rPr>
                      <w:rFonts w:hint="eastAsia"/>
                      <w:bCs/>
                      <w:color w:val="auto"/>
                      <w:szCs w:val="21"/>
                      <w:u w:val="none"/>
                      <w:lang w:val="zh-CN" w:bidi="zh-CN"/>
                    </w:rPr>
                  </w:pPr>
                  <w:r>
                    <w:rPr>
                      <w:rFonts w:hint="eastAsia"/>
                      <w:bCs/>
                      <w:color w:val="auto"/>
                      <w:szCs w:val="21"/>
                      <w:u w:val="none"/>
                      <w:lang w:val="zh-CN" w:bidi="zh-CN"/>
                    </w:rPr>
                    <w:t>合计</w:t>
                  </w:r>
                </w:p>
              </w:tc>
              <w:tc>
                <w:tcPr>
                  <w:tcW w:w="595"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638"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680"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638"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638"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738" w:type="pct"/>
                  <w:tcBorders>
                    <w:tl2br w:val="nil"/>
                    <w:tr2bl w:val="nil"/>
                  </w:tcBorders>
                  <w:vAlign w:val="center"/>
                </w:tcPr>
                <w:p>
                  <w:pPr>
                    <w:pageBreakBefore w:val="0"/>
                    <w:widowControl/>
                    <w:kinsoku/>
                    <w:overflowPunct/>
                    <w:bidi w:val="0"/>
                    <w:jc w:val="center"/>
                    <w:rPr>
                      <w:bCs/>
                      <w:color w:val="auto"/>
                      <w:szCs w:val="21"/>
                      <w:u w:val="none"/>
                      <w:lang w:bidi="zh-CN"/>
                    </w:rPr>
                  </w:pPr>
                  <w:r>
                    <w:rPr>
                      <w:rFonts w:hint="eastAsia"/>
                      <w:bCs/>
                      <w:color w:val="auto"/>
                      <w:szCs w:val="21"/>
                      <w:u w:val="none"/>
                      <w:lang w:bidi="zh-CN"/>
                    </w:rPr>
                    <w:t>/</w:t>
                  </w:r>
                </w:p>
              </w:tc>
              <w:tc>
                <w:tcPr>
                  <w:tcW w:w="452" w:type="pct"/>
                  <w:tcBorders>
                    <w:tl2br w:val="nil"/>
                    <w:tr2bl w:val="nil"/>
                  </w:tcBorders>
                  <w:vAlign w:val="center"/>
                </w:tcPr>
                <w:p>
                  <w:pPr>
                    <w:pageBreakBefore w:val="0"/>
                    <w:widowControl/>
                    <w:kinsoku/>
                    <w:overflowPunct/>
                    <w:bidi w:val="0"/>
                    <w:jc w:val="center"/>
                    <w:rPr>
                      <w:bCs/>
                      <w:color w:val="auto"/>
                      <w:szCs w:val="21"/>
                      <w:u w:val="none"/>
                      <w:lang w:val="en-US" w:bidi="zh-CN"/>
                    </w:rPr>
                  </w:pPr>
                  <w:r>
                    <w:rPr>
                      <w:rFonts w:hint="eastAsia"/>
                      <w:bCs/>
                      <w:color w:val="auto"/>
                      <w:szCs w:val="21"/>
                      <w:u w:val="none"/>
                      <w:lang w:bidi="zh-CN"/>
                    </w:rPr>
                    <w:t>0.000</w:t>
                  </w:r>
                  <w:r>
                    <w:rPr>
                      <w:rFonts w:hint="eastAsia"/>
                      <w:bCs/>
                      <w:color w:val="auto"/>
                      <w:szCs w:val="21"/>
                      <w:u w:val="none"/>
                      <w:lang w:val="en-US" w:bidi="zh-CN"/>
                    </w:rPr>
                    <w:t>04</w:t>
                  </w:r>
                </w:p>
              </w:tc>
            </w:tr>
          </w:tbl>
          <w:p>
            <w:pPr>
              <w:pageBreakBefore w:val="0"/>
              <w:widowControl w:val="0"/>
              <w:kinsoku/>
              <w:overflowPunct/>
              <w:bidi w:val="0"/>
              <w:adjustRightInd w:val="0"/>
              <w:spacing w:beforeLines="50" w:before="120" w:line="360" w:lineRule="auto"/>
              <w:ind w:firstLineChars="200" w:firstLine="480"/>
              <w:contextualSpacing/>
              <w:rPr>
                <w:color w:val="auto"/>
                <w:kern w:val="0"/>
                <w:sz w:val="24"/>
                <w:szCs w:val="20"/>
              </w:rPr>
            </w:pPr>
            <w:r>
              <w:rPr>
                <w:color w:val="auto"/>
                <w:sz w:val="24"/>
              </w:rPr>
              <w:t>由上表计算得知，</w:t>
            </w:r>
            <w:r>
              <w:rPr>
                <w:rFonts w:hint="eastAsia"/>
                <w:color w:val="auto"/>
                <w:sz w:val="24"/>
              </w:rPr>
              <w:t>项目</w:t>
            </w:r>
            <w:r>
              <w:rPr>
                <w:color w:val="auto"/>
                <w:sz w:val="24"/>
              </w:rPr>
              <w:t>的∑qn/Qn 结果为</w:t>
            </w:r>
            <w:r>
              <w:rPr>
                <w:rFonts w:hint="eastAsia"/>
                <w:color w:val="auto"/>
                <w:sz w:val="24"/>
                <w:lang w:val="en-US" w:eastAsia="zh-CN"/>
              </w:rPr>
              <w:t>0.00004</w:t>
            </w:r>
            <w:r>
              <w:rPr>
                <w:color w:val="auto"/>
                <w:sz w:val="24"/>
              </w:rPr>
              <w:t>＜1，故环境风险潜势划分为Ⅰ。</w:t>
            </w:r>
            <w:r>
              <w:rPr>
                <w:color w:val="auto"/>
                <w:kern w:val="0"/>
                <w:sz w:val="24"/>
                <w:szCs w:val="20"/>
              </w:rPr>
              <w:t>仅需对环境风险进行简单分析。</w:t>
            </w:r>
          </w:p>
          <w:p>
            <w:pPr>
              <w:pageBreakBefore w:val="0"/>
              <w:widowControl/>
              <w:kinsoku/>
              <w:overflowPunct/>
              <w:bidi w:val="0"/>
              <w:adjustRightInd w:val="0"/>
              <w:spacing w:line="360" w:lineRule="auto"/>
              <w:ind w:leftChars="200" w:left="420"/>
              <w:jc w:val="center"/>
              <w:rPr>
                <w:b/>
                <w:bCs/>
                <w:color w:val="auto"/>
                <w:kern w:val="0"/>
                <w:szCs w:val="21"/>
              </w:rPr>
            </w:pPr>
            <w:r>
              <w:rPr>
                <w:b/>
                <w:bCs/>
                <w:color w:val="auto"/>
                <w:kern w:val="0"/>
                <w:szCs w:val="21"/>
              </w:rPr>
              <w:t>表</w:t>
            </w:r>
            <w:r>
              <w:rPr>
                <w:rFonts w:hint="eastAsia"/>
                <w:b/>
                <w:bCs/>
                <w:color w:val="auto"/>
                <w:kern w:val="0"/>
                <w:szCs w:val="21"/>
              </w:rPr>
              <w:t>4-</w:t>
            </w:r>
            <w:r>
              <w:rPr>
                <w:rFonts w:hint="eastAsia"/>
                <w:b/>
                <w:bCs/>
                <w:color w:val="auto"/>
                <w:kern w:val="0"/>
                <w:szCs w:val="21"/>
                <w:lang w:val="en-US" w:eastAsia="zh-CN"/>
              </w:rPr>
              <w:t>16</w:t>
            </w:r>
            <w:r>
              <w:rPr>
                <w:rFonts w:hint="eastAsia"/>
                <w:b/>
                <w:bCs/>
                <w:color w:val="auto"/>
                <w:kern w:val="0"/>
                <w:szCs w:val="21"/>
              </w:rPr>
              <w:t xml:space="preserve"> </w:t>
            </w:r>
            <w:r>
              <w:rPr>
                <w:b/>
                <w:bCs/>
                <w:color w:val="auto"/>
                <w:kern w:val="0"/>
                <w:szCs w:val="21"/>
              </w:rPr>
              <w:t>项目环境风险简单分析内容表</w:t>
            </w:r>
          </w:p>
          <w:tbl>
            <w:tblPr>
              <w:jc w:val="left"/>
              <w:tblInd w:w="0" w:type="dx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2887"/>
              <w:gridCol w:w="2035"/>
              <w:gridCol w:w="3287"/>
              <w:gridCol w:w="2266"/>
              <w:gridCol w:w="3582"/>
            </w:tblGrid>
            <w:tr>
              <w:trPr>
                <w:trHeight w:val="454"/>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建设项目名称</w:t>
                  </w:r>
                </w:p>
              </w:tc>
              <w:tc>
                <w:tcPr>
                  <w:tcW w:w="3972" w:type="pct"/>
                  <w:gridSpan w:val="4"/>
                  <w:vAlign w:val="center"/>
                </w:tcPr>
                <w:p>
                  <w:pPr>
                    <w:pageBreakBefore w:val="0"/>
                    <w:widowControl w:val="0"/>
                    <w:kinsoku/>
                    <w:overflowPunct/>
                    <w:bidi w:val="0"/>
                    <w:adjustRightInd w:val="0"/>
                    <w:jc w:val="center"/>
                    <w:rPr>
                      <w:color w:val="auto"/>
                      <w:kern w:val="0"/>
                      <w:szCs w:val="21"/>
                      <w:u w:val="none"/>
                    </w:rPr>
                  </w:pPr>
                  <w:r>
                    <w:rPr>
                      <w:rFonts w:hint="eastAsia"/>
                      <w:color w:val="auto"/>
                      <w:kern w:val="0"/>
                      <w:szCs w:val="21"/>
                      <w:u w:val="none"/>
                      <w:lang w:val="en-US" w:eastAsia="zh-CN"/>
                    </w:rPr>
                    <w:t>湖南智农生物科技有限公司茶油加工厂建设项目</w:t>
                  </w:r>
                </w:p>
              </w:tc>
            </w:tr>
            <w:tr>
              <w:trPr>
                <w:trHeight w:val="454"/>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建设地点</w:t>
                  </w:r>
                </w:p>
              </w:tc>
              <w:tc>
                <w:tcPr>
                  <w:tcW w:w="724" w:type="pct"/>
                  <w:vAlign w:val="center"/>
                </w:tcPr>
                <w:p>
                  <w:pPr>
                    <w:pageBreakBefore w:val="0"/>
                    <w:widowControl w:val="0"/>
                    <w:kinsoku/>
                    <w:overflowPunct/>
                    <w:bidi w:val="0"/>
                    <w:adjustRightInd w:val="0"/>
                    <w:jc w:val="center"/>
                    <w:rPr>
                      <w:color w:val="auto"/>
                      <w:kern w:val="0"/>
                      <w:szCs w:val="21"/>
                      <w:u w:val="none"/>
                    </w:rPr>
                  </w:pPr>
                  <w:r>
                    <w:rPr>
                      <w:color w:val="auto"/>
                      <w:kern w:val="0"/>
                      <w:szCs w:val="21"/>
                      <w:u w:val="none"/>
                    </w:rPr>
                    <w:t>（湖南）省</w:t>
                  </w:r>
                </w:p>
              </w:tc>
              <w:tc>
                <w:tcPr>
                  <w:tcW w:w="1169" w:type="pct"/>
                  <w:vAlign w:val="center"/>
                </w:tcPr>
                <w:p>
                  <w:pPr>
                    <w:pageBreakBefore w:val="0"/>
                    <w:widowControl w:val="0"/>
                    <w:kinsoku/>
                    <w:overflowPunct/>
                    <w:bidi w:val="0"/>
                    <w:adjustRightInd w:val="0"/>
                    <w:jc w:val="center"/>
                    <w:rPr>
                      <w:color w:val="auto"/>
                      <w:kern w:val="0"/>
                      <w:szCs w:val="21"/>
                      <w:u w:val="none"/>
                    </w:rPr>
                  </w:pPr>
                  <w:r>
                    <w:rPr>
                      <w:color w:val="auto"/>
                      <w:kern w:val="0"/>
                      <w:szCs w:val="21"/>
                      <w:u w:val="none"/>
                    </w:rPr>
                    <w:t>（常德）市</w:t>
                  </w:r>
                </w:p>
              </w:tc>
              <w:tc>
                <w:tcPr>
                  <w:tcW w:w="806" w:type="pct"/>
                  <w:vAlign w:val="center"/>
                </w:tcPr>
                <w:p>
                  <w:pPr>
                    <w:pageBreakBefore w:val="0"/>
                    <w:widowControl w:val="0"/>
                    <w:kinsoku/>
                    <w:overflowPunct/>
                    <w:bidi w:val="0"/>
                    <w:adjustRightInd w:val="0"/>
                    <w:jc w:val="center"/>
                    <w:rPr>
                      <w:rFonts w:eastAsia="宋体" w:hint="eastAsia"/>
                      <w:color w:val="auto"/>
                      <w:kern w:val="0"/>
                      <w:szCs w:val="21"/>
                      <w:u w:val="none"/>
                      <w:lang w:eastAsia="zh-CN"/>
                    </w:rPr>
                  </w:pPr>
                  <w:r>
                    <w:rPr>
                      <w:color w:val="auto"/>
                      <w:kern w:val="0"/>
                      <w:szCs w:val="21"/>
                      <w:u w:val="none"/>
                    </w:rPr>
                    <w:t>（</w:t>
                  </w:r>
                  <w:r>
                    <w:rPr>
                      <w:rFonts w:hint="eastAsia"/>
                      <w:color w:val="auto"/>
                      <w:kern w:val="0"/>
                      <w:szCs w:val="21"/>
                      <w:u w:val="none"/>
                      <w:lang w:eastAsia="zh-CN"/>
                    </w:rPr>
                    <w:t>桃源</w:t>
                  </w:r>
                  <w:r>
                    <w:rPr>
                      <w:color w:val="auto"/>
                      <w:kern w:val="0"/>
                      <w:szCs w:val="21"/>
                      <w:u w:val="none"/>
                    </w:rPr>
                    <w:t>）</w:t>
                  </w:r>
                  <w:r>
                    <w:rPr>
                      <w:rFonts w:hint="eastAsia"/>
                      <w:color w:val="auto"/>
                      <w:kern w:val="0"/>
                      <w:szCs w:val="21"/>
                      <w:u w:val="none"/>
                      <w:lang w:eastAsia="zh-CN"/>
                    </w:rPr>
                    <w:t>县</w:t>
                  </w:r>
                </w:p>
              </w:tc>
              <w:tc>
                <w:tcPr>
                  <w:tcW w:w="1271" w:type="pct"/>
                  <w:vAlign w:val="center"/>
                </w:tcPr>
                <w:p>
                  <w:pPr>
                    <w:pageBreakBefore w:val="0"/>
                    <w:widowControl w:val="0"/>
                    <w:kinsoku/>
                    <w:overflowPunct/>
                    <w:bidi w:val="0"/>
                    <w:adjustRightInd w:val="0"/>
                    <w:snapToGrid w:val="0"/>
                    <w:jc w:val="center"/>
                    <w:rPr>
                      <w:rFonts w:eastAsia="宋体"/>
                      <w:color w:val="auto"/>
                      <w:kern w:val="0"/>
                      <w:szCs w:val="21"/>
                      <w:u w:val="none"/>
                      <w:lang w:val="en-US" w:eastAsia="zh-CN"/>
                    </w:rPr>
                  </w:pPr>
                  <w:r>
                    <w:rPr>
                      <w:rFonts w:eastAsia="宋体"/>
                      <w:color w:val="auto"/>
                      <w:kern w:val="0"/>
                      <w:szCs w:val="21"/>
                      <w:u w:val="none"/>
                      <w:lang w:val="en-US" w:eastAsia="zh-CN"/>
                    </w:rPr>
                    <w:t>湖南宝特瑞能新能源有限责任公司，标准化厂房第三栋第1层</w:t>
                  </w:r>
                </w:p>
              </w:tc>
            </w:tr>
            <w:tr>
              <w:trPr>
                <w:trHeight w:val="454"/>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地理坐标</w:t>
                  </w:r>
                </w:p>
              </w:tc>
              <w:tc>
                <w:tcPr>
                  <w:tcW w:w="724" w:type="pct"/>
                  <w:vAlign w:val="center"/>
                </w:tcPr>
                <w:p>
                  <w:pPr>
                    <w:pageBreakBefore w:val="0"/>
                    <w:widowControl w:val="0"/>
                    <w:kinsoku/>
                    <w:overflowPunct/>
                    <w:bidi w:val="0"/>
                    <w:adjustRightInd w:val="0"/>
                    <w:jc w:val="center"/>
                    <w:rPr>
                      <w:color w:val="auto"/>
                      <w:kern w:val="0"/>
                      <w:szCs w:val="21"/>
                      <w:u w:val="none"/>
                    </w:rPr>
                  </w:pPr>
                  <w:r>
                    <w:rPr>
                      <w:color w:val="auto"/>
                      <w:kern w:val="0"/>
                      <w:szCs w:val="21"/>
                      <w:u w:val="none"/>
                    </w:rPr>
                    <w:t>经度</w:t>
                  </w:r>
                </w:p>
              </w:tc>
              <w:tc>
                <w:tcPr>
                  <w:tcW w:w="1169" w:type="pct"/>
                  <w:vAlign w:val="center"/>
                </w:tcPr>
                <w:p>
                  <w:pPr>
                    <w:pageBreakBefore w:val="0"/>
                    <w:widowControl w:val="0"/>
                    <w:kinsoku/>
                    <w:overflowPunct/>
                    <w:bidi w:val="0"/>
                    <w:adjustRightInd w:val="0"/>
                    <w:jc w:val="center"/>
                    <w:rPr>
                      <w:rFonts w:ascii="Times New Roman" w:eastAsia="宋体" w:cs="Times New Roman" w:hAnsi="Times New Roman"/>
                      <w:color w:val="auto"/>
                      <w:kern w:val="0"/>
                      <w:szCs w:val="21"/>
                      <w:u w:val="none"/>
                    </w:rPr>
                  </w:pPr>
                  <w:r>
                    <w:rPr>
                      <w:rFonts w:ascii="Times New Roman" w:eastAsia="宋体" w:cs="Times New Roman" w:hAnsi="Times New Roman" w:hint="eastAsia"/>
                      <w:color w:val="auto"/>
                      <w:kern w:val="0"/>
                      <w:szCs w:val="21"/>
                      <w:u w:val="none"/>
                    </w:rPr>
                    <w:t>111°29'16.346"</w:t>
                  </w:r>
                </w:p>
              </w:tc>
              <w:tc>
                <w:tcPr>
                  <w:tcW w:w="806" w:type="pct"/>
                  <w:vAlign w:val="center"/>
                </w:tcPr>
                <w:p>
                  <w:pPr>
                    <w:pageBreakBefore w:val="0"/>
                    <w:widowControl w:val="0"/>
                    <w:kinsoku/>
                    <w:overflowPunct/>
                    <w:bidi w:val="0"/>
                    <w:adjustRightInd w:val="0"/>
                    <w:jc w:val="center"/>
                    <w:rPr>
                      <w:rFonts w:ascii="Times New Roman" w:eastAsia="宋体" w:cs="Times New Roman" w:hAnsi="Times New Roman"/>
                      <w:color w:val="auto"/>
                      <w:kern w:val="0"/>
                      <w:szCs w:val="21"/>
                      <w:u w:val="none"/>
                    </w:rPr>
                  </w:pPr>
                  <w:r>
                    <w:rPr>
                      <w:rFonts w:ascii="Times New Roman" w:eastAsia="宋体" w:cs="Times New Roman" w:hAnsi="Times New Roman"/>
                      <w:color w:val="auto"/>
                      <w:kern w:val="0"/>
                      <w:szCs w:val="21"/>
                      <w:u w:val="none"/>
                    </w:rPr>
                    <w:t>纬度</w:t>
                  </w:r>
                </w:p>
              </w:tc>
              <w:tc>
                <w:tcPr>
                  <w:tcW w:w="1271" w:type="pct"/>
                  <w:vAlign w:val="center"/>
                </w:tcPr>
                <w:p>
                  <w:pPr>
                    <w:pageBreakBefore w:val="0"/>
                    <w:widowControl w:val="0"/>
                    <w:kinsoku/>
                    <w:overflowPunct/>
                    <w:bidi w:val="0"/>
                    <w:adjustRightInd w:val="0"/>
                    <w:jc w:val="center"/>
                    <w:rPr>
                      <w:rFonts w:ascii="Times New Roman" w:eastAsia="宋体" w:cs="Times New Roman" w:hAnsi="Times New Roman"/>
                      <w:color w:val="auto"/>
                      <w:kern w:val="0"/>
                      <w:szCs w:val="21"/>
                      <w:u w:val="none"/>
                    </w:rPr>
                  </w:pPr>
                  <w:r>
                    <w:rPr>
                      <w:rFonts w:ascii="Times New Roman" w:eastAsia="宋体" w:cs="Times New Roman" w:hAnsi="Times New Roman" w:hint="eastAsia"/>
                      <w:color w:val="auto"/>
                      <w:kern w:val="0"/>
                      <w:szCs w:val="21"/>
                      <w:u w:val="none"/>
                    </w:rPr>
                    <w:t>28°56'23.672"</w:t>
                  </w:r>
                </w:p>
              </w:tc>
            </w:tr>
            <w:tr>
              <w:trPr>
                <w:trHeight w:val="696"/>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主要危险物质及分布</w:t>
                  </w:r>
                </w:p>
              </w:tc>
              <w:tc>
                <w:tcPr>
                  <w:tcW w:w="3972" w:type="pct"/>
                  <w:gridSpan w:val="4"/>
                  <w:vAlign w:val="center"/>
                </w:tcPr>
                <w:p>
                  <w:pPr>
                    <w:pageBreakBefore w:val="0"/>
                    <w:widowControl w:val="0"/>
                    <w:kinsoku/>
                    <w:overflowPunct/>
                    <w:bidi w:val="0"/>
                    <w:adjustRightInd w:val="0"/>
                    <w:jc w:val="left"/>
                    <w:rPr>
                      <w:color w:val="auto"/>
                      <w:kern w:val="0"/>
                      <w:szCs w:val="21"/>
                      <w:u w:val="none"/>
                    </w:rPr>
                  </w:pPr>
                  <w:r>
                    <w:rPr>
                      <w:rFonts w:hint="eastAsia"/>
                      <w:bCs/>
                      <w:color w:val="auto"/>
                      <w:szCs w:val="21"/>
                      <w:u w:val="none"/>
                      <w:lang w:val="en-US" w:bidi="zh-CN"/>
                    </w:rPr>
                    <w:t>导热</w:t>
                  </w:r>
                  <w:r>
                    <w:rPr>
                      <w:rFonts w:hint="eastAsia"/>
                      <w:bCs/>
                      <w:color w:val="auto"/>
                      <w:szCs w:val="21"/>
                      <w:u w:val="none"/>
                      <w:lang w:val="zh-CN" w:bidi="zh-CN"/>
                    </w:rPr>
                    <w:t>油（</w:t>
                  </w:r>
                  <w:r>
                    <w:rPr>
                      <w:rFonts w:hint="eastAsia"/>
                      <w:bCs/>
                      <w:color w:val="auto"/>
                      <w:szCs w:val="21"/>
                      <w:u w:val="none"/>
                      <w:lang w:val="en-US" w:bidi="zh-CN"/>
                    </w:rPr>
                    <w:t>导热油炉</w:t>
                  </w:r>
                  <w:r>
                    <w:rPr>
                      <w:rFonts w:hint="eastAsia"/>
                      <w:bCs/>
                      <w:color w:val="auto"/>
                      <w:szCs w:val="21"/>
                      <w:u w:val="none"/>
                      <w:lang w:val="zh-CN" w:bidi="zh-CN"/>
                    </w:rPr>
                    <w:t>）</w:t>
                  </w:r>
                </w:p>
              </w:tc>
            </w:tr>
            <w:tr>
              <w:trPr>
                <w:trHeight w:val="473"/>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环境影响途径及危害后果（大气、地表水、地下水等）</w:t>
                  </w:r>
                </w:p>
              </w:tc>
              <w:tc>
                <w:tcPr>
                  <w:tcW w:w="3972" w:type="pct"/>
                  <w:gridSpan w:val="4"/>
                  <w:vAlign w:val="center"/>
                </w:tcPr>
                <w:p>
                  <w:pPr>
                    <w:pageBreakBefore w:val="0"/>
                    <w:widowControl w:val="0"/>
                    <w:kinsoku/>
                    <w:overflowPunct/>
                    <w:bidi w:val="0"/>
                    <w:rPr>
                      <w:rFonts w:hint="eastAsia"/>
                      <w:color w:val="auto"/>
                      <w:kern w:val="0"/>
                      <w:szCs w:val="21"/>
                      <w:u w:val="none"/>
                    </w:rPr>
                  </w:pPr>
                  <w:r>
                    <w:rPr>
                      <w:color w:val="auto"/>
                      <w:kern w:val="0"/>
                      <w:szCs w:val="21"/>
                      <w:u w:val="none"/>
                    </w:rPr>
                    <w:t>本项目主要环境影响途径</w:t>
                  </w:r>
                  <w:r>
                    <w:rPr>
                      <w:rFonts w:hint="eastAsia"/>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①生产过程中的火灾爆炸风险</w:t>
                  </w:r>
                  <w:r>
                    <w:rPr>
                      <w:rFonts w:hint="eastAsia"/>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②</w:t>
                  </w:r>
                  <w:r>
                    <w:rPr>
                      <w:rFonts w:hint="eastAsia"/>
                      <w:color w:val="auto"/>
                      <w:kern w:val="0"/>
                      <w:szCs w:val="21"/>
                      <w:u w:val="none"/>
                      <w:lang w:eastAsia="zh-CN"/>
                    </w:rPr>
                    <w:t>运输车辆、生产设备</w:t>
                  </w:r>
                  <w:r>
                    <w:rPr>
                      <w:color w:val="auto"/>
                      <w:kern w:val="0"/>
                      <w:szCs w:val="21"/>
                      <w:u w:val="none"/>
                    </w:rPr>
                    <w:t>油类物质等泄漏</w:t>
                  </w:r>
                  <w:r>
                    <w:rPr>
                      <w:rFonts w:hint="eastAsia"/>
                      <w:color w:val="auto"/>
                      <w:kern w:val="0"/>
                      <w:szCs w:val="21"/>
                      <w:u w:val="none"/>
                    </w:rPr>
                    <w:t>；</w:t>
                  </w:r>
                </w:p>
                <w:p>
                  <w:pPr>
                    <w:pageBreakBefore w:val="0"/>
                    <w:widowControl w:val="0"/>
                    <w:kinsoku/>
                    <w:overflowPunct/>
                    <w:bidi w:val="0"/>
                    <w:rPr>
                      <w:color w:val="auto"/>
                      <w:kern w:val="0"/>
                      <w:szCs w:val="21"/>
                      <w:u w:val="none"/>
                    </w:rPr>
                  </w:pPr>
                  <w:r>
                    <w:rPr>
                      <w:color w:val="auto"/>
                      <w:kern w:val="0"/>
                      <w:szCs w:val="21"/>
                      <w:u w:val="none"/>
                    </w:rPr>
                    <w:t>③废气处理装置故障，导致废气超标排放</w:t>
                  </w:r>
                  <w:r>
                    <w:rPr>
                      <w:rFonts w:hint="eastAsia"/>
                      <w:color w:val="auto"/>
                      <w:kern w:val="0"/>
                      <w:szCs w:val="21"/>
                      <w:u w:val="none"/>
                    </w:rPr>
                    <w:t>；</w:t>
                  </w:r>
                  <w:r>
                    <w:rPr>
                      <w:color w:val="auto"/>
                      <w:kern w:val="0"/>
                      <w:szCs w:val="21"/>
                      <w:u w:val="none"/>
                    </w:rPr>
                    <w:t>④污水处理系统故障，导致废水</w:t>
                  </w:r>
                  <w:r>
                    <w:rPr>
                      <w:rFonts w:hint="eastAsia"/>
                      <w:color w:val="auto"/>
                      <w:kern w:val="0"/>
                      <w:szCs w:val="21"/>
                      <w:u w:val="none"/>
                      <w:lang w:eastAsia="zh-CN"/>
                    </w:rPr>
                    <w:t>泄漏</w:t>
                  </w:r>
                  <w:r>
                    <w:rPr>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可能的危害后果</w:t>
                  </w:r>
                  <w:r>
                    <w:rPr>
                      <w:rFonts w:hint="eastAsia"/>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①火灾爆炸产生的污染物对大气和地表水环境产生影响</w:t>
                  </w:r>
                  <w:r>
                    <w:rPr>
                      <w:rFonts w:hint="eastAsia"/>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②油类物质泄漏，造成地表水、地下水、土壤污染</w:t>
                  </w:r>
                  <w:r>
                    <w:rPr>
                      <w:rFonts w:hint="eastAsia"/>
                      <w:color w:val="auto"/>
                      <w:kern w:val="0"/>
                      <w:szCs w:val="21"/>
                      <w:u w:val="none"/>
                    </w:rPr>
                    <w:t>；</w:t>
                  </w:r>
                </w:p>
                <w:p>
                  <w:pPr>
                    <w:pageBreakBefore w:val="0"/>
                    <w:widowControl w:val="0"/>
                    <w:kinsoku/>
                    <w:overflowPunct/>
                    <w:bidi w:val="0"/>
                    <w:rPr>
                      <w:rFonts w:hint="eastAsia"/>
                      <w:color w:val="auto"/>
                      <w:kern w:val="0"/>
                      <w:szCs w:val="21"/>
                      <w:u w:val="none"/>
                    </w:rPr>
                  </w:pPr>
                  <w:r>
                    <w:rPr>
                      <w:color w:val="auto"/>
                      <w:kern w:val="0"/>
                      <w:szCs w:val="21"/>
                      <w:u w:val="none"/>
                    </w:rPr>
                    <w:t>③废气超标排放造成大气污染</w:t>
                  </w:r>
                  <w:r>
                    <w:rPr>
                      <w:rFonts w:hint="eastAsia"/>
                      <w:color w:val="auto"/>
                      <w:kern w:val="0"/>
                      <w:szCs w:val="21"/>
                      <w:u w:val="none"/>
                    </w:rPr>
                    <w:t>；</w:t>
                  </w:r>
                </w:p>
                <w:p>
                  <w:pPr>
                    <w:pageBreakBefore w:val="0"/>
                    <w:widowControl w:val="0"/>
                    <w:kinsoku/>
                    <w:overflowPunct/>
                    <w:bidi w:val="0"/>
                    <w:rPr>
                      <w:color w:val="auto"/>
                      <w:szCs w:val="21"/>
                      <w:u w:val="none"/>
                    </w:rPr>
                  </w:pPr>
                  <w:r>
                    <w:rPr>
                      <w:color w:val="auto"/>
                      <w:kern w:val="0"/>
                      <w:szCs w:val="21"/>
                      <w:u w:val="none"/>
                    </w:rPr>
                    <w:t>④废水泄漏，造成地表水污染。</w:t>
                  </w:r>
                </w:p>
              </w:tc>
            </w:tr>
            <w:tr>
              <w:trPr>
                <w:trHeight w:val="454"/>
              </w:trPr>
              <w:tc>
                <w:tcPr>
                  <w:tcW w:w="1027" w:type="pct"/>
                  <w:vAlign w:val="center"/>
                </w:tcPr>
                <w:p>
                  <w:pPr>
                    <w:pageBreakBefore w:val="0"/>
                    <w:widowControl w:val="0"/>
                    <w:kinsoku/>
                    <w:overflowPunct/>
                    <w:bidi w:val="0"/>
                    <w:adjustRightInd w:val="0"/>
                    <w:jc w:val="left"/>
                    <w:rPr>
                      <w:b/>
                      <w:bCs/>
                      <w:color w:val="auto"/>
                      <w:kern w:val="0"/>
                      <w:szCs w:val="21"/>
                      <w:u w:val="none"/>
                    </w:rPr>
                  </w:pPr>
                  <w:r>
                    <w:rPr>
                      <w:b/>
                      <w:bCs/>
                      <w:color w:val="auto"/>
                      <w:kern w:val="0"/>
                      <w:szCs w:val="21"/>
                      <w:u w:val="none"/>
                    </w:rPr>
                    <w:t>风险防范措施要求</w:t>
                  </w:r>
                </w:p>
              </w:tc>
              <w:tc>
                <w:tcPr>
                  <w:tcW w:w="3972" w:type="pct"/>
                  <w:gridSpan w:val="4"/>
                  <w:vAlign w:val="center"/>
                </w:tcPr>
                <w:p>
                  <w:pPr>
                    <w:pStyle w:val="37"/>
                    <w:pageBreakBefore w:val="0"/>
                    <w:widowControl w:val="0"/>
                    <w:kinsoku/>
                    <w:overflowPunct/>
                    <w:bidi w:val="0"/>
                    <w:ind w:firstLineChars="200" w:firstLine="420"/>
                    <w:rPr>
                      <w:color w:val="auto"/>
                      <w:u w:val="none"/>
                    </w:rPr>
                  </w:pPr>
                  <w:r>
                    <w:rPr>
                      <w:color w:val="auto"/>
                      <w:u w:val="none"/>
                    </w:rPr>
                    <w:t>①</w:t>
                  </w:r>
                  <w:r>
                    <w:rPr>
                      <w:rFonts w:eastAsia="宋体" w:hint="eastAsia"/>
                      <w:color w:val="auto"/>
                      <w:u w:val="none"/>
                      <w:lang w:eastAsia="zh-CN"/>
                    </w:rPr>
                    <w:t>加强设备检修、维修，防止跑、冒、滴、漏</w:t>
                  </w:r>
                  <w:r>
                    <w:rPr>
                      <w:rFonts w:hint="eastAsia"/>
                      <w:color w:val="auto"/>
                      <w:u w:val="none"/>
                    </w:rPr>
                    <w:t>；</w:t>
                  </w:r>
                </w:p>
                <w:p>
                  <w:pPr>
                    <w:pStyle w:val="37"/>
                    <w:pageBreakBefore w:val="0"/>
                    <w:widowControl w:val="0"/>
                    <w:kinsoku/>
                    <w:overflowPunct/>
                    <w:bidi w:val="0"/>
                    <w:ind w:firstLineChars="200" w:firstLine="420"/>
                    <w:rPr>
                      <w:rFonts w:eastAsia="宋体"/>
                      <w:color w:val="auto"/>
                      <w:kern w:val="0"/>
                      <w:szCs w:val="21"/>
                      <w:u w:val="none"/>
                    </w:rPr>
                  </w:pPr>
                  <w:r>
                    <w:rPr>
                      <w:color w:val="auto"/>
                      <w:u w:val="none"/>
                    </w:rPr>
                    <w:t>②做好废气废水处理装置维护检修，确保设备正常运行，处理有效</w:t>
                  </w:r>
                  <w:r>
                    <w:rPr>
                      <w:rFonts w:hint="eastAsia"/>
                      <w:color w:val="auto"/>
                      <w:u w:val="none"/>
                    </w:rPr>
                    <w:t>。</w:t>
                  </w:r>
                </w:p>
              </w:tc>
            </w:tr>
            <w:tr>
              <w:trPr>
                <w:trHeight w:val="454"/>
              </w:trPr>
              <w:tc>
                <w:tcPr>
                  <w:tcW w:w="1027" w:type="pct"/>
                  <w:vAlign w:val="center"/>
                </w:tcPr>
                <w:p>
                  <w:pPr>
                    <w:pageBreakBefore w:val="0"/>
                    <w:widowControl w:val="0"/>
                    <w:kinsoku/>
                    <w:overflowPunct/>
                    <w:bidi w:val="0"/>
                    <w:adjustRightInd w:val="0"/>
                    <w:jc w:val="left"/>
                    <w:rPr>
                      <w:b/>
                      <w:bCs/>
                      <w:color w:val="auto"/>
                      <w:kern w:val="0"/>
                      <w:szCs w:val="21"/>
                      <w:u w:val="none"/>
                    </w:rPr>
                  </w:pPr>
                  <w:r>
                    <w:rPr>
                      <w:b/>
                      <w:color w:val="auto"/>
                      <w:u w:val="none"/>
                    </w:rPr>
                    <w:t>应急处置措施</w:t>
                  </w:r>
                </w:p>
              </w:tc>
              <w:tc>
                <w:tcPr>
                  <w:tcW w:w="3972" w:type="pct"/>
                  <w:gridSpan w:val="4"/>
                  <w:vAlign w:val="center"/>
                </w:tcPr>
                <w:p>
                  <w:pPr>
                    <w:pStyle w:val="37"/>
                    <w:pageBreakBefore w:val="0"/>
                    <w:widowControl w:val="0"/>
                    <w:kinsoku/>
                    <w:overflowPunct/>
                    <w:bidi w:val="0"/>
                    <w:spacing w:before="2" w:line="242" w:lineRule="auto"/>
                    <w:ind w:right="74"/>
                    <w:rPr>
                      <w:rFonts w:hint="eastAsia"/>
                      <w:b/>
                      <w:bCs/>
                      <w:color w:val="auto"/>
                      <w:u w:val="none"/>
                    </w:rPr>
                  </w:pPr>
                  <w:r>
                    <w:rPr>
                      <w:rFonts w:hint="eastAsia"/>
                      <w:b/>
                      <w:bCs/>
                      <w:color w:val="auto"/>
                      <w:u w:val="none"/>
                    </w:rPr>
                    <w:t>油品泄漏：</w:t>
                  </w:r>
                </w:p>
                <w:p>
                  <w:pPr>
                    <w:pStyle w:val="37"/>
                    <w:pageBreakBefore w:val="0"/>
                    <w:widowControl w:val="0"/>
                    <w:kinsoku/>
                    <w:overflowPunct/>
                    <w:bidi w:val="0"/>
                    <w:ind w:firstLineChars="200" w:firstLine="420"/>
                    <w:rPr>
                      <w:rFonts w:hint="eastAsia"/>
                      <w:color w:val="auto"/>
                      <w:u w:val="none"/>
                    </w:rPr>
                  </w:pPr>
                  <w:r>
                    <w:rPr>
                      <w:rFonts w:hint="eastAsia"/>
                      <w:color w:val="auto"/>
                      <w:u w:val="none"/>
                    </w:rPr>
                    <w:t>发现泄漏时，立即进行堵漏，大量泄漏在地面的油经收集后回用，少量泄漏立即用吸油毡或锯木屑吸附后作为危废废物处置；</w:t>
                  </w:r>
                </w:p>
                <w:p>
                  <w:pPr>
                    <w:pStyle w:val="37"/>
                    <w:pageBreakBefore w:val="0"/>
                    <w:widowControl w:val="0"/>
                    <w:kinsoku/>
                    <w:overflowPunct/>
                    <w:bidi w:val="0"/>
                    <w:rPr>
                      <w:rFonts w:hint="eastAsia"/>
                      <w:b/>
                      <w:color w:val="auto"/>
                      <w:u w:val="none"/>
                    </w:rPr>
                  </w:pPr>
                  <w:r>
                    <w:rPr>
                      <w:rFonts w:hint="eastAsia"/>
                      <w:b/>
                      <w:color w:val="auto"/>
                      <w:u w:val="none"/>
                    </w:rPr>
                    <w:t>废气治理设施故障：</w:t>
                  </w:r>
                </w:p>
                <w:p>
                  <w:pPr>
                    <w:pStyle w:val="37"/>
                    <w:pageBreakBefore w:val="0"/>
                    <w:widowControl w:val="0"/>
                    <w:kinsoku/>
                    <w:overflowPunct/>
                    <w:bidi w:val="0"/>
                    <w:ind w:firstLineChars="200" w:firstLine="420"/>
                    <w:rPr>
                      <w:rFonts w:hint="eastAsia"/>
                      <w:color w:val="auto"/>
                      <w:u w:val="none"/>
                    </w:rPr>
                  </w:pPr>
                  <w:r>
                    <w:rPr>
                      <w:rFonts w:hint="eastAsia"/>
                      <w:color w:val="auto"/>
                      <w:u w:val="none"/>
                    </w:rPr>
                    <w:t>立即停止废气产生工序生产，对废气治理设备进行检修。</w:t>
                  </w:r>
                </w:p>
                <w:p>
                  <w:pPr>
                    <w:pStyle w:val="37"/>
                    <w:pageBreakBefore w:val="0"/>
                    <w:widowControl w:val="0"/>
                    <w:kinsoku/>
                    <w:overflowPunct/>
                    <w:bidi w:val="0"/>
                    <w:rPr>
                      <w:rFonts w:hint="eastAsia"/>
                      <w:b/>
                      <w:color w:val="auto"/>
                      <w:u w:val="none"/>
                    </w:rPr>
                  </w:pPr>
                  <w:r>
                    <w:rPr>
                      <w:rFonts w:hint="eastAsia"/>
                      <w:b/>
                      <w:color w:val="auto"/>
                      <w:u w:val="none"/>
                    </w:rPr>
                    <w:t>废水治理设施故障：</w:t>
                  </w:r>
                </w:p>
                <w:p>
                  <w:pPr>
                    <w:pStyle w:val="37"/>
                    <w:pageBreakBefore w:val="0"/>
                    <w:widowControl w:val="0"/>
                    <w:kinsoku/>
                    <w:overflowPunct/>
                    <w:bidi w:val="0"/>
                    <w:ind w:firstLineChars="200" w:firstLine="420"/>
                    <w:rPr>
                      <w:b/>
                      <w:color w:val="auto"/>
                      <w:u w:val="none"/>
                    </w:rPr>
                  </w:pPr>
                  <w:r>
                    <w:rPr>
                      <w:rFonts w:hint="eastAsia"/>
                      <w:color w:val="auto"/>
                      <w:u w:val="none"/>
                    </w:rPr>
                    <w:t>立即停止生产，对废水治理设备进行检修。</w:t>
                  </w:r>
                </w:p>
              </w:tc>
            </w:tr>
            <w:tr>
              <w:trPr>
                <w:trHeight w:val="454"/>
              </w:trPr>
              <w:tc>
                <w:tcPr>
                  <w:tcW w:w="5000" w:type="pct"/>
                  <w:gridSpan w:val="5"/>
                  <w:vAlign w:val="center"/>
                </w:tcPr>
                <w:p>
                  <w:pPr>
                    <w:pageBreakBefore w:val="0"/>
                    <w:widowControl w:val="0"/>
                    <w:kinsoku/>
                    <w:overflowPunct/>
                    <w:bidi w:val="0"/>
                    <w:adjustRightInd w:val="0"/>
                    <w:jc w:val="left"/>
                    <w:rPr>
                      <w:color w:val="auto"/>
                      <w:kern w:val="0"/>
                      <w:szCs w:val="21"/>
                      <w:u w:val="none"/>
                    </w:rPr>
                  </w:pPr>
                  <w:r>
                    <w:rPr>
                      <w:color w:val="auto"/>
                      <w:kern w:val="0"/>
                      <w:szCs w:val="21"/>
                      <w:u w:val="none"/>
                    </w:rPr>
                    <w:t>填表说明（列出项目相关信息及评价说明）：本项目厂区应严禁烟火，能够降低火灾爆炸造成人员伤亡及财产损失的风险</w:t>
                  </w:r>
                  <w:r>
                    <w:rPr>
                      <w:rFonts w:hint="eastAsia"/>
                      <w:color w:val="auto"/>
                      <w:kern w:val="0"/>
                      <w:szCs w:val="21"/>
                      <w:u w:val="none"/>
                    </w:rPr>
                    <w:t>；</w:t>
                  </w:r>
                  <w:r>
                    <w:rPr>
                      <w:color w:val="auto"/>
                      <w:kern w:val="0"/>
                      <w:szCs w:val="21"/>
                      <w:u w:val="none"/>
                    </w:rPr>
                    <w:t>做好</w:t>
                  </w:r>
                  <w:r>
                    <w:rPr>
                      <w:rFonts w:eastAsia="宋体" w:hint="eastAsia"/>
                      <w:color w:val="auto"/>
                      <w:u w:val="none"/>
                      <w:lang w:eastAsia="zh-CN"/>
                    </w:rPr>
                    <w:t>设备检修、维修</w:t>
                  </w:r>
                  <w:r>
                    <w:rPr>
                      <w:rFonts w:hint="eastAsia"/>
                      <w:color w:val="auto"/>
                      <w:kern w:val="0"/>
                      <w:szCs w:val="21"/>
                      <w:u w:val="none"/>
                    </w:rPr>
                    <w:t>；</w:t>
                  </w:r>
                  <w:r>
                    <w:rPr>
                      <w:color w:val="auto"/>
                      <w:kern w:val="0"/>
                      <w:szCs w:val="21"/>
                      <w:u w:val="none"/>
                    </w:rPr>
                    <w:t>做好废气废水处理装置维护检修，确保废气废水处理效率。</w:t>
                  </w:r>
                </w:p>
              </w:tc>
            </w:tr>
          </w:tbl>
          <w:p>
            <w:pPr>
              <w:pageBreakBefore w:val="0"/>
              <w:widowControl w:val="0"/>
              <w:kinsoku/>
              <w:overflowPunct/>
              <w:autoSpaceDE w:val="0"/>
              <w:autoSpaceDN w:val="0"/>
              <w:bidi w:val="0"/>
              <w:adjustRightInd w:val="0"/>
              <w:snapToGrid w:val="0"/>
              <w:spacing w:beforeLines="50" w:before="120" w:line="360" w:lineRule="auto"/>
              <w:ind w:firstLineChars="200" w:firstLine="480"/>
              <w:jc w:val="left"/>
              <w:rPr>
                <w:b/>
                <w:bCs/>
                <w:color w:val="auto"/>
                <w:kern w:val="0"/>
                <w:sz w:val="24"/>
              </w:rPr>
            </w:pPr>
            <w:r>
              <w:rPr>
                <w:rFonts w:hint="eastAsia"/>
                <w:b/>
                <w:bCs/>
                <w:color w:val="auto"/>
                <w:kern w:val="0"/>
                <w:sz w:val="24"/>
              </w:rPr>
              <w:t>（</w:t>
            </w:r>
            <w:r>
              <w:rPr>
                <w:rFonts w:hint="eastAsia"/>
                <w:b/>
                <w:bCs/>
                <w:color w:val="auto"/>
                <w:kern w:val="0"/>
                <w:sz w:val="24"/>
                <w:lang w:val="en-US" w:eastAsia="zh-CN"/>
              </w:rPr>
              <w:t>六</w:t>
            </w:r>
            <w:r>
              <w:rPr>
                <w:rFonts w:hint="eastAsia"/>
                <w:b/>
                <w:bCs/>
                <w:color w:val="auto"/>
                <w:kern w:val="0"/>
                <w:sz w:val="24"/>
              </w:rPr>
              <w:t>）与排污许可证的衔接关系</w:t>
            </w:r>
          </w:p>
          <w:p>
            <w:pPr>
              <w:pageBreakBefore w:val="0"/>
              <w:widowControl w:val="0"/>
              <w:kinsoku/>
              <w:wordWrap w:val="0"/>
              <w:overflowPunct/>
              <w:topLinePunct/>
              <w:bidi w:val="0"/>
              <w:adjustRightInd w:val="0"/>
              <w:snapToGrid w:val="0"/>
              <w:spacing w:line="360" w:lineRule="auto"/>
              <w:ind w:firstLineChars="200" w:firstLine="480"/>
              <w:jc w:val="left"/>
              <w:rPr>
                <w:b/>
                <w:bCs/>
                <w:color w:val="auto"/>
                <w:kern w:val="0"/>
                <w:sz w:val="24"/>
                <w:lang w:val="en-GB"/>
              </w:rPr>
            </w:pPr>
            <w:r>
              <w:rPr>
                <w:rFonts w:hint="eastAsia"/>
                <w:b/>
                <w:bCs/>
                <w:color w:val="auto"/>
                <w:kern w:val="0"/>
                <w:sz w:val="24"/>
              </w:rPr>
              <w:t>1、</w:t>
            </w:r>
            <w:r>
              <w:rPr>
                <w:rFonts w:hint="eastAsia"/>
                <w:b/>
                <w:bCs/>
                <w:color w:val="auto"/>
                <w:kern w:val="0"/>
                <w:sz w:val="24"/>
                <w:lang w:val="en-GB"/>
              </w:rPr>
              <w:t>排污许可证要求</w:t>
            </w:r>
          </w:p>
          <w:p>
            <w:pPr>
              <w:pageBreakBefore w:val="0"/>
              <w:widowControl w:val="0"/>
              <w:kinsoku/>
              <w:overflowPunct/>
              <w:bidi w:val="0"/>
              <w:adjustRightInd w:val="0"/>
              <w:snapToGrid w:val="0"/>
              <w:spacing w:line="360" w:lineRule="auto"/>
              <w:ind w:firstLineChars="200" w:firstLine="480"/>
              <w:rPr>
                <w:rFonts w:hint="eastAsia"/>
                <w:bCs/>
                <w:color w:val="auto"/>
                <w:sz w:val="24"/>
                <w:szCs w:val="24"/>
                <w:u w:val="none"/>
                <w:lang w:val="en-US" w:eastAsia="zh-CN"/>
              </w:rPr>
            </w:pPr>
            <w:r>
              <w:rPr>
                <w:rFonts w:hint="eastAsia"/>
                <w:color w:val="auto"/>
                <w:sz w:val="24"/>
                <w:szCs w:val="24"/>
                <w:u w:val="none"/>
              </w:rPr>
              <w:t>根据《排污许可证申请与核发技术规范 总则》（H</w:t>
            </w:r>
            <w:r>
              <w:rPr>
                <w:color w:val="auto"/>
                <w:sz w:val="24"/>
                <w:szCs w:val="24"/>
                <w:u w:val="none"/>
              </w:rPr>
              <w:t>J942</w:t>
            </w:r>
            <w:r>
              <w:rPr>
                <w:rFonts w:hint="eastAsia"/>
                <w:color w:val="auto"/>
                <w:sz w:val="24"/>
                <w:szCs w:val="24"/>
                <w:u w:val="none"/>
              </w:rPr>
              <w:t>-</w:t>
            </w:r>
            <w:r>
              <w:rPr>
                <w:color w:val="auto"/>
                <w:sz w:val="24"/>
                <w:szCs w:val="24"/>
                <w:u w:val="none"/>
              </w:rPr>
              <w:t>2018</w:t>
            </w:r>
            <w:r>
              <w:rPr>
                <w:rFonts w:hint="eastAsia"/>
                <w:color w:val="auto"/>
                <w:sz w:val="24"/>
                <w:szCs w:val="24"/>
                <w:u w:val="none"/>
              </w:rPr>
              <w:t>）、《排污许可管理办法（试行）》（环保部令 第4</w:t>
            </w:r>
            <w:r>
              <w:rPr>
                <w:color w:val="auto"/>
                <w:sz w:val="24"/>
                <w:szCs w:val="24"/>
                <w:u w:val="none"/>
              </w:rPr>
              <w:t>8</w:t>
            </w:r>
            <w:r>
              <w:rPr>
                <w:rFonts w:hint="eastAsia"/>
                <w:color w:val="auto"/>
                <w:sz w:val="24"/>
                <w:szCs w:val="24"/>
                <w:u w:val="none"/>
              </w:rPr>
              <w:t>号）及</w:t>
            </w:r>
            <w:r>
              <w:rPr>
                <w:rFonts w:hint="eastAsia"/>
                <w:bCs/>
                <w:color w:val="auto"/>
                <w:sz w:val="24"/>
                <w:szCs w:val="24"/>
                <w:u w:val="none"/>
              </w:rPr>
              <w:t>《固定污染源排污许可分类管理名录（2</w:t>
            </w:r>
            <w:r>
              <w:rPr>
                <w:bCs/>
                <w:color w:val="auto"/>
                <w:sz w:val="24"/>
                <w:szCs w:val="24"/>
                <w:u w:val="none"/>
              </w:rPr>
              <w:t>019</w:t>
            </w:r>
            <w:r>
              <w:rPr>
                <w:rFonts w:hint="eastAsia"/>
                <w:bCs/>
                <w:color w:val="auto"/>
                <w:sz w:val="24"/>
                <w:szCs w:val="24"/>
                <w:u w:val="none"/>
              </w:rPr>
              <w:t>年版）》（第</w:t>
            </w:r>
            <w:r>
              <w:rPr>
                <w:bCs/>
                <w:color w:val="auto"/>
                <w:sz w:val="24"/>
                <w:szCs w:val="24"/>
                <w:u w:val="none"/>
              </w:rPr>
              <w:t>11</w:t>
            </w:r>
            <w:r>
              <w:rPr>
                <w:rFonts w:hint="eastAsia"/>
                <w:bCs/>
                <w:color w:val="auto"/>
                <w:sz w:val="24"/>
                <w:szCs w:val="24"/>
                <w:u w:val="none"/>
              </w:rPr>
              <w:t>号令），本项目属于八、农副食品加工业 13</w:t>
            </w:r>
            <w:r>
              <w:rPr>
                <w:rFonts w:hint="eastAsia"/>
                <w:bCs/>
                <w:color w:val="auto"/>
                <w:sz w:val="24"/>
                <w:szCs w:val="24"/>
                <w:u w:val="none"/>
                <w:lang w:val="en-US" w:eastAsia="zh-CN"/>
              </w:rPr>
              <w:t xml:space="preserve"> 中“11、植物油加工 133 除单纯混合或者分装以外的*”</w:t>
            </w:r>
            <w:r>
              <w:rPr>
                <w:rFonts w:hint="eastAsia"/>
                <w:bCs/>
                <w:color w:val="auto"/>
                <w:sz w:val="24"/>
                <w:szCs w:val="24"/>
                <w:u w:val="none"/>
              </w:rPr>
              <w:t>，应</w:t>
            </w:r>
            <w:r>
              <w:rPr>
                <w:rFonts w:hint="eastAsia"/>
                <w:bCs/>
                <w:color w:val="auto"/>
                <w:sz w:val="24"/>
                <w:szCs w:val="24"/>
                <w:u w:val="none"/>
                <w:lang w:val="en-US" w:eastAsia="zh-CN"/>
              </w:rPr>
              <w:t>进</w:t>
            </w:r>
            <w:r>
              <w:rPr>
                <w:rFonts w:hint="eastAsia"/>
                <w:bCs/>
                <w:color w:val="auto"/>
                <w:sz w:val="24"/>
                <w:szCs w:val="24"/>
                <w:u w:val="none"/>
              </w:rPr>
              <w:t>行排污许可</w:t>
            </w:r>
            <w:r>
              <w:rPr>
                <w:rFonts w:hint="eastAsia"/>
                <w:bCs/>
                <w:color w:val="auto"/>
                <w:sz w:val="24"/>
                <w:szCs w:val="24"/>
                <w:u w:val="none"/>
                <w:lang w:eastAsia="zh-CN"/>
              </w:rPr>
              <w:t>简化</w:t>
            </w:r>
            <w:r>
              <w:rPr>
                <w:rFonts w:hint="eastAsia"/>
                <w:bCs/>
                <w:color w:val="auto"/>
                <w:sz w:val="24"/>
                <w:szCs w:val="24"/>
                <w:u w:val="none"/>
              </w:rPr>
              <w:t>管理</w:t>
            </w:r>
            <w:r>
              <w:rPr>
                <w:rFonts w:hint="eastAsia"/>
                <w:bCs/>
                <w:color w:val="auto"/>
                <w:sz w:val="24"/>
                <w:szCs w:val="24"/>
                <w:u w:val="none"/>
                <w:lang w:val="en-US" w:eastAsia="zh-CN"/>
              </w:rPr>
              <w:t>；</w:t>
            </w:r>
          </w:p>
          <w:p>
            <w:pPr>
              <w:pageBreakBefore w:val="0"/>
              <w:widowControl w:val="0"/>
              <w:kinsoku/>
              <w:wordWrap w:val="0"/>
              <w:overflowPunct/>
              <w:topLinePunct/>
              <w:bidi w:val="0"/>
              <w:adjustRightInd w:val="0"/>
              <w:snapToGrid w:val="0"/>
              <w:spacing w:line="360" w:lineRule="auto"/>
              <w:ind w:firstLineChars="200" w:firstLine="480"/>
              <w:rPr>
                <w:rFonts w:hint="eastAsia"/>
                <w:color w:val="auto"/>
                <w:sz w:val="24"/>
                <w:u w:val="none"/>
              </w:rPr>
            </w:pPr>
            <w:r>
              <w:rPr>
                <w:rFonts w:hint="eastAsia"/>
                <w:bCs/>
                <w:color w:val="auto"/>
                <w:sz w:val="24"/>
                <w:szCs w:val="24"/>
                <w:u w:val="none"/>
                <w:lang w:val="en-US" w:eastAsia="zh-CN"/>
              </w:rPr>
              <w:t>综上所述，</w:t>
            </w:r>
            <w:r>
              <w:rPr>
                <w:rFonts w:hint="eastAsia"/>
                <w:bCs/>
                <w:color w:val="auto"/>
                <w:sz w:val="24"/>
                <w:szCs w:val="24"/>
                <w:u w:val="none"/>
              </w:rPr>
              <w:t>本项目应</w:t>
            </w:r>
            <w:r>
              <w:rPr>
                <w:rFonts w:hint="eastAsia"/>
                <w:bCs/>
                <w:color w:val="auto"/>
                <w:sz w:val="24"/>
                <w:szCs w:val="24"/>
                <w:u w:val="none"/>
                <w:lang w:val="en-US" w:eastAsia="zh-CN"/>
              </w:rPr>
              <w:t>进</w:t>
            </w:r>
            <w:r>
              <w:rPr>
                <w:rFonts w:hint="eastAsia"/>
                <w:bCs/>
                <w:color w:val="auto"/>
                <w:sz w:val="24"/>
                <w:szCs w:val="24"/>
                <w:u w:val="none"/>
              </w:rPr>
              <w:t>行排污许可</w:t>
            </w:r>
            <w:r>
              <w:rPr>
                <w:rFonts w:hint="eastAsia"/>
                <w:bCs/>
                <w:color w:val="auto"/>
                <w:sz w:val="24"/>
                <w:szCs w:val="24"/>
                <w:u w:val="none"/>
                <w:lang w:eastAsia="zh-CN"/>
              </w:rPr>
              <w:t>简化</w:t>
            </w:r>
            <w:r>
              <w:rPr>
                <w:rFonts w:hint="eastAsia"/>
                <w:bCs/>
                <w:color w:val="auto"/>
                <w:sz w:val="24"/>
                <w:szCs w:val="24"/>
                <w:u w:val="none"/>
              </w:rPr>
              <w:t>管理项目需在投产前完成排污</w:t>
            </w:r>
            <w:r>
              <w:rPr>
                <w:rFonts w:hint="eastAsia"/>
                <w:bCs/>
                <w:color w:val="auto"/>
                <w:sz w:val="24"/>
                <w:szCs w:val="24"/>
                <w:u w:val="none"/>
                <w:lang w:eastAsia="zh-CN"/>
              </w:rPr>
              <w:t>许可证填报</w:t>
            </w:r>
            <w:r>
              <w:rPr>
                <w:rFonts w:hint="eastAsia"/>
                <w:color w:val="auto"/>
                <w:sz w:val="24"/>
                <w:u w:val="none"/>
              </w:rPr>
              <w:t>。</w:t>
            </w:r>
          </w:p>
          <w:p>
            <w:pPr>
              <w:pageBreakBefore w:val="0"/>
              <w:widowControl w:val="0"/>
              <w:kinsoku/>
              <w:wordWrap w:val="0"/>
              <w:overflowPunct/>
              <w:topLinePunct/>
              <w:bidi w:val="0"/>
              <w:adjustRightInd w:val="0"/>
              <w:snapToGrid w:val="0"/>
              <w:spacing w:beforeLines="50" w:before="120" w:line="360" w:lineRule="auto"/>
              <w:ind w:firstLineChars="200" w:firstLine="480"/>
              <w:jc w:val="left"/>
              <w:rPr>
                <w:b/>
                <w:bCs/>
                <w:color w:val="auto"/>
              </w:rPr>
            </w:pPr>
            <w:r>
              <w:rPr>
                <w:rFonts w:hint="eastAsia"/>
                <w:b/>
                <w:bCs/>
                <w:color w:val="auto"/>
                <w:kern w:val="0"/>
                <w:sz w:val="24"/>
              </w:rPr>
              <w:t>2、</w:t>
            </w:r>
            <w:r>
              <w:rPr>
                <w:rFonts w:hint="eastAsia"/>
                <w:b/>
                <w:bCs/>
                <w:color w:val="auto"/>
                <w:kern w:val="0"/>
                <w:sz w:val="24"/>
                <w:lang w:val="en-GB"/>
              </w:rPr>
              <w:t>排污许可证衔接表</w:t>
            </w:r>
          </w:p>
          <w:p>
            <w:pPr>
              <w:pageBreakBefore w:val="0"/>
              <w:widowControl/>
              <w:kinsoku/>
              <w:overflowPunct/>
              <w:bidi w:val="0"/>
              <w:adjustRightInd w:val="0"/>
              <w:spacing w:line="360" w:lineRule="auto"/>
              <w:ind w:leftChars="200" w:left="420"/>
              <w:jc w:val="center"/>
              <w:rPr>
                <w:b/>
                <w:bCs/>
                <w:color w:val="auto"/>
                <w:kern w:val="0"/>
                <w:szCs w:val="21"/>
                <w:lang w:val="en-GB"/>
              </w:rPr>
            </w:pPr>
            <w:r>
              <w:rPr>
                <w:b/>
                <w:bCs/>
                <w:color w:val="auto"/>
                <w:kern w:val="0"/>
                <w:szCs w:val="21"/>
                <w:lang w:val="en-GB"/>
              </w:rPr>
              <w:t>表</w:t>
            </w:r>
            <w:r>
              <w:rPr>
                <w:rFonts w:hint="eastAsia"/>
                <w:b/>
                <w:bCs/>
                <w:color w:val="auto"/>
                <w:kern w:val="0"/>
                <w:szCs w:val="21"/>
              </w:rPr>
              <w:t xml:space="preserve"> </w:t>
            </w:r>
            <w:r>
              <w:rPr>
                <w:b/>
                <w:bCs/>
                <w:color w:val="auto"/>
                <w:kern w:val="0"/>
                <w:szCs w:val="21"/>
              </w:rPr>
              <w:t>4-</w:t>
            </w:r>
            <w:r>
              <w:rPr>
                <w:rFonts w:hint="eastAsia"/>
                <w:b/>
                <w:bCs/>
                <w:color w:val="auto"/>
                <w:kern w:val="0"/>
                <w:szCs w:val="21"/>
                <w:lang w:val="en-US" w:eastAsia="zh-CN"/>
              </w:rPr>
              <w:t>17</w:t>
            </w:r>
            <w:r>
              <w:rPr>
                <w:b/>
                <w:bCs/>
                <w:color w:val="auto"/>
                <w:kern w:val="0"/>
                <w:szCs w:val="21"/>
              </w:rPr>
              <w:t xml:space="preserve"> </w:t>
            </w:r>
            <w:r>
              <w:rPr>
                <w:b/>
                <w:bCs/>
                <w:color w:val="auto"/>
                <w:kern w:val="0"/>
                <w:szCs w:val="21"/>
                <w:lang w:val="en-GB"/>
              </w:rPr>
              <w:t>本工程大气污染物排放基本情况一览表</w:t>
            </w:r>
          </w:p>
          <w:tbl>
            <w:tblPr>
              <w:jc w:val="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00"/>
              <w:gridCol w:w="706"/>
              <w:gridCol w:w="658"/>
              <w:gridCol w:w="557"/>
              <w:gridCol w:w="1463"/>
              <w:gridCol w:w="2796"/>
              <w:gridCol w:w="1038"/>
              <w:gridCol w:w="911"/>
              <w:gridCol w:w="1350"/>
              <w:gridCol w:w="1342"/>
              <w:gridCol w:w="2531"/>
            </w:tblGrid>
            <w:tr>
              <w:trPr>
                <w:trHeight w:val="283"/>
              </w:trPr>
              <w:tc>
                <w:tcPr>
                  <w:tcW w:w="500" w:type="pct"/>
                  <w:gridSpan w:val="2"/>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污染源项</w:t>
                  </w:r>
                </w:p>
              </w:tc>
              <w:tc>
                <w:tcPr>
                  <w:tcW w:w="234"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治理</w:t>
                  </w:r>
                </w:p>
                <w:p>
                  <w:pPr>
                    <w:pageBreakBefore w:val="0"/>
                    <w:widowControl w:val="0"/>
                    <w:kinsoku/>
                    <w:overflowPunct/>
                    <w:bidi w:val="0"/>
                    <w:jc w:val="center"/>
                    <w:rPr>
                      <w:b/>
                      <w:bCs/>
                      <w:color w:val="auto"/>
                      <w:szCs w:val="21"/>
                    </w:rPr>
                  </w:pPr>
                  <w:r>
                    <w:rPr>
                      <w:b/>
                      <w:bCs/>
                      <w:color w:val="auto"/>
                      <w:szCs w:val="21"/>
                    </w:rPr>
                    <w:t>措施</w:t>
                  </w:r>
                </w:p>
              </w:tc>
              <w:tc>
                <w:tcPr>
                  <w:tcW w:w="198"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排放</w:t>
                  </w:r>
                </w:p>
                <w:p>
                  <w:pPr>
                    <w:pageBreakBefore w:val="0"/>
                    <w:widowControl w:val="0"/>
                    <w:kinsoku/>
                    <w:overflowPunct/>
                    <w:bidi w:val="0"/>
                    <w:jc w:val="center"/>
                    <w:rPr>
                      <w:b/>
                      <w:bCs/>
                      <w:color w:val="auto"/>
                      <w:szCs w:val="21"/>
                    </w:rPr>
                  </w:pPr>
                  <w:r>
                    <w:rPr>
                      <w:b/>
                      <w:bCs/>
                      <w:color w:val="auto"/>
                      <w:szCs w:val="21"/>
                    </w:rPr>
                    <w:t>形式</w:t>
                  </w:r>
                </w:p>
              </w:tc>
              <w:tc>
                <w:tcPr>
                  <w:tcW w:w="520"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排放口编号</w:t>
                  </w:r>
                </w:p>
              </w:tc>
              <w:tc>
                <w:tcPr>
                  <w:tcW w:w="994"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排放口坐标</w:t>
                  </w:r>
                </w:p>
              </w:tc>
              <w:tc>
                <w:tcPr>
                  <w:tcW w:w="369"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排放口类型</w:t>
                  </w:r>
                </w:p>
              </w:tc>
              <w:tc>
                <w:tcPr>
                  <w:tcW w:w="324"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污染</w:t>
                  </w:r>
                </w:p>
                <w:p>
                  <w:pPr>
                    <w:pageBreakBefore w:val="0"/>
                    <w:widowControl w:val="0"/>
                    <w:kinsoku/>
                    <w:overflowPunct/>
                    <w:bidi w:val="0"/>
                    <w:jc w:val="center"/>
                    <w:rPr>
                      <w:b/>
                      <w:bCs/>
                      <w:color w:val="auto"/>
                      <w:szCs w:val="21"/>
                    </w:rPr>
                  </w:pPr>
                  <w:r>
                    <w:rPr>
                      <w:b/>
                      <w:bCs/>
                      <w:color w:val="auto"/>
                      <w:szCs w:val="21"/>
                    </w:rPr>
                    <w:t>因子</w:t>
                  </w:r>
                </w:p>
              </w:tc>
              <w:tc>
                <w:tcPr>
                  <w:tcW w:w="957" w:type="pct"/>
                  <w:gridSpan w:val="2"/>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标准值</w:t>
                  </w:r>
                </w:p>
              </w:tc>
              <w:tc>
                <w:tcPr>
                  <w:tcW w:w="900" w:type="pct"/>
                  <w:vMerge w:val="restar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执行标准</w:t>
                  </w:r>
                </w:p>
              </w:tc>
            </w:tr>
            <w:tr>
              <w:trPr>
                <w:trHeight w:val="283"/>
              </w:trPr>
              <w:tc>
                <w:tcPr>
                  <w:tcW w:w="249" w:type="pc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生产工艺</w:t>
                  </w:r>
                </w:p>
              </w:tc>
              <w:tc>
                <w:tcPr>
                  <w:tcW w:w="250" w:type="pc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产污设备</w:t>
                  </w:r>
                </w:p>
              </w:tc>
              <w:tc>
                <w:tcPr>
                  <w:tcW w:w="234" w:type="pct"/>
                  <w:vMerge/>
                  <w:tcBorders>
                    <w:tl2br w:val="nil"/>
                    <w:tr2bl w:val="nil"/>
                  </w:tcBorders>
                  <w:vAlign w:val="center"/>
                </w:tcPr>
                <w:p/>
              </w:tc>
              <w:tc>
                <w:tcPr>
                  <w:tcW w:w="198" w:type="pct"/>
                  <w:vMerge/>
                  <w:tcBorders>
                    <w:tl2br w:val="nil"/>
                    <w:tr2bl w:val="nil"/>
                  </w:tcBorders>
                  <w:vAlign w:val="center"/>
                </w:tcPr>
                <w:p/>
              </w:tc>
              <w:tc>
                <w:tcPr>
                  <w:tcW w:w="520" w:type="pct"/>
                  <w:vMerge/>
                  <w:tcBorders>
                    <w:tl2br w:val="nil"/>
                    <w:tr2bl w:val="nil"/>
                  </w:tcBorders>
                  <w:vAlign w:val="center"/>
                </w:tcPr>
                <w:p/>
              </w:tc>
              <w:tc>
                <w:tcPr>
                  <w:tcW w:w="994" w:type="pct"/>
                  <w:vMerge/>
                  <w:tcBorders>
                    <w:tl2br w:val="nil"/>
                    <w:tr2bl w:val="nil"/>
                  </w:tcBorders>
                  <w:vAlign w:val="center"/>
                </w:tcPr>
                <w:p/>
              </w:tc>
              <w:tc>
                <w:tcPr>
                  <w:tcW w:w="369" w:type="pct"/>
                  <w:vMerge/>
                  <w:tcBorders>
                    <w:tl2br w:val="nil"/>
                    <w:tr2bl w:val="nil"/>
                  </w:tcBorders>
                  <w:vAlign w:val="center"/>
                </w:tcPr>
                <w:p/>
              </w:tc>
              <w:tc>
                <w:tcPr>
                  <w:tcW w:w="324" w:type="pct"/>
                  <w:vMerge/>
                  <w:tcBorders>
                    <w:tl2br w:val="nil"/>
                    <w:tr2bl w:val="nil"/>
                  </w:tcBorders>
                  <w:vAlign w:val="center"/>
                </w:tcPr>
                <w:p/>
              </w:tc>
              <w:tc>
                <w:tcPr>
                  <w:tcW w:w="480" w:type="pc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浓度限值（mg/m</w:t>
                  </w:r>
                  <w:r>
                    <w:rPr>
                      <w:b/>
                      <w:bCs/>
                      <w:color w:val="auto"/>
                      <w:szCs w:val="21"/>
                      <w:vertAlign w:val="superscript"/>
                    </w:rPr>
                    <w:t>3</w:t>
                  </w:r>
                  <w:r>
                    <w:rPr>
                      <w:b/>
                      <w:bCs/>
                      <w:color w:val="auto"/>
                      <w:szCs w:val="21"/>
                    </w:rPr>
                    <w:t>）</w:t>
                  </w:r>
                </w:p>
              </w:tc>
              <w:tc>
                <w:tcPr>
                  <w:tcW w:w="477" w:type="pct"/>
                  <w:tcBorders>
                    <w:tl2br w:val="nil"/>
                    <w:tr2bl w:val="nil"/>
                  </w:tcBorders>
                  <w:vAlign w:val="center"/>
                </w:tcPr>
                <w:p>
                  <w:pPr>
                    <w:pageBreakBefore w:val="0"/>
                    <w:widowControl w:val="0"/>
                    <w:kinsoku/>
                    <w:overflowPunct/>
                    <w:bidi w:val="0"/>
                    <w:jc w:val="center"/>
                    <w:rPr>
                      <w:b/>
                      <w:bCs/>
                      <w:color w:val="auto"/>
                      <w:szCs w:val="21"/>
                    </w:rPr>
                  </w:pPr>
                  <w:r>
                    <w:rPr>
                      <w:b/>
                      <w:bCs/>
                      <w:color w:val="auto"/>
                      <w:szCs w:val="21"/>
                    </w:rPr>
                    <w:t>速率限值</w:t>
                  </w:r>
                </w:p>
                <w:p>
                  <w:pPr>
                    <w:pageBreakBefore w:val="0"/>
                    <w:widowControl w:val="0"/>
                    <w:kinsoku/>
                    <w:overflowPunct/>
                    <w:bidi w:val="0"/>
                    <w:jc w:val="center"/>
                    <w:rPr>
                      <w:b/>
                      <w:bCs/>
                      <w:color w:val="auto"/>
                      <w:szCs w:val="21"/>
                    </w:rPr>
                  </w:pPr>
                  <w:r>
                    <w:rPr>
                      <w:rFonts w:hint="eastAsia"/>
                      <w:b/>
                      <w:bCs/>
                      <w:color w:val="auto"/>
                      <w:szCs w:val="21"/>
                      <w:lang w:eastAsia="zh-CN"/>
                    </w:rPr>
                    <w:t>(</w:t>
                  </w:r>
                  <w:r>
                    <w:rPr>
                      <w:b/>
                      <w:bCs/>
                      <w:color w:val="auto"/>
                      <w:szCs w:val="21"/>
                    </w:rPr>
                    <w:t>kg/h</w:t>
                  </w:r>
                  <w:r>
                    <w:rPr>
                      <w:rFonts w:hint="eastAsia"/>
                      <w:b/>
                      <w:bCs/>
                      <w:color w:val="auto"/>
                      <w:szCs w:val="21"/>
                      <w:lang w:eastAsia="zh-CN"/>
                    </w:rPr>
                    <w:t>)</w:t>
                  </w:r>
                </w:p>
              </w:tc>
              <w:tc>
                <w:tcPr>
                  <w:tcW w:w="900" w:type="pct"/>
                  <w:vMerge/>
                  <w:tcBorders>
                    <w:tl2br w:val="nil"/>
                    <w:tr2bl w:val="nil"/>
                  </w:tcBorders>
                  <w:vAlign w:val="center"/>
                </w:tcPr>
                <w:p/>
              </w:tc>
            </w:tr>
            <w:tr>
              <w:trPr>
                <w:trHeight w:val="454"/>
              </w:trPr>
              <w:tc>
                <w:tcPr>
                  <w:tcW w:w="2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lang w:val="en-US" w:eastAsia="zh-CN"/>
                    </w:rPr>
                  </w:pPr>
                  <w:r>
                    <w:rPr>
                      <w:rFonts w:ascii="Times New Roman" w:eastAsia="宋体" w:cs="Times New Roman" w:hAnsi="Times New Roman" w:hint="eastAsia"/>
                      <w:b w:val="0"/>
                      <w:bCs w:val="0"/>
                      <w:color w:val="auto"/>
                      <w:kern w:val="0"/>
                      <w:sz w:val="21"/>
                      <w:szCs w:val="21"/>
                      <w:u w:val="none"/>
                      <w:lang w:val="en-US" w:eastAsia="zh-CN"/>
                    </w:rPr>
                    <w:t>剥壳、压榨、精炼</w:t>
                  </w:r>
                </w:p>
              </w:tc>
              <w:tc>
                <w:tcPr>
                  <w:tcW w:w="25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lang w:val="en-US" w:eastAsia="zh-CN"/>
                    </w:rPr>
                  </w:pPr>
                  <w:r>
                    <w:rPr>
                      <w:rFonts w:ascii="Times New Roman" w:eastAsia="宋体" w:cs="Times New Roman" w:hAnsi="Times New Roman" w:hint="eastAsia"/>
                      <w:b w:val="0"/>
                      <w:bCs w:val="0"/>
                      <w:color w:val="auto"/>
                      <w:kern w:val="0"/>
                      <w:sz w:val="21"/>
                      <w:szCs w:val="21"/>
                      <w:u w:val="none"/>
                      <w:lang w:val="en-US" w:eastAsia="zh-CN"/>
                    </w:rPr>
                    <w:t>剥壳、压榨、精炼</w:t>
                  </w:r>
                </w:p>
              </w:tc>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rPr>
                  </w:pPr>
                  <w:r>
                    <w:rPr>
                      <w:rFonts w:cs="Times New Roman" w:hint="eastAsia"/>
                      <w:b w:val="0"/>
                      <w:bCs w:val="0"/>
                      <w:color w:val="auto"/>
                      <w:kern w:val="0"/>
                      <w:sz w:val="21"/>
                      <w:szCs w:val="21"/>
                      <w:u w:val="none"/>
                      <w:lang w:val="en-US" w:eastAsia="zh-CN" w:bidi="ar-SA"/>
                    </w:rPr>
                    <w:t>布袋+活性炭</w:t>
                  </w:r>
                </w:p>
              </w:tc>
              <w:tc>
                <w:tcPr>
                  <w:tcW w:w="198" w:type="pct"/>
                  <w:vMerge w:val="restart"/>
                  <w:tcBorders>
                    <w:tl2br w:val="nil"/>
                    <w:tr2bl w:val="nil"/>
                  </w:tcBorders>
                  <w:vAlign w:val="center"/>
                </w:tcPr>
                <w:p>
                  <w:pPr>
                    <w:pageBreakBefore w:val="0"/>
                    <w:widowControl w:val="0"/>
                    <w:kinsoku/>
                    <w:overflowPunct/>
                    <w:bidi w:val="0"/>
                    <w:spacing w:line="240" w:lineRule="auto"/>
                    <w:ind w:firstLine="0"/>
                    <w:jc w:val="center"/>
                    <w:rPr>
                      <w:rFonts w:cs="Times New Roman"/>
                      <w:color w:val="auto"/>
                      <w:kern w:val="0"/>
                      <w:sz w:val="21"/>
                      <w:szCs w:val="20"/>
                    </w:rPr>
                  </w:pPr>
                  <w:r>
                    <w:rPr>
                      <w:rFonts w:cs="Times New Roman" w:hint="eastAsia"/>
                      <w:color w:val="auto"/>
                      <w:kern w:val="0"/>
                      <w:sz w:val="21"/>
                      <w:szCs w:val="20"/>
                      <w:lang w:val="en-US" w:eastAsia="zh-CN"/>
                    </w:rPr>
                    <w:t>有</w:t>
                  </w:r>
                  <w:r>
                    <w:rPr>
                      <w:rFonts w:cs="Times New Roman" w:hint="eastAsia"/>
                      <w:color w:val="auto"/>
                      <w:kern w:val="0"/>
                      <w:sz w:val="21"/>
                      <w:szCs w:val="20"/>
                    </w:rPr>
                    <w:t>组织</w:t>
                  </w:r>
                </w:p>
              </w:tc>
              <w:tc>
                <w:tcPr>
                  <w:tcW w:w="5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lang w:val="en-US" w:eastAsia="zh-CN"/>
                    </w:rPr>
                  </w:pPr>
                  <w:r>
                    <w:rPr>
                      <w:rFonts w:ascii="Times New Roman" w:eastAsia="宋体" w:cs="Times New Roman" w:hAnsi="Times New Roman" w:hint="eastAsia"/>
                      <w:b w:val="0"/>
                      <w:bCs w:val="0"/>
                      <w:color w:val="auto"/>
                      <w:kern w:val="0"/>
                      <w:sz w:val="21"/>
                      <w:szCs w:val="21"/>
                      <w:u w:val="none"/>
                      <w:lang w:val="en-US" w:eastAsia="zh-CN"/>
                    </w:rPr>
                    <w:t>DA001</w:t>
                  </w:r>
                </w:p>
              </w:tc>
              <w:tc>
                <w:tcPr>
                  <w:tcW w:w="9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rPr>
                  </w:pPr>
                  <w:r>
                    <w:rPr>
                      <w:rFonts w:hint="eastAsia"/>
                      <w:b w:val="0"/>
                      <w:bCs w:val="0"/>
                      <w:color w:val="auto"/>
                      <w:kern w:val="0"/>
                      <w:sz w:val="21"/>
                      <w:szCs w:val="21"/>
                      <w:u w:val="none"/>
                      <w:lang w:val="en-US" w:eastAsia="zh-CN"/>
                    </w:rPr>
                    <w:t>111°29'16.558",28°56'24.128"</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color w:val="auto"/>
                      <w:kern w:val="0"/>
                      <w:sz w:val="21"/>
                      <w:szCs w:val="20"/>
                    </w:rPr>
                  </w:pPr>
                  <w:r>
                    <w:rPr>
                      <w:rFonts w:ascii="Times New Roman" w:eastAsia="宋体" w:cs="Times New Roman" w:hAnsi="Times New Roman" w:hint="eastAsia"/>
                      <w:b w:val="0"/>
                      <w:bCs w:val="0"/>
                      <w:color w:val="auto"/>
                      <w:kern w:val="0"/>
                      <w:sz w:val="21"/>
                      <w:szCs w:val="21"/>
                      <w:u w:val="none"/>
                      <w:lang w:val="en-US" w:eastAsia="zh-CN"/>
                    </w:rPr>
                    <w:t>一般排放口</w:t>
                  </w: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ascii="Times New Roman" w:eastAsia="宋体" w:cs="Times New Roman" w:hAnsi="Times New Roman"/>
                      <w:color w:val="auto"/>
                      <w:kern w:val="0"/>
                      <w:sz w:val="21"/>
                      <w:szCs w:val="20"/>
                      <w:lang w:val="en-US" w:eastAsia="zh-CN" w:bidi="ar-SA"/>
                    </w:rPr>
                  </w:pPr>
                  <w:r>
                    <w:rPr>
                      <w:rFonts w:cs="Times New Roman"/>
                      <w:color w:val="auto"/>
                      <w:kern w:val="0"/>
                      <w:sz w:val="21"/>
                      <w:szCs w:val="20"/>
                    </w:rPr>
                    <w:t>颗粒物</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ascii="Times New Roman" w:eastAsia="宋体" w:cs="Times New Roman" w:hAnsi="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120</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ascii="Times New Roman" w:eastAsia="宋体" w:cs="Times New Roman" w:hAnsi="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5.9</w:t>
                  </w:r>
                </w:p>
              </w:tc>
              <w:tc>
                <w:tcPr>
                  <w:tcW w:w="900" w:type="pct"/>
                  <w:vMerge w:val="restart"/>
                  <w:tcBorders>
                    <w:tl2br w:val="nil"/>
                    <w:tr2bl w:val="nil"/>
                  </w:tcBorders>
                  <w:vAlign w:val="center"/>
                </w:tcPr>
                <w:p>
                  <w:pPr>
                    <w:keepNext w:val="0"/>
                    <w:keepLines w:val="0"/>
                    <w:pageBreakBefore w:val="0"/>
                    <w:widowControl/>
                    <w:suppressLineNumbers w:val="0"/>
                    <w:kinsoku/>
                    <w:overflowPunct/>
                    <w:bidi w:val="0"/>
                    <w:jc w:val="center"/>
                    <w:textAlignment w:val="center"/>
                    <w:rPr>
                      <w:rFonts w:ascii="Times New Roman" w:eastAsia="宋体" w:cs="Times New Roman" w:hAnsi="Times New Roman" w:hint="eastAsia"/>
                      <w:b w:val="0"/>
                      <w:bCs w:val="0"/>
                      <w:color w:val="auto"/>
                      <w:kern w:val="0"/>
                      <w:sz w:val="21"/>
                      <w:szCs w:val="21"/>
                      <w:u w:val="none"/>
                      <w:lang w:val="en-US" w:eastAsia="zh-CN" w:bidi="ar-SA"/>
                    </w:rPr>
                  </w:pPr>
                  <w:r>
                    <w:rPr>
                      <w:rFonts w:ascii="Times New Roman" w:eastAsia="宋体" w:cs="Times New Roman" w:hAnsi="Times New Roman" w:hint="eastAsia"/>
                      <w:b w:val="0"/>
                      <w:bCs w:val="0"/>
                      <w:color w:val="auto"/>
                      <w:kern w:val="0"/>
                      <w:sz w:val="21"/>
                      <w:szCs w:val="21"/>
                      <w:u w:val="none"/>
                      <w:lang w:val="en-US" w:eastAsia="zh-CN" w:bidi="ar-SA"/>
                    </w:rPr>
                    <w:t>《大气污染物综合排放标准》（GB16297-1996）</w:t>
                  </w:r>
                </w:p>
              </w:tc>
            </w:tr>
            <w:tr>
              <w:trPr>
                <w:trHeight w:val="454"/>
              </w:trPr>
              <w:tc>
                <w:tcPr>
                  <w:tcW w:w="249" w:type="pct"/>
                  <w:vMerge/>
                  <w:tcBorders>
                    <w:tl2br w:val="nil"/>
                    <w:tr2bl w:val="nil"/>
                  </w:tcBorders>
                  <w:vAlign w:val="center"/>
                </w:tcPr>
                <w:p/>
              </w:tc>
              <w:tc>
                <w:tcPr>
                  <w:tcW w:w="250" w:type="pct"/>
                  <w:vMerge/>
                  <w:tcBorders>
                    <w:tl2br w:val="nil"/>
                    <w:tr2bl w:val="nil"/>
                  </w:tcBorders>
                  <w:shd w:val="clear" w:color="auto" w:fill="auto"/>
                  <w:vAlign w:val="center"/>
                </w:tcPr>
                <w:p/>
              </w:tc>
              <w:tc>
                <w:tcPr>
                  <w:tcW w:w="234" w:type="pct"/>
                  <w:vMerge/>
                  <w:tcBorders>
                    <w:tl2br w:val="nil"/>
                    <w:tr2bl w:val="nil"/>
                  </w:tcBorders>
                  <w:vAlign w:val="center"/>
                </w:tcPr>
                <w:p/>
              </w:tc>
              <w:tc>
                <w:tcPr>
                  <w:tcW w:w="198" w:type="pct"/>
                  <w:vMerge/>
                  <w:tcBorders>
                    <w:tl2br w:val="nil"/>
                    <w:tr2bl w:val="nil"/>
                  </w:tcBorders>
                  <w:vAlign w:val="center"/>
                </w:tcPr>
                <w:p/>
              </w:tc>
              <w:tc>
                <w:tcPr>
                  <w:tcW w:w="520" w:type="pct"/>
                  <w:vMerge/>
                  <w:tcBorders>
                    <w:tl2br w:val="nil"/>
                    <w:tr2bl w:val="nil"/>
                  </w:tcBorders>
                  <w:vAlign w:val="center"/>
                </w:tcPr>
                <w:p/>
              </w:tc>
              <w:tc>
                <w:tcPr>
                  <w:tcW w:w="994" w:type="pct"/>
                  <w:vMerge/>
                  <w:tcBorders>
                    <w:tl2br w:val="nil"/>
                    <w:tr2bl w:val="nil"/>
                  </w:tcBorders>
                  <w:vAlign w:val="center"/>
                </w:tcPr>
                <w:p/>
              </w:tc>
              <w:tc>
                <w:tcPr>
                  <w:tcW w:w="369" w:type="pct"/>
                  <w:vMerge/>
                  <w:tcBorders>
                    <w:tl2br w:val="nil"/>
                    <w:tr2bl w:val="nil"/>
                  </w:tcBorders>
                  <w:vAlign w:val="center"/>
                </w:tcP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eastAsia="宋体" w:cs="Times New Roman"/>
                      <w:color w:val="auto"/>
                      <w:kern w:val="0"/>
                      <w:sz w:val="21"/>
                      <w:szCs w:val="20"/>
                      <w:lang w:val="en-US" w:eastAsia="zh-CN"/>
                    </w:rPr>
                  </w:pPr>
                  <w:r>
                    <w:rPr>
                      <w:rFonts w:cs="Times New Roman" w:hint="eastAsia"/>
                      <w:color w:val="auto"/>
                      <w:kern w:val="0"/>
                      <w:sz w:val="21"/>
                      <w:szCs w:val="20"/>
                      <w:lang w:val="en-US" w:eastAsia="zh-CN"/>
                    </w:rPr>
                    <w:t>非甲烷总烃</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120</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17</w:t>
                  </w:r>
                </w:p>
              </w:tc>
              <w:tc>
                <w:tcPr>
                  <w:tcW w:w="900" w:type="pct"/>
                  <w:vMerge/>
                  <w:tcBorders>
                    <w:tl2br w:val="nil"/>
                    <w:tr2bl w:val="nil"/>
                  </w:tcBorders>
                  <w:vAlign w:val="center"/>
                </w:tcPr>
                <w:p/>
              </w:tc>
            </w:tr>
            <w:tr>
              <w:trPr>
                <w:trHeight w:val="454"/>
              </w:trPr>
              <w:tc>
                <w:tcPr>
                  <w:tcW w:w="249" w:type="pct"/>
                  <w:vMerge/>
                  <w:tcBorders>
                    <w:tl2br w:val="nil"/>
                    <w:tr2bl w:val="nil"/>
                  </w:tcBorders>
                  <w:vAlign w:val="center"/>
                </w:tcPr>
                <w:p/>
              </w:tc>
              <w:tc>
                <w:tcPr>
                  <w:tcW w:w="250" w:type="pct"/>
                  <w:vMerge/>
                  <w:tcBorders>
                    <w:tl2br w:val="nil"/>
                    <w:tr2bl w:val="nil"/>
                  </w:tcBorders>
                  <w:shd w:val="clear" w:color="auto" w:fill="auto"/>
                  <w:vAlign w:val="center"/>
                </w:tcPr>
                <w:p/>
              </w:tc>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vMerge w:val="restart"/>
                  <w:tcBorders>
                    <w:tl2br w:val="nil"/>
                    <w:tr2bl w:val="nil"/>
                  </w:tcBorders>
                  <w:vAlign w:val="center"/>
                </w:tcPr>
                <w:p>
                  <w:pPr>
                    <w:pageBreakBefore w:val="0"/>
                    <w:widowControl w:val="0"/>
                    <w:kinsoku/>
                    <w:overflowPunct/>
                    <w:bidi w:val="0"/>
                    <w:spacing w:line="240" w:lineRule="auto"/>
                    <w:ind w:firstLine="0"/>
                    <w:jc w:val="center"/>
                    <w:rPr>
                      <w:rFonts w:cs="Times New Roman" w:hint="eastAsia"/>
                      <w:color w:val="auto"/>
                      <w:kern w:val="0"/>
                      <w:sz w:val="21"/>
                      <w:szCs w:val="20"/>
                      <w:lang w:val="en-US" w:eastAsia="zh-CN"/>
                    </w:rPr>
                  </w:pPr>
                  <w:r>
                    <w:rPr>
                      <w:rFonts w:cs="Times New Roman" w:hint="eastAsia"/>
                      <w:color w:val="auto"/>
                      <w:kern w:val="0"/>
                      <w:sz w:val="21"/>
                      <w:szCs w:val="20"/>
                      <w:lang w:val="en-US" w:eastAsia="zh-CN"/>
                    </w:rPr>
                    <w:t>无组织</w:t>
                  </w:r>
                </w:p>
              </w:tc>
              <w:tc>
                <w:tcPr>
                  <w:tcW w:w="5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9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hint="eastAsia"/>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cs="Times New Roman"/>
                      <w:color w:val="auto"/>
                      <w:kern w:val="0"/>
                      <w:sz w:val="21"/>
                      <w:szCs w:val="20"/>
                    </w:rPr>
                  </w:pPr>
                  <w:r>
                    <w:rPr>
                      <w:rFonts w:cs="Times New Roman"/>
                      <w:color w:val="auto"/>
                      <w:kern w:val="0"/>
                      <w:sz w:val="21"/>
                      <w:szCs w:val="20"/>
                    </w:rPr>
                    <w:t>颗粒物</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tcBorders>
                    <w:tl2br w:val="nil"/>
                    <w:tr2bl w:val="nil"/>
                  </w:tcBorders>
                  <w:vAlign w:val="center"/>
                </w:tcPr>
                <w:p/>
              </w:tc>
            </w:tr>
            <w:tr>
              <w:trPr>
                <w:trHeight w:val="454"/>
              </w:trPr>
              <w:tc>
                <w:tcPr>
                  <w:tcW w:w="249" w:type="pct"/>
                  <w:vMerge/>
                  <w:tcBorders>
                    <w:tl2br w:val="nil"/>
                    <w:tr2bl w:val="nil"/>
                  </w:tcBorders>
                  <w:vAlign w:val="center"/>
                </w:tcPr>
                <w:p/>
              </w:tc>
              <w:tc>
                <w:tcPr>
                  <w:tcW w:w="250" w:type="pct"/>
                  <w:vMerge/>
                  <w:tcBorders>
                    <w:tl2br w:val="nil"/>
                    <w:tr2bl w:val="nil"/>
                  </w:tcBorders>
                  <w:shd w:val="clear" w:color="auto" w:fill="auto"/>
                  <w:vAlign w:val="center"/>
                </w:tcPr>
                <w:p/>
              </w:tc>
              <w:tc>
                <w:tcPr>
                  <w:tcW w:w="234" w:type="pct"/>
                  <w:vMerge/>
                  <w:tcBorders>
                    <w:tl2br w:val="nil"/>
                    <w:tr2bl w:val="nil"/>
                  </w:tcBorders>
                  <w:vAlign w:val="center"/>
                </w:tcPr>
                <w:p/>
              </w:tc>
              <w:tc>
                <w:tcPr>
                  <w:tcW w:w="198" w:type="pct"/>
                  <w:vMerge/>
                  <w:tcBorders>
                    <w:tl2br w:val="nil"/>
                    <w:tr2bl w:val="nil"/>
                  </w:tcBorders>
                  <w:vAlign w:val="center"/>
                </w:tcPr>
                <w:p/>
              </w:tc>
              <w:tc>
                <w:tcPr>
                  <w:tcW w:w="520" w:type="pct"/>
                  <w:vMerge/>
                  <w:tcBorders>
                    <w:tl2br w:val="nil"/>
                    <w:tr2bl w:val="nil"/>
                  </w:tcBorders>
                  <w:vAlign w:val="center"/>
                </w:tcPr>
                <w:p/>
              </w:tc>
              <w:tc>
                <w:tcPr>
                  <w:tcW w:w="994" w:type="pct"/>
                  <w:vMerge/>
                  <w:tcBorders>
                    <w:tl2br w:val="nil"/>
                    <w:tr2bl w:val="nil"/>
                  </w:tcBorders>
                  <w:vAlign w:val="center"/>
                </w:tcPr>
                <w:p/>
              </w:tc>
              <w:tc>
                <w:tcPr>
                  <w:tcW w:w="369" w:type="pct"/>
                  <w:vMerge/>
                  <w:tcBorders>
                    <w:tl2br w:val="nil"/>
                    <w:tr2bl w:val="nil"/>
                  </w:tcBorders>
                  <w:vAlign w:val="center"/>
                </w:tcP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cs="Times New Roman" w:hint="eastAsia"/>
                      <w:color w:val="auto"/>
                      <w:kern w:val="0"/>
                      <w:sz w:val="21"/>
                      <w:szCs w:val="20"/>
                      <w:lang w:val="en-US" w:eastAsia="zh-CN"/>
                    </w:rPr>
                  </w:pPr>
                  <w:r>
                    <w:rPr>
                      <w:rFonts w:cs="Times New Roman" w:hint="eastAsia"/>
                      <w:color w:val="auto"/>
                      <w:kern w:val="0"/>
                      <w:sz w:val="21"/>
                      <w:szCs w:val="20"/>
                      <w:lang w:val="en-US" w:eastAsia="zh-CN"/>
                    </w:rPr>
                    <w:t>非甲烷总烃</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4</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tcBorders>
                    <w:tl2br w:val="nil"/>
                    <w:tr2bl w:val="nil"/>
                  </w:tcBorders>
                  <w:vAlign w:val="center"/>
                </w:tcPr>
                <w:p/>
              </w:tc>
            </w:tr>
            <w:tr>
              <w:trPr>
                <w:trHeight w:val="454"/>
              </w:trPr>
              <w:tc>
                <w:tcPr>
                  <w:tcW w:w="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其他工序</w:t>
                  </w:r>
                </w:p>
              </w:tc>
              <w:tc>
                <w:tcPr>
                  <w:tcW w:w="25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包装、灌装</w:t>
                  </w:r>
                </w:p>
              </w:tc>
              <w:tc>
                <w:tcPr>
                  <w:tcW w:w="2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tcBorders>
                    <w:tl2br w:val="nil"/>
                    <w:tr2bl w:val="nil"/>
                  </w:tcBorders>
                  <w:vAlign w:val="center"/>
                </w:tcPr>
                <w:p>
                  <w:pPr>
                    <w:pageBreakBefore w:val="0"/>
                    <w:widowControl w:val="0"/>
                    <w:kinsoku/>
                    <w:overflowPunct/>
                    <w:bidi w:val="0"/>
                    <w:spacing w:line="240" w:lineRule="auto"/>
                    <w:ind w:firstLine="0"/>
                    <w:jc w:val="center"/>
                    <w:rPr>
                      <w:rFonts w:cs="Times New Roman"/>
                      <w:color w:val="auto"/>
                      <w:kern w:val="0"/>
                      <w:sz w:val="21"/>
                      <w:szCs w:val="20"/>
                      <w:lang w:val="en-US" w:eastAsia="zh-CN"/>
                    </w:rPr>
                  </w:pPr>
                  <w:r>
                    <w:rPr>
                      <w:rFonts w:cs="Times New Roman" w:hint="eastAsia"/>
                      <w:color w:val="auto"/>
                      <w:kern w:val="0"/>
                      <w:sz w:val="21"/>
                      <w:szCs w:val="20"/>
                      <w:lang w:val="en-US" w:eastAsia="zh-CN"/>
                    </w:rPr>
                    <w:t>无组织</w:t>
                  </w:r>
                </w:p>
              </w:tc>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3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ascii="Times New Roman" w:eastAsia="宋体" w:cs="Times New Roman" w:hAnsi="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cs="Times New Roman" w:hint="eastAsia"/>
                      <w:color w:val="auto"/>
                      <w:kern w:val="0"/>
                      <w:sz w:val="21"/>
                      <w:szCs w:val="20"/>
                      <w:lang w:val="en-US" w:eastAsia="zh-CN"/>
                    </w:rPr>
                  </w:pPr>
                  <w:r>
                    <w:rPr>
                      <w:rFonts w:cs="Times New Roman"/>
                      <w:color w:val="auto"/>
                      <w:kern w:val="0"/>
                      <w:sz w:val="21"/>
                      <w:szCs w:val="20"/>
                    </w:rPr>
                    <w:t>颗粒物</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tcBorders>
                    <w:tl2br w:val="nil"/>
                    <w:tr2bl w:val="nil"/>
                  </w:tcBorders>
                  <w:vAlign w:val="center"/>
                </w:tcPr>
                <w:p/>
              </w:tc>
            </w:tr>
            <w:tr>
              <w:trPr>
                <w:trHeight w:val="454"/>
              </w:trPr>
              <w:tc>
                <w:tcPr>
                  <w:tcW w:w="2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污水处理</w:t>
                  </w:r>
                </w:p>
              </w:tc>
              <w:tc>
                <w:tcPr>
                  <w:tcW w:w="25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污水处理设施</w:t>
                  </w:r>
                </w:p>
              </w:tc>
              <w:tc>
                <w:tcPr>
                  <w:tcW w:w="23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198" w:type="pct"/>
                  <w:vMerge w:val="restart"/>
                  <w:tcBorders>
                    <w:tl2br w:val="nil"/>
                    <w:tr2bl w:val="nil"/>
                  </w:tcBorders>
                  <w:vAlign w:val="center"/>
                </w:tcPr>
                <w:p>
                  <w:pPr>
                    <w:pageBreakBefore w:val="0"/>
                    <w:widowControl w:val="0"/>
                    <w:kinsoku/>
                    <w:overflowPunct/>
                    <w:bidi w:val="0"/>
                    <w:spacing w:line="240" w:lineRule="auto"/>
                    <w:ind w:firstLine="0"/>
                    <w:jc w:val="center"/>
                    <w:rPr>
                      <w:rFonts w:cs="Times New Roman" w:hint="eastAsia"/>
                      <w:color w:val="auto"/>
                      <w:kern w:val="0"/>
                      <w:sz w:val="21"/>
                      <w:szCs w:val="20"/>
                      <w:lang w:val="en-US" w:eastAsia="zh-CN"/>
                    </w:rPr>
                  </w:pPr>
                  <w:r>
                    <w:rPr>
                      <w:rFonts w:cs="Times New Roman" w:hint="eastAsia"/>
                      <w:color w:val="auto"/>
                      <w:kern w:val="0"/>
                      <w:sz w:val="21"/>
                      <w:szCs w:val="20"/>
                      <w:lang w:val="en-US" w:eastAsia="zh-CN"/>
                    </w:rPr>
                    <w:t>无组织</w:t>
                  </w:r>
                </w:p>
              </w:tc>
              <w:tc>
                <w:tcPr>
                  <w:tcW w:w="5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9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b w:val="0"/>
                      <w:bCs w:val="0"/>
                      <w:color w:val="auto"/>
                      <w:kern w:val="0"/>
                      <w:sz w:val="21"/>
                      <w:szCs w:val="21"/>
                      <w:u w:val="none"/>
                      <w:lang w:val="en-US" w:eastAsia="zh-CN"/>
                    </w:rPr>
                  </w:pPr>
                  <w:r>
                    <w:rPr>
                      <w:rFonts w:hint="eastAsia"/>
                      <w:b w:val="0"/>
                      <w:bCs w:val="0"/>
                      <w:color w:val="auto"/>
                      <w:kern w:val="0"/>
                      <w:sz w:val="21"/>
                      <w:szCs w:val="21"/>
                      <w:u w:val="none"/>
                      <w:lang w:val="en-US" w:eastAsia="zh-CN"/>
                    </w:rPr>
                    <w:t>/</w:t>
                  </w:r>
                </w:p>
              </w:tc>
              <w:tc>
                <w:tcPr>
                  <w:tcW w:w="3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rPr>
                      <w:rFonts w:cs="Times New Roman"/>
                      <w:b w:val="0"/>
                      <w:bCs w:val="0"/>
                      <w:color w:val="auto"/>
                      <w:kern w:val="0"/>
                      <w:sz w:val="21"/>
                      <w:szCs w:val="21"/>
                      <w:u w:val="none"/>
                      <w:lang w:val="en-US" w:eastAsia="zh-CN"/>
                    </w:rPr>
                  </w:pPr>
                  <w:r>
                    <w:rPr>
                      <w:rFonts w:cs="Times New Roman" w:hint="eastAsia"/>
                      <w:b w:val="0"/>
                      <w:bCs w:val="0"/>
                      <w:color w:val="auto"/>
                      <w:kern w:val="0"/>
                      <w:sz w:val="21"/>
                      <w:szCs w:val="21"/>
                      <w:u w:val="none"/>
                      <w:lang w:val="en-US" w:eastAsia="zh-CN"/>
                    </w:rPr>
                    <w:t>/</w:t>
                  </w: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eastAsia="宋体" w:cs="Times New Roman" w:hint="eastAsia"/>
                      <w:color w:val="auto"/>
                      <w:kern w:val="0"/>
                      <w:sz w:val="21"/>
                      <w:szCs w:val="20"/>
                      <w:lang w:val="en-US" w:eastAsia="zh-CN"/>
                    </w:rPr>
                  </w:pPr>
                  <w:r>
                    <w:rPr>
                      <w:rFonts w:cs="Times New Roman" w:hint="eastAsia"/>
                      <w:color w:val="auto"/>
                      <w:kern w:val="0"/>
                      <w:sz w:val="21"/>
                      <w:szCs w:val="20"/>
                      <w:lang w:val="en-US" w:eastAsia="zh-CN"/>
                    </w:rPr>
                    <w:t>氨</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1.5</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val="restart"/>
                  <w:tcBorders>
                    <w:tl2br w:val="nil"/>
                    <w:tr2bl w:val="nil"/>
                  </w:tcBorders>
                  <w:vAlign w:val="center"/>
                </w:tcPr>
                <w:p>
                  <w:pPr>
                    <w:keepNext w:val="0"/>
                    <w:keepLines w:val="0"/>
                    <w:pageBreakBefore w:val="0"/>
                    <w:widowControl/>
                    <w:suppressLineNumbers w:val="0"/>
                    <w:kinsoku/>
                    <w:overflowPunct/>
                    <w:bidi w:val="0"/>
                    <w:jc w:val="center"/>
                    <w:textAlignment w:val="center"/>
                    <w:rPr>
                      <w:rFonts w:ascii="Times New Roman" w:eastAsia="宋体" w:cs="Times New Roman" w:hAnsi="Times New Roman" w:hint="eastAsia"/>
                      <w:b w:val="0"/>
                      <w:bCs w:val="0"/>
                      <w:color w:val="auto"/>
                      <w:kern w:val="0"/>
                      <w:sz w:val="21"/>
                      <w:szCs w:val="21"/>
                      <w:u w:val="none"/>
                      <w:lang w:val="en-US" w:eastAsia="zh-CN" w:bidi="ar-SA"/>
                    </w:rPr>
                  </w:pPr>
                  <w:r>
                    <w:rPr>
                      <w:rFonts w:hint="eastAsia"/>
                      <w:color w:val="auto"/>
                      <w:sz w:val="24"/>
                      <w:lang w:eastAsia="zh-CN"/>
                    </w:rPr>
                    <w:t>《恶臭污染物排放标准》（</w:t>
                  </w:r>
                  <w:r>
                    <w:rPr>
                      <w:rFonts w:ascii="Times New Roman" w:eastAsia="宋体" w:hAnsi="Times New Roman" w:hint="eastAsia"/>
                      <w:color w:val="auto"/>
                      <w:kern w:val="2"/>
                      <w:sz w:val="21"/>
                      <w:szCs w:val="21"/>
                      <w:u w:val="none"/>
                    </w:rPr>
                    <w:t>GB14554-1993</w:t>
                  </w:r>
                  <w:r>
                    <w:rPr>
                      <w:rFonts w:ascii="Times New Roman" w:eastAsia="宋体" w:hAnsi="Times New Roman" w:hint="eastAsia"/>
                      <w:color w:val="auto"/>
                      <w:kern w:val="2"/>
                      <w:sz w:val="21"/>
                      <w:szCs w:val="21"/>
                      <w:u w:val="none"/>
                      <w:lang w:eastAsia="zh-CN"/>
                    </w:rPr>
                    <w:t>）</w:t>
                  </w:r>
                </w:p>
              </w:tc>
            </w:tr>
            <w:tr>
              <w:trPr>
                <w:trHeight w:val="454"/>
              </w:trPr>
              <w:tc>
                <w:tcPr>
                  <w:tcW w:w="249" w:type="pct"/>
                  <w:vMerge/>
                  <w:tcBorders>
                    <w:tl2br w:val="nil"/>
                    <w:tr2bl w:val="nil"/>
                  </w:tcBorders>
                  <w:vAlign w:val="center"/>
                </w:tcPr>
                <w:p/>
              </w:tc>
              <w:tc>
                <w:tcPr>
                  <w:tcW w:w="250" w:type="pct"/>
                  <w:vMerge/>
                  <w:tcBorders>
                    <w:tl2br w:val="nil"/>
                    <w:tr2bl w:val="nil"/>
                  </w:tcBorders>
                  <w:shd w:val="clear" w:color="auto" w:fill="auto"/>
                  <w:vAlign w:val="center"/>
                </w:tcPr>
                <w:p/>
              </w:tc>
              <w:tc>
                <w:tcPr>
                  <w:tcW w:w="234" w:type="pct"/>
                  <w:vMerge/>
                  <w:tcBorders>
                    <w:tl2br w:val="nil"/>
                    <w:tr2bl w:val="nil"/>
                  </w:tcBorders>
                  <w:vAlign w:val="center"/>
                </w:tcPr>
                <w:p/>
              </w:tc>
              <w:tc>
                <w:tcPr>
                  <w:tcW w:w="198" w:type="pct"/>
                  <w:vMerge/>
                  <w:tcBorders>
                    <w:tl2br w:val="nil"/>
                    <w:tr2bl w:val="nil"/>
                  </w:tcBorders>
                  <w:vAlign w:val="center"/>
                </w:tcPr>
                <w:p/>
              </w:tc>
              <w:tc>
                <w:tcPr>
                  <w:tcW w:w="520" w:type="pct"/>
                  <w:vMerge/>
                  <w:tcBorders>
                    <w:tl2br w:val="nil"/>
                    <w:tr2bl w:val="nil"/>
                  </w:tcBorders>
                  <w:vAlign w:val="center"/>
                </w:tcPr>
                <w:p/>
              </w:tc>
              <w:tc>
                <w:tcPr>
                  <w:tcW w:w="994" w:type="pct"/>
                  <w:vMerge/>
                  <w:tcBorders>
                    <w:tl2br w:val="nil"/>
                    <w:tr2bl w:val="nil"/>
                  </w:tcBorders>
                  <w:vAlign w:val="center"/>
                </w:tcPr>
                <w:p/>
              </w:tc>
              <w:tc>
                <w:tcPr>
                  <w:tcW w:w="369" w:type="pct"/>
                  <w:vMerge/>
                  <w:tcBorders>
                    <w:tl2br w:val="nil"/>
                    <w:tr2bl w:val="nil"/>
                  </w:tcBorders>
                  <w:vAlign w:val="center"/>
                </w:tcP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cs="Times New Roman"/>
                      <w:color w:val="auto"/>
                      <w:kern w:val="0"/>
                      <w:sz w:val="21"/>
                      <w:szCs w:val="20"/>
                      <w:lang w:val="en-US" w:eastAsia="zh-CN"/>
                    </w:rPr>
                  </w:pPr>
                  <w:r>
                    <w:rPr>
                      <w:rFonts w:cs="Times New Roman" w:hint="eastAsia"/>
                      <w:color w:val="auto"/>
                      <w:kern w:val="0"/>
                      <w:sz w:val="21"/>
                      <w:szCs w:val="20"/>
                      <w:lang w:val="en-US" w:eastAsia="zh-CN"/>
                    </w:rPr>
                    <w:t>臭气浓度</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20</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hint="eastAsia"/>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tcBorders>
                    <w:tl2br w:val="nil"/>
                    <w:tr2bl w:val="nil"/>
                  </w:tcBorders>
                  <w:vAlign w:val="center"/>
                </w:tcPr>
                <w:p/>
              </w:tc>
            </w:tr>
            <w:tr>
              <w:trPr>
                <w:trHeight w:val="454"/>
              </w:trPr>
              <w:tc>
                <w:tcPr>
                  <w:tcW w:w="249" w:type="pct"/>
                  <w:vMerge/>
                  <w:tcBorders>
                    <w:tl2br w:val="nil"/>
                    <w:tr2bl w:val="nil"/>
                  </w:tcBorders>
                  <w:vAlign w:val="center"/>
                </w:tcPr>
                <w:p/>
              </w:tc>
              <w:tc>
                <w:tcPr>
                  <w:tcW w:w="250" w:type="pct"/>
                  <w:vMerge/>
                  <w:tcBorders>
                    <w:tl2br w:val="nil"/>
                    <w:tr2bl w:val="nil"/>
                  </w:tcBorders>
                  <w:shd w:val="clear" w:color="auto" w:fill="auto"/>
                  <w:vAlign w:val="center"/>
                </w:tcPr>
                <w:p/>
              </w:tc>
              <w:tc>
                <w:tcPr>
                  <w:tcW w:w="234" w:type="pct"/>
                  <w:vMerge/>
                  <w:tcBorders>
                    <w:tl2br w:val="nil"/>
                    <w:tr2bl w:val="nil"/>
                  </w:tcBorders>
                  <w:vAlign w:val="center"/>
                </w:tcPr>
                <w:p/>
              </w:tc>
              <w:tc>
                <w:tcPr>
                  <w:tcW w:w="198" w:type="pct"/>
                  <w:vMerge/>
                  <w:tcBorders>
                    <w:tl2br w:val="nil"/>
                    <w:tr2bl w:val="nil"/>
                  </w:tcBorders>
                  <w:vAlign w:val="center"/>
                </w:tcPr>
                <w:p/>
              </w:tc>
              <w:tc>
                <w:tcPr>
                  <w:tcW w:w="520" w:type="pct"/>
                  <w:vMerge/>
                  <w:tcBorders>
                    <w:tl2br w:val="nil"/>
                    <w:tr2bl w:val="nil"/>
                  </w:tcBorders>
                  <w:vAlign w:val="center"/>
                </w:tcPr>
                <w:p/>
              </w:tc>
              <w:tc>
                <w:tcPr>
                  <w:tcW w:w="994" w:type="pct"/>
                  <w:vMerge/>
                  <w:tcBorders>
                    <w:tl2br w:val="nil"/>
                    <w:tr2bl w:val="nil"/>
                  </w:tcBorders>
                  <w:vAlign w:val="center"/>
                </w:tcPr>
                <w:p/>
              </w:tc>
              <w:tc>
                <w:tcPr>
                  <w:tcW w:w="369" w:type="pct"/>
                  <w:vMerge/>
                  <w:tcBorders>
                    <w:tl2br w:val="nil"/>
                    <w:tr2bl w:val="nil"/>
                  </w:tcBorders>
                  <w:vAlign w:val="center"/>
                </w:tcPr>
                <w:p/>
              </w:tc>
              <w:tc>
                <w:tcPr>
                  <w:tcW w:w="324" w:type="pct"/>
                  <w:tcBorders>
                    <w:tl2br w:val="nil"/>
                    <w:tr2bl w:val="nil"/>
                  </w:tcBorders>
                  <w:shd w:val="clear" w:color="auto" w:fill="auto"/>
                  <w:vAlign w:val="center"/>
                </w:tcPr>
                <w:p>
                  <w:pPr>
                    <w:pageBreakBefore w:val="0"/>
                    <w:widowControl w:val="0"/>
                    <w:kinsoku/>
                    <w:overflowPunct/>
                    <w:bidi w:val="0"/>
                    <w:spacing w:line="240" w:lineRule="auto"/>
                    <w:ind w:firstLine="0"/>
                    <w:jc w:val="center"/>
                    <w:rPr>
                      <w:rFonts w:eastAsia="宋体" w:cs="Times New Roman" w:hint="eastAsia"/>
                      <w:color w:val="auto"/>
                      <w:kern w:val="0"/>
                      <w:sz w:val="21"/>
                      <w:szCs w:val="20"/>
                      <w:lang w:val="en-US" w:eastAsia="zh-CN"/>
                    </w:rPr>
                  </w:pPr>
                  <w:r>
                    <w:rPr>
                      <w:rFonts w:cs="Times New Roman" w:hint="eastAsia"/>
                      <w:color w:val="auto"/>
                      <w:kern w:val="0"/>
                      <w:sz w:val="21"/>
                      <w:szCs w:val="20"/>
                      <w:lang w:val="en-US" w:eastAsia="zh-CN"/>
                    </w:rPr>
                    <w:t>硫化氢</w:t>
                  </w:r>
                </w:p>
              </w:tc>
              <w:tc>
                <w:tcPr>
                  <w:tcW w:w="480" w:type="pct"/>
                  <w:tcBorders>
                    <w:tl2br w:val="nil"/>
                    <w:tr2bl w:val="nil"/>
                  </w:tcBorders>
                  <w:shd w:val="clear" w:color="auto" w:fill="auto"/>
                  <w:vAlign w:val="center"/>
                </w:tcPr>
                <w:p>
                  <w:pPr>
                    <w:keepNext w:val="0"/>
                    <w:keepLines w:val="0"/>
                    <w:pageBreakBefore w:val="0"/>
                    <w:widowControl/>
                    <w:suppressLineNumbers w:val="0"/>
                    <w:kinsoku/>
                    <w:overflowPunct/>
                    <w:bidi w:val="0"/>
                    <w:jc w:val="center"/>
                    <w:textAlignment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0.06</w:t>
                  </w:r>
                </w:p>
              </w:tc>
              <w:tc>
                <w:tcPr>
                  <w:tcW w:w="477" w:type="pct"/>
                  <w:tcBorders>
                    <w:tl2br w:val="nil"/>
                    <w:tr2bl w:val="nil"/>
                  </w:tcBorders>
                  <w:shd w:val="clear" w:color="auto" w:fill="auto"/>
                  <w:vAlign w:val="center"/>
                </w:tcPr>
                <w:p>
                  <w:pPr>
                    <w:pageBreakBefore w:val="0"/>
                    <w:widowControl w:val="0"/>
                    <w:kinsoku/>
                    <w:overflowPunct/>
                    <w:bidi w:val="0"/>
                    <w:snapToGrid w:val="0"/>
                    <w:jc w:val="center"/>
                    <w:rPr>
                      <w:rFonts w:cs="Times New Roman"/>
                      <w:b w:val="0"/>
                      <w:bCs w:val="0"/>
                      <w:color w:val="auto"/>
                      <w:kern w:val="0"/>
                      <w:sz w:val="21"/>
                      <w:szCs w:val="21"/>
                      <w:u w:val="none"/>
                      <w:lang w:val="en-US" w:eastAsia="zh-CN" w:bidi="ar-SA"/>
                    </w:rPr>
                  </w:pPr>
                  <w:r>
                    <w:rPr>
                      <w:rFonts w:cs="Times New Roman" w:hint="eastAsia"/>
                      <w:b w:val="0"/>
                      <w:bCs w:val="0"/>
                      <w:color w:val="auto"/>
                      <w:kern w:val="0"/>
                      <w:sz w:val="21"/>
                      <w:szCs w:val="21"/>
                      <w:u w:val="none"/>
                      <w:lang w:val="en-US" w:eastAsia="zh-CN" w:bidi="ar-SA"/>
                    </w:rPr>
                    <w:t>/</w:t>
                  </w:r>
                </w:p>
              </w:tc>
              <w:tc>
                <w:tcPr>
                  <w:tcW w:w="900" w:type="pct"/>
                  <w:vMerge/>
                  <w:tcBorders>
                    <w:tl2br w:val="nil"/>
                    <w:tr2bl w:val="nil"/>
                  </w:tcBorders>
                  <w:vAlign w:val="center"/>
                </w:tcPr>
                <w:p/>
              </w:tc>
            </w:tr>
          </w:tbl>
          <w:p>
            <w:pPr>
              <w:pageBreakBefore w:val="0"/>
              <w:widowControl/>
              <w:kinsoku/>
              <w:overflowPunct/>
              <w:bidi w:val="0"/>
              <w:adjustRightInd w:val="0"/>
              <w:spacing w:line="360" w:lineRule="auto"/>
              <w:ind w:leftChars="200" w:left="420"/>
              <w:jc w:val="center"/>
              <w:rPr>
                <w:b/>
                <w:bCs/>
                <w:color w:val="auto"/>
                <w:kern w:val="0"/>
                <w:szCs w:val="21"/>
                <w:lang w:val="en-GB"/>
              </w:rPr>
            </w:pPr>
            <w:r>
              <w:rPr>
                <w:rFonts w:hint="eastAsia"/>
                <w:b/>
                <w:bCs/>
                <w:color w:val="auto"/>
                <w:kern w:val="0"/>
                <w:szCs w:val="21"/>
                <w:lang w:val="en-GB"/>
              </w:rPr>
              <w:t>表</w:t>
            </w:r>
            <w:r>
              <w:rPr>
                <w:rFonts w:hint="eastAsia"/>
                <w:b/>
                <w:bCs/>
                <w:color w:val="auto"/>
                <w:kern w:val="0"/>
                <w:szCs w:val="21"/>
              </w:rPr>
              <w:t>4-</w:t>
            </w:r>
            <w:r>
              <w:rPr>
                <w:rFonts w:hint="eastAsia"/>
                <w:b/>
                <w:bCs/>
                <w:color w:val="auto"/>
                <w:kern w:val="0"/>
                <w:szCs w:val="21"/>
                <w:lang w:val="en-US" w:eastAsia="zh-CN"/>
              </w:rPr>
              <w:t>18</w:t>
            </w:r>
            <w:r>
              <w:rPr>
                <w:rFonts w:hint="eastAsia"/>
                <w:b/>
                <w:bCs/>
                <w:color w:val="auto"/>
                <w:kern w:val="0"/>
                <w:szCs w:val="21"/>
              </w:rPr>
              <w:t xml:space="preserve"> </w:t>
            </w:r>
            <w:r>
              <w:rPr>
                <w:rFonts w:hint="eastAsia"/>
                <w:b/>
                <w:bCs/>
                <w:color w:val="auto"/>
                <w:kern w:val="0"/>
                <w:szCs w:val="21"/>
                <w:lang w:val="en-GB"/>
              </w:rPr>
              <w:t>本工程废水污染物排放基本情况一览表</w:t>
            </w:r>
          </w:p>
          <w:tbl>
            <w:tblPr>
              <w:jc w:val="left"/>
              <w:tblInd w:w="11" w:type="dxa"/>
              <w:tblW w:w="49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600" w:firstRow="0" w:lastRow="0" w:firstColumn="0" w:lastColumn="0" w:noHBand="1" w:noVBand="1"/>
            </w:tblPr>
            <w:tblGrid>
              <w:gridCol w:w="603"/>
              <w:gridCol w:w="620"/>
              <w:gridCol w:w="906"/>
              <w:gridCol w:w="1032"/>
              <w:gridCol w:w="1610"/>
              <w:gridCol w:w="1719"/>
              <w:gridCol w:w="1548"/>
              <w:gridCol w:w="1119"/>
              <w:gridCol w:w="1009"/>
              <w:gridCol w:w="953"/>
              <w:gridCol w:w="1082"/>
              <w:gridCol w:w="1809"/>
            </w:tblGrid>
            <w:tr>
              <w:trPr>
                <w:trHeight w:val="454"/>
              </w:trPr>
              <w:tc>
                <w:tcPr>
                  <w:tcW w:w="215"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废水类别</w:t>
                  </w:r>
                </w:p>
              </w:tc>
              <w:tc>
                <w:tcPr>
                  <w:tcW w:w="221"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hint="eastAsia"/>
                      <w:b/>
                      <w:color w:val="auto"/>
                      <w:kern w:val="0"/>
                      <w:sz w:val="21"/>
                      <w:szCs w:val="18"/>
                    </w:rPr>
                    <w:t>产生环节</w:t>
                  </w:r>
                </w:p>
              </w:tc>
              <w:tc>
                <w:tcPr>
                  <w:tcW w:w="691" w:type="pct"/>
                  <w:gridSpan w:val="2"/>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污染治理设施</w:t>
                  </w:r>
                </w:p>
              </w:tc>
              <w:tc>
                <w:tcPr>
                  <w:tcW w:w="574"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排放口</w:t>
                  </w:r>
                </w:p>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编号</w:t>
                  </w:r>
                </w:p>
              </w:tc>
              <w:tc>
                <w:tcPr>
                  <w:tcW w:w="613"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hint="eastAsia"/>
                      <w:b/>
                      <w:color w:val="auto"/>
                      <w:kern w:val="0"/>
                      <w:sz w:val="21"/>
                      <w:szCs w:val="18"/>
                    </w:rPr>
                    <w:t>排放口坐标</w:t>
                  </w:r>
                </w:p>
              </w:tc>
              <w:tc>
                <w:tcPr>
                  <w:tcW w:w="552"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排放</w:t>
                  </w:r>
                  <w:r>
                    <w:rPr>
                      <w:rFonts w:ascii="Times New Roman" w:cs="Times New Roman" w:hAnsi="Times New Roman" w:hint="eastAsia"/>
                      <w:b/>
                      <w:color w:val="auto"/>
                      <w:kern w:val="0"/>
                      <w:sz w:val="21"/>
                      <w:szCs w:val="18"/>
                    </w:rPr>
                    <w:t>方式</w:t>
                  </w:r>
                </w:p>
              </w:tc>
              <w:tc>
                <w:tcPr>
                  <w:tcW w:w="399"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排放</w:t>
                  </w:r>
                </w:p>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去向</w:t>
                  </w:r>
                </w:p>
              </w:tc>
              <w:tc>
                <w:tcPr>
                  <w:tcW w:w="360"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hint="eastAsia"/>
                      <w:b/>
                      <w:color w:val="auto"/>
                      <w:kern w:val="0"/>
                      <w:sz w:val="21"/>
                      <w:szCs w:val="18"/>
                    </w:rPr>
                    <w:t>排放口</w:t>
                  </w:r>
                </w:p>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hint="eastAsia"/>
                      <w:b/>
                      <w:color w:val="auto"/>
                      <w:kern w:val="0"/>
                      <w:sz w:val="21"/>
                      <w:szCs w:val="18"/>
                    </w:rPr>
                    <w:t>类型</w:t>
                  </w:r>
                </w:p>
              </w:tc>
              <w:tc>
                <w:tcPr>
                  <w:tcW w:w="340" w:type="pct"/>
                  <w:vMerge w:val="restar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污染物种类</w:t>
                  </w:r>
                </w:p>
              </w:tc>
              <w:tc>
                <w:tcPr>
                  <w:tcW w:w="386" w:type="pct"/>
                  <w:vMerge w:val="restart"/>
                  <w:tcBorders>
                    <w:tl2br w:val="nil"/>
                    <w:tr2bl w:val="nil"/>
                  </w:tcBorders>
                  <w:vAlign w:val="center"/>
                </w:tcPr>
                <w:p>
                  <w:pPr>
                    <w:pStyle w:val="68"/>
                    <w:pageBreakBefore w:val="0"/>
                    <w:widowControl w:val="0"/>
                    <w:kinsoku/>
                    <w:overflowPunct/>
                    <w:bidi w:val="0"/>
                    <w:jc w:val="center"/>
                    <w:rPr>
                      <w:rFonts w:ascii="Times New Roman" w:hAnsi="Times New Roman"/>
                      <w:color w:val="auto"/>
                      <w:sz w:val="21"/>
                      <w:szCs w:val="21"/>
                    </w:rPr>
                  </w:pPr>
                  <w:r>
                    <w:rPr>
                      <w:rFonts w:ascii="Times New Roman" w:hAnsi="Times New Roman"/>
                      <w:color w:val="auto"/>
                      <w:sz w:val="21"/>
                      <w:szCs w:val="21"/>
                    </w:rPr>
                    <w:t>排放</w:t>
                  </w:r>
                  <w:r>
                    <w:rPr>
                      <w:rFonts w:ascii="Times New Roman" w:hAnsi="Times New Roman" w:hint="eastAsia"/>
                      <w:color w:val="auto"/>
                      <w:sz w:val="21"/>
                      <w:szCs w:val="21"/>
                    </w:rPr>
                    <w:t>浓度</w:t>
                  </w:r>
                  <w:r>
                    <w:rPr>
                      <w:rFonts w:ascii="宋体" w:eastAsia="宋体" w:cs="宋体" w:hAnsi="宋体" w:hint="eastAsia"/>
                      <w:color w:val="auto"/>
                      <w:sz w:val="21"/>
                      <w:szCs w:val="21"/>
                    </w:rPr>
                    <w:t>限值</w:t>
                  </w:r>
                </w:p>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hint="eastAsia"/>
                      <w:b/>
                      <w:color w:val="auto"/>
                      <w:sz w:val="21"/>
                      <w:szCs w:val="21"/>
                      <w:lang w:eastAsia="zh-CN"/>
                    </w:rPr>
                    <w:t>(</w:t>
                  </w:r>
                  <w:r>
                    <w:rPr>
                      <w:rFonts w:ascii="Times New Roman" w:cs="Times New Roman" w:hAnsi="Times New Roman"/>
                      <w:b/>
                      <w:color w:val="auto"/>
                      <w:sz w:val="21"/>
                      <w:szCs w:val="21"/>
                    </w:rPr>
                    <w:t>mg/</w:t>
                  </w:r>
                  <w:r>
                    <w:rPr>
                      <w:rFonts w:ascii="Times New Roman" w:cs="Times New Roman" w:hAnsi="Times New Roman" w:hint="eastAsia"/>
                      <w:b/>
                      <w:color w:val="auto"/>
                      <w:sz w:val="21"/>
                      <w:szCs w:val="21"/>
                    </w:rPr>
                    <w:t>L</w:t>
                  </w:r>
                  <w:r>
                    <w:rPr>
                      <w:rFonts w:ascii="Times New Roman" w:cs="Times New Roman" w:hAnsi="Times New Roman" w:hint="eastAsia"/>
                      <w:b/>
                      <w:color w:val="auto"/>
                      <w:sz w:val="21"/>
                      <w:szCs w:val="21"/>
                      <w:lang w:eastAsia="zh-CN"/>
                    </w:rPr>
                    <w:t>)</w:t>
                  </w:r>
                </w:p>
              </w:tc>
              <w:tc>
                <w:tcPr>
                  <w:tcW w:w="645" w:type="pct"/>
                  <w:vMerge w:val="restart"/>
                  <w:tcBorders>
                    <w:tl2br w:val="nil"/>
                    <w:tr2bl w:val="nil"/>
                  </w:tcBorders>
                  <w:vAlign w:val="center"/>
                </w:tcPr>
                <w:p>
                  <w:pPr>
                    <w:pStyle w:val="68"/>
                    <w:pageBreakBefore w:val="0"/>
                    <w:widowControl w:val="0"/>
                    <w:kinsoku/>
                    <w:overflowPunct/>
                    <w:bidi w:val="0"/>
                    <w:jc w:val="center"/>
                    <w:rPr>
                      <w:rFonts w:ascii="Times New Roman" w:hAnsi="Times New Roman"/>
                      <w:color w:val="auto"/>
                      <w:sz w:val="21"/>
                      <w:szCs w:val="21"/>
                    </w:rPr>
                  </w:pPr>
                  <w:r>
                    <w:rPr>
                      <w:rFonts w:ascii="Times New Roman" w:hAnsi="Times New Roman" w:hint="eastAsia"/>
                      <w:color w:val="auto"/>
                      <w:sz w:val="21"/>
                      <w:szCs w:val="21"/>
                    </w:rPr>
                    <w:t>执行标准</w:t>
                  </w:r>
                </w:p>
              </w:tc>
            </w:tr>
            <w:tr>
              <w:trPr>
                <w:trHeight w:val="454"/>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污染治理设施名称</w:t>
                  </w:r>
                </w:p>
              </w:tc>
              <w:tc>
                <w:tcPr>
                  <w:tcW w:w="368" w:type="pct"/>
                  <w:tcBorders>
                    <w:tl2br w:val="nil"/>
                    <w:tr2bl w:val="nil"/>
                  </w:tcBorders>
                  <w:vAlign w:val="center"/>
                </w:tcPr>
                <w:p>
                  <w:pPr>
                    <w:pStyle w:val="67"/>
                    <w:pageBreakBefore w:val="0"/>
                    <w:widowControl w:val="0"/>
                    <w:kinsoku/>
                    <w:overflowPunct/>
                    <w:bidi w:val="0"/>
                    <w:adjustRightInd w:val="0"/>
                    <w:snapToGrid w:val="0"/>
                    <w:spacing w:line="240" w:lineRule="auto"/>
                    <w:ind w:firstLineChars="0" w:firstLine="0"/>
                    <w:jc w:val="center"/>
                    <w:rPr>
                      <w:rFonts w:ascii="Times New Roman" w:cs="Times New Roman" w:hAnsi="Times New Roman"/>
                      <w:b/>
                      <w:color w:val="auto"/>
                      <w:kern w:val="0"/>
                      <w:sz w:val="21"/>
                      <w:szCs w:val="18"/>
                    </w:rPr>
                  </w:pPr>
                  <w:r>
                    <w:rPr>
                      <w:rFonts w:ascii="Times New Roman" w:cs="Times New Roman" w:hAnsi="Times New Roman"/>
                      <w:b/>
                      <w:color w:val="auto"/>
                      <w:kern w:val="0"/>
                      <w:sz w:val="21"/>
                      <w:szCs w:val="18"/>
                    </w:rPr>
                    <w:t>污染治理设施工艺</w:t>
                  </w: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vMerge/>
                  <w:tcBorders>
                    <w:tl2br w:val="nil"/>
                    <w:tr2bl w:val="nil"/>
                  </w:tcBorders>
                  <w:vAlign w:val="center"/>
                </w:tcPr>
                <w:p/>
              </w:tc>
              <w:tc>
                <w:tcPr>
                  <w:tcW w:w="386" w:type="pct"/>
                  <w:vMerge/>
                  <w:tcBorders>
                    <w:tl2br w:val="nil"/>
                    <w:tr2bl w:val="nil"/>
                  </w:tcBorders>
                  <w:vAlign w:val="center"/>
                </w:tcPr>
                <w:p/>
              </w:tc>
              <w:tc>
                <w:tcPr>
                  <w:tcW w:w="645" w:type="pct"/>
                  <w:vMerge/>
                  <w:tcBorders>
                    <w:tl2br w:val="nil"/>
                    <w:tr2bl w:val="nil"/>
                  </w:tcBorders>
                  <w:vAlign w:val="center"/>
                </w:tcPr>
                <w:p/>
              </w:tc>
            </w:tr>
            <w:tr>
              <w:trPr>
                <w:trHeight w:val="427"/>
              </w:trPr>
              <w:tc>
                <w:tcPr>
                  <w:tcW w:w="215"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bCs/>
                      <w:color w:val="auto"/>
                      <w:kern w:val="2"/>
                      <w:sz w:val="21"/>
                      <w:szCs w:val="21"/>
                      <w:lang w:val="en-US" w:eastAsia="zh-CN" w:bidi="ar-SA"/>
                    </w:rPr>
                  </w:pPr>
                  <w:r>
                    <w:rPr>
                      <w:rFonts w:cs="Times New Roman" w:hint="eastAsia"/>
                      <w:b w:val="0"/>
                      <w:bCs w:val="0"/>
                      <w:color w:val="auto"/>
                      <w:sz w:val="21"/>
                      <w:szCs w:val="21"/>
                      <w:lang w:val="en-US" w:eastAsia="zh-CN"/>
                    </w:rPr>
                    <w:t>综合</w:t>
                  </w:r>
                  <w:r>
                    <w:rPr>
                      <w:rFonts w:ascii="Times New Roman" w:eastAsia="宋体" w:cs="Times New Roman" w:hAnsi="Times New Roman" w:hint="eastAsia"/>
                      <w:b w:val="0"/>
                      <w:bCs w:val="0"/>
                      <w:color w:val="auto"/>
                      <w:sz w:val="21"/>
                      <w:szCs w:val="21"/>
                      <w:lang w:val="en-US" w:eastAsia="zh-CN"/>
                    </w:rPr>
                    <w:t>污水</w:t>
                  </w:r>
                </w:p>
              </w:tc>
              <w:tc>
                <w:tcPr>
                  <w:tcW w:w="221"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color w:val="auto"/>
                      <w:kern w:val="0"/>
                      <w:sz w:val="21"/>
                      <w:szCs w:val="18"/>
                      <w:lang w:val="en-US" w:eastAsia="zh-CN" w:bidi="ar-SA"/>
                    </w:rPr>
                  </w:pPr>
                  <w:r>
                    <w:rPr>
                      <w:rFonts w:cs="Times New Roman" w:hint="eastAsia"/>
                      <w:color w:val="auto"/>
                      <w:kern w:val="0"/>
                      <w:sz w:val="21"/>
                      <w:szCs w:val="18"/>
                      <w:lang w:val="en-US" w:eastAsia="zh-CN" w:bidi="ar-SA"/>
                    </w:rPr>
                    <w:t>生产、生活</w:t>
                  </w:r>
                </w:p>
              </w:tc>
              <w:tc>
                <w:tcPr>
                  <w:tcW w:w="323"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kern w:val="0"/>
                      <w:sz w:val="21"/>
                      <w:szCs w:val="18"/>
                      <w:lang w:val="en-US" w:eastAsia="zh-CN" w:bidi="ar-SA"/>
                    </w:rPr>
                  </w:pPr>
                  <w:r>
                    <w:rPr>
                      <w:rFonts w:cs="Times New Roman" w:hint="eastAsia"/>
                      <w:b w:val="0"/>
                      <w:bCs w:val="0"/>
                      <w:color w:val="auto"/>
                      <w:sz w:val="21"/>
                      <w:szCs w:val="21"/>
                      <w:lang w:val="en-US" w:eastAsia="zh-CN"/>
                    </w:rPr>
                    <w:t>气浮、隔油沉淀池</w:t>
                  </w:r>
                  <w:r>
                    <w:rPr>
                      <w:rFonts w:cs="Times New Roman" w:hint="eastAsia"/>
                      <w:b w:val="0"/>
                      <w:bCs w:val="0"/>
                      <w:color w:val="auto"/>
                      <w:sz w:val="21"/>
                      <w:szCs w:val="21"/>
                      <w:lang w:eastAsia="zh-CN"/>
                    </w:rPr>
                    <w:t>、</w:t>
                  </w:r>
                  <w:r>
                    <w:rPr>
                      <w:rFonts w:ascii="Times New Roman" w:eastAsia="宋体" w:cs="Times New Roman" w:hAnsi="Times New Roman"/>
                      <w:b w:val="0"/>
                      <w:bCs w:val="0"/>
                      <w:color w:val="auto"/>
                      <w:sz w:val="21"/>
                      <w:szCs w:val="21"/>
                    </w:rPr>
                    <w:t>化粪池</w:t>
                  </w:r>
                </w:p>
              </w:tc>
              <w:tc>
                <w:tcPr>
                  <w:tcW w:w="368"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kern w:val="2"/>
                      <w:sz w:val="21"/>
                      <w:szCs w:val="24"/>
                      <w:lang w:val="en-US" w:eastAsia="zh-CN" w:bidi="ar-SA"/>
                    </w:rPr>
                  </w:pPr>
                  <w:r>
                    <w:rPr>
                      <w:rFonts w:ascii="Times New Roman" w:eastAsia="宋体" w:cs="Times New Roman" w:hAnsi="Times New Roman" w:hint="eastAsia"/>
                      <w:color w:val="auto"/>
                      <w:kern w:val="2"/>
                      <w:sz w:val="21"/>
                      <w:szCs w:val="24"/>
                      <w:lang w:val="en-US" w:eastAsia="zh-CN" w:bidi="ar-SA"/>
                    </w:rPr>
                    <w:t>气浮+水解酸化</w:t>
                  </w:r>
                </w:p>
              </w:tc>
              <w:tc>
                <w:tcPr>
                  <w:tcW w:w="574"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b w:val="0"/>
                      <w:bCs w:val="0"/>
                      <w:color w:val="auto"/>
                      <w:sz w:val="21"/>
                      <w:szCs w:val="21"/>
                    </w:rPr>
                    <w:t>DW00</w:t>
                  </w:r>
                  <w:r>
                    <w:rPr>
                      <w:rFonts w:cs="Times New Roman" w:hint="eastAsia"/>
                      <w:b w:val="0"/>
                      <w:bCs w:val="0"/>
                      <w:color w:val="auto"/>
                      <w:sz w:val="21"/>
                      <w:szCs w:val="21"/>
                      <w:lang w:val="en-US" w:eastAsia="zh-CN"/>
                    </w:rPr>
                    <w:t>1</w:t>
                  </w:r>
                </w:p>
              </w:tc>
              <w:tc>
                <w:tcPr>
                  <w:tcW w:w="613"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color w:val="auto"/>
                      <w:kern w:val="0"/>
                      <w:sz w:val="21"/>
                      <w:szCs w:val="18"/>
                      <w:lang w:val="en-US" w:eastAsia="zh-CN" w:bidi="ar-SA"/>
                    </w:rPr>
                  </w:pPr>
                  <w:r>
                    <w:rPr>
                      <w:rFonts w:ascii="Times New Roman" w:eastAsia="宋体" w:cs="Times New Roman" w:hAnsi="Times New Roman" w:hint="eastAsia"/>
                      <w:b w:val="0"/>
                      <w:bCs w:val="0"/>
                      <w:color w:val="auto"/>
                      <w:sz w:val="21"/>
                      <w:szCs w:val="21"/>
                    </w:rPr>
                    <w:t>111°29'13.360",28°56'15.765"</w:t>
                  </w:r>
                </w:p>
              </w:tc>
              <w:tc>
                <w:tcPr>
                  <w:tcW w:w="552"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b w:val="0"/>
                      <w:bCs w:val="0"/>
                      <w:color w:val="auto"/>
                      <w:sz w:val="21"/>
                      <w:szCs w:val="21"/>
                    </w:rPr>
                    <w:t>间接排放</w:t>
                  </w:r>
                </w:p>
              </w:tc>
              <w:tc>
                <w:tcPr>
                  <w:tcW w:w="399"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kern w:val="0"/>
                      <w:sz w:val="21"/>
                      <w:szCs w:val="18"/>
                      <w:lang w:val="en-US" w:eastAsia="zh-CN" w:bidi="ar-SA"/>
                    </w:rPr>
                  </w:pPr>
                  <w:r>
                    <w:rPr>
                      <w:rFonts w:cs="Times New Roman" w:hint="eastAsia"/>
                      <w:b w:val="0"/>
                      <w:bCs w:val="0"/>
                      <w:color w:val="auto"/>
                      <w:sz w:val="21"/>
                      <w:szCs w:val="21"/>
                      <w:lang w:val="en-US" w:eastAsia="zh-CN"/>
                    </w:rPr>
                    <w:t>桃源县第二污水处理厂</w:t>
                  </w:r>
                </w:p>
              </w:tc>
              <w:tc>
                <w:tcPr>
                  <w:tcW w:w="360" w:type="pct"/>
                  <w:vMerge w:val="restart"/>
                  <w:tcBorders>
                    <w:tl2br w:val="nil"/>
                    <w:tr2bl w:val="nil"/>
                  </w:tcBorders>
                  <w:shd w:val="clear" w:color="auto" w:fill="auto"/>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b w:val="0"/>
                      <w:bCs w:val="0"/>
                      <w:color w:val="auto"/>
                      <w:sz w:val="21"/>
                      <w:szCs w:val="21"/>
                      <w:lang w:val="en-US" w:eastAsia="zh-CN"/>
                    </w:rPr>
                  </w:pPr>
                  <w:r>
                    <w:rPr>
                      <w:rFonts w:ascii="Times New Roman" w:eastAsia="宋体" w:cs="Times New Roman" w:hAnsi="Times New Roman" w:hint="eastAsia"/>
                      <w:b w:val="0"/>
                      <w:bCs w:val="0"/>
                      <w:color w:val="auto"/>
                      <w:sz w:val="21"/>
                      <w:szCs w:val="21"/>
                      <w:lang w:val="en-US" w:eastAsia="zh-CN"/>
                    </w:rPr>
                    <w:t>一般排放口</w:t>
                  </w: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sz w:val="21"/>
                      <w:szCs w:val="21"/>
                      <w:lang w:val="en-US" w:eastAsia="zh-CN"/>
                    </w:rPr>
                  </w:pPr>
                  <w:r>
                    <w:rPr>
                      <w:rFonts w:ascii="Times New Roman" w:eastAsia="宋体" w:cs="Times New Roman" w:hAnsi="Times New Roman" w:hint="eastAsia"/>
                      <w:b w:val="0"/>
                      <w:bCs w:val="0"/>
                      <w:color w:val="auto"/>
                      <w:sz w:val="21"/>
                      <w:szCs w:val="21"/>
                      <w:lang w:val="en-US" w:eastAsia="zh-CN"/>
                    </w:rPr>
                    <w:t>pH</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cs="Times New Roman"/>
                      <w:color w:val="auto"/>
                      <w:szCs w:val="21"/>
                      <w:lang w:val="en-US" w:eastAsia="zh-CN"/>
                    </w:rPr>
                  </w:pPr>
                  <w:r>
                    <w:rPr>
                      <w:rFonts w:cs="Times New Roman" w:hint="eastAsia"/>
                      <w:color w:val="auto"/>
                      <w:szCs w:val="21"/>
                      <w:lang w:val="en-US" w:eastAsia="zh-CN"/>
                    </w:rPr>
                    <w:t>6~9</w:t>
                  </w:r>
                </w:p>
              </w:tc>
              <w:tc>
                <w:tcPr>
                  <w:tcW w:w="645" w:type="pct"/>
                  <w:vMerge w:val="restart"/>
                  <w:tcBorders>
                    <w:tl2br w:val="nil"/>
                    <w:tr2bl w:val="nil"/>
                  </w:tcBorders>
                  <w:vAlign w:val="center"/>
                </w:tcPr>
                <w:p>
                  <w:pPr>
                    <w:pageBreakBefore w:val="0"/>
                    <w:widowControl w:val="0"/>
                    <w:kinsoku/>
                    <w:overflowPunct/>
                    <w:bidi w:val="0"/>
                    <w:adjustRightInd w:val="0"/>
                    <w:snapToGrid w:val="0"/>
                    <w:spacing w:line="240" w:lineRule="auto"/>
                    <w:ind w:firstLine="0"/>
                    <w:jc w:val="center"/>
                    <w:rPr>
                      <w:rFonts w:ascii="Times New Roman" w:eastAsia="宋体" w:cs="Times New Roman" w:hAnsi="Times New Roman" w:hint="eastAsia"/>
                      <w:color w:val="auto"/>
                      <w:sz w:val="21"/>
                      <w:szCs w:val="21"/>
                      <w:lang w:eastAsia="zh-CN"/>
                    </w:rPr>
                  </w:pPr>
                  <w:r>
                    <w:rPr>
                      <w:rFonts w:hint="eastAsia"/>
                      <w:color w:val="auto"/>
                      <w:u w:val="none"/>
                      <w:lang w:eastAsia="zh-CN"/>
                    </w:rPr>
                    <w:t>《食品加工制造业水污染物排放标准》（GB46817—2025）及桃源县第二污水处理厂进水水质要求</w:t>
                  </w:r>
                </w:p>
              </w:tc>
            </w:tr>
            <w:tr>
              <w:trPr>
                <w:trHeight w:val="427"/>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vMerge/>
                  <w:tcBorders>
                    <w:tl2br w:val="nil"/>
                    <w:tr2bl w:val="nil"/>
                  </w:tcBorders>
                  <w:vAlign w:val="center"/>
                </w:tcPr>
                <w:p/>
              </w:tc>
              <w:tc>
                <w:tcPr>
                  <w:tcW w:w="368" w:type="pct"/>
                  <w:vMerge/>
                  <w:tcBorders>
                    <w:tl2br w:val="nil"/>
                    <w:tr2bl w:val="nil"/>
                  </w:tcBorders>
                  <w:vAlign w:val="center"/>
                </w:tcP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b w:val="0"/>
                      <w:bCs w:val="0"/>
                      <w:color w:val="auto"/>
                      <w:kern w:val="2"/>
                      <w:sz w:val="21"/>
                      <w:szCs w:val="21"/>
                      <w:lang w:val="en-US" w:eastAsia="zh-CN" w:bidi="ar-SA"/>
                    </w:rPr>
                  </w:pPr>
                  <w:r>
                    <w:rPr>
                      <w:rFonts w:ascii="Times New Roman" w:eastAsia="宋体" w:cs="Times New Roman" w:hAnsi="Times New Roman"/>
                      <w:b w:val="0"/>
                      <w:bCs w:val="0"/>
                      <w:color w:val="auto"/>
                      <w:sz w:val="21"/>
                      <w:szCs w:val="21"/>
                    </w:rPr>
                    <w:t>COD</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b w:val="0"/>
                      <w:bCs w:val="0"/>
                      <w:color w:val="auto"/>
                      <w:kern w:val="2"/>
                      <w:sz w:val="21"/>
                      <w:szCs w:val="21"/>
                      <w:lang w:val="en-US" w:eastAsia="zh-CN" w:bidi="ar-SA"/>
                    </w:rPr>
                  </w:pPr>
                  <w:r>
                    <w:rPr>
                      <w:rFonts w:cs="Times New Roman" w:hint="eastAsia"/>
                      <w:color w:val="auto"/>
                      <w:szCs w:val="21"/>
                      <w:lang w:val="en-US" w:eastAsia="zh-CN"/>
                    </w:rPr>
                    <w:t>320</w:t>
                  </w:r>
                </w:p>
              </w:tc>
              <w:tc>
                <w:tcPr>
                  <w:tcW w:w="645" w:type="pct"/>
                  <w:vMerge/>
                  <w:tcBorders>
                    <w:tl2br w:val="nil"/>
                    <w:tr2bl w:val="nil"/>
                  </w:tcBorders>
                  <w:vAlign w:val="center"/>
                </w:tcPr>
                <w:p/>
              </w:tc>
            </w:tr>
            <w:tr>
              <w:trPr>
                <w:trHeight w:val="454"/>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vMerge/>
                  <w:tcBorders>
                    <w:tl2br w:val="nil"/>
                    <w:tr2bl w:val="nil"/>
                  </w:tcBorders>
                  <w:vAlign w:val="center"/>
                </w:tcPr>
                <w:p/>
              </w:tc>
              <w:tc>
                <w:tcPr>
                  <w:tcW w:w="368" w:type="pct"/>
                  <w:vMerge/>
                  <w:tcBorders>
                    <w:tl2br w:val="nil"/>
                    <w:tr2bl w:val="nil"/>
                  </w:tcBorders>
                  <w:vAlign w:val="center"/>
                </w:tcP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b w:val="0"/>
                      <w:bCs w:val="0"/>
                      <w:color w:val="auto"/>
                      <w:sz w:val="21"/>
                      <w:szCs w:val="21"/>
                    </w:rPr>
                    <w:t>BOD</w:t>
                  </w:r>
                  <w:r>
                    <w:rPr>
                      <w:rFonts w:ascii="Times New Roman" w:eastAsia="宋体" w:cs="Times New Roman" w:hAnsi="Times New Roman"/>
                      <w:b w:val="0"/>
                      <w:bCs w:val="0"/>
                      <w:color w:val="auto"/>
                      <w:sz w:val="21"/>
                      <w:szCs w:val="21"/>
                      <w:vertAlign w:val="subscript"/>
                    </w:rPr>
                    <w:t>5</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cs="Times New Roman" w:hint="eastAsia"/>
                      <w:b w:val="0"/>
                      <w:bCs w:val="0"/>
                      <w:color w:val="auto"/>
                      <w:sz w:val="21"/>
                      <w:szCs w:val="21"/>
                      <w:lang w:val="en-US" w:eastAsia="zh-CN"/>
                    </w:rPr>
                    <w:t>155</w:t>
                  </w:r>
                </w:p>
              </w:tc>
              <w:tc>
                <w:tcPr>
                  <w:tcW w:w="645" w:type="pct"/>
                  <w:vMerge/>
                  <w:tcBorders>
                    <w:tl2br w:val="nil"/>
                    <w:tr2bl w:val="nil"/>
                  </w:tcBorders>
                  <w:vAlign w:val="center"/>
                </w:tcPr>
                <w:p/>
              </w:tc>
            </w:tr>
            <w:tr>
              <w:trPr>
                <w:trHeight w:val="454"/>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vMerge/>
                  <w:tcBorders>
                    <w:tl2br w:val="nil"/>
                    <w:tr2bl w:val="nil"/>
                  </w:tcBorders>
                  <w:vAlign w:val="center"/>
                </w:tcPr>
                <w:p/>
              </w:tc>
              <w:tc>
                <w:tcPr>
                  <w:tcW w:w="368" w:type="pct"/>
                  <w:vMerge/>
                  <w:tcBorders>
                    <w:tl2br w:val="nil"/>
                    <w:tr2bl w:val="nil"/>
                  </w:tcBorders>
                  <w:vAlign w:val="center"/>
                </w:tcP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b w:val="0"/>
                      <w:bCs w:val="0"/>
                      <w:color w:val="auto"/>
                      <w:sz w:val="21"/>
                      <w:szCs w:val="21"/>
                    </w:rPr>
                    <w:t>SS</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cs="Times New Roman" w:hint="eastAsia"/>
                      <w:b w:val="0"/>
                      <w:bCs w:val="0"/>
                      <w:color w:val="auto"/>
                      <w:sz w:val="21"/>
                      <w:szCs w:val="21"/>
                      <w:lang w:val="en-US" w:eastAsia="zh-CN"/>
                    </w:rPr>
                    <w:t>265</w:t>
                  </w:r>
                </w:p>
              </w:tc>
              <w:tc>
                <w:tcPr>
                  <w:tcW w:w="645" w:type="pct"/>
                  <w:vMerge/>
                  <w:tcBorders>
                    <w:tl2br w:val="nil"/>
                    <w:tr2bl w:val="nil"/>
                  </w:tcBorders>
                  <w:vAlign w:val="center"/>
                </w:tcPr>
                <w:p/>
              </w:tc>
            </w:tr>
            <w:tr>
              <w:trPr>
                <w:trHeight w:val="454"/>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vMerge/>
                  <w:tcBorders>
                    <w:tl2br w:val="nil"/>
                    <w:tr2bl w:val="nil"/>
                  </w:tcBorders>
                  <w:vAlign w:val="center"/>
                </w:tcPr>
                <w:p/>
              </w:tc>
              <w:tc>
                <w:tcPr>
                  <w:tcW w:w="368" w:type="pct"/>
                  <w:vMerge/>
                  <w:tcBorders>
                    <w:tl2br w:val="nil"/>
                    <w:tr2bl w:val="nil"/>
                  </w:tcBorders>
                  <w:vAlign w:val="center"/>
                </w:tcP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b w:val="0"/>
                      <w:bCs w:val="0"/>
                      <w:color w:val="auto"/>
                      <w:sz w:val="21"/>
                      <w:szCs w:val="21"/>
                    </w:rPr>
                    <w:t>NH</w:t>
                  </w:r>
                  <w:r>
                    <w:rPr>
                      <w:rFonts w:ascii="Times New Roman" w:eastAsia="宋体" w:cs="Times New Roman" w:hAnsi="Times New Roman"/>
                      <w:b w:val="0"/>
                      <w:bCs w:val="0"/>
                      <w:color w:val="auto"/>
                      <w:sz w:val="21"/>
                      <w:szCs w:val="21"/>
                      <w:vertAlign w:val="subscript"/>
                    </w:rPr>
                    <w:t>3</w:t>
                  </w:r>
                  <w:r>
                    <w:rPr>
                      <w:rFonts w:ascii="Times New Roman" w:eastAsia="宋体" w:cs="Times New Roman" w:hAnsi="Times New Roman"/>
                      <w:b w:val="0"/>
                      <w:bCs w:val="0"/>
                      <w:color w:val="auto"/>
                      <w:sz w:val="21"/>
                      <w:szCs w:val="21"/>
                    </w:rPr>
                    <w:t>-N</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cs="Times New Roman" w:hint="eastAsia"/>
                      <w:b w:val="0"/>
                      <w:bCs w:val="0"/>
                      <w:color w:val="auto"/>
                      <w:sz w:val="21"/>
                      <w:szCs w:val="21"/>
                      <w:lang w:val="en-US" w:eastAsia="zh-CN"/>
                    </w:rPr>
                    <w:t>30</w:t>
                  </w:r>
                </w:p>
              </w:tc>
              <w:tc>
                <w:tcPr>
                  <w:tcW w:w="645" w:type="pct"/>
                  <w:vMerge/>
                  <w:tcBorders>
                    <w:tl2br w:val="nil"/>
                    <w:tr2bl w:val="nil"/>
                  </w:tcBorders>
                  <w:vAlign w:val="center"/>
                </w:tcPr>
                <w:p/>
              </w:tc>
            </w:tr>
            <w:tr>
              <w:trPr>
                <w:trHeight w:val="454"/>
              </w:trPr>
              <w:tc>
                <w:tcPr>
                  <w:tcW w:w="215" w:type="pct"/>
                  <w:vMerge/>
                  <w:tcBorders>
                    <w:tl2br w:val="nil"/>
                    <w:tr2bl w:val="nil"/>
                  </w:tcBorders>
                  <w:vAlign w:val="center"/>
                </w:tcPr>
                <w:p/>
              </w:tc>
              <w:tc>
                <w:tcPr>
                  <w:tcW w:w="221" w:type="pct"/>
                  <w:vMerge/>
                  <w:tcBorders>
                    <w:tl2br w:val="nil"/>
                    <w:tr2bl w:val="nil"/>
                  </w:tcBorders>
                  <w:vAlign w:val="center"/>
                </w:tcPr>
                <w:p/>
              </w:tc>
              <w:tc>
                <w:tcPr>
                  <w:tcW w:w="323" w:type="pct"/>
                  <w:vMerge/>
                  <w:tcBorders>
                    <w:tl2br w:val="nil"/>
                    <w:tr2bl w:val="nil"/>
                  </w:tcBorders>
                  <w:vAlign w:val="center"/>
                </w:tcPr>
                <w:p/>
              </w:tc>
              <w:tc>
                <w:tcPr>
                  <w:tcW w:w="368" w:type="pct"/>
                  <w:vMerge/>
                  <w:tcBorders>
                    <w:tl2br w:val="nil"/>
                    <w:tr2bl w:val="nil"/>
                  </w:tcBorders>
                  <w:vAlign w:val="center"/>
                </w:tcPr>
                <w:p/>
              </w:tc>
              <w:tc>
                <w:tcPr>
                  <w:tcW w:w="574" w:type="pct"/>
                  <w:vMerge/>
                  <w:tcBorders>
                    <w:tl2br w:val="nil"/>
                    <w:tr2bl w:val="nil"/>
                  </w:tcBorders>
                  <w:vAlign w:val="center"/>
                </w:tcPr>
                <w:p/>
              </w:tc>
              <w:tc>
                <w:tcPr>
                  <w:tcW w:w="613" w:type="pct"/>
                  <w:vMerge/>
                  <w:tcBorders>
                    <w:tl2br w:val="nil"/>
                    <w:tr2bl w:val="nil"/>
                  </w:tcBorders>
                  <w:vAlign w:val="center"/>
                </w:tcPr>
                <w:p/>
              </w:tc>
              <w:tc>
                <w:tcPr>
                  <w:tcW w:w="552" w:type="pct"/>
                  <w:vMerge/>
                  <w:tcBorders>
                    <w:tl2br w:val="nil"/>
                    <w:tr2bl w:val="nil"/>
                  </w:tcBorders>
                  <w:vAlign w:val="center"/>
                </w:tcPr>
                <w:p/>
              </w:tc>
              <w:tc>
                <w:tcPr>
                  <w:tcW w:w="399" w:type="pct"/>
                  <w:vMerge/>
                  <w:tcBorders>
                    <w:tl2br w:val="nil"/>
                    <w:tr2bl w:val="nil"/>
                  </w:tcBorders>
                  <w:vAlign w:val="center"/>
                </w:tcPr>
                <w:p/>
              </w:tc>
              <w:tc>
                <w:tcPr>
                  <w:tcW w:w="360" w:type="pct"/>
                  <w:vMerge/>
                  <w:tcBorders>
                    <w:tl2br w:val="nil"/>
                    <w:tr2bl w:val="nil"/>
                  </w:tcBorders>
                  <w:vAlign w:val="center"/>
                </w:tcPr>
                <w:p/>
              </w:tc>
              <w:tc>
                <w:tcPr>
                  <w:tcW w:w="34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b w:val="0"/>
                      <w:bCs w:val="0"/>
                      <w:color w:val="auto"/>
                      <w:sz w:val="21"/>
                      <w:szCs w:val="21"/>
                    </w:rPr>
                    <w:t>TP</w:t>
                  </w:r>
                </w:p>
              </w:tc>
              <w:tc>
                <w:tcPr>
                  <w:tcW w:w="386" w:type="pct"/>
                  <w:tcBorders>
                    <w:tl2br w:val="nil"/>
                    <w:tr2bl w:val="nil"/>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val="0"/>
                    <w:jc w:val="center"/>
                    <w:rPr>
                      <w:rFonts w:ascii="Times New Roman" w:eastAsia="宋体" w:cs="Times New Roman" w:hAnsi="Times New Roman" w:hint="eastAsia"/>
                      <w:b w:val="0"/>
                      <w:bCs w:val="0"/>
                      <w:color w:val="auto"/>
                      <w:kern w:val="2"/>
                      <w:sz w:val="21"/>
                      <w:szCs w:val="21"/>
                      <w:lang w:val="en-US" w:eastAsia="zh-CN" w:bidi="ar-SA"/>
                    </w:rPr>
                  </w:pPr>
                  <w:r>
                    <w:rPr>
                      <w:rFonts w:ascii="Times New Roman" w:eastAsia="宋体" w:cs="Times New Roman" w:hAnsi="Times New Roman" w:hint="eastAsia"/>
                      <w:b w:val="0"/>
                      <w:bCs w:val="0"/>
                      <w:color w:val="auto"/>
                      <w:sz w:val="21"/>
                      <w:szCs w:val="21"/>
                      <w:lang w:val="en-US" w:eastAsia="zh-CN"/>
                    </w:rPr>
                    <w:t>/</w:t>
                  </w:r>
                </w:p>
              </w:tc>
              <w:tc>
                <w:tcPr>
                  <w:tcW w:w="645" w:type="pct"/>
                  <w:vMerge/>
                  <w:tcBorders>
                    <w:tl2br w:val="nil"/>
                    <w:tr2bl w:val="nil"/>
                  </w:tcBorders>
                  <w:vAlign w:val="center"/>
                </w:tcPr>
                <w:p/>
              </w:tc>
            </w:tr>
          </w:tbl>
          <w:p>
            <w:pPr>
              <w:pageBreakBefore w:val="0"/>
              <w:widowControl w:val="0"/>
              <w:kinsoku/>
              <w:overflowPunct/>
              <w:bidi w:val="0"/>
              <w:adjustRightInd w:val="0"/>
              <w:spacing w:line="360" w:lineRule="auto"/>
              <w:ind w:firstLineChars="200" w:firstLine="380"/>
              <w:contextualSpacing/>
              <w:rPr>
                <w:rFonts w:ascii="宋体" w:cs="宋体" w:hAnsi="宋体" w:hint="eastAsia"/>
                <w:bCs/>
                <w:color w:val="0000FF"/>
                <w:spacing w:val="-10"/>
                <w:szCs w:val="21"/>
              </w:rPr>
            </w:pPr>
          </w:p>
        </w:tc>
      </w:tr>
    </w:tbl>
    <w:p>
      <w:pPr>
        <w:adjustRightInd w:val="0"/>
        <w:snapToGrid w:val="0"/>
        <w:spacing w:line="360" w:lineRule="auto"/>
        <w:rPr>
          <w:rFonts w:ascii="宋体" w:cs="宋体" w:hint="eastAsia"/>
          <w:b/>
          <w:color w:val="0000FF"/>
          <w:kern w:val="0"/>
          <w:sz w:val="28"/>
          <w:szCs w:val="28"/>
        </w:rPr>
        <w:sectPr>
          <w:pgSz w:w="16838" w:h="11905" w:orient="landscape"/>
          <w:pgMar w:top="1247" w:right="1134" w:bottom="1134" w:left="1247" w:header="851" w:footer="850" w:gutter="0"/>
          <w:pgBorders>
            <w:top w:val="none" w:sz="0" w:space="0" w:color="auto"/>
            <w:left w:val="none" w:sz="0" w:space="0" w:color="auto"/>
            <w:bottom w:val="none" w:sz="0" w:space="0" w:color="auto"/>
            <w:right w:val="none" w:sz="0" w:space="0" w:color="auto"/>
          </w:pgBorders>
          <w:pgNumType/>
          <w:cols w:num="1" w:space="0"/>
          <w:rtlGutter/>
          <w:docGrid w:linePitch="312" w:charSpace="0"/>
        </w:sectPr>
      </w:pPr>
    </w:p>
    <w:p>
      <w:pPr>
        <w:numPr>
          <w:ilvl w:val="0"/>
          <w:numId w:val="4"/>
        </w:numPr>
        <w:spacing w:line="360" w:lineRule="auto"/>
        <w:jc w:val="center"/>
        <w:outlineLvl w:val="0"/>
        <w:rPr>
          <w:rFonts w:hint="eastAsia"/>
          <w:b/>
          <w:bCs/>
          <w:color w:val="auto"/>
          <w:sz w:val="32"/>
          <w:szCs w:val="32"/>
        </w:rPr>
      </w:pPr>
      <w:bookmarkStart w:id="39" w:name="_Toc11645"/>
      <w:bookmarkStart w:id="40" w:name="_Hlk54167917"/>
      <w:bookmarkStart w:id="41" w:name="_Toc29984"/>
      <w:bookmarkStart w:id="42" w:name="_Toc9251"/>
      <w:r>
        <w:rPr>
          <w:rFonts w:hint="eastAsia"/>
          <w:b/>
          <w:bCs/>
          <w:color w:val="auto"/>
          <w:sz w:val="32"/>
          <w:szCs w:val="32"/>
        </w:rPr>
        <w:t>环境保护措施监督检查清单</w:t>
      </w:r>
      <w:bookmarkEnd w:id="39"/>
      <w:bookmarkEnd w:id="40"/>
      <w:bookmarkEnd w:id="41"/>
      <w:bookmarkEnd w:id="42"/>
    </w:p>
    <w:tbl>
      <w:tblPr>
        <w:jc w:val="left"/>
        <w:tblInd w:w="0" w:type="dxa"/>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Look w:val="0600" w:firstRow="0" w:lastRow="0" w:firstColumn="0" w:lastColumn="0" w:noHBand="1" w:noVBand="1"/>
      </w:tblPr>
      <w:tblGrid>
        <w:gridCol w:w="883"/>
        <w:gridCol w:w="762"/>
        <w:gridCol w:w="1298"/>
        <w:gridCol w:w="1495"/>
        <w:gridCol w:w="2941"/>
        <w:gridCol w:w="2192"/>
      </w:tblGrid>
      <w:tr>
        <w:trPr>
          <w:cantSplit/>
          <w:trHeight w:val="567"/>
        </w:trPr>
        <w:tc>
          <w:tcPr>
            <w:tcW w:w="461" w:type="pct"/>
            <w:tcBorders>
              <w:tl2br w:val="single" w:sz="4" w:space="0" w:color="auto"/>
            </w:tcBorders>
            <w:vAlign w:val="center"/>
          </w:tcPr>
          <w:p>
            <w:pPr>
              <w:jc w:val="center"/>
              <w:rPr>
                <w:b/>
                <w:bCs/>
                <w:color w:val="auto"/>
                <w:sz w:val="24"/>
                <w:szCs w:val="24"/>
              </w:rPr>
            </w:pPr>
            <w:r>
              <w:rPr>
                <w:b/>
                <w:bCs/>
                <w:color w:val="auto"/>
                <w:sz w:val="24"/>
                <w:szCs w:val="24"/>
              </w:rPr>
              <w:t xml:space="preserve">    </w:t>
            </w:r>
            <w:r>
              <w:rPr>
                <w:rFonts w:hint="eastAsia"/>
                <w:b/>
                <w:bCs/>
                <w:color w:val="auto"/>
                <w:sz w:val="24"/>
                <w:szCs w:val="24"/>
              </w:rPr>
              <w:t xml:space="preserve">   </w:t>
            </w:r>
            <w:r>
              <w:rPr>
                <w:b/>
                <w:bCs/>
                <w:color w:val="auto"/>
                <w:sz w:val="24"/>
                <w:szCs w:val="24"/>
              </w:rPr>
              <w:t>内容</w:t>
            </w:r>
          </w:p>
          <w:p>
            <w:pPr>
              <w:jc w:val="center"/>
              <w:rPr>
                <w:b/>
                <w:bCs/>
                <w:color w:val="auto"/>
                <w:sz w:val="24"/>
                <w:szCs w:val="24"/>
              </w:rPr>
            </w:pPr>
          </w:p>
          <w:p>
            <w:pPr>
              <w:jc w:val="center"/>
              <w:rPr>
                <w:b/>
                <w:bCs/>
                <w:color w:val="auto"/>
                <w:sz w:val="24"/>
                <w:szCs w:val="24"/>
              </w:rPr>
            </w:pPr>
          </w:p>
          <w:p>
            <w:pPr>
              <w:rPr>
                <w:rFonts w:hint="eastAsia"/>
                <w:b/>
                <w:bCs/>
                <w:color w:val="auto"/>
                <w:sz w:val="24"/>
                <w:szCs w:val="24"/>
              </w:rPr>
            </w:pPr>
            <w:r>
              <w:rPr>
                <w:rFonts w:hint="eastAsia"/>
                <w:b/>
                <w:bCs/>
                <w:color w:val="auto"/>
                <w:sz w:val="24"/>
                <w:szCs w:val="24"/>
              </w:rPr>
              <w:t>要素</w:t>
            </w:r>
          </w:p>
        </w:tc>
        <w:tc>
          <w:tcPr>
            <w:tcW w:w="1076" w:type="pct"/>
            <w:gridSpan w:val="2"/>
            <w:vAlign w:val="center"/>
          </w:tcPr>
          <w:p>
            <w:pPr>
              <w:jc w:val="center"/>
              <w:rPr>
                <w:b/>
                <w:bCs/>
                <w:color w:val="auto"/>
                <w:sz w:val="24"/>
                <w:szCs w:val="24"/>
              </w:rPr>
            </w:pPr>
            <w:r>
              <w:rPr>
                <w:b/>
                <w:bCs/>
                <w:color w:val="auto"/>
                <w:sz w:val="24"/>
                <w:szCs w:val="24"/>
              </w:rPr>
              <w:t>排放</w:t>
            </w:r>
            <w:r>
              <w:rPr>
                <w:rFonts w:hint="eastAsia"/>
                <w:b/>
                <w:bCs/>
                <w:color w:val="auto"/>
                <w:sz w:val="24"/>
                <w:szCs w:val="24"/>
              </w:rPr>
              <w:t>口（编号、名称）/污染源</w:t>
            </w:r>
          </w:p>
        </w:tc>
        <w:tc>
          <w:tcPr>
            <w:tcW w:w="781" w:type="pct"/>
            <w:vAlign w:val="center"/>
          </w:tcPr>
          <w:p>
            <w:pPr>
              <w:jc w:val="center"/>
              <w:rPr>
                <w:rFonts w:hint="eastAsia"/>
                <w:b/>
                <w:bCs/>
                <w:color w:val="auto"/>
                <w:sz w:val="24"/>
                <w:szCs w:val="24"/>
              </w:rPr>
            </w:pPr>
            <w:r>
              <w:rPr>
                <w:b/>
                <w:bCs/>
                <w:color w:val="auto"/>
                <w:sz w:val="24"/>
                <w:szCs w:val="24"/>
              </w:rPr>
              <w:t>污染物</w:t>
            </w:r>
            <w:r>
              <w:rPr>
                <w:rFonts w:hint="eastAsia"/>
                <w:b/>
                <w:bCs/>
                <w:color w:val="auto"/>
                <w:sz w:val="24"/>
                <w:szCs w:val="24"/>
              </w:rPr>
              <w:t>项目</w:t>
            </w:r>
          </w:p>
        </w:tc>
        <w:tc>
          <w:tcPr>
            <w:tcW w:w="1536" w:type="pct"/>
            <w:vAlign w:val="center"/>
          </w:tcPr>
          <w:p>
            <w:pPr>
              <w:jc w:val="center"/>
              <w:rPr>
                <w:b/>
                <w:bCs/>
                <w:color w:val="auto"/>
                <w:sz w:val="24"/>
                <w:szCs w:val="24"/>
              </w:rPr>
            </w:pPr>
            <w:r>
              <w:rPr>
                <w:rFonts w:hint="eastAsia"/>
                <w:b/>
                <w:bCs/>
                <w:color w:val="auto"/>
                <w:sz w:val="24"/>
                <w:szCs w:val="24"/>
              </w:rPr>
              <w:t>环境保护</w:t>
            </w:r>
            <w:r>
              <w:rPr>
                <w:b/>
                <w:bCs/>
                <w:color w:val="auto"/>
                <w:sz w:val="24"/>
                <w:szCs w:val="24"/>
              </w:rPr>
              <w:t>措施</w:t>
            </w:r>
          </w:p>
        </w:tc>
        <w:tc>
          <w:tcPr>
            <w:tcW w:w="1144" w:type="pct"/>
            <w:vAlign w:val="center"/>
          </w:tcPr>
          <w:p>
            <w:pPr>
              <w:jc w:val="center"/>
              <w:rPr>
                <w:rFonts w:hint="eastAsia"/>
                <w:b/>
                <w:bCs/>
                <w:color w:val="auto"/>
                <w:sz w:val="24"/>
                <w:szCs w:val="24"/>
              </w:rPr>
            </w:pPr>
            <w:r>
              <w:rPr>
                <w:rFonts w:hint="eastAsia"/>
                <w:b/>
                <w:bCs/>
                <w:color w:val="auto"/>
                <w:sz w:val="24"/>
                <w:szCs w:val="24"/>
              </w:rPr>
              <w:t>执行标准</w:t>
            </w:r>
          </w:p>
        </w:tc>
      </w:tr>
      <w:tr>
        <w:trPr>
          <w:cantSplit/>
          <w:trHeight w:val="567"/>
        </w:trPr>
        <w:tc>
          <w:tcPr>
            <w:tcW w:w="461" w:type="pct"/>
            <w:vMerge w:val="restart"/>
            <w:vAlign w:val="center"/>
          </w:tcPr>
          <w:p>
            <w:pPr>
              <w:jc w:val="center"/>
              <w:rPr>
                <w:color w:val="auto"/>
                <w:sz w:val="24"/>
                <w:szCs w:val="24"/>
              </w:rPr>
            </w:pPr>
            <w:r>
              <w:rPr>
                <w:color w:val="auto"/>
                <w:sz w:val="24"/>
                <w:szCs w:val="24"/>
              </w:rPr>
              <w:t>大</w:t>
            </w:r>
          </w:p>
          <w:p>
            <w:pPr>
              <w:jc w:val="center"/>
              <w:rPr>
                <w:color w:val="auto"/>
                <w:sz w:val="24"/>
                <w:szCs w:val="24"/>
              </w:rPr>
            </w:pPr>
            <w:r>
              <w:rPr>
                <w:color w:val="auto"/>
                <w:sz w:val="24"/>
                <w:szCs w:val="24"/>
              </w:rPr>
              <w:t>气</w:t>
            </w:r>
          </w:p>
          <w:p>
            <w:pPr>
              <w:jc w:val="center"/>
              <w:rPr>
                <w:rFonts w:hint="eastAsia"/>
                <w:color w:val="auto"/>
                <w:sz w:val="24"/>
                <w:szCs w:val="24"/>
              </w:rPr>
            </w:pPr>
            <w:r>
              <w:rPr>
                <w:rFonts w:hint="eastAsia"/>
                <w:color w:val="auto"/>
                <w:sz w:val="24"/>
                <w:szCs w:val="24"/>
              </w:rPr>
              <w:t>环</w:t>
            </w:r>
          </w:p>
          <w:p>
            <w:pPr>
              <w:jc w:val="center"/>
              <w:rPr>
                <w:rFonts w:hint="eastAsia"/>
                <w:color w:val="auto"/>
                <w:sz w:val="24"/>
                <w:szCs w:val="24"/>
              </w:rPr>
            </w:pPr>
            <w:r>
              <w:rPr>
                <w:rFonts w:hint="eastAsia"/>
                <w:color w:val="auto"/>
                <w:sz w:val="24"/>
                <w:szCs w:val="24"/>
              </w:rPr>
              <w:t>境</w:t>
            </w:r>
          </w:p>
        </w:tc>
        <w:tc>
          <w:tcPr>
            <w:tcW w:w="398" w:type="pct"/>
            <w:vMerge w:val="restart"/>
            <w:vAlign w:val="center"/>
          </w:tcPr>
          <w:p>
            <w:pPr>
              <w:jc w:val="center"/>
              <w:rPr>
                <w:color w:val="auto"/>
                <w:sz w:val="24"/>
                <w:szCs w:val="24"/>
                <w:lang w:val="en-US"/>
              </w:rPr>
            </w:pPr>
            <w:r>
              <w:rPr>
                <w:rFonts w:hint="eastAsia"/>
                <w:color w:val="auto"/>
                <w:sz w:val="24"/>
                <w:szCs w:val="24"/>
                <w:lang w:val="en-US" w:eastAsia="zh-CN"/>
              </w:rPr>
              <w:t>DA001</w:t>
            </w:r>
          </w:p>
        </w:tc>
        <w:tc>
          <w:tcPr>
            <w:tcW w:w="677" w:type="pct"/>
            <w:vAlign w:val="center"/>
          </w:tcPr>
          <w:p>
            <w:pPr>
              <w:widowControl/>
              <w:jc w:val="center"/>
              <w:rPr>
                <w:rFonts w:ascii="Times New Roman" w:cs="Times New Roman" w:hAnsi="Times New Roman"/>
                <w:color w:val="auto"/>
                <w:sz w:val="24"/>
                <w:szCs w:val="24"/>
                <w:lang w:val="en-US" w:eastAsia="zh-CN"/>
              </w:rPr>
            </w:pPr>
            <w:r>
              <w:rPr>
                <w:rFonts w:cs="Times New Roman" w:hint="eastAsia"/>
                <w:color w:val="auto"/>
                <w:sz w:val="24"/>
                <w:lang w:val="en-US" w:eastAsia="zh-CN"/>
              </w:rPr>
              <w:t>烘干废气</w:t>
            </w:r>
          </w:p>
        </w:tc>
        <w:tc>
          <w:tcPr>
            <w:tcW w:w="781" w:type="pct"/>
            <w:vMerge w:val="restart"/>
            <w:vAlign w:val="center"/>
          </w:tcPr>
          <w:p>
            <w:pPr>
              <w:jc w:val="center"/>
              <w:rPr>
                <w:rFonts w:ascii="Times New Roman" w:eastAsia="宋体" w:cs="Times New Roman" w:hAnsi="Times New Roman"/>
                <w:color w:val="auto"/>
                <w:sz w:val="24"/>
                <w:szCs w:val="24"/>
                <w:lang w:val="en-US" w:eastAsia="zh-CN"/>
              </w:rPr>
            </w:pPr>
            <w:r>
              <w:rPr>
                <w:rFonts w:ascii="Times New Roman" w:cs="Times New Roman" w:hAnsi="Times New Roman"/>
                <w:color w:val="auto"/>
                <w:sz w:val="24"/>
                <w:szCs w:val="24"/>
              </w:rPr>
              <w:t>颗粒物</w:t>
            </w:r>
            <w:r>
              <w:rPr>
                <w:rFonts w:cs="Times New Roman" w:hint="eastAsia"/>
                <w:color w:val="auto"/>
                <w:sz w:val="24"/>
                <w:szCs w:val="24"/>
                <w:lang w:eastAsia="zh-CN"/>
              </w:rPr>
              <w:t>、</w:t>
            </w:r>
            <w:r>
              <w:rPr>
                <w:rFonts w:cs="Times New Roman" w:hint="eastAsia"/>
                <w:color w:val="auto"/>
                <w:sz w:val="24"/>
                <w:szCs w:val="24"/>
                <w:lang w:val="en-US" w:eastAsia="zh-CN"/>
              </w:rPr>
              <w:t>非甲烷总烃</w:t>
            </w:r>
          </w:p>
        </w:tc>
        <w:tc>
          <w:tcPr>
            <w:tcW w:w="1536" w:type="pct"/>
            <w:vMerge w:val="restart"/>
            <w:vAlign w:val="center"/>
          </w:tcPr>
          <w:p>
            <w:pPr>
              <w:widowControl/>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布袋+活性炭</w:t>
            </w:r>
          </w:p>
        </w:tc>
        <w:tc>
          <w:tcPr>
            <w:tcW w:w="1144" w:type="pct"/>
            <w:vMerge w:val="restart"/>
            <w:vAlign w:val="center"/>
          </w:tcPr>
          <w:p>
            <w:pPr>
              <w:jc w:val="center"/>
              <w:rPr>
                <w:rFonts w:eastAsia="宋体" w:hint="eastAsia"/>
                <w:color w:val="auto"/>
                <w:sz w:val="24"/>
                <w:szCs w:val="24"/>
                <w:lang w:val="en-US" w:eastAsia="zh-CN"/>
              </w:rPr>
            </w:pPr>
            <w:r>
              <w:rPr>
                <w:rFonts w:hint="eastAsia"/>
                <w:color w:val="auto"/>
                <w:sz w:val="24"/>
              </w:rPr>
              <w:t>《大气污染物综合排放标准》（GB16297-1996）</w:t>
            </w:r>
          </w:p>
        </w:tc>
      </w:tr>
      <w:tr>
        <w:trPr>
          <w:cantSplit/>
          <w:trHeight w:val="567"/>
        </w:trPr>
        <w:tc>
          <w:tcPr>
            <w:tcW w:w="461" w:type="pct"/>
            <w:vMerge/>
            <w:vAlign w:val="center"/>
          </w:tcPr>
          <w:p/>
        </w:tc>
        <w:tc>
          <w:tcPr>
            <w:tcW w:w="398" w:type="pct"/>
            <w:vMerge/>
            <w:vAlign w:val="center"/>
          </w:tcPr>
          <w:p/>
        </w:tc>
        <w:tc>
          <w:tcPr>
            <w:tcW w:w="677" w:type="pct"/>
            <w:vAlign w:val="center"/>
          </w:tcPr>
          <w:p>
            <w:pPr>
              <w:widowControl/>
              <w:jc w:val="center"/>
              <w:rPr>
                <w:rFonts w:ascii="Times New Roman" w:cs="Times New Roman" w:hAnsi="Times New Roman"/>
                <w:color w:val="0000FF"/>
                <w:sz w:val="24"/>
                <w:szCs w:val="24"/>
                <w:lang w:val="en-US" w:eastAsia="zh-CN"/>
              </w:rPr>
            </w:pPr>
            <w:r>
              <w:rPr>
                <w:rFonts w:ascii="Times New Roman" w:cs="Times New Roman" w:hAnsi="Times New Roman"/>
                <w:color w:val="auto"/>
                <w:sz w:val="24"/>
                <w:lang w:eastAsia="zh-CN"/>
              </w:rPr>
              <w:t>剥壳</w:t>
            </w:r>
            <w:r>
              <w:rPr>
                <w:rFonts w:cs="Times New Roman" w:hint="eastAsia"/>
                <w:color w:val="auto"/>
                <w:sz w:val="24"/>
                <w:lang w:val="en-US" w:eastAsia="zh-CN"/>
              </w:rPr>
              <w:t>废气</w:t>
            </w:r>
          </w:p>
        </w:tc>
        <w:tc>
          <w:tcPr>
            <w:tcW w:w="781" w:type="pct"/>
            <w:vMerge/>
            <w:vAlign w:val="center"/>
          </w:tcPr>
          <w:p/>
        </w:tc>
        <w:tc>
          <w:tcPr>
            <w:tcW w:w="1536" w:type="pct"/>
            <w:vMerge/>
            <w:vAlign w:val="center"/>
          </w:tcPr>
          <w:p/>
        </w:tc>
        <w:tc>
          <w:tcPr>
            <w:tcW w:w="1144" w:type="pct"/>
            <w:vMerge/>
            <w:vAlign w:val="center"/>
          </w:tcPr>
          <w:p/>
        </w:tc>
      </w:tr>
      <w:tr>
        <w:trPr>
          <w:cantSplit/>
          <w:trHeight w:val="567"/>
        </w:trPr>
        <w:tc>
          <w:tcPr>
            <w:tcW w:w="461" w:type="pct"/>
            <w:vMerge/>
            <w:vAlign w:val="center"/>
          </w:tcPr>
          <w:p/>
        </w:tc>
        <w:tc>
          <w:tcPr>
            <w:tcW w:w="398" w:type="pct"/>
            <w:vMerge/>
            <w:vAlign w:val="center"/>
          </w:tcPr>
          <w:p/>
        </w:tc>
        <w:tc>
          <w:tcPr>
            <w:tcW w:w="677" w:type="pct"/>
            <w:vAlign w:val="center"/>
          </w:tcPr>
          <w:p>
            <w:pPr>
              <w:widowControl/>
              <w:jc w:val="center"/>
              <w:rPr>
                <w:rFonts w:ascii="Times New Roman" w:cs="Times New Roman" w:hAnsi="Times New Roman"/>
                <w:color w:val="0000FF"/>
                <w:kern w:val="0"/>
                <w:sz w:val="24"/>
                <w:szCs w:val="24"/>
                <w:lang w:eastAsia="zh-CN"/>
              </w:rPr>
            </w:pPr>
            <w:r>
              <w:rPr>
                <w:rFonts w:ascii="Times New Roman" w:cs="Times New Roman" w:hAnsi="Times New Roman"/>
                <w:color w:val="auto"/>
                <w:sz w:val="24"/>
                <w:lang w:eastAsia="zh-CN"/>
              </w:rPr>
              <w:t>压榨</w:t>
            </w:r>
            <w:r>
              <w:rPr>
                <w:rFonts w:cs="Times New Roman" w:hint="eastAsia"/>
                <w:color w:val="auto"/>
                <w:sz w:val="24"/>
                <w:lang w:val="en-US" w:eastAsia="zh-CN"/>
              </w:rPr>
              <w:t>废气</w:t>
            </w:r>
          </w:p>
        </w:tc>
        <w:tc>
          <w:tcPr>
            <w:tcW w:w="781" w:type="pct"/>
            <w:vMerge/>
            <w:vAlign w:val="center"/>
          </w:tcPr>
          <w:p/>
        </w:tc>
        <w:tc>
          <w:tcPr>
            <w:tcW w:w="1536" w:type="pct"/>
            <w:vMerge/>
            <w:vAlign w:val="center"/>
          </w:tcPr>
          <w:p/>
        </w:tc>
        <w:tc>
          <w:tcPr>
            <w:tcW w:w="1144" w:type="pct"/>
            <w:vMerge/>
            <w:vAlign w:val="center"/>
          </w:tcPr>
          <w:p/>
        </w:tc>
      </w:tr>
      <w:tr>
        <w:trPr>
          <w:cantSplit/>
          <w:trHeight w:val="567"/>
        </w:trPr>
        <w:tc>
          <w:tcPr>
            <w:tcW w:w="461" w:type="pct"/>
            <w:vMerge/>
            <w:vAlign w:val="center"/>
          </w:tcPr>
          <w:p/>
        </w:tc>
        <w:tc>
          <w:tcPr>
            <w:tcW w:w="398" w:type="pct"/>
            <w:vMerge/>
            <w:vAlign w:val="center"/>
          </w:tcPr>
          <w:p/>
        </w:tc>
        <w:tc>
          <w:tcPr>
            <w:tcW w:w="677" w:type="pct"/>
            <w:vAlign w:val="center"/>
          </w:tcPr>
          <w:p>
            <w:pPr>
              <w:widowControl/>
              <w:jc w:val="center"/>
              <w:rPr>
                <w:rFonts w:ascii="Times New Roman" w:cs="Times New Roman" w:hAnsi="Times New Roman"/>
                <w:color w:val="0000FF"/>
                <w:sz w:val="24"/>
                <w:szCs w:val="24"/>
                <w:lang w:val="en-US" w:eastAsia="zh-CN"/>
              </w:rPr>
            </w:pPr>
            <w:r>
              <w:rPr>
                <w:rFonts w:cs="Times New Roman" w:hint="eastAsia"/>
                <w:b w:val="0"/>
                <w:bCs w:val="0"/>
                <w:color w:val="auto"/>
                <w:sz w:val="24"/>
                <w:lang w:val="en-US" w:eastAsia="zh-CN"/>
              </w:rPr>
              <w:t>精炼废气</w:t>
            </w:r>
          </w:p>
        </w:tc>
        <w:tc>
          <w:tcPr>
            <w:tcW w:w="781" w:type="pct"/>
            <w:vMerge/>
            <w:vAlign w:val="center"/>
          </w:tcPr>
          <w:p/>
        </w:tc>
        <w:tc>
          <w:tcPr>
            <w:tcW w:w="1536" w:type="pct"/>
            <w:vMerge/>
            <w:vAlign w:val="center"/>
          </w:tcPr>
          <w:p/>
        </w:tc>
        <w:tc>
          <w:tcPr>
            <w:tcW w:w="1144" w:type="pct"/>
            <w:vMerge/>
            <w:vAlign w:val="center"/>
          </w:tcPr>
          <w:p/>
        </w:tc>
      </w:tr>
      <w:tr>
        <w:trPr>
          <w:cantSplit/>
          <w:trHeight w:val="567"/>
        </w:trPr>
        <w:tc>
          <w:tcPr>
            <w:tcW w:w="461" w:type="pct"/>
            <w:vMerge/>
            <w:vAlign w:val="center"/>
          </w:tcPr>
          <w:p/>
        </w:tc>
        <w:tc>
          <w:tcPr>
            <w:tcW w:w="398" w:type="pct"/>
            <w:vMerge w:val="restart"/>
            <w:vAlign w:val="center"/>
          </w:tcPr>
          <w:p>
            <w:pPr>
              <w:jc w:val="center"/>
              <w:rPr>
                <w:color w:val="auto"/>
                <w:sz w:val="24"/>
                <w:szCs w:val="24"/>
                <w:lang w:val="en-US" w:eastAsia="zh-CN"/>
              </w:rPr>
            </w:pPr>
            <w:r>
              <w:rPr>
                <w:rFonts w:hint="eastAsia"/>
                <w:color w:val="auto"/>
                <w:sz w:val="24"/>
                <w:szCs w:val="24"/>
                <w:lang w:val="en-US" w:eastAsia="zh-CN"/>
              </w:rPr>
              <w:t>无组织</w:t>
            </w:r>
          </w:p>
        </w:tc>
        <w:tc>
          <w:tcPr>
            <w:tcW w:w="677" w:type="pct"/>
            <w:vAlign w:val="center"/>
          </w:tcPr>
          <w:p>
            <w:pPr>
              <w:widowControl/>
              <w:jc w:val="center"/>
              <w:rPr>
                <w:rFonts w:cs="Times New Roman" w:hint="eastAsia"/>
                <w:b w:val="0"/>
                <w:bCs w:val="0"/>
                <w:color w:val="auto"/>
                <w:sz w:val="24"/>
                <w:lang w:val="en-US" w:eastAsia="zh-CN"/>
              </w:rPr>
            </w:pPr>
            <w:r>
              <w:rPr>
                <w:rFonts w:cs="Times New Roman" w:hint="eastAsia"/>
                <w:b w:val="0"/>
                <w:bCs w:val="0"/>
                <w:color w:val="auto"/>
                <w:sz w:val="24"/>
                <w:lang w:val="en-US" w:eastAsia="zh-CN"/>
              </w:rPr>
              <w:t>吹灰</w:t>
            </w:r>
            <w:r>
              <w:rPr>
                <w:rFonts w:cs="Times New Roman" w:hint="eastAsia"/>
                <w:color w:val="auto"/>
                <w:sz w:val="24"/>
                <w:lang w:val="en-US" w:eastAsia="zh-CN"/>
              </w:rPr>
              <w:t>废气</w:t>
            </w:r>
          </w:p>
        </w:tc>
        <w:tc>
          <w:tcPr>
            <w:tcW w:w="781" w:type="pct"/>
            <w:vMerge w:val="restart"/>
            <w:vAlign w:val="center"/>
          </w:tcPr>
          <w:p>
            <w:pPr>
              <w:jc w:val="center"/>
              <w:rPr>
                <w:rFonts w:ascii="Times New Roman" w:cs="Times New Roman" w:hAnsi="Times New Roman"/>
                <w:color w:val="auto"/>
                <w:sz w:val="24"/>
                <w:szCs w:val="24"/>
                <w:lang w:val="en-US" w:eastAsia="zh-CN"/>
              </w:rPr>
            </w:pPr>
            <w:r>
              <w:rPr>
                <w:rFonts w:ascii="Times New Roman" w:cs="Times New Roman" w:hAnsi="Times New Roman"/>
                <w:color w:val="auto"/>
                <w:sz w:val="24"/>
                <w:szCs w:val="24"/>
              </w:rPr>
              <w:t>颗粒物</w:t>
            </w:r>
          </w:p>
        </w:tc>
        <w:tc>
          <w:tcPr>
            <w:tcW w:w="1536" w:type="pct"/>
            <w:vAlign w:val="center"/>
          </w:tcPr>
          <w:p>
            <w:pPr>
              <w:widowControl/>
              <w:jc w:val="center"/>
              <w:rPr>
                <w:rFonts w:ascii="Times New Roman" w:cs="Times New Roman" w:hAnsi="Times New Roman"/>
                <w:color w:val="auto"/>
                <w:kern w:val="0"/>
                <w:sz w:val="24"/>
                <w:szCs w:val="24"/>
                <w:u w:val="none"/>
                <w:lang w:val="en-US" w:eastAsia="zh-CN"/>
              </w:rPr>
            </w:pPr>
            <w:r>
              <w:rPr>
                <w:rFonts w:cs="Times New Roman" w:hint="eastAsia"/>
                <w:color w:val="auto"/>
                <w:kern w:val="0"/>
                <w:sz w:val="24"/>
                <w:szCs w:val="24"/>
                <w:u w:val="none"/>
                <w:lang w:val="en-US" w:eastAsia="zh-CN"/>
              </w:rPr>
              <w:t>/</w:t>
            </w:r>
          </w:p>
        </w:tc>
        <w:tc>
          <w:tcPr>
            <w:tcW w:w="1144" w:type="pct"/>
            <w:vMerge/>
            <w:vAlign w:val="center"/>
          </w:tcPr>
          <w:p/>
        </w:tc>
      </w:tr>
      <w:tr>
        <w:trPr>
          <w:cantSplit/>
          <w:trHeight w:val="567"/>
        </w:trPr>
        <w:tc>
          <w:tcPr>
            <w:tcW w:w="461" w:type="pct"/>
            <w:vMerge/>
            <w:vAlign w:val="center"/>
          </w:tcPr>
          <w:p/>
        </w:tc>
        <w:tc>
          <w:tcPr>
            <w:tcW w:w="398" w:type="pct"/>
            <w:vMerge/>
            <w:vAlign w:val="center"/>
          </w:tcPr>
          <w:p/>
        </w:tc>
        <w:tc>
          <w:tcPr>
            <w:tcW w:w="677" w:type="pct"/>
            <w:vAlign w:val="center"/>
          </w:tcPr>
          <w:p>
            <w:pPr>
              <w:widowControl/>
              <w:jc w:val="center"/>
              <w:rPr>
                <w:rFonts w:cs="Times New Roman" w:hint="eastAsia"/>
                <w:b w:val="0"/>
                <w:bCs w:val="0"/>
                <w:color w:val="auto"/>
                <w:sz w:val="24"/>
                <w:lang w:val="en-US" w:eastAsia="zh-CN"/>
              </w:rPr>
            </w:pPr>
            <w:r>
              <w:rPr>
                <w:rFonts w:ascii="Times New Roman" w:eastAsia="宋体" w:cs="Times New Roman" w:hAnsi="Times New Roman"/>
                <w:color w:val="auto"/>
                <w:sz w:val="24"/>
                <w:lang w:eastAsia="zh-CN"/>
              </w:rPr>
              <w:t>包装</w:t>
            </w:r>
          </w:p>
        </w:tc>
        <w:tc>
          <w:tcPr>
            <w:tcW w:w="781" w:type="pct"/>
            <w:vMerge/>
            <w:vAlign w:val="center"/>
          </w:tcPr>
          <w:p/>
        </w:tc>
        <w:tc>
          <w:tcPr>
            <w:tcW w:w="1536" w:type="pct"/>
            <w:vAlign w:val="center"/>
          </w:tcPr>
          <w:p>
            <w:pPr>
              <w:widowControl/>
              <w:jc w:val="center"/>
              <w:rPr>
                <w:rFonts w:ascii="Times New Roman" w:cs="Times New Roman" w:hAnsi="Times New Roman"/>
                <w:color w:val="auto"/>
                <w:kern w:val="0"/>
                <w:sz w:val="24"/>
                <w:szCs w:val="24"/>
                <w:u w:val="none"/>
                <w:lang w:val="en-US" w:eastAsia="zh-CN"/>
              </w:rPr>
            </w:pPr>
            <w:r>
              <w:rPr>
                <w:rFonts w:cs="Times New Roman" w:hint="eastAsia"/>
                <w:color w:val="auto"/>
                <w:kern w:val="0"/>
                <w:sz w:val="24"/>
                <w:szCs w:val="24"/>
                <w:u w:val="none"/>
                <w:lang w:val="en-US" w:eastAsia="zh-CN"/>
              </w:rPr>
              <w:t>/</w:t>
            </w:r>
          </w:p>
        </w:tc>
        <w:tc>
          <w:tcPr>
            <w:tcW w:w="1144" w:type="pct"/>
            <w:vMerge/>
            <w:vAlign w:val="center"/>
          </w:tcPr>
          <w:p/>
        </w:tc>
      </w:tr>
      <w:tr>
        <w:trPr>
          <w:cantSplit/>
          <w:trHeight w:val="567"/>
        </w:trPr>
        <w:tc>
          <w:tcPr>
            <w:tcW w:w="461" w:type="pct"/>
            <w:vMerge/>
            <w:vAlign w:val="center"/>
          </w:tcPr>
          <w:p/>
        </w:tc>
        <w:tc>
          <w:tcPr>
            <w:tcW w:w="398" w:type="pct"/>
            <w:vMerge/>
            <w:vAlign w:val="center"/>
          </w:tcPr>
          <w:p/>
        </w:tc>
        <w:tc>
          <w:tcPr>
            <w:tcW w:w="677" w:type="pct"/>
            <w:vAlign w:val="center"/>
          </w:tcPr>
          <w:p>
            <w:pPr>
              <w:widowControl/>
              <w:jc w:val="center"/>
              <w:rPr>
                <w:rFonts w:ascii="Times New Roman" w:eastAsia="宋体" w:cs="Times New Roman" w:hAnsi="Times New Roman"/>
                <w:color w:val="auto"/>
                <w:sz w:val="24"/>
                <w:lang w:val="en-US" w:eastAsia="zh-CN"/>
              </w:rPr>
            </w:pPr>
            <w:r>
              <w:rPr>
                <w:rFonts w:cs="Times New Roman" w:hint="eastAsia"/>
                <w:color w:val="auto"/>
                <w:sz w:val="24"/>
                <w:lang w:val="en-US" w:eastAsia="zh-CN"/>
              </w:rPr>
              <w:t>污水处理设施废气</w:t>
            </w:r>
          </w:p>
        </w:tc>
        <w:tc>
          <w:tcPr>
            <w:tcW w:w="781" w:type="pct"/>
            <w:vAlign w:val="center"/>
          </w:tcPr>
          <w:p>
            <w:pPr>
              <w:jc w:val="center"/>
              <w:rPr>
                <w:rFonts w:ascii="Times New Roman" w:cs="Times New Roman" w:hAnsi="Times New Roman"/>
                <w:color w:val="auto"/>
                <w:sz w:val="24"/>
                <w:szCs w:val="24"/>
                <w:lang w:val="en-US" w:eastAsia="zh-CN"/>
              </w:rPr>
            </w:pPr>
            <w:r>
              <w:rPr>
                <w:rFonts w:cs="Times New Roman" w:hint="eastAsia"/>
                <w:color w:val="auto"/>
                <w:sz w:val="24"/>
                <w:szCs w:val="24"/>
                <w:lang w:val="en-US" w:eastAsia="zh-CN"/>
              </w:rPr>
              <w:t>氨、硫化氢、臭气浓度</w:t>
            </w:r>
          </w:p>
        </w:tc>
        <w:tc>
          <w:tcPr>
            <w:tcW w:w="1536" w:type="pct"/>
            <w:vAlign w:val="center"/>
          </w:tcPr>
          <w:p>
            <w:pPr>
              <w:widowControl/>
              <w:jc w:val="center"/>
              <w:rPr>
                <w:rFonts w:cs="Times New Roman" w:hint="eastAsia"/>
                <w:color w:val="auto"/>
                <w:kern w:val="0"/>
                <w:sz w:val="24"/>
                <w:szCs w:val="24"/>
                <w:u w:val="none"/>
                <w:lang w:val="en-US" w:eastAsia="zh-CN"/>
              </w:rPr>
            </w:pPr>
            <w:r>
              <w:rPr>
                <w:rFonts w:cs="Times New Roman" w:hint="eastAsia"/>
                <w:color w:val="auto"/>
                <w:kern w:val="0"/>
                <w:sz w:val="24"/>
                <w:szCs w:val="24"/>
                <w:u w:val="none"/>
                <w:lang w:val="en-US" w:eastAsia="zh-CN"/>
              </w:rPr>
              <w:t>加盖</w:t>
            </w:r>
          </w:p>
        </w:tc>
        <w:tc>
          <w:tcPr>
            <w:tcW w:w="1144" w:type="pct"/>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color w:val="0000FF"/>
                <w:sz w:val="24"/>
                <w:szCs w:val="24"/>
                <w:lang w:val="en-US" w:eastAsia="zh-CN"/>
              </w:rPr>
            </w:pPr>
            <w:r>
              <w:rPr>
                <w:rFonts w:hint="eastAsia"/>
                <w:color w:val="auto"/>
                <w:sz w:val="24"/>
                <w:lang w:eastAsia="zh-CN"/>
              </w:rPr>
              <w:t>《恶臭污染物排放标准》（GB14554-1993）</w:t>
            </w:r>
          </w:p>
        </w:tc>
      </w:tr>
      <w:tr>
        <w:trPr>
          <w:cantSplit/>
          <w:trHeight w:val="567"/>
        </w:trPr>
        <w:tc>
          <w:tcPr>
            <w:tcW w:w="461" w:type="pct"/>
            <w:vMerge w:val="restart"/>
            <w:vAlign w:val="center"/>
          </w:tcPr>
          <w:p>
            <w:pPr>
              <w:jc w:val="center"/>
              <w:rPr>
                <w:rFonts w:hint="eastAsia"/>
                <w:color w:val="auto"/>
                <w:sz w:val="24"/>
                <w:szCs w:val="24"/>
              </w:rPr>
            </w:pPr>
            <w:r>
              <w:rPr>
                <w:rFonts w:hint="eastAsia"/>
                <w:color w:val="auto"/>
                <w:sz w:val="24"/>
                <w:szCs w:val="24"/>
              </w:rPr>
              <w:t>地</w:t>
            </w:r>
          </w:p>
          <w:p>
            <w:pPr>
              <w:jc w:val="center"/>
              <w:rPr>
                <w:rFonts w:hint="eastAsia"/>
                <w:color w:val="auto"/>
                <w:sz w:val="24"/>
                <w:szCs w:val="24"/>
              </w:rPr>
            </w:pPr>
            <w:r>
              <w:rPr>
                <w:rFonts w:hint="eastAsia"/>
                <w:color w:val="auto"/>
                <w:sz w:val="24"/>
                <w:szCs w:val="24"/>
              </w:rPr>
              <w:t>表</w:t>
            </w:r>
          </w:p>
          <w:p>
            <w:pPr>
              <w:jc w:val="center"/>
              <w:rPr>
                <w:rFonts w:hint="eastAsia"/>
                <w:color w:val="auto"/>
                <w:sz w:val="24"/>
                <w:szCs w:val="24"/>
              </w:rPr>
            </w:pPr>
            <w:r>
              <w:rPr>
                <w:rFonts w:hint="eastAsia"/>
                <w:color w:val="auto"/>
                <w:sz w:val="24"/>
                <w:szCs w:val="24"/>
              </w:rPr>
              <w:t>水</w:t>
            </w:r>
          </w:p>
          <w:p>
            <w:pPr>
              <w:jc w:val="center"/>
              <w:rPr>
                <w:rFonts w:hint="eastAsia"/>
                <w:color w:val="auto"/>
                <w:sz w:val="24"/>
                <w:szCs w:val="24"/>
              </w:rPr>
            </w:pPr>
            <w:r>
              <w:rPr>
                <w:rFonts w:hint="eastAsia"/>
                <w:color w:val="auto"/>
                <w:sz w:val="24"/>
                <w:szCs w:val="24"/>
              </w:rPr>
              <w:t>环</w:t>
            </w:r>
          </w:p>
          <w:p>
            <w:pPr>
              <w:jc w:val="center"/>
              <w:rPr>
                <w:rFonts w:hint="eastAsia"/>
                <w:color w:val="0000FF"/>
                <w:sz w:val="24"/>
                <w:szCs w:val="24"/>
              </w:rPr>
            </w:pPr>
            <w:r>
              <w:rPr>
                <w:rFonts w:hint="eastAsia"/>
                <w:color w:val="auto"/>
                <w:sz w:val="24"/>
                <w:szCs w:val="24"/>
              </w:rPr>
              <w:t>境</w:t>
            </w:r>
          </w:p>
        </w:tc>
        <w:tc>
          <w:tcPr>
            <w:tcW w:w="1076" w:type="pct"/>
            <w:gridSpan w:val="2"/>
            <w:vAlign w:val="center"/>
          </w:tcPr>
          <w:p>
            <w:pPr>
              <w:pStyle w:val="53"/>
              <w:ind w:left="57" w:right="57"/>
              <w:rPr>
                <w:rFonts w:eastAsia="宋体"/>
                <w:color w:val="auto"/>
                <w:sz w:val="24"/>
                <w:szCs w:val="24"/>
                <w:lang w:val="en-US" w:eastAsia="zh-CN"/>
              </w:rPr>
            </w:pPr>
            <w:r>
              <w:rPr>
                <w:rFonts w:eastAsia="宋体"/>
                <w:color w:val="auto"/>
                <w:sz w:val="24"/>
                <w:szCs w:val="24"/>
                <w:lang w:val="en-US" w:eastAsia="zh-CN"/>
              </w:rPr>
              <w:t>生活用水</w:t>
            </w:r>
          </w:p>
        </w:tc>
        <w:tc>
          <w:tcPr>
            <w:tcW w:w="781" w:type="pct"/>
            <w:vAlign w:val="center"/>
          </w:tcPr>
          <w:p>
            <w:pPr>
              <w:jc w:val="center"/>
              <w:rPr>
                <w:color w:val="auto"/>
                <w:sz w:val="24"/>
                <w:szCs w:val="24"/>
              </w:rPr>
            </w:pPr>
            <w:r>
              <w:rPr>
                <w:color w:val="auto"/>
                <w:sz w:val="24"/>
                <w:szCs w:val="24"/>
              </w:rPr>
              <w:t>COD、BOD</w:t>
            </w:r>
            <w:r>
              <w:rPr>
                <w:color w:val="auto"/>
                <w:sz w:val="24"/>
                <w:szCs w:val="24"/>
                <w:vertAlign w:val="subscript"/>
              </w:rPr>
              <w:t>5</w:t>
            </w:r>
            <w:r>
              <w:rPr>
                <w:color w:val="auto"/>
                <w:sz w:val="24"/>
                <w:szCs w:val="24"/>
              </w:rPr>
              <w:t>、SS、NH</w:t>
            </w:r>
            <w:r>
              <w:rPr>
                <w:color w:val="auto"/>
                <w:sz w:val="24"/>
                <w:szCs w:val="24"/>
                <w:vertAlign w:val="subscript"/>
              </w:rPr>
              <w:t>3</w:t>
            </w:r>
            <w:r>
              <w:rPr>
                <w:color w:val="auto"/>
                <w:sz w:val="24"/>
                <w:szCs w:val="24"/>
              </w:rPr>
              <w:t>-N</w:t>
            </w:r>
          </w:p>
        </w:tc>
        <w:tc>
          <w:tcPr>
            <w:tcW w:w="1536" w:type="pct"/>
            <w:vAlign w:val="center"/>
          </w:tcPr>
          <w:p>
            <w:pPr>
              <w:jc w:val="center"/>
              <w:rPr>
                <w:rFonts w:eastAsia="宋体" w:hint="eastAsia"/>
                <w:color w:val="auto"/>
                <w:sz w:val="24"/>
                <w:szCs w:val="24"/>
                <w:lang w:eastAsia="zh-CN"/>
              </w:rPr>
            </w:pPr>
            <w:r>
              <w:rPr>
                <w:rFonts w:hint="eastAsia"/>
                <w:color w:val="auto"/>
                <w:sz w:val="24"/>
                <w:szCs w:val="24"/>
                <w:lang w:eastAsia="zh-CN"/>
              </w:rPr>
              <w:t>化粪池</w:t>
            </w:r>
          </w:p>
        </w:tc>
        <w:tc>
          <w:tcPr>
            <w:tcW w:w="1144" w:type="pct"/>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eastAsia="宋体" w:hint="eastAsia"/>
                <w:color w:val="auto"/>
                <w:sz w:val="24"/>
                <w:szCs w:val="24"/>
                <w:lang w:eastAsia="zh-CN"/>
              </w:rPr>
            </w:pPr>
            <w:r>
              <w:rPr>
                <w:rFonts w:eastAsia="宋体" w:hint="eastAsia"/>
                <w:color w:val="auto"/>
                <w:sz w:val="24"/>
                <w:szCs w:val="24"/>
                <w:lang w:eastAsia="zh-CN"/>
              </w:rPr>
              <w:t>《污水综合排放标准》（GB8978-1996）表4中的三级标准及桃源县第二污水处理厂进水水质要求</w:t>
            </w:r>
          </w:p>
        </w:tc>
      </w:tr>
      <w:tr>
        <w:trPr>
          <w:cantSplit/>
          <w:trHeight w:val="567"/>
        </w:trPr>
        <w:tc>
          <w:tcPr>
            <w:tcW w:w="461" w:type="pct"/>
            <w:vMerge/>
            <w:vAlign w:val="center"/>
          </w:tcPr>
          <w:p/>
        </w:tc>
        <w:tc>
          <w:tcPr>
            <w:tcW w:w="1076" w:type="pct"/>
            <w:gridSpan w:val="2"/>
            <w:vAlign w:val="center"/>
          </w:tcPr>
          <w:p>
            <w:pPr>
              <w:pStyle w:val="53"/>
              <w:ind w:left="57" w:right="57"/>
              <w:rPr>
                <w:color w:val="auto"/>
                <w:sz w:val="24"/>
                <w:szCs w:val="24"/>
                <w:lang w:val="en-US" w:eastAsia="zh-CN"/>
              </w:rPr>
            </w:pPr>
            <w:r>
              <w:rPr>
                <w:rFonts w:hint="eastAsia"/>
                <w:color w:val="auto"/>
                <w:sz w:val="24"/>
                <w:szCs w:val="24"/>
                <w:lang w:val="en-US" w:eastAsia="zh-CN"/>
              </w:rPr>
              <w:t>设备清洗水</w:t>
            </w:r>
          </w:p>
        </w:tc>
        <w:tc>
          <w:tcPr>
            <w:tcW w:w="781" w:type="pct"/>
            <w:vMerge w:val="restart"/>
            <w:vAlign w:val="center"/>
          </w:tcPr>
          <w:p>
            <w:pPr>
              <w:jc w:val="center"/>
              <w:rPr>
                <w:color w:val="0000FF"/>
                <w:sz w:val="24"/>
                <w:szCs w:val="24"/>
                <w:lang w:val="en-US" w:eastAsia="zh-CN"/>
              </w:rPr>
            </w:pPr>
            <w:r>
              <w:rPr>
                <w:rFonts w:hint="eastAsia"/>
                <w:color w:val="auto"/>
                <w:sz w:val="24"/>
                <w:szCs w:val="24"/>
                <w:lang w:val="en-US" w:eastAsia="zh-CN"/>
              </w:rPr>
              <w:t>pH、COD、BOD</w:t>
            </w:r>
            <w:r>
              <w:rPr>
                <w:rFonts w:hint="eastAsia"/>
                <w:color w:val="auto"/>
                <w:sz w:val="24"/>
                <w:szCs w:val="24"/>
                <w:vertAlign w:val="subscript"/>
                <w:lang w:val="en-US" w:eastAsia="zh-CN"/>
              </w:rPr>
              <w:t>5</w:t>
            </w:r>
            <w:r>
              <w:rPr>
                <w:rFonts w:hint="eastAsia"/>
                <w:color w:val="auto"/>
                <w:sz w:val="24"/>
                <w:szCs w:val="24"/>
                <w:lang w:val="en-US" w:eastAsia="zh-CN"/>
              </w:rPr>
              <w:t>、SS、氨氮、动植物油、TP</w:t>
            </w:r>
          </w:p>
        </w:tc>
        <w:tc>
          <w:tcPr>
            <w:tcW w:w="1536" w:type="pct"/>
            <w:vMerge w:val="restart"/>
            <w:vAlign w:val="center"/>
          </w:tcPr>
          <w:p>
            <w:pPr>
              <w:jc w:val="center"/>
              <w:rPr>
                <w:color w:val="auto"/>
                <w:sz w:val="24"/>
                <w:szCs w:val="24"/>
                <w:u w:val="single"/>
                <w:lang w:val="en-US" w:eastAsia="zh-CN"/>
              </w:rPr>
            </w:pPr>
            <w:r>
              <w:rPr>
                <w:rFonts w:hint="eastAsia"/>
                <w:color w:val="auto"/>
                <w:sz w:val="24"/>
                <w:szCs w:val="24"/>
                <w:u w:val="none"/>
                <w:lang w:val="en-US" w:eastAsia="zh-CN"/>
              </w:rPr>
              <w:t>隔油、气浮、水解酸化（气浮+水解酸化）</w:t>
            </w:r>
          </w:p>
        </w:tc>
        <w:tc>
          <w:tcPr>
            <w:tcW w:w="1144" w:type="pct"/>
            <w:vMerge w:val="restart"/>
            <w:vAlign w:val="center"/>
          </w:tcPr>
          <w:p>
            <w:pPr>
              <w:jc w:val="center"/>
              <w:rPr>
                <w:rFonts w:hint="eastAsia"/>
                <w:color w:val="auto"/>
                <w:sz w:val="24"/>
                <w:szCs w:val="24"/>
                <w:u w:val="single"/>
                <w:lang w:val="en-US" w:eastAsia="zh-CN"/>
              </w:rPr>
            </w:pPr>
            <w:r>
              <w:rPr>
                <w:rFonts w:eastAsia="宋体" w:hint="eastAsia"/>
                <w:color w:val="auto"/>
                <w:sz w:val="24"/>
                <w:szCs w:val="24"/>
                <w:lang w:eastAsia="zh-CN"/>
              </w:rPr>
              <w:t>《食品加工制造业水污染物排放标准》（GB46817—2025）及桃源县第二污水处理厂进水水质要求</w:t>
            </w:r>
          </w:p>
        </w:tc>
      </w:tr>
      <w:tr>
        <w:trPr>
          <w:cantSplit/>
          <w:trHeight w:val="567"/>
        </w:trPr>
        <w:tc>
          <w:tcPr>
            <w:tcW w:w="461" w:type="pct"/>
            <w:vMerge/>
            <w:vAlign w:val="center"/>
          </w:tcPr>
          <w:p/>
        </w:tc>
        <w:tc>
          <w:tcPr>
            <w:tcW w:w="1076" w:type="pct"/>
            <w:gridSpan w:val="2"/>
            <w:vAlign w:val="center"/>
          </w:tcPr>
          <w:p>
            <w:pPr>
              <w:pStyle w:val="53"/>
              <w:ind w:left="57" w:right="57"/>
              <w:rPr>
                <w:rFonts w:hint="eastAsia"/>
                <w:color w:val="auto"/>
                <w:sz w:val="24"/>
                <w:szCs w:val="24"/>
                <w:lang w:val="en-US" w:eastAsia="zh-CN"/>
              </w:rPr>
            </w:pPr>
            <w:r>
              <w:rPr>
                <w:rFonts w:hint="eastAsia"/>
                <w:color w:val="auto"/>
                <w:sz w:val="24"/>
                <w:szCs w:val="24"/>
                <w:lang w:val="en-US" w:eastAsia="zh-CN"/>
              </w:rPr>
              <w:t>地面清洗用水</w:t>
            </w:r>
          </w:p>
        </w:tc>
        <w:tc>
          <w:tcPr>
            <w:tcW w:w="781" w:type="pct"/>
            <w:vMerge/>
            <w:vAlign w:val="center"/>
          </w:tcPr>
          <w:p/>
        </w:tc>
        <w:tc>
          <w:tcPr>
            <w:tcW w:w="1536" w:type="pct"/>
            <w:vMerge/>
            <w:vAlign w:val="center"/>
          </w:tcPr>
          <w:p/>
        </w:tc>
        <w:tc>
          <w:tcPr>
            <w:tcW w:w="1144" w:type="pct"/>
            <w:vMerge/>
            <w:vAlign w:val="center"/>
          </w:tcPr>
          <w:p/>
        </w:tc>
      </w:tr>
      <w:tr>
        <w:trPr>
          <w:cantSplit/>
          <w:trHeight w:val="567"/>
        </w:trPr>
        <w:tc>
          <w:tcPr>
            <w:tcW w:w="461" w:type="pct"/>
            <w:vMerge/>
            <w:vAlign w:val="center"/>
          </w:tcPr>
          <w:p/>
        </w:tc>
        <w:tc>
          <w:tcPr>
            <w:tcW w:w="1076" w:type="pct"/>
            <w:gridSpan w:val="2"/>
            <w:vAlign w:val="center"/>
          </w:tcPr>
          <w:p>
            <w:pPr>
              <w:pStyle w:val="53"/>
              <w:ind w:left="57" w:right="57"/>
              <w:rPr>
                <w:rFonts w:ascii="Times New Roman" w:eastAsia="宋体" w:cs="宋体" w:hAnsi="Times New Roman" w:hint="eastAsia"/>
                <w:color w:val="auto"/>
                <w:sz w:val="24"/>
                <w:szCs w:val="24"/>
                <w:lang w:eastAsia="zh-CN"/>
              </w:rPr>
            </w:pPr>
            <w:r>
              <w:rPr>
                <w:rFonts w:ascii="Times New Roman" w:eastAsia="宋体" w:cs="宋体" w:hAnsi="Times New Roman" w:hint="eastAsia"/>
                <w:color w:val="auto"/>
                <w:sz w:val="24"/>
                <w:szCs w:val="24"/>
                <w:lang w:eastAsia="zh-CN"/>
              </w:rPr>
              <w:t>脱胶/脱酸废水</w:t>
            </w:r>
          </w:p>
        </w:tc>
        <w:tc>
          <w:tcPr>
            <w:tcW w:w="781" w:type="pct"/>
            <w:vMerge/>
            <w:vAlign w:val="center"/>
          </w:tcPr>
          <w:p/>
        </w:tc>
        <w:tc>
          <w:tcPr>
            <w:tcW w:w="1536" w:type="pct"/>
            <w:vAlign w:val="center"/>
          </w:tcPr>
          <w:p>
            <w:pPr>
              <w:jc w:val="center"/>
              <w:rPr>
                <w:rFonts w:hint="eastAsia"/>
                <w:color w:val="auto"/>
                <w:sz w:val="24"/>
                <w:szCs w:val="24"/>
                <w:lang w:val="en-US" w:eastAsia="zh-CN"/>
              </w:rPr>
            </w:pPr>
            <w:r>
              <w:rPr>
                <w:rFonts w:hint="eastAsia"/>
                <w:color w:val="auto"/>
                <w:sz w:val="24"/>
                <w:szCs w:val="24"/>
                <w:lang w:val="en-US" w:eastAsia="zh-CN"/>
              </w:rPr>
              <w:t>外售</w:t>
            </w:r>
          </w:p>
        </w:tc>
        <w:tc>
          <w:tcPr>
            <w:tcW w:w="1144" w:type="pct"/>
            <w:vAlign w:val="center"/>
          </w:tcPr>
          <w:p>
            <w:pPr>
              <w:jc w:val="center"/>
              <w:rPr>
                <w:rFonts w:hint="eastAsia"/>
                <w:color w:val="auto"/>
                <w:sz w:val="24"/>
                <w:szCs w:val="24"/>
                <w:lang w:eastAsia="zh-CN"/>
              </w:rPr>
            </w:pPr>
            <w:r>
              <w:rPr>
                <w:rFonts w:hint="eastAsia"/>
                <w:color w:val="auto"/>
                <w:sz w:val="24"/>
                <w:szCs w:val="24"/>
                <w:lang w:eastAsia="zh-CN"/>
              </w:rPr>
              <w:t>不外排</w:t>
            </w:r>
          </w:p>
        </w:tc>
      </w:tr>
      <w:tr>
        <w:trPr>
          <w:cantSplit/>
          <w:trHeight w:val="567"/>
        </w:trPr>
        <w:tc>
          <w:tcPr>
            <w:tcW w:w="461" w:type="pct"/>
            <w:vMerge w:val="restart"/>
            <w:vAlign w:val="center"/>
          </w:tcPr>
          <w:p>
            <w:pPr>
              <w:jc w:val="center"/>
              <w:rPr>
                <w:color w:val="auto"/>
                <w:sz w:val="24"/>
                <w:szCs w:val="24"/>
              </w:rPr>
            </w:pPr>
            <w:r>
              <w:rPr>
                <w:color w:val="auto"/>
                <w:sz w:val="24"/>
                <w:szCs w:val="24"/>
              </w:rPr>
              <w:t>固</w:t>
            </w:r>
          </w:p>
          <w:p>
            <w:pPr>
              <w:jc w:val="center"/>
              <w:rPr>
                <w:color w:val="auto"/>
                <w:sz w:val="24"/>
                <w:szCs w:val="24"/>
              </w:rPr>
            </w:pPr>
            <w:r>
              <w:rPr>
                <w:color w:val="auto"/>
                <w:sz w:val="24"/>
                <w:szCs w:val="24"/>
              </w:rPr>
              <w:t>体</w:t>
            </w:r>
          </w:p>
          <w:p>
            <w:pPr>
              <w:jc w:val="center"/>
              <w:rPr>
                <w:color w:val="auto"/>
                <w:sz w:val="24"/>
                <w:szCs w:val="24"/>
              </w:rPr>
            </w:pPr>
            <w:r>
              <w:rPr>
                <w:color w:val="auto"/>
                <w:sz w:val="24"/>
                <w:szCs w:val="24"/>
              </w:rPr>
              <w:t>废</w:t>
            </w:r>
          </w:p>
          <w:p>
            <w:pPr>
              <w:jc w:val="center"/>
              <w:rPr>
                <w:color w:val="0000FF"/>
                <w:sz w:val="24"/>
                <w:szCs w:val="24"/>
              </w:rPr>
            </w:pPr>
            <w:r>
              <w:rPr>
                <w:color w:val="auto"/>
                <w:sz w:val="24"/>
                <w:szCs w:val="24"/>
              </w:rPr>
              <w:t>物</w:t>
            </w:r>
          </w:p>
        </w:tc>
        <w:tc>
          <w:tcPr>
            <w:tcW w:w="1076" w:type="pct"/>
            <w:gridSpan w:val="2"/>
            <w:vAlign w:val="center"/>
          </w:tcPr>
          <w:p>
            <w:pPr>
              <w:jc w:val="center"/>
              <w:rPr>
                <w:rFonts w:hint="eastAsia"/>
                <w:color w:val="auto"/>
                <w:sz w:val="24"/>
                <w:szCs w:val="24"/>
              </w:rPr>
            </w:pPr>
            <w:r>
              <w:rPr>
                <w:rFonts w:hint="eastAsia"/>
                <w:color w:val="auto"/>
                <w:sz w:val="24"/>
                <w:szCs w:val="24"/>
              </w:rPr>
              <w:t>生活办公区</w:t>
            </w:r>
          </w:p>
        </w:tc>
        <w:tc>
          <w:tcPr>
            <w:tcW w:w="781" w:type="pct"/>
            <w:vAlign w:val="center"/>
          </w:tcPr>
          <w:p>
            <w:pPr>
              <w:jc w:val="center"/>
              <w:rPr>
                <w:color w:val="auto"/>
                <w:sz w:val="24"/>
                <w:szCs w:val="24"/>
              </w:rPr>
            </w:pPr>
            <w:r>
              <w:rPr>
                <w:color w:val="auto"/>
                <w:sz w:val="24"/>
                <w:szCs w:val="24"/>
              </w:rPr>
              <w:t>生活垃圾</w:t>
            </w:r>
          </w:p>
        </w:tc>
        <w:tc>
          <w:tcPr>
            <w:tcW w:w="1536" w:type="pct"/>
            <w:vAlign w:val="center"/>
          </w:tcPr>
          <w:p>
            <w:pPr>
              <w:jc w:val="center"/>
              <w:rPr>
                <w:color w:val="auto"/>
                <w:sz w:val="24"/>
                <w:szCs w:val="24"/>
              </w:rPr>
            </w:pPr>
            <w:r>
              <w:rPr>
                <w:color w:val="auto"/>
                <w:sz w:val="24"/>
                <w:szCs w:val="24"/>
              </w:rPr>
              <w:t>收集后由环卫部门统一清运处理</w:t>
            </w:r>
          </w:p>
        </w:tc>
        <w:tc>
          <w:tcPr>
            <w:tcW w:w="1144" w:type="pct"/>
            <w:vAlign w:val="center"/>
          </w:tcPr>
          <w:p>
            <w:pPr>
              <w:jc w:val="center"/>
              <w:rPr>
                <w:rFonts w:eastAsia="宋体" w:hint="eastAsia"/>
                <w:color w:val="auto"/>
                <w:sz w:val="24"/>
                <w:szCs w:val="24"/>
                <w:lang w:eastAsia="zh-CN"/>
              </w:rPr>
            </w:pPr>
            <w:r>
              <w:rPr>
                <w:rFonts w:hint="eastAsia"/>
                <w:color w:val="auto"/>
                <w:spacing w:val="-2"/>
                <w:sz w:val="24"/>
                <w:szCs w:val="24"/>
                <w:lang w:val="en-US" w:eastAsia="zh-CN"/>
              </w:rPr>
              <w:t>/</w:t>
            </w:r>
          </w:p>
        </w:tc>
      </w:tr>
      <w:tr>
        <w:trPr>
          <w:cantSplit/>
          <w:trHeight w:val="567"/>
        </w:trPr>
        <w:tc>
          <w:tcPr>
            <w:tcW w:w="461" w:type="pct"/>
            <w:vMerge/>
            <w:vAlign w:val="center"/>
          </w:tcPr>
          <w:p/>
        </w:tc>
        <w:tc>
          <w:tcPr>
            <w:tcW w:w="1076" w:type="pct"/>
            <w:gridSpan w:val="2"/>
            <w:vMerge w:val="restart"/>
            <w:vAlign w:val="center"/>
          </w:tcPr>
          <w:p>
            <w:pPr>
              <w:jc w:val="center"/>
              <w:rPr>
                <w:rFonts w:ascii="Times New Roman" w:eastAsia="宋体" w:cs="Times New Roman" w:hAnsi="Times New Roman" w:hint="eastAsia"/>
                <w:color w:val="auto"/>
                <w:sz w:val="24"/>
                <w:szCs w:val="24"/>
              </w:rPr>
            </w:pPr>
            <w:r>
              <w:rPr>
                <w:rFonts w:ascii="Times New Roman" w:eastAsia="宋体" w:cs="Times New Roman" w:hAnsi="Times New Roman" w:hint="eastAsia"/>
                <w:color w:val="auto"/>
                <w:sz w:val="24"/>
                <w:szCs w:val="24"/>
              </w:rPr>
              <w:t>生产区</w:t>
            </w:r>
          </w:p>
        </w:tc>
        <w:tc>
          <w:tcPr>
            <w:tcW w:w="781"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茶壳</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外售</w:t>
            </w:r>
          </w:p>
        </w:tc>
        <w:tc>
          <w:tcPr>
            <w:tcW w:w="1144" w:type="pct"/>
            <w:vMerge w:val="restart"/>
            <w:vAlign w:val="center"/>
          </w:tcPr>
          <w:p>
            <w:pPr>
              <w:jc w:val="center"/>
              <w:rPr>
                <w:rFonts w:ascii="Times New Roman" w:eastAsia="宋体" w:cs="Times New Roman" w:hAnsi="Times New Roman" w:hint="eastAsia"/>
                <w:color w:val="auto"/>
                <w:sz w:val="24"/>
                <w:szCs w:val="24"/>
              </w:rPr>
            </w:pPr>
            <w:r>
              <w:rPr>
                <w:rFonts w:ascii="Times New Roman" w:eastAsia="宋体" w:cs="Times New Roman" w:hAnsi="Times New Roman" w:hint="eastAsia"/>
                <w:color w:val="auto"/>
                <w:sz w:val="24"/>
                <w:szCs w:val="24"/>
              </w:rPr>
              <w:t>《一般工业固体废物贮存和填埋污染控制标准》（GB18599-2020）</w:t>
            </w:r>
          </w:p>
        </w:tc>
      </w:tr>
      <w:tr>
        <w:trPr>
          <w:cantSplit/>
          <w:trHeight w:val="567"/>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茶枯、滤渣</w:t>
            </w:r>
          </w:p>
        </w:tc>
        <w:tc>
          <w:tcPr>
            <w:tcW w:w="1536" w:type="pct"/>
            <w:shd w:val="clear" w:color="auto" w:fill="auto"/>
            <w:vAlign w:val="center"/>
          </w:tcPr>
          <w:p>
            <w:pPr>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外售</w:t>
            </w:r>
          </w:p>
        </w:tc>
        <w:tc>
          <w:tcPr>
            <w:tcW w:w="1144" w:type="pct"/>
            <w:vMerge/>
            <w:vAlign w:val="center"/>
          </w:tcPr>
          <w:p/>
        </w:tc>
      </w:tr>
      <w:tr>
        <w:trPr>
          <w:cantSplit/>
          <w:trHeight w:val="567"/>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皂脚</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外售</w:t>
            </w:r>
          </w:p>
        </w:tc>
        <w:tc>
          <w:tcPr>
            <w:tcW w:w="1144" w:type="pct"/>
            <w:vMerge/>
            <w:vAlign w:val="center"/>
          </w:tcPr>
          <w:p/>
        </w:tc>
      </w:tr>
      <w:tr>
        <w:trPr>
          <w:cantSplit/>
          <w:trHeight w:val="567"/>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ascii="Times New Roman" w:eastAsia="宋体" w:cs="Times New Roman" w:hAnsi="Times New Roman"/>
                <w:color w:val="auto"/>
                <w:sz w:val="24"/>
                <w:szCs w:val="24"/>
                <w:lang w:val="en-US" w:eastAsia="zh-CN"/>
              </w:rPr>
            </w:pPr>
            <w:r>
              <w:rPr>
                <w:rFonts w:cs="Times New Roman" w:hint="eastAsia"/>
                <w:color w:val="auto"/>
                <w:sz w:val="24"/>
                <w:szCs w:val="24"/>
                <w:lang w:val="en-US" w:eastAsia="zh-CN"/>
              </w:rPr>
              <w:t>废包装桶</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外售</w:t>
            </w:r>
          </w:p>
        </w:tc>
        <w:tc>
          <w:tcPr>
            <w:tcW w:w="1144" w:type="pct"/>
            <w:vMerge/>
            <w:vAlign w:val="center"/>
          </w:tcPr>
          <w:p/>
        </w:tc>
      </w:tr>
      <w:tr>
        <w:trPr>
          <w:cantSplit/>
          <w:trHeight w:val="567"/>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cs="Times New Roman"/>
                <w:color w:val="auto"/>
                <w:sz w:val="24"/>
                <w:szCs w:val="24"/>
                <w:lang w:val="en-US" w:eastAsia="zh-CN"/>
              </w:rPr>
            </w:pPr>
            <w:r>
              <w:rPr>
                <w:rFonts w:cs="Times New Roman" w:hint="eastAsia"/>
                <w:color w:val="auto"/>
                <w:sz w:val="24"/>
                <w:szCs w:val="24"/>
                <w:lang w:val="en-US" w:eastAsia="zh-CN"/>
              </w:rPr>
              <w:t>废布袋</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外售</w:t>
            </w:r>
          </w:p>
        </w:tc>
        <w:tc>
          <w:tcPr>
            <w:tcW w:w="1144" w:type="pct"/>
            <w:vMerge/>
            <w:vAlign w:val="center"/>
          </w:tcPr>
          <w:p/>
        </w:tc>
      </w:tr>
      <w:tr>
        <w:trPr>
          <w:trHeight w:val="582"/>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cs="Times New Roman"/>
                <w:color w:val="auto"/>
                <w:sz w:val="24"/>
                <w:szCs w:val="24"/>
                <w:lang w:val="en-US" w:eastAsia="zh-CN"/>
              </w:rPr>
            </w:pPr>
            <w:r>
              <w:rPr>
                <w:rFonts w:cs="Times New Roman" w:hint="eastAsia"/>
                <w:color w:val="auto"/>
                <w:sz w:val="24"/>
                <w:szCs w:val="24"/>
                <w:lang w:val="en-US" w:eastAsia="zh-CN"/>
              </w:rPr>
              <w:t>除尘灰</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color w:val="auto"/>
                <w:sz w:val="24"/>
                <w:szCs w:val="24"/>
              </w:rPr>
              <w:t>收集后由环卫部门统一清运处理</w:t>
            </w:r>
          </w:p>
        </w:tc>
        <w:tc>
          <w:tcPr>
            <w:tcW w:w="1144" w:type="pct"/>
            <w:vMerge/>
            <w:vAlign w:val="center"/>
          </w:tcPr>
          <w:p/>
        </w:tc>
      </w:tr>
      <w:tr>
        <w:trPr>
          <w:cantSplit/>
          <w:trHeight w:val="567"/>
        </w:trPr>
        <w:tc>
          <w:tcPr>
            <w:tcW w:w="461" w:type="pct"/>
            <w:vMerge/>
            <w:vAlign w:val="center"/>
          </w:tcPr>
          <w:p/>
        </w:tc>
        <w:tc>
          <w:tcPr>
            <w:tcW w:w="1076" w:type="pct"/>
            <w:gridSpan w:val="2"/>
            <w:vMerge/>
            <w:vAlign w:val="center"/>
          </w:tcPr>
          <w:p/>
        </w:tc>
        <w:tc>
          <w:tcPr>
            <w:tcW w:w="781" w:type="pct"/>
            <w:shd w:val="clear" w:color="auto" w:fill="auto"/>
            <w:vAlign w:val="center"/>
          </w:tcPr>
          <w:p>
            <w:pPr>
              <w:jc w:val="center"/>
              <w:rPr>
                <w:rFonts w:cs="Times New Roman" w:hint="eastAsia"/>
                <w:color w:val="auto"/>
                <w:sz w:val="24"/>
                <w:szCs w:val="24"/>
                <w:lang w:val="en-US" w:eastAsia="zh-CN"/>
              </w:rPr>
            </w:pPr>
            <w:r>
              <w:rPr>
                <w:rFonts w:cs="Times New Roman" w:hint="eastAsia"/>
                <w:color w:val="auto"/>
                <w:sz w:val="24"/>
                <w:szCs w:val="24"/>
                <w:lang w:val="en-US" w:eastAsia="zh-CN"/>
              </w:rPr>
              <w:t>检验废物</w:t>
            </w:r>
          </w:p>
        </w:tc>
        <w:tc>
          <w:tcPr>
            <w:tcW w:w="1536" w:type="pct"/>
            <w:shd w:val="clear" w:color="auto" w:fill="auto"/>
            <w:vAlign w:val="center"/>
          </w:tcPr>
          <w:p>
            <w:pPr>
              <w:jc w:val="center"/>
              <w:rPr>
                <w:color w:val="auto"/>
                <w:sz w:val="24"/>
                <w:szCs w:val="24"/>
              </w:rPr>
            </w:pPr>
            <w:r>
              <w:rPr>
                <w:color w:val="auto"/>
                <w:sz w:val="24"/>
                <w:szCs w:val="24"/>
              </w:rPr>
              <w:t>收集后由环卫部门统一清运处理</w:t>
            </w:r>
          </w:p>
        </w:tc>
        <w:tc>
          <w:tcPr>
            <w:tcW w:w="1144" w:type="pct"/>
            <w:vMerge/>
            <w:vAlign w:val="center"/>
          </w:tcPr>
          <w:p/>
        </w:tc>
      </w:tr>
      <w:tr>
        <w:trPr>
          <w:cantSplit/>
          <w:trHeight w:val="567"/>
        </w:trPr>
        <w:tc>
          <w:tcPr>
            <w:tcW w:w="461" w:type="pct"/>
            <w:vMerge/>
            <w:vAlign w:val="center"/>
          </w:tcPr>
          <w:p/>
        </w:tc>
        <w:tc>
          <w:tcPr>
            <w:tcW w:w="1076" w:type="pct"/>
            <w:gridSpan w:val="2"/>
            <w:vAlign w:val="center"/>
          </w:tcPr>
          <w:p>
            <w:pPr>
              <w:jc w:val="center"/>
              <w:rPr>
                <w:rFonts w:ascii="Times New Roman" w:eastAsia="宋体" w:cs="Times New Roman" w:hAnsi="Times New Roman"/>
                <w:color w:val="auto"/>
                <w:sz w:val="24"/>
                <w:szCs w:val="24"/>
                <w:lang w:val="en-US" w:eastAsia="zh-CN"/>
              </w:rPr>
            </w:pPr>
            <w:r>
              <w:rPr>
                <w:rFonts w:ascii="Times New Roman" w:eastAsia="宋体" w:cs="Times New Roman" w:hAnsi="Times New Roman" w:hint="eastAsia"/>
                <w:color w:val="auto"/>
                <w:sz w:val="24"/>
                <w:szCs w:val="24"/>
                <w:lang w:val="en-US" w:eastAsia="zh-CN"/>
              </w:rPr>
              <w:t>污水处置</w:t>
            </w:r>
          </w:p>
        </w:tc>
        <w:tc>
          <w:tcPr>
            <w:tcW w:w="781"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污泥</w:t>
            </w:r>
          </w:p>
        </w:tc>
        <w:tc>
          <w:tcPr>
            <w:tcW w:w="1536" w:type="pct"/>
            <w:shd w:val="clear" w:color="auto" w:fill="auto"/>
            <w:vAlign w:val="center"/>
          </w:tcPr>
          <w:p>
            <w:pPr>
              <w:jc w:val="center"/>
              <w:rPr>
                <w:rFonts w:ascii="Times New Roman" w:eastAsia="宋体" w:cs="Times New Roman" w:hAnsi="Times New Roman" w:hint="eastAsia"/>
                <w:color w:val="auto"/>
                <w:sz w:val="24"/>
                <w:szCs w:val="24"/>
                <w:lang w:val="en-US" w:eastAsia="zh-CN"/>
              </w:rPr>
            </w:pPr>
            <w:r>
              <w:rPr>
                <w:rFonts w:ascii="Times New Roman" w:eastAsia="宋体" w:cs="Times New Roman" w:hAnsi="Times New Roman" w:hint="eastAsia"/>
                <w:color w:val="auto"/>
                <w:sz w:val="24"/>
                <w:szCs w:val="24"/>
                <w:lang w:val="en-US" w:eastAsia="zh-CN"/>
              </w:rPr>
              <w:t>外运填埋</w:t>
            </w:r>
          </w:p>
        </w:tc>
        <w:tc>
          <w:tcPr>
            <w:tcW w:w="1144" w:type="pct"/>
            <w:vMerge/>
            <w:vAlign w:val="center"/>
          </w:tcPr>
          <w:p/>
        </w:tc>
      </w:tr>
      <w:tr>
        <w:trPr>
          <w:cantSplit/>
          <w:trHeight w:val="567"/>
        </w:trPr>
        <w:tc>
          <w:tcPr>
            <w:tcW w:w="461" w:type="pct"/>
            <w:vMerge/>
            <w:vAlign w:val="center"/>
          </w:tcPr>
          <w:p/>
        </w:tc>
        <w:tc>
          <w:tcPr>
            <w:tcW w:w="1076" w:type="pct"/>
            <w:gridSpan w:val="2"/>
            <w:vAlign w:val="center"/>
          </w:tcPr>
          <w:p>
            <w:pPr>
              <w:jc w:val="center"/>
              <w:rPr>
                <w:rFonts w:hint="eastAsia"/>
                <w:color w:val="auto"/>
                <w:sz w:val="24"/>
                <w:szCs w:val="24"/>
              </w:rPr>
            </w:pPr>
            <w:r>
              <w:rPr>
                <w:rFonts w:hint="eastAsia"/>
                <w:color w:val="auto"/>
                <w:sz w:val="24"/>
                <w:szCs w:val="24"/>
              </w:rPr>
              <w:t>维修、维护</w:t>
            </w:r>
          </w:p>
        </w:tc>
        <w:tc>
          <w:tcPr>
            <w:tcW w:w="781" w:type="pct"/>
            <w:vAlign w:val="center"/>
          </w:tcPr>
          <w:p>
            <w:pPr>
              <w:jc w:val="center"/>
              <w:rPr>
                <w:rFonts w:eastAsia="宋体" w:hint="eastAsia"/>
                <w:color w:val="auto"/>
                <w:sz w:val="24"/>
                <w:szCs w:val="24"/>
                <w:lang w:eastAsia="zh-CN"/>
              </w:rPr>
            </w:pPr>
            <w:r>
              <w:rPr>
                <w:rFonts w:hint="eastAsia"/>
                <w:color w:val="auto"/>
                <w:sz w:val="24"/>
                <w:szCs w:val="24"/>
              </w:rPr>
              <w:t>废</w:t>
            </w:r>
            <w:r>
              <w:rPr>
                <w:rFonts w:hint="eastAsia"/>
                <w:color w:val="auto"/>
                <w:sz w:val="24"/>
                <w:szCs w:val="24"/>
                <w:lang w:val="en-US" w:eastAsia="zh-CN"/>
              </w:rPr>
              <w:t>导热</w:t>
            </w:r>
            <w:r>
              <w:rPr>
                <w:rFonts w:hint="eastAsia"/>
                <w:color w:val="auto"/>
                <w:sz w:val="24"/>
                <w:szCs w:val="24"/>
              </w:rPr>
              <w:t>油</w:t>
            </w:r>
          </w:p>
        </w:tc>
        <w:tc>
          <w:tcPr>
            <w:tcW w:w="1536" w:type="pct"/>
            <w:vAlign w:val="center"/>
          </w:tcPr>
          <w:p>
            <w:pPr>
              <w:jc w:val="center"/>
              <w:rPr>
                <w:rFonts w:eastAsia="宋体"/>
                <w:color w:val="auto"/>
                <w:sz w:val="24"/>
                <w:szCs w:val="24"/>
                <w:lang w:val="en-US" w:eastAsia="zh-CN"/>
              </w:rPr>
            </w:pPr>
            <w:r>
              <w:rPr>
                <w:rFonts w:hint="eastAsia"/>
                <w:color w:val="auto"/>
                <w:sz w:val="24"/>
                <w:szCs w:val="24"/>
                <w:lang w:val="en-US" w:eastAsia="zh-CN"/>
              </w:rPr>
              <w:t>由有资质单位转运</w:t>
            </w:r>
          </w:p>
        </w:tc>
        <w:tc>
          <w:tcPr>
            <w:tcW w:w="1144" w:type="pct"/>
            <w:vMerge w:val="restart"/>
            <w:vAlign w:val="center"/>
          </w:tcPr>
          <w:p>
            <w:pPr>
              <w:jc w:val="center"/>
              <w:rPr>
                <w:color w:val="auto"/>
                <w:sz w:val="24"/>
                <w:szCs w:val="24"/>
              </w:rPr>
            </w:pPr>
            <w:r>
              <w:rPr>
                <w:color w:val="auto"/>
                <w:sz w:val="24"/>
                <w:szCs w:val="24"/>
              </w:rPr>
              <w:t>《危险废物贮存污染控制标准》（</w:t>
            </w:r>
            <w:r>
              <w:rPr>
                <w:rFonts w:hint="eastAsia"/>
                <w:color w:val="auto"/>
                <w:sz w:val="24"/>
                <w:szCs w:val="24"/>
                <w:lang w:eastAsia="zh-CN"/>
              </w:rPr>
              <w:t>GB 18597-2023</w:t>
            </w:r>
            <w:r>
              <w:rPr>
                <w:color w:val="auto"/>
                <w:sz w:val="24"/>
                <w:szCs w:val="24"/>
              </w:rPr>
              <w:t>）</w:t>
            </w:r>
          </w:p>
        </w:tc>
      </w:tr>
      <w:tr>
        <w:trPr>
          <w:cantSplit/>
          <w:trHeight w:val="567"/>
        </w:trPr>
        <w:tc>
          <w:tcPr>
            <w:tcW w:w="461" w:type="pct"/>
            <w:vMerge/>
            <w:vAlign w:val="center"/>
          </w:tcPr>
          <w:p/>
        </w:tc>
        <w:tc>
          <w:tcPr>
            <w:tcW w:w="1076" w:type="pct"/>
            <w:gridSpan w:val="2"/>
            <w:vAlign w:val="center"/>
          </w:tcPr>
          <w:p>
            <w:pPr>
              <w:jc w:val="center"/>
              <w:rPr>
                <w:rFonts w:eastAsia="宋体"/>
                <w:color w:val="auto"/>
                <w:sz w:val="24"/>
                <w:szCs w:val="24"/>
                <w:lang w:val="en-US" w:eastAsia="zh-CN"/>
              </w:rPr>
            </w:pPr>
            <w:r>
              <w:rPr>
                <w:rFonts w:hint="eastAsia"/>
                <w:color w:val="auto"/>
                <w:sz w:val="24"/>
                <w:szCs w:val="24"/>
                <w:lang w:val="en-US" w:eastAsia="zh-CN"/>
              </w:rPr>
              <w:t>废气处理、生产</w:t>
            </w:r>
          </w:p>
        </w:tc>
        <w:tc>
          <w:tcPr>
            <w:tcW w:w="781" w:type="pct"/>
            <w:vAlign w:val="center"/>
          </w:tcPr>
          <w:p>
            <w:pPr>
              <w:jc w:val="center"/>
              <w:rPr>
                <w:rFonts w:eastAsia="宋体"/>
                <w:color w:val="auto"/>
                <w:sz w:val="24"/>
                <w:szCs w:val="24"/>
                <w:lang w:val="en-US" w:eastAsia="zh-CN"/>
              </w:rPr>
            </w:pPr>
            <w:r>
              <w:rPr>
                <w:rFonts w:hint="eastAsia"/>
                <w:color w:val="auto"/>
                <w:sz w:val="24"/>
                <w:szCs w:val="24"/>
                <w:lang w:val="en-US" w:eastAsia="zh-CN"/>
              </w:rPr>
              <w:t>废活性炭</w:t>
            </w:r>
          </w:p>
        </w:tc>
        <w:tc>
          <w:tcPr>
            <w:tcW w:w="1536" w:type="pct"/>
            <w:vAlign w:val="center"/>
          </w:tcPr>
          <w:p>
            <w:pPr>
              <w:jc w:val="center"/>
              <w:rPr>
                <w:rFonts w:hint="eastAsia"/>
                <w:color w:val="auto"/>
                <w:sz w:val="24"/>
                <w:szCs w:val="24"/>
                <w:lang w:val="en-US" w:eastAsia="zh-CN"/>
              </w:rPr>
            </w:pPr>
            <w:r>
              <w:rPr>
                <w:rFonts w:hint="eastAsia"/>
                <w:color w:val="auto"/>
                <w:sz w:val="24"/>
                <w:szCs w:val="24"/>
                <w:lang w:val="en-US" w:eastAsia="zh-CN"/>
              </w:rPr>
              <w:t>由有资质单位转运</w:t>
            </w:r>
          </w:p>
        </w:tc>
        <w:tc>
          <w:tcPr>
            <w:tcW w:w="1144" w:type="pct"/>
            <w:vMerge/>
            <w:vAlign w:val="center"/>
          </w:tcPr>
          <w:p/>
        </w:tc>
      </w:tr>
      <w:tr>
        <w:trPr>
          <w:cantSplit/>
          <w:trHeight w:val="567"/>
        </w:trPr>
        <w:tc>
          <w:tcPr>
            <w:tcW w:w="461" w:type="pct"/>
            <w:vAlign w:val="center"/>
          </w:tcPr>
          <w:p>
            <w:pPr>
              <w:jc w:val="center"/>
              <w:rPr>
                <w:color w:val="auto"/>
                <w:sz w:val="24"/>
                <w:szCs w:val="24"/>
              </w:rPr>
            </w:pPr>
            <w:r>
              <w:rPr>
                <w:color w:val="auto"/>
                <w:sz w:val="24"/>
                <w:szCs w:val="24"/>
              </w:rPr>
              <w:t>声</w:t>
            </w:r>
          </w:p>
          <w:p>
            <w:pPr>
              <w:jc w:val="center"/>
              <w:rPr>
                <w:rFonts w:hint="eastAsia"/>
                <w:color w:val="auto"/>
                <w:sz w:val="24"/>
                <w:szCs w:val="24"/>
              </w:rPr>
            </w:pPr>
            <w:r>
              <w:rPr>
                <w:rFonts w:hint="eastAsia"/>
                <w:color w:val="auto"/>
                <w:sz w:val="24"/>
                <w:szCs w:val="24"/>
              </w:rPr>
              <w:t>环</w:t>
            </w:r>
          </w:p>
          <w:p>
            <w:pPr>
              <w:jc w:val="center"/>
              <w:rPr>
                <w:rFonts w:hint="eastAsia"/>
                <w:color w:val="auto"/>
                <w:sz w:val="24"/>
                <w:szCs w:val="24"/>
              </w:rPr>
            </w:pPr>
            <w:r>
              <w:rPr>
                <w:rFonts w:hint="eastAsia"/>
                <w:color w:val="auto"/>
                <w:sz w:val="24"/>
                <w:szCs w:val="24"/>
              </w:rPr>
              <w:t>境</w:t>
            </w:r>
          </w:p>
        </w:tc>
        <w:tc>
          <w:tcPr>
            <w:tcW w:w="1076" w:type="pct"/>
            <w:gridSpan w:val="2"/>
            <w:vAlign w:val="center"/>
          </w:tcPr>
          <w:p>
            <w:pPr>
              <w:jc w:val="center"/>
              <w:rPr>
                <w:rFonts w:eastAsia="宋体" w:hint="eastAsia"/>
                <w:color w:val="auto"/>
                <w:sz w:val="24"/>
                <w:szCs w:val="24"/>
                <w:lang w:eastAsia="zh-CN"/>
              </w:rPr>
            </w:pPr>
            <w:r>
              <w:rPr>
                <w:rFonts w:hint="eastAsia"/>
                <w:color w:val="auto"/>
                <w:sz w:val="24"/>
                <w:szCs w:val="24"/>
                <w:lang w:eastAsia="zh-CN"/>
              </w:rPr>
              <w:t>厂界噪声</w:t>
            </w:r>
          </w:p>
        </w:tc>
        <w:tc>
          <w:tcPr>
            <w:tcW w:w="781" w:type="pct"/>
            <w:vAlign w:val="center"/>
          </w:tcPr>
          <w:p>
            <w:pPr>
              <w:jc w:val="center"/>
              <w:rPr>
                <w:rFonts w:eastAsia="宋体" w:hint="eastAsia"/>
                <w:color w:val="auto"/>
                <w:sz w:val="24"/>
                <w:szCs w:val="24"/>
                <w:lang w:eastAsia="zh-CN"/>
              </w:rPr>
            </w:pPr>
            <w:r>
              <w:rPr>
                <w:rFonts w:hint="eastAsia"/>
                <w:color w:val="auto"/>
                <w:sz w:val="24"/>
                <w:szCs w:val="24"/>
                <w:lang w:eastAsia="zh-CN"/>
              </w:rPr>
              <w:t>噪声</w:t>
            </w:r>
          </w:p>
        </w:tc>
        <w:tc>
          <w:tcPr>
            <w:tcW w:w="1536" w:type="pct"/>
            <w:vAlign w:val="center"/>
          </w:tcPr>
          <w:p>
            <w:pPr>
              <w:jc w:val="center"/>
              <w:rPr>
                <w:rFonts w:hint="eastAsia"/>
                <w:bCs/>
                <w:color w:val="auto"/>
                <w:sz w:val="24"/>
                <w:szCs w:val="24"/>
              </w:rPr>
            </w:pPr>
            <w:r>
              <w:rPr>
                <w:color w:val="auto"/>
                <w:sz w:val="24"/>
                <w:szCs w:val="24"/>
              </w:rPr>
              <w:t>合理布置高噪声源，加强设备基础减振处理，加强厂房隔声处理，减小噪声影响，并在厂界种植绿化带、种植灌木等措施</w:t>
            </w:r>
          </w:p>
        </w:tc>
        <w:tc>
          <w:tcPr>
            <w:tcW w:w="1144" w:type="pct"/>
            <w:vAlign w:val="center"/>
          </w:tcPr>
          <w:p>
            <w:pPr>
              <w:jc w:val="center"/>
              <w:rPr>
                <w:rFonts w:hint="eastAsia"/>
                <w:color w:val="auto"/>
                <w:sz w:val="24"/>
                <w:szCs w:val="24"/>
              </w:rPr>
            </w:pPr>
            <w:r>
              <w:rPr>
                <w:color w:val="auto"/>
                <w:sz w:val="24"/>
                <w:szCs w:val="24"/>
              </w:rPr>
              <w:t>《工业企业厂界环境噪声排放标准》（GB12348-2008）中</w:t>
            </w:r>
            <w:r>
              <w:rPr>
                <w:rFonts w:hint="eastAsia"/>
                <w:color w:val="auto"/>
                <w:sz w:val="24"/>
                <w:szCs w:val="24"/>
                <w:lang w:val="en-US" w:eastAsia="zh-CN"/>
              </w:rPr>
              <w:t>3</w:t>
            </w:r>
            <w:r>
              <w:rPr>
                <w:color w:val="auto"/>
                <w:sz w:val="24"/>
                <w:szCs w:val="24"/>
              </w:rPr>
              <w:t>类标准</w:t>
            </w:r>
          </w:p>
        </w:tc>
      </w:tr>
      <w:tr>
        <w:trPr>
          <w:cantSplit/>
          <w:trHeight w:val="567"/>
        </w:trPr>
        <w:tc>
          <w:tcPr>
            <w:tcW w:w="461" w:type="pct"/>
            <w:vAlign w:val="center"/>
          </w:tcPr>
          <w:p>
            <w:pPr>
              <w:jc w:val="center"/>
              <w:rPr>
                <w:color w:val="auto"/>
                <w:sz w:val="24"/>
                <w:szCs w:val="24"/>
              </w:rPr>
            </w:pPr>
            <w:r>
              <w:rPr>
                <w:color w:val="auto"/>
                <w:sz w:val="24"/>
                <w:szCs w:val="24"/>
              </w:rPr>
              <w:t>土壤及地下水</w:t>
            </w:r>
          </w:p>
          <w:p>
            <w:pPr>
              <w:jc w:val="center"/>
              <w:rPr>
                <w:color w:val="auto"/>
                <w:sz w:val="24"/>
                <w:szCs w:val="24"/>
              </w:rPr>
            </w:pPr>
            <w:r>
              <w:rPr>
                <w:color w:val="auto"/>
                <w:sz w:val="24"/>
                <w:szCs w:val="24"/>
              </w:rPr>
              <w:t>污染防治措施</w:t>
            </w:r>
          </w:p>
        </w:tc>
        <w:tc>
          <w:tcPr>
            <w:tcW w:w="4538" w:type="pct"/>
            <w:gridSpan w:val="5"/>
            <w:vAlign w:val="center"/>
          </w:tcPr>
          <w:p>
            <w:pPr>
              <w:jc w:val="center"/>
              <w:rPr>
                <w:rFonts w:hint="eastAsia"/>
                <w:color w:val="auto"/>
                <w:sz w:val="24"/>
                <w:szCs w:val="24"/>
              </w:rPr>
            </w:pPr>
            <w:r>
              <w:rPr>
                <w:rFonts w:hint="eastAsia"/>
                <w:color w:val="auto"/>
                <w:kern w:val="0"/>
                <w:sz w:val="24"/>
                <w:szCs w:val="24"/>
              </w:rPr>
              <w:t>/</w:t>
            </w:r>
          </w:p>
        </w:tc>
      </w:tr>
      <w:tr>
        <w:trPr>
          <w:cantSplit/>
          <w:trHeight w:val="567"/>
        </w:trPr>
        <w:tc>
          <w:tcPr>
            <w:tcW w:w="461" w:type="pct"/>
            <w:vAlign w:val="center"/>
          </w:tcPr>
          <w:p>
            <w:pPr>
              <w:jc w:val="center"/>
              <w:rPr>
                <w:color w:val="auto"/>
                <w:sz w:val="24"/>
                <w:szCs w:val="24"/>
              </w:rPr>
            </w:pPr>
            <w:r>
              <w:rPr>
                <w:color w:val="auto"/>
                <w:sz w:val="24"/>
                <w:szCs w:val="24"/>
              </w:rPr>
              <w:t>生态保护措施</w:t>
            </w:r>
          </w:p>
        </w:tc>
        <w:tc>
          <w:tcPr>
            <w:tcW w:w="4538" w:type="pct"/>
            <w:gridSpan w:val="5"/>
            <w:vAlign w:val="center"/>
          </w:tcPr>
          <w:p>
            <w:pPr>
              <w:jc w:val="center"/>
              <w:rPr>
                <w:rFonts w:eastAsia="宋体" w:hint="eastAsia"/>
                <w:color w:val="auto"/>
                <w:kern w:val="0"/>
                <w:sz w:val="24"/>
                <w:szCs w:val="24"/>
                <w:lang w:eastAsia="zh-CN"/>
              </w:rPr>
            </w:pPr>
            <w:r>
              <w:rPr>
                <w:rFonts w:hint="eastAsia"/>
                <w:color w:val="auto"/>
                <w:sz w:val="24"/>
                <w:szCs w:val="24"/>
                <w:lang w:val="en-US" w:eastAsia="zh-CN"/>
              </w:rPr>
              <w:t>/</w:t>
            </w:r>
          </w:p>
        </w:tc>
      </w:tr>
      <w:tr>
        <w:trPr>
          <w:cantSplit/>
          <w:trHeight w:val="567"/>
        </w:trPr>
        <w:tc>
          <w:tcPr>
            <w:tcW w:w="461" w:type="pct"/>
            <w:vAlign w:val="center"/>
          </w:tcPr>
          <w:p>
            <w:pPr>
              <w:jc w:val="center"/>
              <w:rPr>
                <w:color w:val="auto"/>
                <w:sz w:val="24"/>
                <w:szCs w:val="24"/>
              </w:rPr>
            </w:pPr>
            <w:r>
              <w:rPr>
                <w:color w:val="auto"/>
                <w:sz w:val="24"/>
                <w:szCs w:val="24"/>
              </w:rPr>
              <w:t>环境风险防范措施</w:t>
            </w:r>
          </w:p>
        </w:tc>
        <w:tc>
          <w:tcPr>
            <w:tcW w:w="4538" w:type="pct"/>
            <w:gridSpan w:val="5"/>
            <w:vAlign w:val="center"/>
          </w:tcPr>
          <w:p>
            <w:pPr>
              <w:rPr>
                <w:rFonts w:hint="eastAsia"/>
                <w:color w:val="auto"/>
                <w:sz w:val="24"/>
                <w:szCs w:val="24"/>
              </w:rPr>
            </w:pPr>
            <w:r>
              <w:rPr>
                <w:rFonts w:hint="eastAsia"/>
                <w:color w:val="auto"/>
                <w:sz w:val="24"/>
                <w:szCs w:val="24"/>
              </w:rPr>
              <w:t>①加强设备检修、维修，防止跑、冒、滴、漏；</w:t>
            </w:r>
          </w:p>
          <w:p>
            <w:pPr>
              <w:rPr>
                <w:color w:val="auto"/>
                <w:sz w:val="24"/>
                <w:szCs w:val="24"/>
              </w:rPr>
            </w:pPr>
            <w:r>
              <w:rPr>
                <w:rFonts w:hint="eastAsia"/>
                <w:color w:val="auto"/>
                <w:sz w:val="24"/>
                <w:szCs w:val="24"/>
              </w:rPr>
              <w:t>②做好废气废水处理装置维护检修，确保设备正常运行，处理有效。</w:t>
            </w:r>
          </w:p>
        </w:tc>
      </w:tr>
      <w:tr>
        <w:trPr>
          <w:cantSplit/>
          <w:trHeight w:val="567"/>
        </w:trPr>
        <w:tc>
          <w:tcPr>
            <w:tcW w:w="461" w:type="pct"/>
            <w:vAlign w:val="center"/>
          </w:tcPr>
          <w:p>
            <w:pPr>
              <w:jc w:val="center"/>
              <w:rPr>
                <w:rFonts w:eastAsia="宋体" w:hint="eastAsia"/>
                <w:color w:val="auto"/>
                <w:sz w:val="24"/>
                <w:szCs w:val="24"/>
                <w:lang w:val="en-US" w:eastAsia="zh-CN"/>
              </w:rPr>
            </w:pPr>
            <w:r>
              <w:rPr>
                <w:rFonts w:hint="eastAsia"/>
                <w:color w:val="auto"/>
                <w:sz w:val="24"/>
                <w:szCs w:val="24"/>
                <w:lang w:val="en-US" w:eastAsia="zh-CN"/>
              </w:rPr>
              <w:t>其他</w:t>
            </w:r>
          </w:p>
        </w:tc>
        <w:tc>
          <w:tcPr>
            <w:tcW w:w="4538" w:type="pct"/>
            <w:gridSpan w:val="5"/>
            <w:vAlign w:val="center"/>
          </w:tcPr>
          <w:p>
            <w:pPr>
              <w:snapToGrid w:val="0"/>
              <w:spacing w:line="360" w:lineRule="auto"/>
              <w:ind w:firstLineChars="183" w:firstLine="439"/>
              <w:rPr>
                <w:rFonts w:eastAsia="宋体" w:hint="eastAsia"/>
                <w:color w:val="auto"/>
                <w:sz w:val="24"/>
                <w:szCs w:val="24"/>
                <w:lang w:val="en-US" w:eastAsia="zh-CN"/>
              </w:rPr>
            </w:pPr>
            <w:r>
              <w:rPr>
                <w:rFonts w:hint="eastAsia"/>
                <w:color w:val="auto"/>
                <w:sz w:val="24"/>
                <w:szCs w:val="24"/>
                <w:lang w:val="en-US" w:eastAsia="zh-CN"/>
              </w:rPr>
              <w:t>/</w:t>
            </w:r>
          </w:p>
        </w:tc>
      </w:tr>
      <w:tr>
        <w:trPr>
          <w:trHeight w:val="14536"/>
        </w:trPr>
        <w:tc>
          <w:tcPr>
            <w:tcW w:w="461" w:type="pct"/>
            <w:vAlign w:val="center"/>
          </w:tcPr>
          <w:p>
            <w:pPr>
              <w:jc w:val="center"/>
              <w:rPr>
                <w:color w:val="auto"/>
                <w:sz w:val="24"/>
                <w:szCs w:val="24"/>
              </w:rPr>
            </w:pPr>
            <w:r>
              <w:rPr>
                <w:color w:val="auto"/>
                <w:sz w:val="24"/>
                <w:szCs w:val="24"/>
              </w:rPr>
              <w:t>其他环境管理要求</w:t>
            </w:r>
          </w:p>
        </w:tc>
        <w:tc>
          <w:tcPr>
            <w:tcW w:w="4538" w:type="pct"/>
            <w:gridSpan w:val="5"/>
            <w:vAlign w:val="center"/>
          </w:tcPr>
          <w:p>
            <w:pPr>
              <w:autoSpaceDE w:val="0"/>
              <w:autoSpaceDN w:val="0"/>
              <w:adjustRightInd w:val="0"/>
              <w:snapToGrid w:val="0"/>
              <w:spacing w:beforeLines="50" w:before="120" w:line="360" w:lineRule="auto"/>
              <w:ind w:firstLineChars="200" w:firstLine="480"/>
              <w:jc w:val="left"/>
              <w:rPr>
                <w:rFonts w:eastAsia="宋体" w:hint="eastAsia"/>
                <w:b/>
                <w:bCs/>
                <w:color w:val="auto"/>
                <w:kern w:val="0"/>
                <w:sz w:val="24"/>
                <w:szCs w:val="24"/>
                <w:u w:val="none"/>
                <w:lang w:val="en-GB" w:eastAsia="zh-CN"/>
              </w:rPr>
            </w:pPr>
            <w:r>
              <w:rPr>
                <w:rFonts w:hint="eastAsia"/>
                <w:b/>
                <w:bCs/>
                <w:color w:val="auto"/>
                <w:kern w:val="0"/>
                <w:sz w:val="24"/>
                <w:szCs w:val="24"/>
                <w:u w:val="none"/>
                <w:lang w:val="en-GB"/>
              </w:rPr>
              <w:t>环保竣工验收</w:t>
            </w:r>
            <w:r>
              <w:rPr>
                <w:rFonts w:hint="eastAsia"/>
                <w:b/>
                <w:bCs/>
                <w:color w:val="auto"/>
                <w:kern w:val="0"/>
                <w:sz w:val="24"/>
                <w:szCs w:val="24"/>
                <w:u w:val="none"/>
                <w:lang w:val="en-GB" w:eastAsia="zh-CN"/>
              </w:rPr>
              <w:t>要求：</w:t>
            </w:r>
          </w:p>
          <w:p>
            <w:pPr>
              <w:adjustRightInd w:val="0"/>
              <w:snapToGrid w:val="0"/>
              <w:spacing w:line="360" w:lineRule="auto"/>
              <w:ind w:firstLineChars="200" w:firstLine="480"/>
              <w:rPr>
                <w:color w:val="auto"/>
                <w:sz w:val="24"/>
                <w:szCs w:val="24"/>
                <w:u w:val="none"/>
              </w:rPr>
            </w:pPr>
            <w:r>
              <w:rPr>
                <w:rFonts w:hint="eastAsia"/>
                <w:color w:val="auto"/>
                <w:sz w:val="24"/>
                <w:szCs w:val="24"/>
                <w:u w:val="none"/>
              </w:rPr>
              <w:t>根据《建设项目竣工环境保护验收暂行办法》（国环规环评</w:t>
            </w:r>
            <w:r>
              <w:rPr>
                <w:color w:val="auto"/>
                <w:sz w:val="24"/>
                <w:szCs w:val="24"/>
                <w:u w:val="none"/>
              </w:rPr>
              <w:t>[2017]4</w:t>
            </w:r>
            <w:r>
              <w:rPr>
                <w:rFonts w:hint="eastAsia"/>
                <w:color w:val="auto"/>
                <w:sz w:val="24"/>
                <w:szCs w:val="24"/>
                <w:u w:val="none"/>
              </w:rPr>
              <w:t>号）文件，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adjustRightInd w:val="0"/>
              <w:snapToGrid w:val="0"/>
              <w:spacing w:line="360" w:lineRule="auto"/>
              <w:ind w:firstLineChars="200" w:firstLine="480"/>
              <w:rPr>
                <w:color w:val="auto"/>
                <w:sz w:val="24"/>
                <w:szCs w:val="24"/>
                <w:u w:val="none"/>
              </w:rPr>
            </w:pPr>
            <w:r>
              <w:rPr>
                <w:rFonts w:hint="eastAsia"/>
                <w:color w:val="auto"/>
                <w:sz w:val="24"/>
                <w:szCs w:val="24"/>
                <w:u w:val="none"/>
              </w:rPr>
              <w:t>（</w:t>
            </w:r>
            <w:r>
              <w:rPr>
                <w:color w:val="auto"/>
                <w:sz w:val="24"/>
                <w:szCs w:val="24"/>
                <w:u w:val="none"/>
              </w:rPr>
              <w:t>1</w:t>
            </w:r>
            <w:r>
              <w:rPr>
                <w:rFonts w:hint="eastAsia"/>
                <w:color w:val="auto"/>
                <w:sz w:val="24"/>
                <w:szCs w:val="24"/>
                <w:u w:val="none"/>
              </w:rPr>
              <w:t>）验收责任主体</w:t>
            </w:r>
          </w:p>
          <w:p>
            <w:pPr>
              <w:adjustRightInd w:val="0"/>
              <w:snapToGrid w:val="0"/>
              <w:spacing w:line="360" w:lineRule="auto"/>
              <w:ind w:firstLineChars="200" w:firstLine="480"/>
              <w:rPr>
                <w:color w:val="auto"/>
                <w:sz w:val="24"/>
                <w:szCs w:val="24"/>
                <w:u w:val="none"/>
              </w:rPr>
            </w:pPr>
            <w:r>
              <w:rPr>
                <w:rFonts w:hint="eastAsia"/>
                <w:color w:val="auto"/>
                <w:sz w:val="24"/>
                <w:szCs w:val="24"/>
                <w:u w:val="none"/>
                <w:lang w:eastAsia="zh-CN"/>
              </w:rPr>
              <w:t>湖南智农生物科技有限公司</w:t>
            </w:r>
            <w:r>
              <w:rPr>
                <w:rFonts w:hint="eastAsia"/>
                <w:color w:val="auto"/>
                <w:sz w:val="24"/>
                <w:szCs w:val="24"/>
                <w:u w:val="none"/>
              </w:rPr>
              <w:t>。</w:t>
            </w:r>
          </w:p>
          <w:p>
            <w:pPr>
              <w:adjustRightInd w:val="0"/>
              <w:snapToGrid w:val="0"/>
              <w:spacing w:line="360" w:lineRule="auto"/>
              <w:ind w:firstLineChars="200" w:firstLine="480"/>
              <w:rPr>
                <w:color w:val="auto"/>
                <w:sz w:val="24"/>
                <w:szCs w:val="24"/>
                <w:u w:val="none"/>
              </w:rPr>
            </w:pPr>
            <w:r>
              <w:rPr>
                <w:rFonts w:hint="eastAsia"/>
                <w:color w:val="auto"/>
                <w:sz w:val="24"/>
                <w:szCs w:val="24"/>
                <w:u w:val="none"/>
              </w:rPr>
              <w:t>（</w:t>
            </w:r>
            <w:r>
              <w:rPr>
                <w:color w:val="auto"/>
                <w:sz w:val="24"/>
                <w:szCs w:val="24"/>
                <w:u w:val="none"/>
              </w:rPr>
              <w:t>2</w:t>
            </w:r>
            <w:r>
              <w:rPr>
                <w:rFonts w:hint="eastAsia"/>
                <w:color w:val="auto"/>
                <w:sz w:val="24"/>
                <w:szCs w:val="24"/>
                <w:u w:val="none"/>
              </w:rPr>
              <w:t>）验收要求</w:t>
            </w:r>
          </w:p>
          <w:p>
            <w:pPr>
              <w:snapToGrid w:val="0"/>
              <w:spacing w:line="360" w:lineRule="auto"/>
              <w:ind w:firstLineChars="183" w:firstLine="439"/>
              <w:rPr>
                <w:color w:val="auto"/>
                <w:sz w:val="24"/>
                <w:szCs w:val="24"/>
                <w:u w:val="none"/>
              </w:rPr>
            </w:pPr>
            <w:r>
              <w:rPr>
                <w:rFonts w:hint="eastAsia"/>
                <w:color w:val="auto"/>
                <w:sz w:val="24"/>
                <w:szCs w:val="24"/>
                <w:u w:val="none"/>
              </w:rPr>
              <w:t>①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snapToGrid w:val="0"/>
              <w:spacing w:line="360" w:lineRule="auto"/>
              <w:ind w:firstLineChars="183" w:firstLine="439"/>
              <w:rPr>
                <w:color w:val="auto"/>
                <w:sz w:val="24"/>
                <w:szCs w:val="24"/>
                <w:u w:val="none"/>
              </w:rPr>
            </w:pPr>
            <w:r>
              <w:rPr>
                <w:rFonts w:hint="eastAsia"/>
                <w:color w:val="auto"/>
                <w:sz w:val="24"/>
                <w:szCs w:val="24"/>
                <w:u w:val="none"/>
              </w:rPr>
              <w:t>②需要对建设项目配套建设的环境保护设施进行调试的，建设单位应当确保调试期间污染物排放符合国家和地方有关污染物排放标准和排污许可等相关管理规定。</w:t>
            </w:r>
          </w:p>
          <w:p>
            <w:pPr>
              <w:snapToGrid w:val="0"/>
              <w:spacing w:line="360" w:lineRule="auto"/>
              <w:ind w:firstLineChars="183" w:firstLine="439"/>
              <w:rPr>
                <w:rFonts w:hint="eastAsia"/>
                <w:color w:val="auto"/>
                <w:sz w:val="24"/>
                <w:szCs w:val="24"/>
                <w:u w:val="none"/>
              </w:rPr>
            </w:pPr>
            <w:r>
              <w:rPr>
                <w:rFonts w:hint="eastAsia"/>
                <w:color w:val="auto"/>
                <w:sz w:val="24"/>
                <w:szCs w:val="24"/>
                <w:u w:val="none"/>
              </w:rPr>
              <w:t>③验收监测（调查）报告编制完成后，建设单位应当根据验收监测（调查）报告结论，逐一检查是否存在本办法第八条所列验收不合格的情形，提出验收意见。存在问题的，建设单位应当进行整改，整改完成后方可提出验收意见。</w:t>
            </w:r>
          </w:p>
          <w:p>
            <w:pPr>
              <w:snapToGrid w:val="0"/>
              <w:spacing w:line="360" w:lineRule="auto"/>
              <w:ind w:firstLineChars="183" w:firstLine="439"/>
              <w:rPr>
                <w:rFonts w:hint="eastAsia"/>
                <w:color w:val="auto"/>
                <w:sz w:val="24"/>
                <w:szCs w:val="24"/>
                <w:u w:val="none"/>
              </w:rPr>
            </w:pPr>
            <w:r>
              <w:rPr>
                <w:rFonts w:hint="eastAsia"/>
                <w:color w:val="auto"/>
                <w:sz w:val="24"/>
                <w:szCs w:val="24"/>
                <w:u w:val="none"/>
              </w:rPr>
              <w:t>④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w:t>
            </w:r>
          </w:p>
          <w:p>
            <w:pPr>
              <w:snapToGrid w:val="0"/>
              <w:spacing w:line="360" w:lineRule="auto"/>
              <w:ind w:firstLineChars="183" w:firstLine="439"/>
              <w:rPr>
                <w:color w:val="auto"/>
                <w:sz w:val="24"/>
                <w:szCs w:val="24"/>
                <w:u w:val="none"/>
              </w:rPr>
            </w:pPr>
            <w:r>
              <w:rPr>
                <w:rFonts w:hint="eastAsia"/>
                <w:color w:val="auto"/>
                <w:sz w:val="24"/>
                <w:szCs w:val="24"/>
                <w:u w:val="none"/>
              </w:rPr>
              <w:t>经验收或者验收不合格的，不得投入生产或者使用。</w:t>
            </w:r>
          </w:p>
          <w:p>
            <w:pPr>
              <w:snapToGrid w:val="0"/>
              <w:spacing w:line="360" w:lineRule="auto"/>
              <w:ind w:firstLineChars="183" w:firstLine="439"/>
              <w:rPr>
                <w:rFonts w:hint="eastAsia"/>
                <w:color w:val="auto"/>
                <w:sz w:val="24"/>
                <w:szCs w:val="24"/>
                <w:u w:val="none"/>
                <w:lang w:eastAsia="zh-CN"/>
              </w:rPr>
            </w:pPr>
            <w:r>
              <w:rPr>
                <w:rFonts w:hint="eastAsia"/>
                <w:color w:val="auto"/>
                <w:sz w:val="24"/>
                <w:szCs w:val="24"/>
                <w:u w:val="none"/>
              </w:rPr>
              <w:t>⑤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r>
              <w:rPr>
                <w:rFonts w:hint="eastAsia"/>
                <w:color w:val="auto"/>
                <w:sz w:val="24"/>
                <w:szCs w:val="24"/>
                <w:u w:val="none"/>
                <w:lang w:eastAsia="zh-CN"/>
              </w:rPr>
              <w:t>。</w:t>
            </w:r>
          </w:p>
          <w:p>
            <w:pPr>
              <w:autoSpaceDE w:val="0"/>
              <w:autoSpaceDN w:val="0"/>
              <w:adjustRightInd w:val="0"/>
              <w:snapToGrid w:val="0"/>
              <w:spacing w:beforeLines="50" w:before="120" w:line="360" w:lineRule="auto"/>
              <w:ind w:firstLineChars="200" w:firstLine="480"/>
              <w:jc w:val="left"/>
              <w:rPr>
                <w:rFonts w:eastAsia="宋体" w:hint="eastAsia"/>
                <w:b/>
                <w:bCs/>
                <w:color w:val="auto"/>
                <w:kern w:val="0"/>
                <w:sz w:val="24"/>
                <w:szCs w:val="24"/>
                <w:u w:val="none"/>
                <w:lang w:val="en-US" w:eastAsia="zh-CN"/>
              </w:rPr>
            </w:pPr>
            <w:r>
              <w:rPr>
                <w:rFonts w:hint="eastAsia"/>
                <w:b/>
                <w:bCs/>
                <w:color w:val="auto"/>
                <w:kern w:val="0"/>
                <w:sz w:val="24"/>
                <w:szCs w:val="24"/>
                <w:u w:val="none"/>
                <w:lang w:val="en-GB"/>
              </w:rPr>
              <w:t>规范化排污口建设</w:t>
            </w:r>
            <w:r>
              <w:rPr>
                <w:rFonts w:hint="eastAsia"/>
                <w:b/>
                <w:bCs/>
                <w:color w:val="auto"/>
                <w:kern w:val="0"/>
                <w:sz w:val="24"/>
                <w:szCs w:val="24"/>
                <w:u w:val="none"/>
                <w:lang w:val="en-US" w:eastAsia="zh-CN"/>
              </w:rPr>
              <w:t>:</w:t>
            </w:r>
          </w:p>
          <w:p>
            <w:pPr>
              <w:snapToGrid w:val="0"/>
              <w:spacing w:line="360" w:lineRule="auto"/>
              <w:ind w:firstLineChars="183" w:firstLine="439"/>
              <w:rPr>
                <w:color w:val="auto"/>
                <w:sz w:val="24"/>
                <w:szCs w:val="24"/>
                <w:u w:val="none"/>
              </w:rPr>
            </w:pPr>
            <w:r>
              <w:rPr>
                <w:color w:val="auto"/>
                <w:sz w:val="24"/>
                <w:szCs w:val="24"/>
                <w:u w:val="none"/>
              </w:rPr>
              <w:t>（1）排放口设置要求</w:t>
            </w:r>
          </w:p>
          <w:p>
            <w:pPr>
              <w:snapToGrid w:val="0"/>
              <w:spacing w:line="360" w:lineRule="auto"/>
              <w:ind w:firstLineChars="183" w:firstLine="439"/>
              <w:rPr>
                <w:color w:val="auto"/>
                <w:sz w:val="24"/>
                <w:szCs w:val="24"/>
                <w:u w:val="none"/>
              </w:rPr>
            </w:pPr>
            <w:r>
              <w:rPr>
                <w:color w:val="auto"/>
                <w:sz w:val="24"/>
                <w:szCs w:val="24"/>
                <w:u w:val="none"/>
              </w:rPr>
              <w:t>根据《关于开展排放口规范化整治工作的通知》（环发〔1999〕24号），凡生产经营场所集中在一个地点的单位，原则上只允许设污水和“清下水”排污口各一个。确因特殊原因需要增加排污口，须报经环保部门审核同意。</w:t>
            </w:r>
          </w:p>
          <w:p>
            <w:pPr>
              <w:snapToGrid w:val="0"/>
              <w:spacing w:line="360" w:lineRule="auto"/>
              <w:ind w:firstLineChars="183" w:firstLine="439"/>
              <w:rPr>
                <w:color w:val="auto"/>
                <w:sz w:val="24"/>
                <w:szCs w:val="24"/>
                <w:u w:val="none"/>
              </w:rPr>
            </w:pPr>
            <w:r>
              <w:rPr>
                <w:color w:val="auto"/>
                <w:sz w:val="24"/>
                <w:szCs w:val="24"/>
                <w:u w:val="none"/>
              </w:rPr>
              <w:t>排气筒（烟囱）应设置便于采样、监测的采样口和采样监测平台。有净化设施的，应在其进出口分别设置采样口及采样监测平台。</w:t>
            </w:r>
          </w:p>
          <w:p>
            <w:pPr>
              <w:snapToGrid w:val="0"/>
              <w:spacing w:line="360" w:lineRule="auto"/>
              <w:ind w:firstLineChars="183" w:firstLine="439"/>
              <w:rPr>
                <w:rFonts w:ascii="Times New Roman" w:eastAsia="宋体" w:cs="Times New Roman" w:hAnsi="Times New Roman"/>
                <w:color w:val="auto"/>
                <w:sz w:val="24"/>
                <w:szCs w:val="24"/>
                <w:u w:val="none"/>
              </w:rPr>
            </w:pPr>
            <w:r>
              <w:rPr>
                <w:rFonts w:ascii="Times New Roman" w:eastAsia="宋体" w:cs="Times New Roman" w:hAnsi="Times New Roman" w:hint="eastAsia"/>
                <w:color w:val="auto"/>
                <w:sz w:val="24"/>
                <w:szCs w:val="24"/>
                <w:u w:val="none"/>
                <w:lang w:eastAsia="zh-CN"/>
              </w:rPr>
              <w:t>（</w:t>
            </w:r>
            <w:r>
              <w:rPr>
                <w:rFonts w:ascii="Times New Roman" w:eastAsia="宋体" w:cs="Times New Roman" w:hAnsi="Times New Roman" w:hint="eastAsia"/>
                <w:color w:val="auto"/>
                <w:sz w:val="24"/>
                <w:szCs w:val="24"/>
                <w:u w:val="none"/>
                <w:lang w:val="en-US" w:eastAsia="zh-CN"/>
              </w:rPr>
              <w:t>2</w:t>
            </w:r>
            <w:r>
              <w:rPr>
                <w:rFonts w:ascii="Times New Roman" w:eastAsia="宋体" w:cs="Times New Roman" w:hAnsi="Times New Roman" w:hint="eastAsia"/>
                <w:color w:val="auto"/>
                <w:sz w:val="24"/>
                <w:szCs w:val="24"/>
                <w:u w:val="none"/>
                <w:lang w:eastAsia="zh-CN"/>
              </w:rPr>
              <w:t>）</w:t>
            </w:r>
            <w:r>
              <w:rPr>
                <w:rFonts w:ascii="Times New Roman" w:eastAsia="宋体" w:cs="Times New Roman" w:hAnsi="Times New Roman"/>
                <w:color w:val="auto"/>
                <w:sz w:val="24"/>
                <w:szCs w:val="24"/>
                <w:u w:val="none"/>
              </w:rPr>
              <w:t>排污口标志设置的基本要求</w:t>
            </w:r>
          </w:p>
          <w:p>
            <w:pPr>
              <w:snapToGrid w:val="0"/>
              <w:spacing w:line="360" w:lineRule="auto"/>
              <w:ind w:firstLineChars="183" w:firstLine="439"/>
              <w:rPr>
                <w:color w:val="auto"/>
                <w:sz w:val="24"/>
                <w:szCs w:val="24"/>
                <w:u w:val="none"/>
              </w:rPr>
            </w:pPr>
            <w:r>
              <w:rPr>
                <w:color w:val="auto"/>
                <w:sz w:val="24"/>
                <w:szCs w:val="24"/>
                <w:u w:val="none"/>
              </w:rPr>
              <w:t>①一切排污者的排污口（源）和固体废物贮存、处置场所，必须按照国家标准《环境保护图形标志》（GB15562.1-1995、GB15562.2-1995）的规定，设置与之相适应的环境保护图形标志牌。标志牌按标准制作。</w:t>
            </w:r>
          </w:p>
          <w:p>
            <w:pPr>
              <w:snapToGrid w:val="0"/>
              <w:spacing w:line="360" w:lineRule="auto"/>
              <w:ind w:firstLineChars="183" w:firstLine="439"/>
              <w:rPr>
                <w:color w:val="auto"/>
                <w:sz w:val="24"/>
                <w:szCs w:val="24"/>
                <w:u w:val="none"/>
              </w:rPr>
            </w:pPr>
            <w:r>
              <w:rPr>
                <w:color w:val="auto"/>
                <w:sz w:val="24"/>
                <w:szCs w:val="24"/>
                <w:u w:val="none"/>
              </w:rPr>
              <w:t>②环境保护图形标志牌应设置在距排污口（源）及固体废物贮存（处置）场所或采样点较近且醒目处，并能长久保留。设置高度一般为：环境保护图形标志牌上缘距离地面2米。</w:t>
            </w:r>
          </w:p>
          <w:p>
            <w:pPr>
              <w:pStyle w:val="34"/>
              <w:tabs>
                <w:tab w:val="left" w:pos="22680"/>
              </w:tabs>
              <w:rPr>
                <w:rFonts w:hint="eastAsia"/>
                <w:color w:val="auto"/>
              </w:rPr>
            </w:pPr>
            <w:r>
              <w:rPr>
                <w:color w:val="auto"/>
                <w:sz w:val="24"/>
                <w:szCs w:val="24"/>
                <w:u w:val="none"/>
              </w:rPr>
              <w:t>有毒有害固体废物等危险废物，必须设置专用堆放场地，有防扬散、防流失、防渗漏等防治措施并符合国家标准的要求。</w:t>
            </w:r>
          </w:p>
        </w:tc>
      </w:tr>
    </w:tbl>
    <w:p>
      <w:pPr>
        <w:pStyle w:val="29"/>
        <w:jc w:val="center"/>
        <w:outlineLvl w:val="0"/>
        <w:rPr>
          <w:rFonts w:ascii="黑体" w:eastAsia="黑体" w:hAnsi="黑体"/>
          <w:snapToGrid w:val="0"/>
          <w:color w:val="auto"/>
          <w:sz w:val="30"/>
          <w:szCs w:val="30"/>
        </w:rPr>
      </w:pPr>
      <w:bookmarkStart w:id="43" w:name="_Toc17131"/>
      <w:bookmarkStart w:id="44" w:name="_Toc21648"/>
      <w:bookmarkStart w:id="45" w:name="_Toc25071"/>
      <w:r>
        <w:rPr>
          <w:rFonts w:ascii="Times New Roman" w:hAnsi="Times New Roman" w:hint="eastAsia"/>
          <w:b/>
          <w:bCs/>
          <w:color w:val="auto"/>
          <w:kern w:val="2"/>
          <w:sz w:val="32"/>
          <w:szCs w:val="32"/>
        </w:rPr>
        <w:t>六、结论</w:t>
      </w:r>
      <w:bookmarkEnd w:id="43"/>
      <w:bookmarkEnd w:id="44"/>
      <w:bookmarkEnd w:id="45"/>
    </w:p>
    <w:tbl>
      <w:tblPr>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865"/>
      </w:tblGrid>
      <w:tr>
        <w:trPr>
          <w:trHeight w:val="11991"/>
        </w:trPr>
        <w:tc>
          <w:tcPr>
            <w:tcW w:w="8865" w:type="dxa"/>
          </w:tcPr>
          <w:p>
            <w:pPr>
              <w:autoSpaceDE w:val="0"/>
              <w:autoSpaceDN w:val="0"/>
              <w:adjustRightInd w:val="0"/>
              <w:snapToGrid w:val="0"/>
              <w:spacing w:line="360" w:lineRule="auto"/>
              <w:ind w:firstLineChars="200" w:firstLine="480"/>
              <w:rPr>
                <w:color w:val="auto"/>
                <w:sz w:val="24"/>
              </w:rPr>
            </w:pPr>
            <w:r>
              <w:rPr>
                <w:color w:val="auto"/>
                <w:sz w:val="24"/>
              </w:rPr>
              <w:t>综上，本项目符合国家和地方产业政策</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规划布局要求，选址合理可行。本项目所在区域水、气、声环境质量现状良好，因此本项目应认真执行环保</w:t>
            </w:r>
            <w:r>
              <w:rPr>
                <w:rFonts w:hint="eastAsia"/>
                <w:color w:val="auto"/>
                <w:sz w:val="24"/>
              </w:rPr>
              <w:t>“</w:t>
            </w:r>
            <w:r>
              <w:rPr>
                <w:color w:val="auto"/>
                <w:sz w:val="24"/>
              </w:rPr>
              <w:t>三同时</w:t>
            </w:r>
            <w:r>
              <w:rPr>
                <w:rFonts w:hint="eastAsia"/>
                <w:color w:val="auto"/>
                <w:sz w:val="24"/>
              </w:rPr>
              <w:t>”</w:t>
            </w:r>
            <w:r>
              <w:rPr>
                <w:color w:val="auto"/>
                <w:sz w:val="24"/>
              </w:rPr>
              <w:t>管理规定，把对环境的影响控制在最低限度。</w:t>
            </w:r>
          </w:p>
          <w:p>
            <w:pPr>
              <w:autoSpaceDE w:val="0"/>
              <w:autoSpaceDN w:val="0"/>
              <w:adjustRightInd w:val="0"/>
              <w:snapToGrid w:val="0"/>
              <w:spacing w:line="360" w:lineRule="auto"/>
              <w:ind w:firstLineChars="200" w:firstLine="480"/>
              <w:rPr>
                <w:rFonts w:ascii="宋体" w:cs="宋体" w:hAnsi="宋体" w:hint="eastAsia"/>
                <w:color w:val="auto"/>
                <w:kern w:val="0"/>
                <w:sz w:val="24"/>
              </w:rPr>
            </w:pPr>
            <w:r>
              <w:rPr>
                <w:color w:val="auto"/>
                <w:sz w:val="24"/>
              </w:rPr>
              <w:t>在上述前提条件下，本项目的建设不会对周边环境造成大的影响。因此，从环境保护角度分析，本项目的建设是可行的</w:t>
            </w:r>
            <w:r>
              <w:rPr>
                <w:rFonts w:ascii="宋体" w:cs="宋体" w:hAnsi="宋体" w:hint="eastAsia"/>
                <w:color w:val="auto"/>
                <w:kern w:val="0"/>
                <w:sz w:val="24"/>
              </w:rPr>
              <w:t>。</w:t>
            </w:r>
          </w:p>
          <w:p>
            <w:pPr>
              <w:spacing w:line="360" w:lineRule="auto"/>
              <w:rPr>
                <w:rFonts w:ascii="宋体" w:cs="宋体"/>
                <w:color w:val="auto"/>
                <w:sz w:val="24"/>
              </w:rPr>
            </w:pPr>
          </w:p>
        </w:tc>
      </w:tr>
    </w:tbl>
    <w:p>
      <w:pPr>
        <w:rPr>
          <w:rFonts w:ascii="宋体"/>
          <w:color w:val="0000FF"/>
        </w:rPr>
        <w:sectPr>
          <w:pgSz w:w="11905" w:h="16838"/>
          <w:pgMar w:top="1134" w:right="1134" w:bottom="1247" w:left="1247" w:header="851" w:footer="850" w:gutter="0"/>
          <w:pgBorders>
            <w:top w:val="none" w:sz="0" w:space="0" w:color="auto"/>
            <w:left w:val="none" w:sz="0" w:space="0" w:color="auto"/>
            <w:bottom w:val="none" w:sz="0" w:space="0" w:color="auto"/>
            <w:right w:val="none" w:sz="0" w:space="0" w:color="auto"/>
          </w:pgBorders>
          <w:pgNumType/>
          <w:cols w:num="1" w:space="0"/>
          <w:rtlGutter/>
          <w:docGrid w:linePitch="312" w:charSpace="0"/>
        </w:sectPr>
      </w:pPr>
    </w:p>
    <w:p>
      <w:pPr>
        <w:pStyle w:val="29"/>
        <w:adjustRightInd w:val="0"/>
        <w:snapToGrid w:val="0"/>
        <w:spacing w:before="0" w:beforeAutospacing="0" w:after="0" w:afterAutospacing="0"/>
        <w:outlineLvl w:val="0"/>
        <w:rPr>
          <w:rFonts w:ascii="黑体" w:eastAsia="黑体" w:hAnsi="黑体"/>
          <w:snapToGrid w:val="0"/>
          <w:color w:val="auto"/>
          <w:sz w:val="32"/>
          <w:szCs w:val="32"/>
        </w:rPr>
      </w:pPr>
      <w:bookmarkStart w:id="46" w:name="_Toc11913"/>
      <w:bookmarkStart w:id="47" w:name="_Toc17587"/>
      <w:bookmarkStart w:id="48" w:name="_Toc28633"/>
      <w:r>
        <w:rPr>
          <w:rFonts w:ascii="黑体" w:eastAsia="黑体" w:hAnsi="黑体" w:hint="eastAsia"/>
          <w:snapToGrid w:val="0"/>
          <w:color w:val="auto"/>
          <w:sz w:val="32"/>
          <w:szCs w:val="32"/>
        </w:rPr>
        <w:t>附表</w:t>
      </w:r>
      <w:bookmarkEnd w:id="46"/>
      <w:bookmarkEnd w:id="47"/>
      <w:bookmarkEnd w:id="48"/>
    </w:p>
    <w:p>
      <w:pPr>
        <w:pStyle w:val="29"/>
        <w:adjustRightInd w:val="0"/>
        <w:snapToGrid w:val="0"/>
        <w:spacing w:before="0" w:beforeAutospacing="0" w:after="0" w:afterAutospacing="0"/>
        <w:jc w:val="center"/>
        <w:outlineLvl w:val="1"/>
        <w:rPr>
          <w:rFonts w:ascii="方正小标宋_GBK" w:eastAsia="方正小标宋_GBK" w:hAnsi="黑体" w:hint="eastAsia"/>
          <w:snapToGrid w:val="0"/>
          <w:color w:val="auto"/>
          <w:sz w:val="38"/>
          <w:szCs w:val="38"/>
        </w:rPr>
      </w:pPr>
      <w:bookmarkStart w:id="49" w:name="_Toc20113"/>
      <w:bookmarkStart w:id="50" w:name="_Toc7051"/>
      <w:r>
        <w:rPr>
          <w:rFonts w:ascii="方正小标宋_GBK" w:eastAsia="方正小标宋_GBK" w:hAnsi="黑体" w:hint="eastAsia"/>
          <w:snapToGrid w:val="0"/>
          <w:color w:val="auto"/>
          <w:sz w:val="38"/>
          <w:szCs w:val="38"/>
        </w:rPr>
        <w:t>建设项目污染物排放量汇总表</w:t>
      </w:r>
      <w:bookmarkEnd w:id="49"/>
      <w:bookmarkEnd w:id="50"/>
    </w:p>
    <w:tbl>
      <w:tblPr>
        <w:jc w:val="left"/>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331"/>
        <w:gridCol w:w="1282"/>
        <w:gridCol w:w="2021"/>
        <w:gridCol w:w="1094"/>
        <w:gridCol w:w="2021"/>
        <w:gridCol w:w="1657"/>
        <w:gridCol w:w="2032"/>
        <w:gridCol w:w="1777"/>
        <w:gridCol w:w="1298"/>
      </w:tblGrid>
      <w:tr>
        <w:trPr>
          <w:trHeight w:val="397"/>
        </w:trPr>
        <w:tc>
          <w:tcPr>
            <w:tcW w:w="1331" w:type="dxa"/>
            <w:tcBorders>
              <w:tl2br w:val="single" w:sz="4" w:space="0" w:color="auto"/>
            </w:tcBorders>
            <w:tcMar>
              <w:left w:w="28" w:type="dxa"/>
              <w:right w:w="28" w:type="dxa"/>
            </w:tcMar>
            <w:vAlign w:val="center"/>
          </w:tcPr>
          <w:p>
            <w:pPr>
              <w:pStyle w:val="54"/>
              <w:spacing w:beforeLines="0" w:before="10" w:afterLines="0" w:after="10" w:line="240" w:lineRule="auto"/>
              <w:jc w:val="right"/>
              <w:rPr>
                <w:rFonts w:ascii="Times New Roman" w:hAnsi="Times New Roman"/>
                <w:snapToGrid w:val="0"/>
                <w:color w:val="auto"/>
                <w:spacing w:val="-6"/>
                <w:kern w:val="21"/>
                <w:sz w:val="21"/>
                <w:szCs w:val="21"/>
              </w:rPr>
            </w:pPr>
            <w:r>
              <w:rPr>
                <w:rFonts w:ascii="Times New Roman" w:hAnsi="Times New Roman"/>
                <w:snapToGrid w:val="0"/>
                <w:color w:val="auto"/>
                <w:spacing w:val="-6"/>
                <w:kern w:val="21"/>
                <w:sz w:val="21"/>
                <w:szCs w:val="21"/>
              </w:rPr>
              <w:t>项目</w:t>
            </w:r>
          </w:p>
          <w:p>
            <w:pPr>
              <w:pStyle w:val="54"/>
              <w:spacing w:beforeLines="0" w:before="10" w:afterLines="0" w:after="10" w:line="240" w:lineRule="auto"/>
              <w:jc w:val="left"/>
              <w:rPr>
                <w:rFonts w:ascii="Times New Roman" w:hAnsi="Times New Roman"/>
                <w:snapToGrid w:val="0"/>
                <w:color w:val="auto"/>
                <w:spacing w:val="-6"/>
                <w:kern w:val="21"/>
                <w:sz w:val="21"/>
                <w:szCs w:val="21"/>
              </w:rPr>
            </w:pPr>
            <w:r>
              <w:rPr>
                <w:rFonts w:ascii="Times New Roman" w:hAnsi="Times New Roman"/>
                <w:snapToGrid w:val="0"/>
                <w:color w:val="auto"/>
                <w:spacing w:val="-6"/>
                <w:kern w:val="21"/>
                <w:sz w:val="21"/>
                <w:szCs w:val="21"/>
              </w:rPr>
              <w:t>分类</w:t>
            </w:r>
          </w:p>
        </w:tc>
        <w:tc>
          <w:tcPr>
            <w:tcW w:w="1282" w:type="dxa"/>
            <w:tcMar>
              <w:left w:w="28" w:type="dxa"/>
              <w:right w:w="28" w:type="dxa"/>
            </w:tcMar>
            <w:vAlign w:val="center"/>
          </w:tcPr>
          <w:p>
            <w:pPr>
              <w:pStyle w:val="54"/>
              <w:spacing w:beforeLines="0" w:before="10" w:afterLines="0" w:after="10" w:line="240" w:lineRule="auto"/>
              <w:rPr>
                <w:rFonts w:ascii="Times New Roman" w:hAnsi="Times New Roman"/>
                <w:snapToGrid w:val="0"/>
                <w:color w:val="auto"/>
                <w:spacing w:val="-6"/>
                <w:kern w:val="21"/>
                <w:sz w:val="21"/>
                <w:szCs w:val="21"/>
              </w:rPr>
            </w:pPr>
            <w:r>
              <w:rPr>
                <w:rFonts w:ascii="Times New Roman" w:hAnsi="Times New Roman"/>
                <w:snapToGrid w:val="0"/>
                <w:color w:val="auto"/>
                <w:spacing w:val="-6"/>
                <w:kern w:val="21"/>
                <w:sz w:val="21"/>
                <w:szCs w:val="21"/>
              </w:rPr>
              <w:t>污染物名称</w:t>
            </w:r>
          </w:p>
        </w:tc>
        <w:tc>
          <w:tcPr>
            <w:tcMar>
              <w:left w:w="28" w:type="dxa"/>
              <w:right w:w="28" w:type="dxa"/>
            </w:tcMar>
            <w:vAlign w:val="center"/>
          </w:tcPr>
          <w:p>
            <w:pPr>
              <w:jc w:val="center"/>
            </w:pPr>
            <w:r>
              <w:t>现有工程排放量（固体废物产生量）</w:t>
            </w:r>
            <w:r>
              <w:fldChar w:fldCharType="begin"/>
            </w:r>
            <w:r>
              <w:instrText xml:space="preserve"> = 1 \* GB3 \* MERGEFORMAT </w:instrText>
            </w:r>
            <w:r>
              <w:fldChar w:fldCharType="separate"/>
            </w:r>
            <w:r>
              <w:t>①</w:t>
            </w:r>
            <w:r>
              <w:fldChar w:fldCharType="end"/>
            </w:r>
          </w:p>
        </w:tc>
        <w:tc>
          <w:tcPr>
            <w:tcMar>
              <w:left w:w="28" w:type="dxa"/>
              <w:right w:w="28" w:type="dxa"/>
            </w:tcMar>
            <w:vAlign w:val="center"/>
          </w:tcPr>
          <w:p>
            <w:pPr>
              <w:jc w:val="center"/>
            </w:pPr>
            <w:r>
              <w:t>现有工程许可排量</w:t>
            </w:r>
            <w:r>
              <w:fldChar w:fldCharType="begin"/>
            </w:r>
            <w:r>
              <w:instrText xml:space="preserve"> = 2 \* GB3 \* MERGEFORMAT </w:instrText>
            </w:r>
            <w:r>
              <w:fldChar w:fldCharType="separate"/>
            </w:r>
            <w:r>
              <w:t>②</w:t>
            </w:r>
            <w:r>
              <w:fldChar w:fldCharType="end"/>
            </w:r>
          </w:p>
        </w:tc>
        <w:tc>
          <w:tcPr>
            <w:tcMar>
              <w:left w:w="28" w:type="dxa"/>
              <w:right w:w="28" w:type="dxa"/>
            </w:tcMar>
            <w:vAlign w:val="center"/>
          </w:tcPr>
          <w:p>
            <w:pPr>
              <w:jc w:val="center"/>
            </w:pPr>
            <w:r>
              <w:t>在建工程排放量（固体废物产生量）</w:t>
            </w:r>
            <w:r>
              <w:fldChar w:fldCharType="begin"/>
            </w:r>
            <w:r>
              <w:instrText xml:space="preserve"> = 3 \* GB3 \* MERGEFORMAT </w:instrText>
            </w:r>
            <w:r>
              <w:fldChar w:fldCharType="separate"/>
            </w:r>
            <w:r>
              <w:t>③</w:t>
            </w:r>
            <w:r>
              <w:fldChar w:fldCharType="end"/>
            </w:r>
          </w:p>
        </w:tc>
        <w:tc>
          <w:tcPr>
            <w:tcMar>
              <w:left w:w="28" w:type="dxa"/>
              <w:right w:w="28" w:type="dxa"/>
            </w:tcMar>
            <w:vAlign w:val="center"/>
          </w:tcPr>
          <w:p>
            <w:pPr>
              <w:jc w:val="center"/>
            </w:pPr>
            <w:r>
              <w:t>本项目</w:t>
            </w:r>
          </w:p>
          <w:p>
            <w:pPr>
              <w:jc w:val="center"/>
            </w:pPr>
            <w:r>
              <w:t>排放量（固体废物产生量）</w:t>
            </w:r>
            <w:r>
              <w:fldChar w:fldCharType="begin"/>
            </w:r>
            <w:r>
              <w:instrText xml:space="preserve"> = 4 \* GB3 \* MERGEFORMAT </w:instrText>
            </w:r>
            <w:r>
              <w:fldChar w:fldCharType="separate"/>
            </w:r>
            <w:r>
              <w:t>④</w:t>
            </w:r>
            <w:r>
              <w:fldChar w:fldCharType="end"/>
            </w:r>
          </w:p>
        </w:tc>
        <w:tc>
          <w:tcPr>
            <w:tcMar>
              <w:left w:w="28" w:type="dxa"/>
              <w:right w:w="28" w:type="dxa"/>
            </w:tcMar>
            <w:vAlign w:val="center"/>
          </w:tcPr>
          <w:p>
            <w:pPr>
              <w:jc w:val="center"/>
            </w:pPr>
            <w:r>
              <w:t>以新带老削减量（新建项目不填）</w:t>
            </w:r>
            <w:r>
              <w:fldChar w:fldCharType="begin"/>
            </w:r>
            <w:r>
              <w:instrText xml:space="preserve"> = 5 \* GB3 \* MERGEFORMAT </w:instrText>
            </w:r>
            <w:r>
              <w:fldChar w:fldCharType="separate"/>
            </w:r>
            <w:r>
              <w:t>⑤</w:t>
            </w:r>
            <w:r>
              <w:fldChar w:fldCharType="end"/>
            </w:r>
          </w:p>
        </w:tc>
        <w:tc>
          <w:tcPr>
            <w:tcW w:w="1777" w:type="dxa"/>
            <w:tcMar>
              <w:left w:w="28" w:type="dxa"/>
              <w:right w:w="28" w:type="dxa"/>
            </w:tcMar>
            <w:vAlign w:val="center"/>
          </w:tcPr>
          <w:p>
            <w:pPr>
              <w:jc w:val="center"/>
            </w:pPr>
            <w:r>
              <w:t>本项目建成后全厂排放量（固体废物产生量）</w:t>
            </w:r>
            <w:r>
              <w:fldChar w:fldCharType="begin"/>
            </w:r>
            <w:r>
              <w:instrText xml:space="preserve"> = 6 \* GB3 \* MERGEFORMAT </w:instrText>
            </w:r>
            <w:r>
              <w:fldChar w:fldCharType="separate"/>
            </w:r>
            <w:r>
              <w:t>⑥</w:t>
            </w:r>
            <w:r>
              <w:fldChar w:fldCharType="end"/>
            </w:r>
          </w:p>
        </w:tc>
        <w:tc>
          <w:tcPr>
            <w:tcW w:w="1298" w:type="dxa"/>
            <w:tcMar>
              <w:left w:w="28" w:type="dxa"/>
              <w:right w:w="28" w:type="dxa"/>
            </w:tcMar>
            <w:vAlign w:val="center"/>
          </w:tcPr>
          <w:p>
            <w:pPr>
              <w:jc w:val="center"/>
            </w:pPr>
            <w:r>
              <w:t>变化量</w:t>
            </w:r>
            <w:r>
              <w:fldChar w:fldCharType="begin"/>
            </w:r>
            <w:r>
              <w:instrText xml:space="preserve"> = 7 \* GB3 \* MERGEFORMAT </w:instrText>
            </w:r>
            <w:r>
              <w:fldChar w:fldCharType="separate"/>
            </w:r>
            <w:r>
              <w:t>⑦</w:t>
            </w:r>
            <w:r>
              <w:fldChar w:fldCharType="end"/>
            </w:r>
          </w:p>
        </w:tc>
      </w:tr>
      <w:tr>
        <w:trPr>
          <w:trHeight w:val="397"/>
        </w:trPr>
        <w:tc>
          <w:tcPr>
            <w:tcW w:w="1331" w:type="dxa"/>
            <w:vMerge w:val="restart"/>
            <w:vAlign w:val="center"/>
          </w:tcPr>
          <w:p>
            <w:pPr>
              <w:pStyle w:val="54"/>
              <w:spacing w:beforeLines="0" w:before="10" w:afterLines="0" w:after="10" w:line="240" w:lineRule="auto"/>
              <w:rPr>
                <w:rFonts w:ascii="Times New Roman" w:hAnsi="Times New Roman"/>
                <w:snapToGrid w:val="0"/>
                <w:color w:val="auto"/>
                <w:kern w:val="21"/>
                <w:sz w:val="21"/>
                <w:szCs w:val="21"/>
              </w:rPr>
            </w:pPr>
            <w:r>
              <w:rPr>
                <w:rFonts w:ascii="Times New Roman" w:hAnsi="Times New Roman"/>
                <w:snapToGrid w:val="0"/>
                <w:color w:val="auto"/>
                <w:kern w:val="21"/>
                <w:sz w:val="21"/>
                <w:szCs w:val="21"/>
              </w:rPr>
              <w:t>废气</w:t>
            </w:r>
            <w:r>
              <w:rPr>
                <w:rFonts w:hint="eastAsia"/>
                <w:color w:val="auto"/>
                <w:kern w:val="0"/>
                <w:sz w:val="21"/>
                <w:szCs w:val="21"/>
              </w:rPr>
              <w:t>t/a</w:t>
            </w:r>
          </w:p>
        </w:tc>
        <w:tc>
          <w:tcPr>
            <w:tcW w:w="1282" w:type="dxa"/>
            <w:vAlign w:val="center"/>
          </w:tcPr>
          <w:p>
            <w:pPr>
              <w:jc w:val="center"/>
              <w:rPr>
                <w:snapToGrid w:val="0"/>
                <w:color w:val="auto"/>
                <w:kern w:val="21"/>
                <w:sz w:val="21"/>
                <w:szCs w:val="21"/>
              </w:rPr>
            </w:pPr>
            <w:r>
              <w:rPr>
                <w:color w:val="auto"/>
                <w:sz w:val="21"/>
                <w:szCs w:val="21"/>
              </w:rPr>
              <w:t>颗粒物</w:t>
            </w:r>
          </w:p>
        </w:tc>
        <w:tc>
          <w:tcPr>
            <w:vAlign w:val="center"/>
          </w:tcPr>
          <w:p>
            <w:pPr>
              <w:widowControl/>
              <w:jc w:val="center"/>
              <w:textAlignment w:val="center"/>
              <w:rPr>
                <w:rFonts w:eastAsia="宋体"/>
                <w:snapToGrid w:val="0"/>
                <w:color w:val="auto"/>
                <w:kern w:val="21"/>
                <w:sz w:val="21"/>
                <w:szCs w:val="21"/>
                <w:lang w:val="en-US" w:eastAsia="zh-CN"/>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rFonts w:eastAsia="宋体"/>
                <w:snapToGrid w:val="0"/>
                <w:color w:val="auto"/>
                <w:kern w:val="21"/>
                <w:sz w:val="21"/>
                <w:szCs w:val="21"/>
                <w:lang w:val="en-US" w:eastAsia="zh-CN"/>
              </w:rPr>
            </w:pPr>
            <w:r>
              <w:rPr>
                <w:rFonts w:hint="eastAsia"/>
                <w:snapToGrid w:val="0"/>
                <w:color w:val="auto"/>
                <w:kern w:val="21"/>
                <w:sz w:val="21"/>
                <w:szCs w:val="21"/>
                <w:lang w:val="en-US" w:eastAsia="zh-CN"/>
              </w:rPr>
              <w:t>0.065</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jc w:val="center"/>
              <w:textAlignment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0.065</w:t>
            </w:r>
          </w:p>
        </w:tc>
        <w:tc>
          <w:tcPr>
            <w:tcW w:w="1298" w:type="dxa"/>
            <w:shd w:val="clear" w:color="auto" w:fill="auto"/>
            <w:vAlign w:val="center"/>
          </w:tcPr>
          <w:p>
            <w:pPr>
              <w:widowControl/>
              <w:jc w:val="center"/>
              <w:textAlignment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0.065</w:t>
            </w:r>
          </w:p>
        </w:tc>
      </w:tr>
      <w:tr>
        <w:trPr>
          <w:trHeight w:val="397"/>
        </w:trPr>
        <w:tc>
          <w:tcPr>
            <w:tcW w:w="1331" w:type="dxa"/>
            <w:vMerge/>
            <w:vAlign w:val="center"/>
          </w:tcPr>
          <w:p/>
        </w:tc>
        <w:tc>
          <w:tcPr>
            <w:tcW w:w="1282" w:type="dxa"/>
            <w:vAlign w:val="center"/>
          </w:tcPr>
          <w:p>
            <w:pPr>
              <w:jc w:val="center"/>
              <w:rPr>
                <w:rFonts w:eastAsia="宋体"/>
                <w:color w:val="auto"/>
                <w:sz w:val="21"/>
                <w:szCs w:val="21"/>
                <w:lang w:val="en-US" w:eastAsia="zh-CN"/>
              </w:rPr>
            </w:pPr>
            <w:r>
              <w:rPr>
                <w:rFonts w:hint="eastAsia"/>
                <w:color w:val="auto"/>
                <w:sz w:val="21"/>
                <w:szCs w:val="21"/>
                <w:lang w:val="en-US" w:eastAsia="zh-CN"/>
              </w:rPr>
              <w:t>非甲烷总烃</w:t>
            </w:r>
          </w:p>
        </w:tc>
        <w:tc>
          <w:tcPr>
            <w:shd w:val="clear" w:color="auto" w:fill="auto"/>
            <w:vAlign w:val="center"/>
          </w:tcPr>
          <w:p>
            <w:pPr>
              <w:widowControl/>
              <w:jc w:val="center"/>
              <w:textAlignment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vAlign w:val="center"/>
          </w:tcPr>
          <w:p>
            <w:pPr>
              <w:widowControl/>
              <w:jc w:val="center"/>
              <w:textAlignment w:val="center"/>
              <w:rPr>
                <w:rFonts w:hint="eastAsia"/>
                <w:color w:val="auto"/>
                <w:kern w:val="0"/>
                <w:sz w:val="21"/>
                <w:szCs w:val="21"/>
                <w:lang w:val="en-US" w:eastAsia="zh-CN"/>
              </w:rPr>
            </w:pPr>
            <w:r>
              <w:rPr>
                <w:rFonts w:hint="eastAsia"/>
                <w:color w:val="auto"/>
                <w:kern w:val="0"/>
                <w:sz w:val="21"/>
                <w:szCs w:val="21"/>
                <w:lang w:val="en-US" w:eastAsia="zh-CN"/>
              </w:rPr>
              <w:t>0.004</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color w:val="auto"/>
                <w:kern w:val="0"/>
                <w:sz w:val="21"/>
                <w:szCs w:val="21"/>
                <w:lang w:val="en-US" w:eastAsia="zh-CN"/>
              </w:rPr>
              <w:t>0.004</w:t>
            </w:r>
          </w:p>
        </w:tc>
        <w:tc>
          <w:tcPr>
            <w:tcW w:w="1298"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color w:val="auto"/>
                <w:kern w:val="0"/>
                <w:sz w:val="21"/>
                <w:szCs w:val="21"/>
                <w:lang w:val="en-US" w:eastAsia="zh-CN"/>
              </w:rPr>
              <w:t>0.004</w:t>
            </w:r>
          </w:p>
        </w:tc>
      </w:tr>
      <w:tr>
        <w:trPr>
          <w:trHeight w:val="397"/>
        </w:trPr>
        <w:tc>
          <w:tcPr>
            <w:tcW w:w="1331" w:type="dxa"/>
            <w:vMerge w:val="restart"/>
            <w:vAlign w:val="center"/>
          </w:tcPr>
          <w:p>
            <w:pPr>
              <w:widowControl/>
              <w:adjustRightInd w:val="0"/>
              <w:snapToGrid w:val="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val="en-US" w:eastAsia="zh-CN"/>
              </w:rPr>
              <w:t>废水</w:t>
            </w:r>
          </w:p>
        </w:tc>
        <w:tc>
          <w:tcPr>
            <w:tcW w:w="1282" w:type="dxa"/>
            <w:vAlign w:val="center"/>
          </w:tcPr>
          <w:p>
            <w:pPr>
              <w:jc w:val="center"/>
              <w:rPr>
                <w:snapToGrid w:val="0"/>
                <w:color w:val="auto"/>
                <w:kern w:val="21"/>
                <w:sz w:val="21"/>
                <w:szCs w:val="21"/>
              </w:rPr>
            </w:pPr>
            <w:r>
              <w:rPr>
                <w:color w:val="auto"/>
                <w:sz w:val="21"/>
                <w:szCs w:val="21"/>
              </w:rPr>
              <w:t>废水量</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rFonts w:eastAsia="宋体"/>
                <w:snapToGrid w:val="0"/>
                <w:color w:val="auto"/>
                <w:kern w:val="21"/>
                <w:sz w:val="21"/>
                <w:szCs w:val="21"/>
                <w:lang w:val="en-US" w:eastAsia="zh-CN"/>
              </w:rPr>
            </w:pPr>
            <w:r>
              <w:rPr>
                <w:rFonts w:hint="eastAsia"/>
                <w:snapToGrid w:val="0"/>
                <w:color w:val="auto"/>
                <w:kern w:val="21"/>
                <w:sz w:val="21"/>
                <w:szCs w:val="21"/>
                <w:lang w:val="en-US" w:eastAsia="zh-CN"/>
              </w:rPr>
              <w:t>115.2</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115.2</w:t>
            </w:r>
          </w:p>
        </w:tc>
        <w:tc>
          <w:tcPr>
            <w:tcW w:w="1298"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115.2</w:t>
            </w:r>
          </w:p>
        </w:tc>
      </w:tr>
      <w:tr>
        <w:trPr>
          <w:trHeight w:val="397"/>
        </w:trPr>
        <w:tc>
          <w:tcPr>
            <w:tcW w:w="1331" w:type="dxa"/>
            <w:vMerge/>
            <w:vAlign w:val="center"/>
          </w:tcPr>
          <w:p/>
        </w:tc>
        <w:tc>
          <w:tcPr>
            <w:tcW w:w="1282" w:type="dxa"/>
            <w:vAlign w:val="center"/>
          </w:tcPr>
          <w:p>
            <w:pPr>
              <w:jc w:val="center"/>
              <w:rPr>
                <w:snapToGrid w:val="0"/>
                <w:color w:val="auto"/>
                <w:kern w:val="21"/>
                <w:sz w:val="21"/>
                <w:szCs w:val="21"/>
              </w:rPr>
            </w:pPr>
            <w:r>
              <w:rPr>
                <w:color w:val="auto"/>
                <w:sz w:val="21"/>
                <w:szCs w:val="21"/>
              </w:rPr>
              <w:t>COD</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jc w:val="center"/>
              <w:rPr>
                <w:rFonts w:eastAsia="宋体"/>
                <w:snapToGrid w:val="0"/>
                <w:color w:val="auto"/>
                <w:kern w:val="21"/>
                <w:sz w:val="21"/>
                <w:szCs w:val="21"/>
                <w:lang w:val="en-US" w:eastAsia="zh-CN"/>
              </w:rPr>
            </w:pPr>
            <w:r>
              <w:rPr>
                <w:rFonts w:hint="eastAsia"/>
                <w:snapToGrid w:val="0"/>
                <w:color w:val="auto"/>
                <w:kern w:val="21"/>
                <w:sz w:val="21"/>
                <w:szCs w:val="21"/>
                <w:lang w:val="en-US" w:eastAsia="zh-CN"/>
              </w:rPr>
              <w:t>0.006</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0.006</w:t>
            </w:r>
          </w:p>
        </w:tc>
        <w:tc>
          <w:tcPr>
            <w:tcW w:w="1298"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0.006</w:t>
            </w:r>
          </w:p>
        </w:tc>
      </w:tr>
      <w:tr>
        <w:trPr>
          <w:trHeight w:val="397"/>
        </w:trPr>
        <w:tc>
          <w:tcPr>
            <w:tcW w:w="1331" w:type="dxa"/>
            <w:vMerge/>
            <w:vAlign w:val="center"/>
          </w:tcPr>
          <w:p/>
        </w:tc>
        <w:tc>
          <w:tcPr>
            <w:tcW w:w="1282" w:type="dxa"/>
            <w:vAlign w:val="center"/>
          </w:tcPr>
          <w:p>
            <w:pPr>
              <w:jc w:val="center"/>
              <w:rPr>
                <w:snapToGrid w:val="0"/>
                <w:color w:val="auto"/>
                <w:kern w:val="21"/>
                <w:sz w:val="21"/>
                <w:szCs w:val="21"/>
              </w:rPr>
            </w:pPr>
            <w:r>
              <w:rPr>
                <w:color w:val="auto"/>
                <w:sz w:val="21"/>
                <w:szCs w:val="21"/>
              </w:rPr>
              <w:t>氨氮</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vAlign w:val="center"/>
          </w:tcPr>
          <w:p>
            <w:pPr>
              <w:jc w:val="center"/>
              <w:rPr>
                <w:rFonts w:eastAsia="宋体"/>
                <w:snapToGrid w:val="0"/>
                <w:color w:val="auto"/>
                <w:kern w:val="21"/>
                <w:sz w:val="21"/>
                <w:szCs w:val="21"/>
                <w:lang w:val="en-US" w:eastAsia="zh-CN"/>
              </w:rPr>
            </w:pPr>
            <w:r>
              <w:rPr>
                <w:rFonts w:hint="eastAsia"/>
                <w:snapToGrid w:val="0"/>
                <w:color w:val="auto"/>
                <w:kern w:val="21"/>
                <w:sz w:val="21"/>
                <w:szCs w:val="21"/>
                <w:lang w:val="en-US" w:eastAsia="zh-CN"/>
              </w:rPr>
              <w:t>0.001</w:t>
            </w:r>
          </w:p>
        </w:tc>
        <w:tc>
          <w:tcPr>
            <w:vAlign w:val="center"/>
          </w:tcPr>
          <w:p>
            <w:pPr>
              <w:widowControl/>
              <w:jc w:val="center"/>
              <w:textAlignment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0.001</w:t>
            </w:r>
          </w:p>
        </w:tc>
        <w:tc>
          <w:tcPr>
            <w:tcW w:w="1298" w:type="dxa"/>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rFonts w:hint="eastAsia"/>
                <w:snapToGrid w:val="0"/>
                <w:color w:val="auto"/>
                <w:kern w:val="21"/>
                <w:sz w:val="21"/>
                <w:szCs w:val="21"/>
                <w:lang w:val="en-US" w:eastAsia="zh-CN"/>
              </w:rPr>
              <w:t>0.001</w:t>
            </w:r>
          </w:p>
        </w:tc>
      </w:tr>
      <w:tr>
        <w:trPr>
          <w:trHeight w:val="397"/>
        </w:trPr>
        <w:tc>
          <w:tcPr>
            <w:tcW w:w="1331" w:type="dxa"/>
            <w:vMerge w:val="restart"/>
            <w:vAlign w:val="center"/>
          </w:tcPr>
          <w:p>
            <w:pPr>
              <w:widowControl/>
              <w:adjustRightInd w:val="0"/>
              <w:snapToGrid w:val="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val="en-US" w:eastAsia="zh-CN"/>
              </w:rPr>
              <w:t>工业固体废物t/a</w:t>
            </w:r>
          </w:p>
        </w:tc>
        <w:tc>
          <w:tcPr>
            <w:tcW w:w="1282"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茶壳</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334</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334</w:t>
            </w:r>
          </w:p>
        </w:tc>
        <w:tc>
          <w:tcPr>
            <w:tcW w:w="1298" w:type="dxa"/>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334</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茶枯、滤渣</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400</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400</w:t>
            </w:r>
          </w:p>
        </w:tc>
        <w:tc>
          <w:tcPr>
            <w:tcW w:w="1298" w:type="dxa"/>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400</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皂脚</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rFonts w:ascii="Times New Roman" w:eastAsia="宋体" w:cs="Times New Roman" w:hAnsi="Times New Roman"/>
                <w:color w:val="auto"/>
                <w:kern w:val="2"/>
                <w:sz w:val="21"/>
                <w:szCs w:val="21"/>
                <w:lang w:val="en-US" w:eastAsia="zh-CN" w:bidi="ar-SA"/>
              </w:rPr>
            </w:pPr>
            <w:r>
              <w:rPr>
                <w:rFonts w:hint="eastAsia"/>
                <w:color w:val="auto"/>
                <w:sz w:val="21"/>
                <w:szCs w:val="21"/>
                <w:lang w:val="en-US" w:eastAsia="zh-CN"/>
              </w:rPr>
              <w:t>11.025</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11.025</w:t>
            </w:r>
          </w:p>
        </w:tc>
        <w:tc>
          <w:tcPr>
            <w:tcW w:w="1298"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11.025</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ascii="Times New Roman" w:eastAsia="宋体" w:cs="Times New Roman" w:hAnsi="Times New Roman" w:hint="eastAsia"/>
                <w:color w:val="auto"/>
                <w:sz w:val="21"/>
                <w:szCs w:val="21"/>
                <w:lang w:val="en-US" w:eastAsia="zh-CN"/>
              </w:rPr>
              <w:t>污泥</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0.069</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0.069</w:t>
            </w:r>
          </w:p>
        </w:tc>
        <w:tc>
          <w:tcPr>
            <w:tcW w:w="1298" w:type="dxa"/>
            <w:shd w:val="clear" w:color="auto" w:fill="auto"/>
            <w:vAlign w:val="center"/>
          </w:tcPr>
          <w:p>
            <w:pPr>
              <w:widowControl/>
              <w:adjustRightInd w:val="0"/>
              <w:snapToGrid w:val="0"/>
              <w:jc w:val="center"/>
              <w:rPr>
                <w:rFonts w:ascii="Times New Roman" w:eastAsia="宋体" w:cs="Times New Roman" w:hAnsi="Times New Roman" w:hint="eastAsia"/>
                <w:color w:val="auto"/>
                <w:kern w:val="2"/>
                <w:sz w:val="21"/>
                <w:szCs w:val="21"/>
                <w:lang w:val="en-US" w:eastAsia="zh-CN" w:bidi="ar-SA"/>
              </w:rPr>
            </w:pPr>
            <w:r>
              <w:rPr>
                <w:rFonts w:hint="eastAsia"/>
                <w:color w:val="auto"/>
                <w:sz w:val="21"/>
                <w:szCs w:val="21"/>
                <w:lang w:val="en-US" w:eastAsia="zh-CN"/>
              </w:rPr>
              <w:t>0.069</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hint="eastAsia"/>
                <w:color w:val="auto"/>
                <w:sz w:val="21"/>
                <w:szCs w:val="21"/>
                <w:lang w:val="en-US" w:eastAsia="zh-CN"/>
              </w:rPr>
            </w:pPr>
            <w:r>
              <w:rPr>
                <w:rFonts w:ascii="Times New Roman" w:eastAsia="宋体" w:cs="Times New Roman" w:hAnsi="Times New Roman" w:hint="eastAsia"/>
                <w:color w:val="auto"/>
                <w:sz w:val="21"/>
                <w:szCs w:val="21"/>
                <w:lang w:val="en-US" w:eastAsia="zh-CN"/>
              </w:rPr>
              <w:t>废包装桶</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tcW w:w="1094" w:type="dxa"/>
            <w:vAlign w:val="center"/>
          </w:tcPr>
          <w:p>
            <w:pPr>
              <w:jc w:val="center"/>
              <w:rPr>
                <w:snapToGrid w:val="0"/>
                <w:color w:val="auto"/>
                <w:kern w:val="21"/>
                <w:sz w:val="21"/>
                <w:szCs w:val="21"/>
              </w:rPr>
            </w:pPr>
            <w:r>
              <w:rPr>
                <w:snapToGrid w:val="0"/>
                <w:color w:val="auto"/>
                <w:kern w:val="21"/>
                <w:sz w:val="21"/>
                <w:szCs w:val="21"/>
              </w:rPr>
              <w:t>/</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color w:val="auto"/>
                <w:sz w:val="21"/>
                <w:szCs w:val="21"/>
                <w:lang w:val="en-US" w:eastAsia="zh-CN"/>
              </w:rPr>
            </w:pPr>
            <w:r>
              <w:rPr>
                <w:rFonts w:hint="eastAsia"/>
                <w:color w:val="auto"/>
                <w:szCs w:val="21"/>
                <w:lang w:val="en-US" w:eastAsia="zh-CN"/>
              </w:rPr>
              <w:t>0.0002</w:t>
            </w:r>
          </w:p>
        </w:tc>
        <w:tc>
          <w:tcPr>
            <w:vAlign w:val="center"/>
          </w:tcPr>
          <w:p>
            <w:pPr>
              <w:jc w:val="center"/>
              <w:rPr>
                <w:snapToGrid w:val="0"/>
                <w:color w:val="auto"/>
                <w:kern w:val="21"/>
                <w:sz w:val="21"/>
                <w:szCs w:val="21"/>
              </w:rPr>
            </w:pPr>
          </w:p>
        </w:tc>
        <w:tc>
          <w:tcPr>
            <w:tcW w:w="1777"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0.0002</w:t>
            </w:r>
          </w:p>
        </w:tc>
        <w:tc>
          <w:tcPr>
            <w:tcW w:w="1298"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0.0002</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废布袋</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tcW w:w="1094" w:type="dxa"/>
            <w:vAlign w:val="center"/>
          </w:tcPr>
          <w:p>
            <w:pPr>
              <w:jc w:val="center"/>
              <w:rPr>
                <w:snapToGrid w:val="0"/>
                <w:color w:val="auto"/>
                <w:kern w:val="21"/>
                <w:sz w:val="21"/>
                <w:szCs w:val="21"/>
              </w:rPr>
            </w:pPr>
            <w:r>
              <w:rPr>
                <w:snapToGrid w:val="0"/>
                <w:color w:val="auto"/>
                <w:kern w:val="21"/>
                <w:sz w:val="21"/>
                <w:szCs w:val="21"/>
              </w:rPr>
              <w:t>/</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0.01/次</w:t>
            </w:r>
          </w:p>
        </w:tc>
        <w:tc>
          <w:tcPr>
            <w:vAlign w:val="center"/>
          </w:tcPr>
          <w:p>
            <w:pPr>
              <w:jc w:val="center"/>
              <w:rPr>
                <w:snapToGrid w:val="0"/>
                <w:color w:val="auto"/>
                <w:kern w:val="21"/>
                <w:sz w:val="21"/>
                <w:szCs w:val="21"/>
              </w:rPr>
            </w:pPr>
          </w:p>
        </w:tc>
        <w:tc>
          <w:tcPr>
            <w:tcW w:w="1777"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0.01/次</w:t>
            </w:r>
          </w:p>
        </w:tc>
        <w:tc>
          <w:tcPr>
            <w:tcW w:w="1298"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0.01/次</w:t>
            </w:r>
          </w:p>
        </w:tc>
      </w:tr>
      <w:tr>
        <w:trPr>
          <w:trHeight w:val="397"/>
        </w:trPr>
        <w:tc>
          <w:tcPr>
            <w:tcW w:w="1331" w:type="dxa"/>
            <w:vMerge/>
            <w:vAlign w:val="center"/>
          </w:tcPr>
          <w:p/>
        </w:tc>
        <w:tc>
          <w:tcPr>
            <w:tcW w:w="1282" w:type="dxa"/>
            <w:shd w:val="clear" w:color="auto" w:fill="auto"/>
            <w:vAlign w:val="center"/>
          </w:tcPr>
          <w:p>
            <w:pPr>
              <w:widowControl/>
              <w:adjustRightInd w:val="0"/>
              <w:snapToGrid w:val="0"/>
              <w:jc w:val="center"/>
              <w:rPr>
                <w:rFonts w:ascii="Times New Roman" w:eastAsia="宋体" w:cs="Times New Roman" w:hAnsi="Times New Roman"/>
                <w:color w:val="auto"/>
                <w:sz w:val="21"/>
                <w:szCs w:val="21"/>
                <w:lang w:val="en-US" w:eastAsia="zh-CN"/>
              </w:rPr>
            </w:pPr>
            <w:r>
              <w:rPr>
                <w:rFonts w:cs="Times New Roman" w:hint="eastAsia"/>
                <w:color w:val="auto"/>
                <w:sz w:val="21"/>
                <w:szCs w:val="21"/>
                <w:lang w:val="en-US" w:eastAsia="zh-CN"/>
              </w:rPr>
              <w:t>除尘灰</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tcW w:w="1094" w:type="dxa"/>
            <w:vAlign w:val="center"/>
          </w:tcPr>
          <w:p>
            <w:pPr>
              <w:jc w:val="center"/>
              <w:rPr>
                <w:snapToGrid w:val="0"/>
                <w:color w:val="auto"/>
                <w:kern w:val="21"/>
                <w:sz w:val="21"/>
                <w:szCs w:val="21"/>
              </w:rPr>
            </w:pPr>
            <w:r>
              <w:rPr>
                <w:snapToGrid w:val="0"/>
                <w:color w:val="auto"/>
                <w:kern w:val="21"/>
                <w:sz w:val="21"/>
                <w:szCs w:val="21"/>
              </w:rPr>
              <w:t>/</w:t>
            </w:r>
          </w:p>
        </w:tc>
        <w:tc>
          <w:tcPr>
            <w:tcW w:w="2021" w:type="dxa"/>
            <w:vAlign w:val="center"/>
          </w:tcPr>
          <w:p>
            <w:pPr>
              <w:jc w:val="center"/>
              <w:rPr>
                <w:snapToGrid w:val="0"/>
                <w:color w:val="auto"/>
                <w:kern w:val="21"/>
                <w:sz w:val="21"/>
                <w:szCs w:val="21"/>
              </w:rPr>
            </w:pPr>
            <w:r>
              <w:rPr>
                <w:snapToGrid w:val="0"/>
                <w:color w:val="auto"/>
                <w:kern w:val="21"/>
                <w:sz w:val="21"/>
                <w:szCs w:val="21"/>
              </w:rPr>
              <w:t>/</w:t>
            </w:r>
          </w:p>
        </w:tc>
        <w:tc>
          <w:tcPr>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0.399</w:t>
            </w:r>
          </w:p>
        </w:tc>
        <w:tc>
          <w:tcPr>
            <w:vAlign w:val="center"/>
          </w:tcPr>
          <w:p>
            <w:pPr>
              <w:jc w:val="center"/>
              <w:rPr>
                <w:snapToGrid w:val="0"/>
                <w:color w:val="auto"/>
                <w:kern w:val="21"/>
                <w:sz w:val="21"/>
                <w:szCs w:val="21"/>
              </w:rPr>
            </w:pPr>
          </w:p>
        </w:tc>
        <w:tc>
          <w:tcPr>
            <w:tcW w:w="1777"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0.399</w:t>
            </w:r>
          </w:p>
        </w:tc>
        <w:tc>
          <w:tcPr>
            <w:tcW w:w="1298" w:type="dxa"/>
            <w:shd w:val="clear" w:color="auto" w:fill="auto"/>
            <w:vAlign w:val="center"/>
          </w:tcPr>
          <w:p>
            <w:pPr>
              <w:widowControl/>
              <w:adjustRightInd w:val="0"/>
              <w:snapToGrid w:val="0"/>
              <w:jc w:val="center"/>
              <w:rPr>
                <w:rFonts w:hint="eastAsia"/>
                <w:color w:val="auto"/>
                <w:sz w:val="21"/>
                <w:szCs w:val="21"/>
                <w:lang w:val="en-US" w:eastAsia="zh-CN"/>
              </w:rPr>
            </w:pPr>
            <w:r>
              <w:rPr>
                <w:rFonts w:hint="eastAsia"/>
                <w:color w:val="auto"/>
                <w:szCs w:val="21"/>
                <w:lang w:val="en-US" w:eastAsia="zh-CN"/>
              </w:rPr>
              <w:t>0.399</w:t>
            </w:r>
          </w:p>
        </w:tc>
      </w:tr>
      <w:tr>
        <w:trPr>
          <w:trHeight w:val="397"/>
        </w:trPr>
        <w:tc>
          <w:tcPr>
            <w:tcW w:w="1331" w:type="dxa"/>
            <w:vMerge/>
            <w:vAlign w:val="center"/>
          </w:tcPr>
          <w:p/>
        </w:tc>
        <w:tc>
          <w:tcPr>
            <w:tcW w:w="1282" w:type="dxa"/>
            <w:vAlign w:val="center"/>
          </w:tcPr>
          <w:p>
            <w:pPr>
              <w:widowControl/>
              <w:adjustRightInd w:val="0"/>
              <w:snapToGrid w:val="0"/>
              <w:jc w:val="center"/>
              <w:rPr>
                <w:rFonts w:hint="eastAsia"/>
                <w:color w:val="auto"/>
                <w:sz w:val="21"/>
                <w:szCs w:val="21"/>
                <w:lang w:eastAsia="zh-CN"/>
              </w:rPr>
            </w:pPr>
            <w:r>
              <w:rPr>
                <w:rFonts w:hint="eastAsia"/>
                <w:color w:val="auto"/>
                <w:sz w:val="21"/>
                <w:szCs w:val="21"/>
                <w:lang w:eastAsia="zh-CN"/>
              </w:rPr>
              <w:t>检验废物</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color w:val="auto"/>
                <w:kern w:val="0"/>
                <w:sz w:val="21"/>
                <w:szCs w:val="21"/>
                <w:lang w:val="en-US" w:eastAsia="zh-CN"/>
              </w:rPr>
            </w:pPr>
            <w:r>
              <w:rPr>
                <w:rFonts w:hint="eastAsia"/>
                <w:color w:val="auto"/>
                <w:kern w:val="0"/>
                <w:sz w:val="21"/>
                <w:szCs w:val="21"/>
                <w:lang w:val="en-US" w:eastAsia="zh-CN"/>
              </w:rPr>
              <w:t>0.5kg</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color w:val="auto"/>
                <w:kern w:val="0"/>
                <w:sz w:val="21"/>
                <w:szCs w:val="21"/>
                <w:lang w:val="en-US" w:eastAsia="zh-CN"/>
              </w:rPr>
              <w:t>0.5kg</w:t>
            </w:r>
          </w:p>
        </w:tc>
        <w:tc>
          <w:tcPr>
            <w:tcW w:w="1298"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color w:val="auto"/>
                <w:kern w:val="0"/>
                <w:sz w:val="21"/>
                <w:szCs w:val="21"/>
                <w:lang w:val="en-US" w:eastAsia="zh-CN"/>
              </w:rPr>
              <w:t>0.5kg</w:t>
            </w:r>
          </w:p>
        </w:tc>
      </w:tr>
      <w:tr>
        <w:trPr>
          <w:trHeight w:val="397"/>
        </w:trPr>
        <w:tc>
          <w:tcPr>
            <w:tcW w:w="1331" w:type="dxa"/>
            <w:vMerge/>
            <w:vAlign w:val="center"/>
          </w:tcPr>
          <w:p/>
        </w:tc>
        <w:tc>
          <w:tcPr>
            <w:tcW w:w="1282" w:type="dxa"/>
            <w:vAlign w:val="center"/>
          </w:tcPr>
          <w:p>
            <w:pPr>
              <w:widowControl/>
              <w:adjustRightInd w:val="0"/>
              <w:snapToGrid w:val="0"/>
              <w:jc w:val="center"/>
              <w:rPr>
                <w:rFonts w:hint="eastAsia"/>
                <w:color w:val="auto"/>
                <w:sz w:val="21"/>
                <w:szCs w:val="21"/>
                <w:lang w:eastAsia="zh-CN"/>
              </w:rPr>
            </w:pPr>
            <w:r>
              <w:rPr>
                <w:rFonts w:hint="eastAsia"/>
                <w:color w:val="auto"/>
                <w:sz w:val="21"/>
                <w:szCs w:val="21"/>
                <w:lang w:eastAsia="zh-CN"/>
              </w:rPr>
              <w:t>废导热油</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jc w:val="center"/>
              <w:rPr>
                <w:snapToGrid w:val="0"/>
                <w:color w:val="auto"/>
                <w:kern w:val="21"/>
                <w:sz w:val="21"/>
                <w:szCs w:val="21"/>
              </w:rPr>
            </w:pPr>
            <w:r>
              <w:rPr>
                <w:snapToGrid w:val="0"/>
                <w:color w:val="auto"/>
                <w:kern w:val="21"/>
                <w:sz w:val="21"/>
                <w:szCs w:val="21"/>
              </w:rPr>
              <w:t>/</w:t>
            </w:r>
          </w:p>
        </w:tc>
        <w:tc>
          <w:tcPr>
            <w:vAlign w:val="center"/>
          </w:tcPr>
          <w:p>
            <w:pPr>
              <w:widowControl/>
              <w:jc w:val="center"/>
              <w:textAlignment w:val="center"/>
              <w:rPr>
                <w:rFonts w:hint="eastAsia"/>
                <w:color w:val="auto"/>
                <w:kern w:val="0"/>
                <w:sz w:val="21"/>
                <w:szCs w:val="21"/>
                <w:lang w:val="en-US" w:eastAsia="zh-CN"/>
              </w:rPr>
            </w:pPr>
            <w:r>
              <w:rPr>
                <w:rFonts w:hint="eastAsia"/>
                <w:bCs/>
                <w:color w:val="auto"/>
                <w:sz w:val="21"/>
                <w:szCs w:val="21"/>
                <w:u w:val="none"/>
                <w:lang w:val="en-US" w:bidi="zh-CN"/>
              </w:rPr>
              <w:t>0.34</w:t>
            </w:r>
          </w:p>
        </w:tc>
        <w:tc>
          <w:tcPr>
            <w:vAlign w:val="center"/>
          </w:tcPr>
          <w:p>
            <w:pPr>
              <w:jc w:val="center"/>
              <w:rPr>
                <w:snapToGrid w:val="0"/>
                <w:color w:val="auto"/>
                <w:kern w:val="21"/>
                <w:sz w:val="21"/>
                <w:szCs w:val="21"/>
              </w:rPr>
            </w:pPr>
            <w:r>
              <w:rPr>
                <w:snapToGrid w:val="0"/>
                <w:color w:val="auto"/>
                <w:kern w:val="21"/>
                <w:sz w:val="21"/>
                <w:szCs w:val="21"/>
              </w:rPr>
              <w:t>/</w:t>
            </w:r>
          </w:p>
        </w:tc>
        <w:tc>
          <w:tcPr>
            <w:tcW w:w="1777"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bCs/>
                <w:color w:val="auto"/>
                <w:sz w:val="21"/>
                <w:szCs w:val="21"/>
                <w:u w:val="none"/>
                <w:lang w:val="en-US" w:bidi="zh-CN"/>
              </w:rPr>
              <w:t>0.34</w:t>
            </w:r>
          </w:p>
        </w:tc>
        <w:tc>
          <w:tcPr>
            <w:tcW w:w="1298" w:type="dxa"/>
            <w:shd w:val="clear" w:color="auto" w:fill="auto"/>
            <w:vAlign w:val="center"/>
          </w:tcPr>
          <w:p>
            <w:pPr>
              <w:widowControl/>
              <w:jc w:val="center"/>
              <w:textAlignment w:val="center"/>
              <w:rPr>
                <w:rFonts w:ascii="Times New Roman" w:eastAsia="宋体" w:cs="Times New Roman" w:hAnsi="Times New Roman" w:hint="eastAsia"/>
                <w:color w:val="auto"/>
                <w:kern w:val="0"/>
                <w:sz w:val="21"/>
                <w:szCs w:val="21"/>
                <w:lang w:val="en-US" w:eastAsia="zh-CN"/>
              </w:rPr>
            </w:pPr>
            <w:r>
              <w:rPr>
                <w:rFonts w:hint="eastAsia"/>
                <w:bCs/>
                <w:color w:val="auto"/>
                <w:sz w:val="21"/>
                <w:szCs w:val="21"/>
                <w:u w:val="none"/>
                <w:lang w:val="en-US" w:bidi="zh-CN"/>
              </w:rPr>
              <w:t>0.34</w:t>
            </w:r>
          </w:p>
        </w:tc>
      </w:tr>
      <w:tr>
        <w:trPr>
          <w:trHeight w:val="397"/>
        </w:trPr>
        <w:tc>
          <w:tcPr>
            <w:tcW w:w="1331" w:type="dxa"/>
            <w:vMerge/>
            <w:vAlign w:val="center"/>
          </w:tcPr>
          <w:p/>
        </w:tc>
        <w:tc>
          <w:tcPr>
            <w:tcW w:w="1282" w:type="dxa"/>
            <w:vAlign w:val="center"/>
          </w:tcPr>
          <w:p>
            <w:pPr>
              <w:widowControl/>
              <w:adjustRightInd w:val="0"/>
              <w:snapToGrid w:val="0"/>
              <w:jc w:val="center"/>
              <w:rPr>
                <w:rFonts w:hint="eastAsia"/>
                <w:color w:val="auto"/>
                <w:sz w:val="21"/>
                <w:szCs w:val="21"/>
                <w:lang w:eastAsia="zh-CN"/>
              </w:rPr>
            </w:pPr>
            <w:r>
              <w:rPr>
                <w:rFonts w:hint="eastAsia"/>
                <w:bCs/>
                <w:color w:val="auto"/>
                <w:szCs w:val="21"/>
                <w:u w:val="none"/>
                <w:lang w:val="en-US" w:bidi="zh-CN"/>
              </w:rPr>
              <w:t>废活性炭</w:t>
            </w:r>
          </w:p>
        </w:tc>
        <w:tc>
          <w:tcPr>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shd w:val="clear" w:color="auto" w:fill="auto"/>
            <w:vAlign w:val="center"/>
          </w:tcPr>
          <w:p>
            <w:pPr>
              <w:jc w:val="center"/>
              <w:rPr>
                <w:rFonts w:ascii="Times New Roman" w:eastAsia="宋体" w:cs="Times New Roman" w:hAnsi="Times New Roman"/>
                <w:snapToGrid w:val="0"/>
                <w:color w:val="auto"/>
                <w:kern w:val="21"/>
                <w:sz w:val="21"/>
                <w:szCs w:val="21"/>
                <w:lang w:val="en-US" w:eastAsia="zh-CN" w:bidi="ar-SA"/>
              </w:rPr>
            </w:pPr>
            <w:r>
              <w:rPr>
                <w:snapToGrid w:val="0"/>
                <w:color w:val="auto"/>
                <w:kern w:val="21"/>
                <w:sz w:val="21"/>
                <w:szCs w:val="21"/>
              </w:rPr>
              <w:t>/</w:t>
            </w:r>
          </w:p>
        </w:tc>
        <w:tc>
          <w:tcPr>
            <w:vAlign w:val="center"/>
          </w:tcPr>
          <w:p>
            <w:pPr>
              <w:widowControl/>
              <w:jc w:val="center"/>
              <w:textAlignment w:val="center"/>
              <w:rPr>
                <w:bCs/>
                <w:color w:val="auto"/>
                <w:sz w:val="21"/>
                <w:szCs w:val="21"/>
                <w:u w:val="none"/>
                <w:lang w:val="en-US" w:bidi="zh-CN"/>
              </w:rPr>
            </w:pPr>
            <w:r>
              <w:rPr>
                <w:rFonts w:hint="eastAsia"/>
                <w:bCs/>
                <w:color w:val="auto"/>
                <w:szCs w:val="21"/>
                <w:u w:val="none"/>
                <w:lang w:val="en-US" w:bidi="zh-CN"/>
              </w:rPr>
              <w:t>0.232</w:t>
            </w:r>
          </w:p>
        </w:tc>
        <w:tc>
          <w:tcPr>
            <w:vAlign w:val="center"/>
          </w:tcPr>
          <w:p>
            <w:pPr>
              <w:jc w:val="center"/>
              <w:rPr>
                <w:rFonts w:eastAsia="宋体" w:hint="eastAsia"/>
                <w:snapToGrid w:val="0"/>
                <w:color w:val="auto"/>
                <w:kern w:val="21"/>
                <w:sz w:val="21"/>
                <w:szCs w:val="21"/>
                <w:lang w:val="en-US" w:eastAsia="zh-CN"/>
              </w:rPr>
            </w:pPr>
            <w:r>
              <w:rPr>
                <w:rFonts w:hint="eastAsia"/>
                <w:snapToGrid w:val="0"/>
                <w:color w:val="auto"/>
                <w:kern w:val="21"/>
                <w:sz w:val="21"/>
                <w:szCs w:val="21"/>
                <w:lang w:val="en-US" w:eastAsia="zh-CN"/>
              </w:rPr>
              <w:t>/</w:t>
            </w:r>
          </w:p>
        </w:tc>
        <w:tc>
          <w:tcPr>
            <w:tcW w:w="1777" w:type="dxa"/>
            <w:shd w:val="clear" w:color="auto" w:fill="auto"/>
            <w:vAlign w:val="center"/>
          </w:tcPr>
          <w:p>
            <w:pPr>
              <w:widowControl/>
              <w:jc w:val="center"/>
              <w:textAlignment w:val="center"/>
              <w:rPr>
                <w:rFonts w:hint="eastAsia"/>
                <w:bCs/>
                <w:color w:val="auto"/>
                <w:sz w:val="21"/>
                <w:szCs w:val="21"/>
                <w:u w:val="none"/>
                <w:lang w:val="en-US" w:bidi="zh-CN"/>
              </w:rPr>
            </w:pPr>
            <w:r>
              <w:rPr>
                <w:rFonts w:hint="eastAsia"/>
                <w:bCs/>
                <w:color w:val="auto"/>
                <w:szCs w:val="21"/>
                <w:u w:val="none"/>
                <w:lang w:val="en-US" w:bidi="zh-CN"/>
              </w:rPr>
              <w:t>0.232</w:t>
            </w:r>
          </w:p>
        </w:tc>
        <w:tc>
          <w:tcPr>
            <w:tcW w:w="1298" w:type="dxa"/>
            <w:shd w:val="clear" w:color="auto" w:fill="auto"/>
            <w:vAlign w:val="center"/>
          </w:tcPr>
          <w:p>
            <w:pPr>
              <w:widowControl/>
              <w:jc w:val="center"/>
              <w:textAlignment w:val="center"/>
              <w:rPr>
                <w:rFonts w:hint="eastAsia"/>
                <w:bCs/>
                <w:color w:val="auto"/>
                <w:sz w:val="21"/>
                <w:szCs w:val="21"/>
                <w:u w:val="none"/>
                <w:lang w:val="en-US" w:bidi="zh-CN"/>
              </w:rPr>
            </w:pPr>
            <w:r>
              <w:rPr>
                <w:rFonts w:hint="eastAsia"/>
                <w:bCs/>
                <w:color w:val="auto"/>
                <w:szCs w:val="21"/>
                <w:u w:val="none"/>
                <w:lang w:val="en-US" w:bidi="zh-CN"/>
              </w:rPr>
              <w:t>0.232</w:t>
            </w:r>
          </w:p>
        </w:tc>
      </w:tr>
    </w:tbl>
    <w:p>
      <w:pPr>
        <w:pStyle w:val="54"/>
        <w:spacing w:beforeLines="80" w:before="192"/>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Ansi="宋体" w:hint="eastAsia"/>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Ansi="宋体" w:hint="eastAsia"/>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Ansi="宋体" w:hint="eastAsia"/>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Ansi="宋体" w:hint="eastAsia"/>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Ansi="宋体" w:hint="eastAsia"/>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Ansi="宋体" w:hint="eastAsia"/>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Ansi="宋体" w:hint="eastAsia"/>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Ansi="宋体" w:hint="eastAsia"/>
          <w:color w:val="auto"/>
          <w:szCs w:val="21"/>
        </w:rPr>
        <w:t>①</w:t>
      </w:r>
      <w:r>
        <w:rPr>
          <w:rFonts w:hAnsi="宋体"/>
          <w:snapToGrid w:val="0"/>
          <w:color w:val="auto"/>
          <w:spacing w:val="-6"/>
          <w:kern w:val="21"/>
          <w:szCs w:val="21"/>
        </w:rPr>
        <w:fldChar w:fldCharType="end"/>
      </w:r>
    </w:p>
    <w:p>
      <w:pPr>
        <w:rPr>
          <w:color w:val="0000FF"/>
        </w:rPr>
      </w:pPr>
    </w:p>
    <w:p>
      <w:pPr>
        <w:rPr>
          <w:color w:val="0000FF"/>
        </w:rPr>
      </w:pPr>
    </w:p>
    <w:sectPr>
      <w:footerReference w:type="default" r:id="rId15"/>
      <w:pgSz w:w="16838" w:h="11905" w:orient="landscape"/>
      <w:pgMar w:top="1247" w:right="1134" w:bottom="1134" w:left="1247" w:header="851" w:footer="850" w:gutter="0"/>
      <w:pgBorders>
        <w:top w:val="none" w:sz="0" w:space="0" w:color="auto"/>
        <w:left w:val="none" w:sz="0" w:space="0" w:color="auto"/>
        <w:bottom w:val="none" w:sz="0" w:space="0" w:color="auto"/>
        <w:right w:val="none" w:sz="0" w:space="0" w:color="auto"/>
      </w:pgBorders>
      <w:pgNumType/>
      <w:cols w:num="1" w:space="0"/>
      <w:rtlGutter/>
      <w:docGrid w:linePitch="312" w:charSpace="0"/>
    </w:sectPr>
  </w:body>
</w:document>
</file>

<file path=word/fontTable.xml><?xml version="1.0" encoding="utf-8"?>
<w:fonts xmlns:w="http://schemas.openxmlformats.org/wordprocessingml/2006/main" xmlns:r="http://schemas.openxmlformats.org/officeDocument/2006/relationships">
  <w:font w:name="仿宋_GB2312">
    <w:altName w:val="仿宋"/>
    <w:panose1 w:val="02010609030101010101"/>
    <w:charset w:val="86"/>
    <w:family w:val="modern"/>
    <w:pitch w:val="variable"/>
    <w:sig w:usb0="00000000" w:usb1="00000000" w:usb2="00000000" w:usb3="00000000" w:csb0="00040000" w:csb1="00000000"/>
  </w:font>
  <w:font w:name="方正小标宋_GBK">
    <w:altName w:val="微软雅黑"/>
    <w:panose1 w:val="00000000000000000000"/>
    <w:charset w:val="86"/>
    <w:family w:val="script"/>
    <w:pitch w:val="variable"/>
    <w:sig w:usb0="00000000" w:usb1="00000000" w:usb2="00000010" w:usb3="00000000" w:csb0="00040000" w:csb1="00000000"/>
  </w:font>
  <w:font w:name="楷体_GB2312">
    <w:altName w:val="楷体"/>
    <w:panose1 w:val="02010609030101010101"/>
    <w:charset w:val="86"/>
    <w:family w:val="modern"/>
    <w:pitch w:val="variable"/>
    <w:sig w:usb0="00000000" w:usb1="00000000" w:usb2="00000000" w:usb3="00000000" w:csb0="00040000" w:csb1="00000000"/>
  </w:font>
  <w:font w:name="仿宋">
    <w:panose1 w:val="02010609060101010101"/>
    <w:charset w:val="86"/>
    <w:family w:val="auto"/>
    <w:pitch w:val="variable"/>
    <w:sig w:usb0="800002BF" w:usb1="38CF7CFA" w:usb2="00000016" w:usb3="00000000" w:csb0="00040001" w:csb1="00000000"/>
  </w:font>
  <w:font w:name="宋体">
    <w:panose1 w:val="02010600030101010101"/>
    <w:charset w:val="50"/>
    <w:family w:val="auto"/>
    <w:pitch w:val="variable"/>
    <w:sig w:usb0="00000203" w:usb1="288F0000" w:usb2="00000006" w:usb3="00000000" w:csb0="00040001" w:csb1="00000000"/>
  </w:font>
  <w:font w:name="Times New Roman">
    <w:panose1 w:val="02020603050405020304"/>
    <w:charset w:val="01"/>
    <w:family w:val="auto"/>
    <w:pitch w:val="variable"/>
    <w:sig w:usb0="E0002EFF" w:usb1="C000785B" w:usb2="00000009" w:usb3="00000000" w:csb0="400001FF" w:csb1="FFFF0000"/>
  </w:font>
  <w:font w:name="黑体">
    <w:panose1 w:val="02010609060101010101"/>
    <w:charset w:val="86"/>
    <w:family w:val="auto"/>
    <w:pitch w:val="variable"/>
    <w:sig w:usb0="800002BF" w:usb1="38CF7CFA" w:usb2="00000016" w:usb3="00000000" w:csb0="00040001" w:csb1="00000000"/>
  </w:font>
  <w:font w:name="Wingdings 2">
    <w:altName w:val="DejaVu Sans"/>
    <w:panose1 w:val="05020102010507070707"/>
    <w:charset w:val="02"/>
    <w:family w:val="roman"/>
    <w:pitch w:val="variable"/>
    <w:sig w:usb0="00000000" w:usb1="00000000" w:usb2="00000000" w:usb3="00000000" w:csb0="80000000" w:csb1="00000000"/>
  </w:font>
  <w:font w:name="Arial">
    <w:altName w:val="DejaVu Sans"/>
    <w:panose1 w:val="020B0604020202020204"/>
    <w:charset w:val="01"/>
    <w:family w:val="swiss"/>
    <w:pitch w:val="variable"/>
    <w:sig w:usb0="E0002EFF" w:usb1="C000785B" w:usb2="00000009" w:usb3="00000000" w:csb0="400001FF" w:csb1="FFFF0000"/>
  </w:font>
  <w:font w:name="Lucida Sans">
    <w:altName w:val="DejaVu Sans"/>
    <w:panose1 w:val="020B0602030504020204"/>
    <w:charset w:val="00"/>
    <w:family w:val="auto"/>
    <w:pitch w:val="variable"/>
    <w:sig w:usb0="00000003" w:usb1="00000000" w:usb2="00000000" w:usb3="00000000" w:csb0="20000001" w:csb1="00000000"/>
  </w:font>
  <w:font w:name="Cambria">
    <w:altName w:val="DejaVu Sans"/>
    <w:panose1 w:val="02040503050406030204"/>
    <w:charset w:val="00"/>
    <w:family w:val="roman"/>
    <w:pitch w:val="variable"/>
    <w:sig w:usb0="E00006FF" w:usb1="420024FF" w:usb2="02000000" w:usb3="00000000" w:csb0="2000019F" w:csb1="00000000"/>
  </w:font>
  <w:font w:name="Calibri">
    <w:altName w:val="Times New Roman"/>
    <w:panose1 w:val="020F0502020204030204"/>
    <w:charset w:val="00"/>
    <w:family w:val="swiss"/>
    <w:pitch w:val="variable"/>
    <w:sig w:usb0="E4002EFF" w:usb1="C000247B" w:usb2="00000009" w:usb3="00000000" w:csb0="200001FF" w:csb1="00000000"/>
  </w:font>
  <w:font w:name="新宋体-18030">
    <w:altName w:val="宋体"/>
    <w:panose1 w:val="00000000000000000000"/>
    <w:charset w:val="00"/>
    <w:family w:val="auto"/>
    <w:pitch w:val="variable"/>
    <w:sig w:usb0="00000000" w:usb1="00000000" w:usb2="00000000" w:usb3="00000000" w:csb0="00040001" w:csb1="00000000"/>
  </w:font>
  <w:font w:name="Courier New">
    <w:altName w:val="DejaVu Sans"/>
    <w:panose1 w:val="02070309020205020404"/>
    <w:charset w:val="01"/>
    <w:family w:val="modern"/>
    <w:pitch w:val="variable"/>
    <w:sig w:usb0="E0002EFF" w:usb1="C0007843" w:usb2="00000009" w:usb3="00000000" w:csb0="400001FF" w:csb1="FFFF0000"/>
  </w:font>
  <w:font w:name="_x000B__x000C_">
    <w:altName w:val="Times New Roman"/>
    <w:panose1 w:val="00000000000000000000"/>
    <w:charset w:val="00"/>
    <w:family w:val="roman"/>
    <w:pitch w:val="variable"/>
    <w:sig w:usb0="00000000" w:usb1="00000000" w:usb2="00000000" w:usb3="00000000" w:csb0="00040001"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2"/>
      <w:tabs>
        <w:tab w:val="center" w:pos="4153"/>
        <w:tab w:val="right" w:pos="8306"/>
      </w:tabs>
      <w:ind w:right="360" w:firstLine="360"/>
      <w:jc w:val="cente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2"/>
      <w:framePr w:w="0" w:hRule="auto" w:wrap="around" w:vAnchor="text" w:hAnchor="margin" w:xAlign="center" w:y="1" w:anchorLock="0"/>
      <w:tabs>
        <w:tab w:val="center" w:pos="4153"/>
        <w:tab w:val="right" w:pos="8306"/>
      </w:tabs>
      <w:rPr>
        <w:rStyle w:val="30"/>
      </w:rPr>
    </w:pPr>
    <w:r>
      <w:fldChar w:fldCharType="begin"/>
    </w:r>
    <w:r>
      <w:rPr>
        <w:rStyle w:val="30"/>
      </w:rPr>
      <w:instrText xml:space="preserve">PAGE  </w:instrText>
    </w:r>
    <w:r>
      <w:fldChar w:fldCharType="separate"/>
    </w:r>
    <w:r>
      <w:t xml:space="preserve"> </w:t>
    </w:r>
    <w:r>
      <w:fldChar w:fldCharType="end"/>
    </w:r>
  </w:p>
  <w:p>
    <w:pPr>
      <w:pStyle w:val="22"/>
      <w:tabs>
        <w:tab w:val="center" w:pos="4153"/>
        <w:tab w:val="right" w:pos="8306"/>
      </w:tabs>
      <w:ind w:right="360" w:firstLine="360"/>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2"/>
      <w:tabs>
        <w:tab w:val="center" w:pos="4153"/>
        <w:tab w:val="right" w:pos="8306"/>
      </w:tabs>
      <w:ind w:right="360" w:firstLine="360"/>
      <w:jc w:val="center"/>
    </w:pP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2"/>
      <w:tabs>
        <w:tab w:val="center" w:pos="4153"/>
        <w:tab w:val="right" w:pos="8306"/>
      </w:tabs>
      <w:ind w:right="360" w:firstLine="360"/>
      <w:jc w:val="center"/>
    </w:pPr>
    <w:r>
      <w:rPr>
        <w:sz w:val="18"/>
      </w:rPr>
      <mc:AlternateContent>
        <mc:Choice Requires="wps">
          <w:drawing>
            <wp:anchor distT="0" distB="0" distL="114300" distR="114300" simplePos="0" relativeHeight="40" behindDoc="0" locked="0" layoutInCell="1" hidden="0" allowOverlap="1">
              <wp:simplePos x="0" y="0"/>
              <wp:positionH relativeFrom="margin">
                <wp:align>center</wp:align>
              </wp:positionH>
              <wp:positionV relativeFrom="paragraph">
                <wp:posOffset>0</wp:posOffset>
              </wp:positionV>
              <wp:extent cx="114300" cy="131433"/>
              <wp:wrapNone/>
              <wp:docPr id="27" name="文本框 27"/>
              <wp:cNvGraphicFramePr>
                <a:graphicFrameLocks noChangeAspect="0"/>
              </wp:cNvGraphicFramePr>
              <a:graphic>
                <a:graphicData uri="http://schemas.microsoft.com/office/word/2010/wordprocessingShape">
                  <wps:wsp>
                    <wps:cNvSpPr/>
                    <wps:spPr>
                      <a:xfrm rot="0">
                        <a:off x="0" y="0"/>
                        <a:ext cx="114300" cy="131433"/>
                      </a:xfrm>
                      <a:prstGeom prst="rect"/>
                      <a:noFill/>
                      <a:ln w="6350" cmpd="sng" cap="flat">
                        <a:noFill/>
                        <a:prstDash val="solid"/>
                        <a:round/>
                      </a:ln>
                    </wps:spPr>
                    <wps:txbx id="1">
                      <w:txbxContent>
                        <w:p>
                          <w:pPr>
                            <w:pStyle w:val="22"/>
                            <w:tabs>
                              <w:tab w:val="center" w:pos="4153"/>
                              <w:tab w:val="right" w:pos="8306"/>
                            </w:tabs>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rect type="#_x0000_t1" id="文本框 27" o:spid="_x0000_s2" filled="f" stroked="f" strokeweight="0.5pt" style="position:absolute;margin-left:0.0pt;margin-top:0.0pt;width:9.0pt;height:10.349121pt;z-index:40;mso-position-horizontal:center;mso-position-horizontal-relative:margin;mso-position-vertical:absolute;mso-wrap-style:none;">
              <v:stroke/>
              <v:textbox id="856" inset="0mm,0mm,0mm,0mm" o:insetmode="custom" style="layout-flow:horizontal;v-text-anchor:top;mso-fit-shape-to-text:t;">
                <w:txbxContent>
                  <w:p>
                    <w:pPr>
                      <w:pStyle w:val="22"/>
                      <w:tabs>
                        <w:tab w:val="center" w:pos="4153"/>
                        <w:tab w:val="right" w:pos="8306"/>
                      </w:tabs>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2"/>
      <w:tabs>
        <w:tab w:val="center" w:pos="4153"/>
        <w:tab w:val="right" w:pos="8306"/>
      </w:tabs>
      <w:ind w:right="360" w:firstLine="360"/>
      <w:jc w:val="center"/>
    </w:pPr>
    <w:r>
      <w:rPr>
        <w:sz w:val="18"/>
      </w:rPr>
      <mc:AlternateContent>
        <mc:Choice Requires="wps">
          <w:drawing>
            <wp:anchor distT="0" distB="0" distL="114300" distR="114300" simplePos="0" relativeHeight="42" behindDoc="0" locked="0" layoutInCell="1" hidden="0" allowOverlap="1">
              <wp:simplePos x="0" y="0"/>
              <wp:positionH relativeFrom="margin">
                <wp:align>center</wp:align>
              </wp:positionH>
              <wp:positionV relativeFrom="paragraph">
                <wp:posOffset>0</wp:posOffset>
              </wp:positionV>
              <wp:extent cx="114300" cy="131433"/>
              <wp:wrapNone/>
              <wp:docPr id="29" name="文本框 29"/>
              <wp:cNvGraphicFramePr>
                <a:graphicFrameLocks noChangeAspect="0"/>
              </wp:cNvGraphicFramePr>
              <a:graphic>
                <a:graphicData uri="http://schemas.microsoft.com/office/word/2010/wordprocessingShape">
                  <wps:wsp>
                    <wps:cNvSpPr/>
                    <wps:spPr>
                      <a:xfrm rot="0">
                        <a:off x="0" y="0"/>
                        <a:ext cx="114300" cy="131433"/>
                      </a:xfrm>
                      <a:prstGeom prst="rect"/>
                      <a:noFill/>
                      <a:ln w="6350" cmpd="sng" cap="flat">
                        <a:noFill/>
                        <a:prstDash val="solid"/>
                        <a:round/>
                      </a:ln>
                    </wps:spPr>
                    <wps:txbx id="20">
                      <w:txbxContent>
                        <w:p>
                          <w:pPr>
                            <w:pStyle w:val="22"/>
                            <w:tabs>
                              <w:tab w:val="center" w:pos="4153"/>
                              <w:tab w:val="right" w:pos="8306"/>
                            </w:tabs>
                          </w:pPr>
                          <w:r>
                            <w:fldChar w:fldCharType="begin"/>
                          </w:r>
                          <w:r>
                            <w:instrText xml:space="preserve"> PAGE  \* MERGEFORMAT </w:instrText>
                          </w:r>
                          <w:r>
                            <w:fldChar w:fldCharType="separate"/>
                          </w:r>
                          <w:r>
                            <w:t>56</w:t>
                          </w:r>
                          <w:r>
                            <w:fldChar w:fldCharType="end"/>
                          </w:r>
                        </w:p>
                      </w:txbxContent>
                    </wps:txbx>
                    <wps:bodyPr vert="horz" wrap="none" lIns="0" tIns="0" rIns="0" bIns="0" anchor="t" anchorCtr="0" upright="0">
                      <a:spAutoFit/>
                    </wps:bodyPr>
                  </wps:wsp>
                </a:graphicData>
              </a:graphic>
            </wp:anchor>
          </w:drawing>
        </mc:Choice>
        <mc:Fallback>
          <w:pict>
            <v:rect type="#_x0000_t1" id="文本框 29" o:spid="_x0000_s21" filled="f" stroked="f" strokeweight="0.5pt" style="position:absolute;margin-left:0.0pt;margin-top:0.0pt;width:9.0pt;height:10.349055pt;z-index:42;mso-position-horizontal:center;mso-position-horizontal-relative:margin;mso-position-vertical:absolute;mso-wrap-style:none;">
              <v:stroke/>
              <v:textbox id="857" inset="0mm,0mm,0mm,0mm" o:insetmode="custom" style="layout-flow:horizontal;v-text-anchor:top;mso-fit-shape-to-text:t;">
                <w:txbxContent>
                  <w:p>
                    <w:pPr>
                      <w:pStyle w:val="22"/>
                      <w:tabs>
                        <w:tab w:val="center" w:pos="4153"/>
                        <w:tab w:val="right" w:pos="8306"/>
                      </w:tabs>
                    </w:pPr>
                    <w:r>
                      <w:fldChar w:fldCharType="begin"/>
                    </w:r>
                    <w:r>
                      <w:instrText xml:space="preserve"> PAGE  \* MERGEFORMAT </w:instrText>
                    </w:r>
                    <w:r>
                      <w:fldChar w:fldCharType="separate"/>
                    </w:r>
                    <w:r>
                      <w:t>56</w:t>
                    </w:r>
                    <w:r>
                      <w:fldChar w:fldCharType="end"/>
                    </w:r>
                  </w:p>
                </w:txbxContent>
              </v:textbox>
            </v:rect>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3"/>
      <w:pBdr>
        <w:bottom w:val="none" w:sz="0" w:space="1" w:color="auto"/>
      </w:pBdr>
      <w:tabs>
        <w:tab w:val="center" w:pos="4153"/>
        <w:tab w:val="right" w:pos="8306"/>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D382F5F9"/>
    <w:multiLevelType w:val="singleLevel"/>
    <w:tmpl w:val="D382F5F9"/>
    <w:lvl w:ilvl="0">
      <w:start w:val="2"/>
      <w:numFmt w:val="decimal"/>
      <w:lvlRestart w:val="0"/>
      <w:suff w:val="nothing"/>
      <w:lvlText w:val="%1、"/>
      <w:lvlJc w:val="left"/>
      <w:pPr>
        <w:ind w:left="480" w:hanging="0"/>
      </w:pPr>
    </w:lvl>
  </w:abstractNum>
  <w:abstractNum w:abstractNumId="1">
    <w:nsid w:val="2C925442"/>
    <w:multiLevelType w:val="singleLevel"/>
    <w:tmpl w:val="2C925442"/>
    <w:lvl w:ilvl="0">
      <w:start w:val="4"/>
      <w:numFmt w:val="chineseCounting"/>
      <w:lvlRestart w:val="0"/>
      <w:suff w:val="nothing"/>
      <w:lvlText w:val="（%1）"/>
      <w:lvlJc w:val="left"/>
      <w:pPr/>
      <w:rPr>
        <w:rFonts w:hint="eastAsia"/>
      </w:rPr>
    </w:lvl>
  </w:abstractNum>
  <w:abstractNum w:abstractNumId="2">
    <w:nsid w:val="00000008"/>
    <w:multiLevelType w:val="singleLevel"/>
    <w:tmpl w:val="00000008"/>
    <w:lvl w:ilvl="0">
      <w:start w:val="1"/>
      <w:numFmt w:val="decimal"/>
      <w:lvlRestart w:val="0"/>
      <w:lvlText w:val="%1"/>
      <w:lvlJc w:val="center"/>
      <w:pPr>
        <w:tabs>
          <w:tab w:val="num" w:pos="397"/>
        </w:tabs>
        <w:ind w:left="227" w:hanging="145"/>
      </w:pPr>
      <w:rPr>
        <w:rFonts w:hint="default"/>
      </w:rPr>
    </w:lvl>
  </w:abstractNum>
  <w:abstractNum w:abstractNumId="3">
    <w:nsid w:val="DE1936B5"/>
    <w:multiLevelType w:val="singleLevel"/>
    <w:tmpl w:val="DE1936B5"/>
    <w:lvl w:ilvl="0">
      <w:start w:val="5"/>
      <w:numFmt w:val="chineseCounting"/>
      <w:lvlRestart w:val="0"/>
      <w:suff w:val="nothing"/>
      <w:lvlText w:val="%1、"/>
      <w:lvlJc w:val="left"/>
      <w:pPr/>
      <w:rPr>
        <w:rFonts w:hint="eastAsia"/>
      </w:rPr>
    </w:lvl>
  </w:abstractNum>
  <w:abstractNum w:abstractNumId="4">
    <w:nsid w:val="BA9366BE"/>
    <w:multiLevelType w:val="multilevel"/>
    <w:tmpl w:val="344915A9"/>
    <w:lvl w:ilvl="0">
      <w:start w:val="1"/>
      <w:numFmt w:val="decimal"/>
      <w:lvlRestart w:val="0"/>
      <w:lvlText w:val="%1"/>
      <w:lvlJc w:val="left"/>
      <w:pPr>
        <w:ind w:left="0" w:hanging="0"/>
      </w:pPr>
      <w:rPr>
        <w:rFonts w:hint="eastAsia"/>
      </w:rPr>
    </w:lvl>
    <w:lvl w:ilvl="1">
      <w:start w:val="1"/>
      <w:numFmt w:val="decimal"/>
      <w:lvlText w:val="%1.%2"/>
      <w:lvlJc w:val="left"/>
      <w:pPr>
        <w:ind w:left="3686" w:hanging="0"/>
      </w:pPr>
      <w:rPr>
        <w:rFonts w:hint="eastAsia"/>
      </w:rPr>
    </w:lvl>
    <w:lvl w:ilvl="2">
      <w:start w:val="1"/>
      <w:numFmt w:val="decimal"/>
      <w:pStyle w:val="4"/>
      <w:suff w:val="nothing"/>
      <w:lvlText w:val="%1.%2.%3"/>
      <w:lvlJc w:val="left"/>
      <w:pPr>
        <w:ind w:left="710" w:hanging="0"/>
      </w:pPr>
      <w:rPr>
        <w:rFonts w:hint="eastAsia"/>
      </w:rPr>
    </w:lvl>
    <w:lvl w:ilvl="3">
      <w:start w:val="1"/>
      <w:numFmt w:val="decimal"/>
      <w:lvlText w:val="%1.%2.%3.%4"/>
      <w:lvlJc w:val="left"/>
      <w:pPr>
        <w:ind w:left="0" w:hanging="0"/>
      </w:pPr>
      <w:rPr>
        <w:rFonts w:hint="eastAsia"/>
      </w:rPr>
    </w:lvl>
    <w:lvl w:ilvl="4">
      <w:start w:val="1"/>
      <w:numFmt w:val="decimal"/>
      <w:lvlText w:val="%1.%2.%3.%4.%5"/>
      <w:lvlJc w:val="left"/>
      <w:pPr>
        <w:ind w:left="0" w:hanging="0"/>
      </w:pPr>
      <w:rPr>
        <w:rFonts w:hint="eastAsia"/>
      </w:rPr>
    </w:lvl>
    <w:lvl w:ilvl="5">
      <w:start w:val="1"/>
      <w:numFmt w:val="decimal"/>
      <w:lvlText w:val="%1.%2.%3.%4.%5.%6"/>
      <w:lvlJc w:val="left"/>
      <w:pPr>
        <w:ind w:left="0" w:hanging="0"/>
      </w:pPr>
      <w:rPr>
        <w:rFonts w:hint="eastAsia"/>
      </w:rPr>
    </w:lvl>
    <w:lvl w:ilvl="6">
      <w:start w:val="1"/>
      <w:numFmt w:val="decimal"/>
      <w:lvlText w:val="%1.%2.%3.%4.%5.%6.%7"/>
      <w:lvlJc w:val="left"/>
      <w:pPr>
        <w:ind w:left="0" w:hanging="0"/>
      </w:pPr>
      <w:rPr>
        <w:rFonts w:hint="eastAsia"/>
      </w:rPr>
    </w:lvl>
    <w:lvl w:ilvl="7">
      <w:start w:val="1"/>
      <w:numFmt w:val="decimal"/>
      <w:lvlText w:val="%1.%2.%3.%4.%5.%6.%7.%8"/>
      <w:lvlJc w:val="left"/>
      <w:pPr>
        <w:ind w:left="0" w:hanging="0"/>
      </w:pPr>
      <w:rPr>
        <w:rFonts w:hint="eastAsia"/>
      </w:rPr>
    </w:lvl>
    <w:lvl w:ilvl="8">
      <w:start w:val="1"/>
      <w:numFmt w:val="decimal"/>
      <w:lvlText w:val="%1.%2.%3.%4.%5.%6.%7.%8.%9"/>
      <w:lvlJc w:val="left"/>
      <w:pPr>
        <w:ind w:left="0" w:hanging="0"/>
      </w:pPr>
      <w:rPr>
        <w:rFonts w:hint="eastAsia"/>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val="0"/>
  <w:bordersDoNotSurroundFooter w:val="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ZTRiMjU0NDNiMDUyYWFjMjliZDIyNzQ0ZjRkYjZjYzkifQ=="/>
  </w:docVars>
  <m:mathPr>
    <m:mathFont m:val="Cambria Math"/>
    <m:brkBin m:val="before"/>
    <m:brkBinSub m:val="--"/>
    <m:smallFrac m:val="0"/>
    <m:dispDef/>
    <m:lMargin m:val="0"/>
    <m:rMargin m:val="0"/>
    <m:defJc m:val="centerGroup"/>
    <m:wrapIndent m:val="1440"/>
    <m:intLim m:val="subSup"/>
    <m:naryLim m:val="undOvr"/>
  </m:mathPr>
  <w:doNotIncludeSubdocsInStat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qFormat/>
    <w:pPr>
      <w:widowControl w:val="0"/>
      <w:jc w:val="both"/>
    </w:pPr>
    <w:rPr>
      <w:rFonts w:ascii="Times New Roman" w:eastAsia="宋体" w:cs="Times New Roman" w:hAnsi="Times New Roman"/>
      <w:kern w:val="2"/>
      <w:sz w:val="21"/>
      <w:szCs w:val="24"/>
      <w:lang w:val="en-US" w:eastAsia="zh-CN" w:bidi="ar-SA"/>
    </w:rPr>
  </w:style>
  <w:style w:type="paragraph" w:styleId="1">
    <w:name w:val="heading 1"/>
    <w:qFormat/>
    <w:basedOn w:val="0"/>
    <w:next w:val="0"/>
    <w:link w:val="1Char"/>
    <w:pPr>
      <w:spacing w:before="0" w:beforeAutospacing="1" w:after="0" w:afterAutospacing="1"/>
      <w:jc w:val="left"/>
      <w:outlineLvl w:val="0"/>
    </w:pPr>
    <w:rPr>
      <w:rFonts w:ascii="宋体" w:eastAsia="宋体" w:cs="宋体" w:hAnsi="宋体"/>
      <w:b/>
      <w:bCs/>
      <w:kern w:val="44"/>
      <w:sz w:val="48"/>
      <w:szCs w:val="48"/>
      <w:lang w:val="en-US" w:eastAsia="zh-CN"/>
    </w:rPr>
  </w:style>
  <w:style w:type="character" w:customStyle="1" w:styleId="1Char">
    <w:name w:val="heading 1 Char"/>
    <w:basedOn w:val="10"/>
    <w:link w:val="1"/>
    <w:rPr>
      <w:rFonts w:ascii="宋体" w:eastAsia="宋体" w:cs="宋体" w:hAnsi="宋体"/>
      <w:b/>
      <w:bCs/>
      <w:kern w:val="44"/>
      <w:sz w:val="48"/>
      <w:szCs w:val="48"/>
      <w:lang w:val="en-US" w:eastAsia="zh-CN" w:bidi="ar-SA"/>
    </w:rPr>
  </w:style>
  <w:style w:type="paragraph" w:styleId="2">
    <w:name w:val="heading 2"/>
    <w:qFormat/>
    <w:basedOn w:val="0"/>
    <w:next w:val="0"/>
    <w:link w:val="2Char"/>
    <w:pPr>
      <w:spacing w:before="0" w:beforeAutospacing="1" w:after="0" w:afterAutospacing="1"/>
      <w:jc w:val="left"/>
      <w:outlineLvl w:val="1"/>
    </w:pPr>
    <w:rPr>
      <w:rFonts w:ascii="宋体" w:eastAsia="宋体" w:cs="宋体" w:hAnsi="宋体"/>
      <w:b/>
      <w:bCs/>
      <w:kern w:val="0"/>
      <w:sz w:val="36"/>
      <w:szCs w:val="36"/>
      <w:lang w:val="en-US" w:eastAsia="zh-CN"/>
    </w:rPr>
  </w:style>
  <w:style w:type="character" w:customStyle="1" w:styleId="2Char">
    <w:name w:val="heading 2 Char"/>
    <w:basedOn w:val="10"/>
    <w:link w:val="2"/>
    <w:rPr>
      <w:rFonts w:ascii="宋体" w:eastAsia="宋体" w:cs="宋体" w:hAnsi="宋体"/>
      <w:b/>
      <w:bCs/>
      <w:kern w:val="0"/>
      <w:sz w:val="36"/>
      <w:szCs w:val="36"/>
      <w:lang w:val="en-US" w:eastAsia="zh-CN" w:bidi="ar-SA"/>
    </w:rPr>
  </w:style>
  <w:style w:type="paragraph" w:styleId="3">
    <w:name w:val="heading 3"/>
    <w:qFormat/>
    <w:basedOn w:val="0"/>
    <w:next w:val="0"/>
    <w:link w:val="3Char"/>
    <w:pPr>
      <w:keepNext/>
      <w:keepLines/>
      <w:spacing w:before="260" w:after="260" w:line="413" w:lineRule="auto"/>
      <w:outlineLvl w:val="2"/>
    </w:pPr>
    <w:rPr>
      <w:rFonts w:ascii="仿宋_GB2312" w:eastAsia="仿宋_GB2312" w:cs="仿宋_GB2312"/>
      <w:spacing w:val="-22"/>
      <w:sz w:val="30"/>
    </w:rPr>
  </w:style>
  <w:style w:type="character" w:customStyle="1" w:styleId="3Char">
    <w:name w:val="heading 3 Char"/>
    <w:basedOn w:val="10"/>
    <w:link w:val="3"/>
    <w:rPr>
      <w:rFonts w:ascii="仿宋_GB2312" w:eastAsia="仿宋_GB2312" w:cs="仿宋_GB2312" w:hAnsi="Times New Roman"/>
      <w:spacing w:val="-22"/>
      <w:kern w:val="2"/>
      <w:sz w:val="30"/>
      <w:szCs w:val="24"/>
      <w:lang w:val="en-US" w:eastAsia="zh-CN" w:bidi="ar-SA"/>
    </w:rPr>
  </w:style>
  <w:style w:type="paragraph" w:styleId="4">
    <w:name w:val="heading 4"/>
    <w:qFormat/>
    <w:basedOn w:val="0"/>
    <w:next w:val="0"/>
    <w:link w:val="4Char"/>
    <w:pPr>
      <w:keepNext/>
      <w:keepLines/>
      <w:numPr>
        <w:ilvl w:val="2"/>
        <w:numId w:val="5"/>
      </w:numPr>
      <w:spacing w:before="280" w:after="290" w:line="377" w:lineRule="auto"/>
      <w:outlineLvl w:val="3"/>
    </w:pPr>
    <w:rPr>
      <w:rFonts w:ascii="Cambria" w:cs="Times New Roman" w:hAnsi="Cambria"/>
      <w:b/>
      <w:bCs/>
      <w:kern w:val="2"/>
      <w:sz w:val="28"/>
      <w:szCs w:val="28"/>
    </w:rPr>
  </w:style>
  <w:style w:type="character" w:customStyle="1" w:styleId="4Char">
    <w:name w:val="heading 4 Char"/>
    <w:basedOn w:val="10"/>
    <w:link w:val="4"/>
    <w:rPr>
      <w:rFonts w:ascii="Cambria" w:eastAsia="宋体" w:cs="Times New Roman" w:hAnsi="Cambria"/>
      <w:b/>
      <w:bCs/>
      <w:kern w:val="2"/>
      <w:sz w:val="28"/>
      <w:szCs w:val="28"/>
      <w:lang w:val="en-US" w:eastAsia="zh-CN" w:bidi="ar-SA"/>
    </w:rPr>
  </w:style>
  <w:style w:type="character" w:default="1" w:styleId="10">
    <w:name w:val="Default Paragraph Font"/>
    <w:qFormat/>
  </w:style>
  <w:style w:type="paragraph" w:styleId="15">
    <w:name w:val="Normal Indent"/>
    <w:qFormat/>
    <w:basedOn w:val="0"/>
    <w:next w:val="0"/>
    <w:pPr>
      <w:ind w:firstLine="420"/>
    </w:pPr>
    <w:rPr>
      <w:rFonts w:ascii="Calibri" w:hAnsi="Calibri"/>
      <w:szCs w:val="20"/>
    </w:rPr>
  </w:style>
  <w:style w:type="paragraph" w:styleId="16">
    <w:name w:val="Body Text"/>
    <w:qFormat/>
    <w:basedOn w:val="0"/>
    <w:next w:val="17"/>
    <w:pPr>
      <w:widowControl/>
      <w:snapToGrid w:val="0"/>
      <w:spacing w:before="60" w:after="160" w:line="259" w:lineRule="auto"/>
      <w:ind w:right="113"/>
    </w:pPr>
    <w:rPr>
      <w:kern w:val="0"/>
      <w:sz w:val="18"/>
      <w:szCs w:val="20"/>
    </w:rPr>
  </w:style>
  <w:style w:type="paragraph" w:customStyle="1" w:yozoId="4094" w:styleId="17">
    <w:name w:val="xl27"/>
    <w:qFormat/>
    <w:basedOn w:val="0"/>
    <w:autoRedefin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cs="新宋体-18030" w:hAnsi="新宋体-18030"/>
      <w:kern w:val="0"/>
    </w:rPr>
  </w:style>
  <w:style w:type="paragraph" w:styleId="18">
    <w:name w:val="Body Text Indent"/>
    <w:qFormat/>
    <w:basedOn w:val="0"/>
    <w:pPr>
      <w:spacing w:after="120"/>
      <w:ind w:leftChars="200" w:left="200"/>
    </w:pPr>
    <w:rPr>
      <w:kern w:val="0"/>
      <w:sz w:val="24"/>
      <w:szCs w:val="20"/>
    </w:rPr>
  </w:style>
  <w:style w:type="paragraph" w:styleId="19">
    <w:name w:val="Plain Text"/>
    <w:qFormat/>
    <w:basedOn w:val="0"/>
    <w:next w:val="20"/>
    <w:rPr>
      <w:rFonts w:ascii="宋体" w:eastAsia="宋体" w:cs="Courier New" w:hAnsi="Courier New"/>
      <w:kern w:val="2"/>
      <w:sz w:val="21"/>
      <w:szCs w:val="21"/>
      <w:lang w:val="en-US" w:eastAsia="zh-CN" w:bidi="ar-SA"/>
    </w:rPr>
  </w:style>
  <w:style w:type="paragraph" w:customStyle="1" w:yozoId="4094" w:styleId="20">
    <w:name w:val="正本"/>
    <w:qFormat/>
    <w:basedOn w:val="0"/>
    <w:pPr>
      <w:spacing w:line="360" w:lineRule="auto"/>
      <w:ind w:left="198"/>
      <w:jc w:val="left"/>
    </w:pPr>
    <w:rPr>
      <w:rFonts w:ascii="宋体" w:hAnsi="宋体"/>
      <w:sz w:val="24"/>
      <w:szCs w:val="20"/>
    </w:rPr>
  </w:style>
  <w:style w:type="paragraph" w:styleId="21">
    <w:name w:val="Body Text Indent 2"/>
    <w:qFormat/>
    <w:basedOn w:val="0"/>
    <w:pPr>
      <w:spacing w:line="360" w:lineRule="auto"/>
      <w:ind w:firstLineChars="200" w:firstLine="200"/>
    </w:pPr>
    <w:rPr>
      <w:sz w:val="24"/>
    </w:rPr>
  </w:style>
  <w:style w:type="paragraph" w:styleId="22">
    <w:name w:val="footer"/>
    <w:qFormat/>
    <w:basedOn w:val="0"/>
    <w:pPr>
      <w:tabs>
        <w:tab w:val="center" w:pos="4153"/>
        <w:tab w:val="right" w:pos="8306"/>
      </w:tabs>
      <w:snapToGrid w:val="0"/>
      <w:jc w:val="left"/>
    </w:pPr>
    <w:rPr>
      <w:kern w:val="0"/>
      <w:sz w:val="18"/>
      <w:szCs w:val="20"/>
    </w:rPr>
  </w:style>
  <w:style w:type="paragraph" w:styleId="23">
    <w:name w:val="header"/>
    <w:qFormat/>
    <w:basedOn w:val="0"/>
    <w:pPr>
      <w:pBdr>
        <w:bottom w:val="single" w:sz="6" w:space="1" w:color="auto"/>
      </w:pBdr>
      <w:tabs>
        <w:tab w:val="center" w:pos="4153"/>
        <w:tab w:val="right" w:pos="8306"/>
      </w:tabs>
      <w:snapToGrid w:val="0"/>
      <w:jc w:val="center"/>
    </w:pPr>
    <w:rPr>
      <w:kern w:val="0"/>
      <w:sz w:val="18"/>
      <w:szCs w:val="20"/>
    </w:rPr>
  </w:style>
  <w:style w:type="paragraph" w:styleId="24">
    <w:name w:val="toc 1"/>
    <w:qFormat/>
    <w:basedOn w:val="0"/>
    <w:next w:val="0"/>
  </w:style>
  <w:style w:type="paragraph" w:styleId="25">
    <w:name w:val="List"/>
    <w:qFormat/>
    <w:basedOn w:val="0"/>
    <w:pPr>
      <w:widowControl/>
      <w:overflowPunct w:val="0"/>
      <w:autoSpaceDE w:val="0"/>
      <w:autoSpaceDN w:val="0"/>
      <w:adjustRightInd w:val="0"/>
      <w:spacing w:line="360" w:lineRule="auto"/>
      <w:ind w:left="360" w:hanging="360"/>
      <w:jc w:val="left"/>
    </w:pPr>
    <w:rPr>
      <w:kern w:val="0"/>
      <w:sz w:val="20"/>
    </w:rPr>
  </w:style>
  <w:style w:type="paragraph" w:styleId="26">
    <w:name w:val="Body Text Indent 3"/>
    <w:qFormat/>
    <w:basedOn w:val="0"/>
    <w:pPr>
      <w:widowControl/>
      <w:ind w:firstLineChars="200" w:firstLine="200"/>
    </w:pPr>
    <w:rPr>
      <w:spacing w:val="-2"/>
      <w:kern w:val="0"/>
      <w:sz w:val="20"/>
      <w:szCs w:val="20"/>
    </w:rPr>
  </w:style>
  <w:style w:type="paragraph" w:styleId="27">
    <w:name w:val="table of figures"/>
    <w:qFormat/>
    <w:basedOn w:val="0"/>
    <w:next w:val="0"/>
    <w:pPr>
      <w:ind w:leftChars="200" w:left="400" w:hangingChars="200" w:hanging="200"/>
    </w:pPr>
  </w:style>
  <w:style w:type="paragraph" w:styleId="28">
    <w:name w:val="HTML Preformatted"/>
    <w:qFormat/>
    <w:basedOn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cs="Arial" w:hAnsi="Arial"/>
      <w:kern w:val="0"/>
      <w:szCs w:val="21"/>
    </w:rPr>
  </w:style>
  <w:style w:type="paragraph" w:styleId="29">
    <w:name w:val="Normal (Web)"/>
    <w:qFormat/>
    <w:basedOn w:val="0"/>
    <w:pPr>
      <w:widowControl/>
      <w:spacing w:before="100" w:beforeAutospacing="1" w:after="100" w:afterAutospacing="1"/>
      <w:jc w:val="left"/>
    </w:pPr>
    <w:rPr>
      <w:rFonts w:ascii="宋体" w:hAnsi="宋体"/>
      <w:kern w:val="0"/>
      <w:sz w:val="24"/>
      <w:szCs w:val="20"/>
    </w:rPr>
  </w:style>
  <w:style w:type="character" w:styleId="30">
    <w:name w:val="page number"/>
    <w:qFormat/>
    <w:basedOn w:val="10"/>
  </w:style>
  <w:style w:type="character" w:styleId="31">
    <w:name w:val="Emphasis"/>
    <w:qFormat/>
    <w:basedOn w:val="10"/>
    <w:rPr>
      <w:i/>
    </w:rPr>
  </w:style>
  <w:style w:type="character" w:styleId="32">
    <w:name w:val="annotation reference"/>
    <w:qFormat/>
    <w:rPr>
      <w:sz w:val="21"/>
    </w:rPr>
  </w:style>
  <w:style w:type="paragraph" w:customStyle="1" w:yozoId="4094" w:styleId="33">
    <w:name w:val="_Style 1"/>
    <w:qFormat/>
    <w:basedOn w:val="0"/>
    <w:next w:val="0"/>
    <w:pPr>
      <w:ind w:firstLineChars="200" w:firstLine="200"/>
    </w:pPr>
    <w:rPr>
      <w:rFonts w:ascii="Calibri" w:eastAsia="宋体" w:cs="Times New Roman" w:hAnsi="Calibri"/>
      <w:szCs w:val="22"/>
    </w:rPr>
  </w:style>
  <w:style w:type="paragraph" w:customStyle="1" w:yozoId="4094" w:styleId="34">
    <w:name w:val=" 正文"/>
    <w:qFormat/>
    <w:basedOn w:val="0"/>
    <w:pPr>
      <w:tabs>
        <w:tab w:val="left" w:pos="22680"/>
      </w:tabs>
      <w:spacing w:line="360" w:lineRule="auto"/>
      <w:ind w:firstLineChars="200" w:firstLine="200"/>
      <w:jc w:val="left"/>
    </w:pPr>
    <w:rPr>
      <w:rFonts w:ascii="宋体" w:hAnsi="宋体"/>
      <w:sz w:val="24"/>
      <w:szCs w:val="20"/>
    </w:rPr>
  </w:style>
  <w:style w:type="paragraph" w:customStyle="1" w:yozoId="4094" w:styleId="35">
    <w:name w:val="文本"/>
    <w:qFormat/>
    <w:basedOn w:val="0"/>
    <w:next w:val="0"/>
    <w:pPr>
      <w:ind w:firstLine="480"/>
    </w:pPr>
  </w:style>
  <w:style w:type="paragraph" w:customStyle="1" w:yozoId="4094" w:styleId="36">
    <w:name w:val="Default"/>
    <w:qFormat/>
    <w:basedOn w:val="35"/>
    <w:next w:val="22"/>
    <w:pPr>
      <w:widowControl w:val="0"/>
      <w:autoSpaceDE w:val="0"/>
      <w:autoSpaceDN w:val="0"/>
      <w:adjustRightInd w:val="0"/>
    </w:pPr>
    <w:rPr>
      <w:rFonts w:ascii="宋体" w:eastAsia="宋体" w:cs="宋体" w:hAnsi="Calibri"/>
      <w:color w:val="000000"/>
      <w:sz w:val="24"/>
      <w:szCs w:val="24"/>
      <w:lang w:val="en-US" w:eastAsia="zh-CN" w:bidi="ar-SA"/>
    </w:rPr>
  </w:style>
  <w:style w:type="paragraph" w:customStyle="1" w:yozoId="4094" w:styleId="37">
    <w:name w:val="Table Paragraph"/>
    <w:qFormat/>
    <w:basedOn w:val="0"/>
    <w:rPr>
      <w:rFonts w:eastAsia="Times New Roman"/>
    </w:rPr>
  </w:style>
  <w:style w:type="paragraph" w:customStyle="1" w:yozoId="4094" w:styleId="38">
    <w:name w:val="ZW"/>
    <w:qFormat/>
    <w:basedOn w:val="20"/>
    <w:pPr>
      <w:adjustRightInd w:val="0"/>
      <w:snapToGrid w:val="0"/>
      <w:ind w:left="0" w:firstLineChars="200" w:firstLine="200"/>
      <w:jc w:val="both"/>
    </w:pPr>
    <w:rPr>
      <w:rFonts w:ascii="Times New Roman" w:eastAsia="仿宋_GB2312" w:hAnsi="Times New Roman"/>
      <w:kern w:val="0"/>
      <w:sz w:val="28"/>
      <w:szCs w:val="24"/>
    </w:rPr>
  </w:style>
  <w:style w:type="paragraph" w:customStyle="1" w:yozoId="4094" w:styleId="39">
    <w:name w:val="reader-word-layer"/>
    <w:qFormat/>
    <w:basedOn w:val="0"/>
    <w:pPr>
      <w:widowControl/>
      <w:spacing w:before="100" w:beforeAutospacing="1" w:after="100" w:afterAutospacing="1"/>
      <w:jc w:val="left"/>
    </w:pPr>
    <w:rPr>
      <w:rFonts w:ascii="宋体" w:cs="宋体" w:hAnsi="宋体"/>
      <w:kern w:val="0"/>
      <w:sz w:val="24"/>
    </w:rPr>
  </w:style>
  <w:style w:type="paragraph" w:customStyle="1" w:yozoId="4094" w:styleId="40">
    <w:name w:val="报告表小标题"/>
    <w:qFormat/>
    <w:basedOn w:val="0"/>
    <w:pPr>
      <w:spacing w:before="100" w:beforeAutospacing="1" w:line="360" w:lineRule="auto"/>
    </w:pPr>
    <w:rPr>
      <w:b/>
      <w:sz w:val="24"/>
    </w:rPr>
  </w:style>
  <w:style w:type="paragraph" w:customStyle="1" w:yozoId="4094" w:styleId="41">
    <w:name w:val="!正文"/>
    <w:qFormat/>
    <w:basedOn w:val="0"/>
    <w:pPr>
      <w:spacing w:line="480" w:lineRule="exact"/>
      <w:ind w:firstLineChars="200" w:firstLine="200"/>
    </w:pPr>
    <w:rPr>
      <w:rFonts w:cs="宋体" w:hAnsi="宋体"/>
    </w:rPr>
  </w:style>
  <w:style w:type="paragraph" w:customStyle="1" w:yozoId="4094" w:styleId="42">
    <w:name w:val="表格文字2"/>
    <w:qFormat/>
    <w:basedOn w:val="0"/>
    <w:pPr>
      <w:tabs>
        <w:tab w:val="left" w:pos="277"/>
        <w:tab w:val="left" w:pos="600"/>
        <w:tab w:val="left" w:pos="780"/>
        <w:tab w:val="left" w:pos="2517"/>
      </w:tabs>
      <w:adjustRightInd w:val="0"/>
      <w:jc w:val="center"/>
      <w:textAlignment w:val="baseline"/>
    </w:pPr>
    <w:rPr>
      <w:rFonts w:ascii="宋体" w:hAnsi="宋体"/>
      <w:kern w:val="0"/>
      <w:szCs w:val="20"/>
    </w:rPr>
  </w:style>
  <w:style w:type="paragraph" w:customStyle="1" w:yozoId="4094" w:styleId="43">
    <w:name w:val="表格1"/>
    <w:qFormat/>
    <w:basedOn w:val="0"/>
    <w:next w:val="0"/>
    <w:pPr>
      <w:adjustRightInd w:val="0"/>
      <w:spacing w:line="20" w:lineRule="atLeast"/>
      <w:jc w:val="center"/>
      <w:textAlignment w:val="center"/>
    </w:pPr>
    <w:rPr>
      <w:rFonts w:ascii="宋体"/>
      <w:szCs w:val="20"/>
    </w:rPr>
  </w:style>
  <w:style w:type="character" w:customStyle="1" w:yozoId="4094" w:styleId="44">
    <w:name w:val="textfont1"/>
    <w:qFormat/>
    <w:rPr>
      <w:rFonts w:ascii="_x000B__x000C_" w:hAnsi="_x000B__x000C_"/>
      <w:color w:val="000000"/>
      <w:sz w:val="22"/>
      <w:szCs w:val="22"/>
    </w:rPr>
  </w:style>
  <w:style w:type="paragraph" w:customStyle="1" w:yozoId="4094" w:styleId="45">
    <w:name w:val="简单回函地址"/>
    <w:qFormat/>
    <w:basedOn w:val="0"/>
    <w:rPr>
      <w:szCs w:val="20"/>
    </w:rPr>
  </w:style>
  <w:style w:type="paragraph" w:customStyle="1" w:yozoId="4094" w:styleId="46">
    <w:name w:val="环评正文"/>
    <w:qFormat/>
    <w:basedOn w:val="0"/>
    <w:pPr>
      <w:spacing w:beforeLines="30" w:before="30"/>
      <w:ind w:firstLineChars="200" w:firstLine="200"/>
    </w:pPr>
    <w:rPr>
      <w:kern w:val="0"/>
      <w:sz w:val="24"/>
      <w:szCs w:val="20"/>
    </w:rPr>
  </w:style>
  <w:style w:type="paragraph" w:styleId="47">
    <w:name w:val="Quote"/>
    <w:qFormat/>
    <w:basedOn w:val="0"/>
    <w:next w:val="0"/>
    <w:pPr>
      <w:jc w:val="center"/>
    </w:pPr>
    <w:rPr>
      <w:b/>
      <w:iCs/>
      <w:color w:val="000000"/>
      <w:lang w:bidi="en-US"/>
    </w:rPr>
  </w:style>
  <w:style w:type="paragraph" w:styleId="48">
    <w:name w:val="Intense Quote"/>
    <w:qFormat/>
    <w:basedOn w:val="0"/>
    <w:next w:val="0"/>
    <w:pPr>
      <w:jc w:val="center"/>
    </w:pPr>
    <w:rPr>
      <w:bCs/>
      <w:iCs/>
      <w:lang w:bidi="en-US"/>
    </w:rPr>
  </w:style>
  <w:style w:type="paragraph" w:customStyle="1" w:yozoId="4094" w:styleId="49">
    <w:name w:val="表格文字"/>
    <w:qFormat/>
    <w:basedOn w:val="0"/>
    <w:pPr>
      <w:jc w:val="center"/>
    </w:pPr>
  </w:style>
  <w:style w:type="paragraph" w:customStyle="1" w:yozoId="4094" w:styleId="50">
    <w:name w:val="卓龙正文"/>
    <w:qFormat/>
    <w:basedOn w:val="0"/>
    <w:pPr>
      <w:spacing w:line="360" w:lineRule="auto"/>
      <w:ind w:firstLineChars="200" w:firstLine="200"/>
    </w:pPr>
    <w:rPr>
      <w:sz w:val="24"/>
    </w:rPr>
  </w:style>
  <w:style w:type="paragraph" w:customStyle="1" w:yozoId="4094" w:styleId="51">
    <w:name w:val="BG1"/>
    <w:qFormat/>
    <w:basedOn w:val="0"/>
    <w:pPr>
      <w:spacing w:line="360" w:lineRule="auto"/>
      <w:ind w:firstLineChars="200" w:firstLine="200"/>
      <w:jc w:val="center"/>
    </w:pPr>
    <w:rPr>
      <w:b/>
      <w:bCs/>
      <w:color w:val="000000"/>
      <w:kern w:val="0"/>
    </w:rPr>
  </w:style>
  <w:style w:type="paragraph" w:customStyle="1" w:yozoId="4094" w:styleId="52">
    <w:name w:val="4正文"/>
    <w:qFormat/>
    <w:basedOn w:val="0"/>
    <w:pPr>
      <w:spacing w:line="360" w:lineRule="auto"/>
      <w:ind w:firstLineChars="200" w:firstLine="200"/>
    </w:pPr>
    <w:rPr>
      <w:rFonts w:cs="宋体"/>
      <w:sz w:val="24"/>
      <w:szCs w:val="20"/>
    </w:rPr>
  </w:style>
  <w:style w:type="paragraph" w:customStyle="1" w:yozoId="4094" w:styleId="53">
    <w:name w:val="表文字"/>
    <w:qFormat/>
    <w:pPr>
      <w:widowControl w:val="0"/>
      <w:adjustRightInd w:val="0"/>
      <w:snapToGrid w:val="0"/>
      <w:spacing w:line="270" w:lineRule="exact"/>
      <w:ind w:left="57" w:right="57"/>
      <w:jc w:val="center"/>
    </w:pPr>
    <w:rPr>
      <w:rFonts w:ascii="Times New Roman" w:eastAsia="宋体" w:cs="Times New Roman" w:hAnsi="Times New Roman"/>
      <w:kern w:val="18"/>
      <w:sz w:val="18"/>
      <w:szCs w:val="20"/>
      <w:lang w:val="en-GB" w:eastAsia="zh-CN" w:bidi="ar-SA"/>
    </w:rPr>
  </w:style>
  <w:style w:type="paragraph" w:customStyle="1" w:yozoId="4094" w:styleId="54">
    <w:name w:val="表格"/>
    <w:qFormat/>
    <w:basedOn w:val="25"/>
    <w:next w:val="0"/>
    <w:pPr>
      <w:adjustRightInd w:val="0"/>
      <w:snapToGrid w:val="0"/>
      <w:spacing w:beforeLines="10" w:before="10" w:afterLines="10" w:after="10" w:line="259" w:lineRule="auto"/>
      <w:jc w:val="center"/>
    </w:pPr>
    <w:rPr>
      <w:rFonts w:ascii="宋体"/>
      <w:kern w:val="0"/>
      <w:szCs w:val="20"/>
    </w:rPr>
  </w:style>
  <w:style w:type="paragraph" w:customStyle="1" w:yozoId="4094" w:styleId="55">
    <w:name w:val="（正文）"/>
    <w:qFormat/>
    <w:basedOn w:val="0"/>
    <w:pPr>
      <w:ind w:firstLineChars="200" w:firstLine="200"/>
    </w:pPr>
    <w:rPr>
      <w:rFonts w:ascii="Times New Roman" w:hAnsi="Times New Roman"/>
      <w:szCs w:val="20"/>
    </w:rPr>
  </w:style>
  <w:style w:type="paragraph" w:customStyle="1" w:yozoId="4094" w:styleId="56">
    <w:name w:val="00000"/>
    <w:qFormat/>
    <w:rPr>
      <w:rFonts w:ascii="Times New Roman" w:eastAsia="仿宋" w:cs="Times New Roman" w:hAnsi="Times New Roman"/>
      <w:kern w:val="2"/>
      <w:sz w:val="21"/>
      <w:szCs w:val="20"/>
      <w:lang w:val="en-US" w:eastAsia="zh-CN" w:bidi="ar-SA"/>
    </w:rPr>
  </w:style>
  <w:style w:type="paragraph" w:customStyle="1" w:yozoId="4094" w:styleId="57">
    <w:name w:val="表格内格式"/>
    <w:qFormat/>
    <w:basedOn w:val="0"/>
    <w:next w:val="0"/>
    <w:pPr>
      <w:widowControl/>
      <w:spacing w:line="360" w:lineRule="exact"/>
      <w:ind w:firstLine="200"/>
      <w:jc w:val="center"/>
    </w:pPr>
    <w:rPr>
      <w:color w:val="000000"/>
      <w:szCs w:val="24"/>
    </w:rPr>
  </w:style>
  <w:style w:type="paragraph" w:customStyle="1" w:yozoId="4094" w:styleId="58">
    <w:name w:val="A正文1"/>
    <w:qFormat/>
    <w:basedOn w:val="0"/>
    <w:pPr>
      <w:spacing w:line="360" w:lineRule="auto"/>
      <w:ind w:firstLineChars="200" w:firstLine="200"/>
    </w:pPr>
    <w:rPr>
      <w:rFonts w:ascii="Times New Roman" w:hAnsi="Times New Roman"/>
      <w:sz w:val="24"/>
      <w:szCs w:val="28"/>
    </w:rPr>
  </w:style>
  <w:style w:type="character" w:customStyle="1" w:yozoId="4094" w:styleId="59">
    <w:name w:val="font11"/>
    <w:qFormat/>
    <w:basedOn w:val="10"/>
    <w:rPr>
      <w:rFonts w:ascii="宋体" w:eastAsia="宋体" w:cs="宋体" w:hAnsi="宋体"/>
      <w:b/>
      <w:bCs/>
      <w:color w:val="000000"/>
      <w:sz w:val="21"/>
      <w:szCs w:val="21"/>
      <w:u w:val="none"/>
    </w:rPr>
  </w:style>
  <w:style w:type="paragraph" w:customStyle="1" w:yozoId="4094" w:styleId="60">
    <w:name w:val="正文内容"/>
    <w:qFormat/>
    <w:basedOn w:val="18"/>
    <w:pPr>
      <w:widowControl w:val="0"/>
      <w:adjustRightInd/>
      <w:snapToGrid/>
      <w:ind w:leftChars="0" w:left="0"/>
      <w:jc w:val="both"/>
    </w:pPr>
    <w:rPr>
      <w:snapToGrid/>
      <w:szCs w:val="20"/>
    </w:rPr>
  </w:style>
  <w:style w:type="paragraph" w:customStyle="1" w:yozoId="4094" w:styleId="61">
    <w:name w:val="sheet"/>
    <w:qFormat/>
    <w:basedOn w:val="0"/>
    <w:pPr>
      <w:widowControl w:val="0"/>
      <w:suppressAutoHyphens/>
      <w:topLinePunct/>
      <w:jc w:val="center"/>
    </w:pPr>
    <w:rPr>
      <w:kern w:val="0"/>
      <w:szCs w:val="24"/>
    </w:rPr>
  </w:style>
  <w:style w:type="character" w:customStyle="1" w:yozoId="4094" w:styleId="62">
    <w:name w:val="content1"/>
    <w:qFormat/>
    <w:rPr>
      <w:color w:val="000000"/>
      <w:sz w:val="20"/>
      <w:szCs w:val="20"/>
    </w:rPr>
  </w:style>
  <w:style w:type="character" w:customStyle="1" w:yozoId="4094" w:styleId="63">
    <w:name w:val="font61"/>
    <w:qFormat/>
    <w:basedOn w:val="10"/>
    <w:rPr>
      <w:rFonts w:ascii="Times New Roman" w:cs="Times New Roman" w:hAnsi="Times New Roman"/>
      <w:b/>
      <w:bCs/>
      <w:color w:val="000000"/>
      <w:sz w:val="21"/>
      <w:szCs w:val="21"/>
      <w:u w:val="none"/>
    </w:rPr>
  </w:style>
  <w:style w:type="character" w:customStyle="1" w:yozoId="4094" w:styleId="64">
    <w:name w:val="font31"/>
    <w:qFormat/>
    <w:basedOn w:val="10"/>
    <w:rPr>
      <w:rFonts w:ascii="宋体" w:eastAsia="宋体" w:cs="宋体" w:hAnsi="宋体"/>
      <w:color w:val="000000"/>
      <w:sz w:val="21"/>
      <w:szCs w:val="21"/>
      <w:u w:val="none"/>
    </w:rPr>
  </w:style>
  <w:style w:type="character" w:customStyle="1" w:yozoId="4094" w:styleId="65">
    <w:name w:val="font71"/>
    <w:qFormat/>
    <w:basedOn w:val="10"/>
    <w:rPr>
      <w:rFonts w:ascii="Times New Roman" w:cs="Times New Roman" w:hAnsi="Times New Roman"/>
      <w:color w:val="000000"/>
      <w:sz w:val="21"/>
      <w:szCs w:val="21"/>
      <w:u w:val="none"/>
      <w:vertAlign w:val="subscript"/>
    </w:rPr>
  </w:style>
  <w:style w:type="character" w:customStyle="1" w:yozoId="4094" w:styleId="66">
    <w:name w:val="font21"/>
    <w:qFormat/>
    <w:basedOn w:val="10"/>
    <w:rPr>
      <w:rFonts w:ascii="Times New Roman" w:cs="Times New Roman" w:hAnsi="Times New Roman"/>
      <w:color w:val="000000"/>
      <w:sz w:val="21"/>
      <w:szCs w:val="21"/>
      <w:u w:val="none"/>
    </w:rPr>
  </w:style>
  <w:style w:type="paragraph" w:customStyle="1" w:yozoId="4094" w:styleId="67">
    <w:name w:val="正文（用）"/>
    <w:qFormat/>
    <w:basedOn w:val="0"/>
    <w:pPr>
      <w:spacing w:line="360" w:lineRule="auto"/>
      <w:ind w:firstLineChars="200" w:firstLine="200"/>
    </w:pPr>
    <w:rPr>
      <w:rFonts w:ascii="宋体" w:cs="宋体" w:hAnsi="宋体"/>
      <w:sz w:val="24"/>
      <w:szCs w:val="20"/>
    </w:rPr>
  </w:style>
  <w:style w:type="paragraph" w:customStyle="1" w:yozoId="4094" w:styleId="68">
    <w:name w:val="HJ-表格"/>
    <w:qFormat/>
    <w:basedOn w:val="0"/>
    <w:pPr>
      <w:jc w:val="center"/>
    </w:pPr>
    <w:rPr>
      <w:rFonts w:ascii="Calibri" w:hAnsi="Calibri"/>
      <w:b/>
      <w:sz w:val="18"/>
    </w:rPr>
  </w:style>
  <w:style w:type="paragraph" w:customStyle="1" w:yozoId="4094" w:styleId="69">
    <w:name w:val="表格内文字"/>
    <w:qFormat/>
    <w:basedOn w:val="0"/>
    <w:next w:val="0"/>
    <w:pPr>
      <w:jc w:val="center"/>
    </w:pPr>
    <w:rPr>
      <w:rFonts w:ascii="Times New Roman" w:hAnsi="Times New Roman"/>
      <w:spacing w:val="1"/>
      <w:kern w:val="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3.png"/><Relationship Id="rId8" Type="http://schemas.openxmlformats.org/officeDocument/2006/relationships/image" Target="media/5.png"/><Relationship Id="rId9" Type="http://schemas.openxmlformats.org/officeDocument/2006/relationships/image" Target="media/7.png"/><Relationship Id="rId10" Type="http://schemas.openxmlformats.org/officeDocument/2006/relationships/image" Target="media/9.png"/><Relationship Id="rId11" Type="http://schemas.openxmlformats.org/officeDocument/2006/relationships/image" Target="media/12.png"/><Relationship Id="rId12" Type="http://schemas.openxmlformats.org/officeDocument/2006/relationships/image" Target="media/14.png"/><Relationship Id="rId13" Type="http://schemas.openxmlformats.org/officeDocument/2006/relationships/image" Target="media/16.png"/><Relationship Id="rId14" Type="http://schemas.openxmlformats.org/officeDocument/2006/relationships/image" Target="media/18.png"/><Relationship Id="rId15" Type="http://schemas.openxmlformats.org/officeDocument/2006/relationships/footer" Target="footer5.xml"/><Relationship Id="rId16" Type="http://schemas.openxmlformats.org/officeDocument/2006/relationships/styles" Target="styl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customXml" Target="../customXml/item1.xml"/><Relationship Id="rId20" Type="http://schemas.openxmlformats.org/officeDocument/2006/relationships/theme" Target="theme/theme1.xml"/></Relationships>
</file>

<file path=word/theme/theme1.xml><?xml version="1.0" encoding="utf-8"?>
<a:theme xmlns:a="http://schemas.openxmlformats.org/drawingml/2006/main" name="WPS">
  <a:themeElements>
    <a:clrScheme name="WPS">
      <a:dk1>
        <a:srgbClr val="000000"/>
      </a:dk1>
      <a:lt1>
        <a:srgbClr val="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
        <a:ea typeface=""/>
        <a:cs typeface=""/>
      </a:majorFont>
      <a:minorFont>
        <a:latin typeface=""/>
        <a:ea typeface=""/>
        <a:cs typeface=""/>
      </a:minorFont>
    </a:fontScheme>
    <a:fmtScheme name="WPS">
      <a:fillStyleLst>
        <a:solidFill>
          <a:schemeClr val="phClr"/>
        </a:solidFill>
        <a:gradFill rotWithShape="1">
          <a:gsLst>
            <a:gs pos="0">
              <a:schemeClr val="phClr">
                <a:lumOff val="17500"/>
              </a:schemeClr>
            </a:gs>
            <a:gs pos="100000">
              <a:schemeClr val="phClr"/>
            </a:gs>
          </a:gsLst>
          <a:lin ang="2700000" scaled="1"/>
        </a:gradFill>
        <a:gradFill rotWithShape="1">
          <a:gsLst>
            <a:gs pos="0">
              <a:schemeClr val="phClr">
                <a:hueOff val="-2520000"/>
              </a:schemeClr>
            </a:gs>
            <a:gs pos="100000">
              <a:schemeClr val="phClr"/>
            </a:gs>
          </a:gsLst>
          <a:lin ang="2700000" scaled="1"/>
        </a:gradFill>
      </a:fillStyleLst>
      <a:lnStyleLst>
        <a:ln w="12700" cmpd="sng" cap="flat">
          <a:solidFill>
            <a:schemeClr val="phClr"/>
          </a:solidFill>
          <a:prstDash val="solid"/>
          <a:miter/>
        </a:ln>
        <a:ln w="12700" cmpd="sng" cap="flat">
          <a:solidFill>
            <a:schemeClr val="phClr"/>
          </a:solidFill>
          <a:prstDash val="solid"/>
          <a:miter/>
        </a:ln>
        <a:ln w="12700" cmpd="sng" cap="flat">
          <a:gradFill rotWithShape="1">
            <a:gsLst>
              <a:gs pos="0">
                <a:schemeClr val="phClr">
                  <a:hueOff val="-4200000"/>
                </a:schemeClr>
              </a:gs>
              <a:gs pos="100000">
                <a:schemeClr val="phClr"/>
              </a:gs>
            </a:gsLst>
            <a:lin ang="2700000" scaled="1"/>
          </a:gradFill>
          <a:prstDash val="solid"/>
          <a:miter/>
        </a:ln>
      </a:lnStyleLst>
      <a:effectStyleLst>
        <a:effectStyle>
          <a:effectLst>
            <a:outerShdw sx="100000" sy="100000" algn="ctr" rotWithShape="0" blurRad="101600" dist="50800" dir="5400000">
              <a:schemeClr val="phClr">
                <a:alpha val="60000"/>
              </a:schemeClr>
            </a:outerShdw>
          </a:effectLst>
        </a:effectStyle>
        <a:effectStyle>
          <a:effectLst>
            <a:reflection stA="50000" endA="300" endPos="40000" dist="25400" dir="5400000" sy="-100000" algn="bl" rotWithShape="0"/>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sectPr/>
    <sectPr/>
    <sectPr/>
    <sectPr/>
    <sectPr/>
    <sectPr/>
    <sectPr/>
  </customProps>
</customData>
</file>

<file path=customXml/itemProps1.xml><?xml version="1.0" encoding="utf-8"?>
<ds:datastoreItem xmlns:ds="http://schemas.openxmlformats.org/officeDocument/2006/customXml" ds:itemID="{075B138B-25BE-4065-BA3A-82AC1F4C4FCD}">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27</TotalTime>
  <Application>WPS_Yozo_Office9.0.6115.191ZH</Application>
  <Pages>59</Pages>
  <Words>0</Words>
  <Characters>27588</Characters>
  <Lines>0</Lines>
  <Paragraphs>67</Paragraphs>
  <CharactersWithSpaces>36785</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山兮，莫枝</dc:creator>
  <cp:lastModifiedBy>lenovo</cp:lastModifiedBy>
  <cp:revision>6</cp:revision>
  <cp:lastPrinted>2025-12-16T10:30:00Z</cp:lastPrinted>
  <dcterms:created xsi:type="dcterms:W3CDTF">2025-01-19T11:15:00Z</dcterms:created>
  <dcterms:modified xsi:type="dcterms:W3CDTF">2026-02-04T01:08:16Z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2052-12.1.0.24657</vt:lpwstr>
  </property>
  <property fmtid="{D5CDD505-2E9C-101B-9397-08002B2CF9AE}" pid="3" name="ICV">
    <vt:lpwstr>AE72656427C54661B45F93C3854E192B_11</vt:lpwstr>
  </property>
  <property fmtid="{D5CDD505-2E9C-101B-9397-08002B2CF9AE}" pid="4" name="KSOTemplateDocerSaveRecord">
    <vt:lpwstr>eyJoZGlkIjoiMTA4NmU4ODA0YjA4NjFiMDE2MDAyMDZmNWJjOGRlMjQiLCJ1c2VySWQiOiIzMDI3MDkwMTcifQ==</vt:lpwstr>
  </property>
</Properties>
</file>