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C8D1A">
      <w:pPr>
        <w:widowControl/>
        <w:shd w:val="clear" w:color="auto" w:fill="FFFFFF"/>
        <w:spacing w:line="263" w:lineRule="atLeast"/>
        <w:jc w:val="center"/>
        <w:rPr>
          <w:rFonts w:eastAsia="微软雅黑" w:cs="Calibri"/>
          <w:sz w:val="21"/>
          <w:szCs w:val="21"/>
          <w:lang w:eastAsia="zh-CN"/>
        </w:rPr>
      </w:pPr>
      <w:r>
        <w:rPr>
          <w:rFonts w:hint="eastAsia" w:ascii="方正小标宋_GBK" w:eastAsia="方正小标宋_GBK" w:cs="Calibri"/>
          <w:sz w:val="44"/>
          <w:szCs w:val="44"/>
          <w:lang w:eastAsia="zh-CN"/>
        </w:rPr>
        <w:t>桃源县市场监督管理局</w:t>
      </w:r>
    </w:p>
    <w:p w14:paraId="3C68BAFB">
      <w:pPr>
        <w:widowControl/>
        <w:shd w:val="clear" w:color="auto" w:fill="FFFFFF"/>
        <w:spacing w:line="263" w:lineRule="atLeast"/>
        <w:jc w:val="center"/>
        <w:rPr>
          <w:rFonts w:eastAsia="微软雅黑" w:cs="Calibri"/>
          <w:sz w:val="21"/>
          <w:szCs w:val="21"/>
          <w:lang w:eastAsia="zh-CN"/>
        </w:rPr>
      </w:pPr>
      <w:r>
        <w:rPr>
          <w:rFonts w:hint="eastAsia" w:ascii="方正小标宋_GBK" w:eastAsia="方正小标宋_GBK" w:cs="Calibri"/>
          <w:sz w:val="44"/>
          <w:szCs w:val="44"/>
          <w:lang w:eastAsia="zh-CN"/>
        </w:rPr>
        <w:t>行政处罚告知书</w:t>
      </w:r>
    </w:p>
    <w:p w14:paraId="369CC372">
      <w:pPr>
        <w:widowControl/>
        <w:shd w:val="clear" w:color="auto" w:fill="FFFFFF"/>
        <w:jc w:val="center"/>
        <w:rPr>
          <w:rFonts w:ascii="仿宋" w:hAnsi="仿宋" w:eastAsia="仿宋"/>
          <w:sz w:val="32"/>
          <w:szCs w:val="32"/>
          <w:lang w:eastAsia="zh-CN"/>
        </w:rPr>
      </w:pPr>
      <w:r>
        <w:rPr>
          <w:rFonts w:hint="eastAsia" w:ascii="仿宋" w:hAnsi="Times New Roman" w:eastAsia="仿宋"/>
          <w:sz w:val="32"/>
          <w:szCs w:val="32"/>
          <w:lang w:eastAsia="zh-CN"/>
        </w:rPr>
        <w:t>桃</w:t>
      </w:r>
      <w:r>
        <w:rPr>
          <w:rFonts w:ascii="仿宋" w:hAnsi="仿宋" w:eastAsia="仿宋"/>
          <w:sz w:val="32"/>
          <w:szCs w:val="32"/>
          <w:lang w:eastAsia="zh-CN"/>
        </w:rPr>
        <w:t>市监</w:t>
      </w:r>
      <w:r>
        <w:rPr>
          <w:rFonts w:hint="eastAsia" w:ascii="仿宋" w:hAnsi="仿宋" w:eastAsia="仿宋"/>
          <w:sz w:val="32"/>
          <w:szCs w:val="32"/>
          <w:lang w:eastAsia="zh-CN"/>
        </w:rPr>
        <w:t>案听告字</w:t>
      </w:r>
      <w:r>
        <w:rPr>
          <w:rFonts w:ascii="仿宋" w:hAnsi="仿宋" w:eastAsia="仿宋"/>
          <w:sz w:val="32"/>
          <w:szCs w:val="32"/>
          <w:lang w:eastAsia="zh-CN"/>
        </w:rPr>
        <w:t>〔</w:t>
      </w:r>
      <w:r>
        <w:rPr>
          <w:rFonts w:hint="eastAsia" w:ascii="Times New Roman" w:hAnsi="Times New Roman" w:eastAsia="仿宋"/>
          <w:sz w:val="32"/>
          <w:szCs w:val="32"/>
          <w:lang w:eastAsia="zh-CN"/>
        </w:rPr>
        <w:t>2026</w:t>
      </w:r>
      <w:r>
        <w:rPr>
          <w:rFonts w:ascii="仿宋" w:hAnsi="仿宋" w:eastAsia="仿宋"/>
          <w:sz w:val="32"/>
          <w:szCs w:val="32"/>
          <w:lang w:eastAsia="zh-CN"/>
        </w:rPr>
        <w:t>〕</w:t>
      </w:r>
      <w:r>
        <w:rPr>
          <w:rFonts w:hint="eastAsia" w:ascii="Times New Roman" w:hAnsi="Times New Roman" w:eastAsia="仿宋"/>
          <w:sz w:val="32"/>
          <w:szCs w:val="32"/>
          <w:lang w:val="en-US" w:eastAsia="zh-CN"/>
        </w:rPr>
        <w:t>113</w:t>
      </w:r>
      <w:r>
        <w:rPr>
          <w:rFonts w:ascii="仿宋" w:hAnsi="仿宋" w:eastAsia="仿宋"/>
          <w:sz w:val="32"/>
          <w:szCs w:val="32"/>
          <w:lang w:eastAsia="zh-CN"/>
        </w:rPr>
        <w:t>号</w:t>
      </w:r>
    </w:p>
    <w:p w14:paraId="1ADB37DD">
      <w:pPr>
        <w:wordWrap w:val="0"/>
        <w:snapToGrid w:val="0"/>
        <w:spacing w:afterLines="100" w:line="140" w:lineRule="exact"/>
        <w:rPr>
          <w:rFonts w:ascii="仿宋" w:hAnsi="仿宋" w:eastAsia="仿宋" w:cs="仿宋"/>
          <w:sz w:val="32"/>
          <w:szCs w:val="32"/>
          <w:u w:val="thick"/>
          <w:lang w:eastAsia="zh-CN"/>
        </w:rPr>
      </w:pPr>
      <w:r>
        <w:rPr>
          <w:rFonts w:ascii="仿宋" w:hAnsi="仿宋" w:eastAsia="仿宋" w:cs="仿宋"/>
          <w:sz w:val="32"/>
          <w:szCs w:val="32"/>
          <w:u w:val="thick"/>
          <w:lang w:eastAsia="zh-CN"/>
        </w:rPr>
        <w:t xml:space="preserve">                                                   </w:t>
      </w:r>
      <w:r>
        <w:rPr>
          <w:rFonts w:hint="eastAsia" w:ascii="仿宋" w:hAnsi="仿宋" w:eastAsia="仿宋" w:cs="仿宋"/>
          <w:sz w:val="32"/>
          <w:szCs w:val="32"/>
          <w:u w:val="thick"/>
          <w:lang w:eastAsia="zh-CN"/>
        </w:rPr>
        <w:t xml:space="preserve">   </w:t>
      </w:r>
      <w:r>
        <w:rPr>
          <w:rFonts w:hint="eastAsia" w:ascii="仿宋" w:hAnsi="仿宋" w:eastAsia="仿宋"/>
          <w:sz w:val="32"/>
          <w:szCs w:val="32"/>
          <w:u w:val="thick"/>
          <w:lang w:eastAsia="zh-CN"/>
        </w:rPr>
        <w:t xml:space="preserve"> </w:t>
      </w:r>
    </w:p>
    <w:p w14:paraId="1431A7AD">
      <w:pPr>
        <w:keepNext w:val="0"/>
        <w:keepLines w:val="0"/>
        <w:pageBreakBefore w:val="0"/>
        <w:widowControl/>
        <w:shd w:val="clear" w:color="auto" w:fill="FFFFFF"/>
        <w:kinsoku/>
        <w:wordWrap/>
        <w:overflowPunct/>
        <w:topLinePunct w:val="0"/>
        <w:autoSpaceDE/>
        <w:autoSpaceDN/>
        <w:bidi w:val="0"/>
        <w:snapToGrid/>
        <w:spacing w:line="560" w:lineRule="exact"/>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sz w:val="32"/>
          <w:szCs w:val="32"/>
          <w:lang w:eastAsia="zh-CN"/>
        </w:rPr>
        <w:t>：</w:t>
      </w:r>
    </w:p>
    <w:p w14:paraId="4B6A1BB4">
      <w:pPr>
        <w:keepNext w:val="0"/>
        <w:keepLines w:val="0"/>
        <w:pageBreakBefore w:val="0"/>
        <w:widowControl/>
        <w:shd w:val="clear" w:color="auto" w:fill="FFFFFF"/>
        <w:kinsoku/>
        <w:wordWrap/>
        <w:overflowPunct/>
        <w:topLinePunct w:val="0"/>
        <w:autoSpaceDE/>
        <w:autoSpaceDN/>
        <w:bidi w:val="0"/>
        <w:snapToGrid/>
        <w:spacing w:line="560" w:lineRule="exact"/>
        <w:ind w:firstLine="624"/>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由本局立案调查</w:t>
      </w:r>
      <w:r>
        <w:rPr>
          <w:rFonts w:hint="eastAsia" w:ascii="仿宋_GB2312" w:hAnsi="仿宋_GB2312" w:eastAsia="仿宋_GB2312" w:cs="仿宋_GB2312"/>
          <w:bCs/>
          <w:sz w:val="32"/>
          <w:szCs w:val="32"/>
          <w:lang w:eastAsia="zh-CN"/>
        </w:rPr>
        <w:t>你（单位）</w:t>
      </w:r>
      <w:r>
        <w:rPr>
          <w:rFonts w:hint="eastAsia" w:ascii="仿宋_GB2312" w:hAnsi="仿宋_GB2312" w:eastAsia="仿宋_GB2312" w:cs="仿宋_GB2312"/>
          <w:bCs/>
          <w:sz w:val="32"/>
          <w:szCs w:val="32"/>
          <w:lang w:val="en-US" w:eastAsia="zh-CN"/>
        </w:rPr>
        <w:t>连续2年未按规定报送年度报告被列入经营异常名录未改正，且通过登记的住所无法取得联系</w:t>
      </w:r>
      <w:r>
        <w:rPr>
          <w:rFonts w:hint="eastAsia" w:ascii="仿宋_GB2312" w:hAnsi="仿宋_GB2312" w:eastAsia="仿宋_GB2312" w:cs="仿宋_GB2312"/>
          <w:bCs/>
          <w:sz w:val="32"/>
          <w:szCs w:val="32"/>
          <w:lang w:eastAsia="zh-CN"/>
        </w:rPr>
        <w:t>一案</w:t>
      </w:r>
      <w:r>
        <w:rPr>
          <w:rFonts w:hint="eastAsia" w:ascii="仿宋_GB2312" w:hAnsi="仿宋_GB2312" w:eastAsia="仿宋_GB2312" w:cs="仿宋_GB2312"/>
          <w:sz w:val="32"/>
          <w:szCs w:val="32"/>
          <w:lang w:eastAsia="zh-CN"/>
        </w:rPr>
        <w:t>，已调查终结。依据《中华人民共和国行政处罚法》第四十四条的规定，现将本局拟作出行政处罚的内容及事实、理由、依据告知如下：</w:t>
      </w:r>
    </w:p>
    <w:p w14:paraId="45708736">
      <w:pPr>
        <w:keepNext w:val="0"/>
        <w:keepLines w:val="0"/>
        <w:pageBreakBefore w:val="0"/>
        <w:tabs>
          <w:tab w:val="left" w:pos="360"/>
        </w:tabs>
        <w:kinsoku/>
        <w:wordWrap/>
        <w:overflowPunct/>
        <w:topLinePunct w:val="0"/>
        <w:autoSpaceDE/>
        <w:autoSpaceDN/>
        <w:bidi w:val="0"/>
        <w:adjustRightInd/>
        <w:snapToGrid w:val="0"/>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2026年8月，本局信用监管股根据湖南省市场监督管理局文件（湘市监办函〔2024〕35号）关于执法稽查部门要“依法做好长期停业未经营‘僵尸’企业的清理吊销工作”要求，对相关企业进行了监督检查，发现</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51家企业连续2年未按规定报送年度报告被列入经营异常名录未改正</w:t>
      </w:r>
      <w:r>
        <w:rPr>
          <w:rFonts w:hint="eastAsia" w:ascii="仿宋_GB2312" w:hAnsi="仿宋_GB2312" w:eastAsia="仿宋_GB2312" w:cs="仿宋_GB2312"/>
          <w:sz w:val="32"/>
          <w:szCs w:val="32"/>
          <w:lang w:val="en-US" w:eastAsia="zh-CN"/>
        </w:rPr>
        <w:t>，涉嫌违反《企业信息公示暂行条例》第八条的规定。</w:t>
      </w:r>
    </w:p>
    <w:p w14:paraId="3A53B363">
      <w:pPr>
        <w:keepNext w:val="0"/>
        <w:keepLines w:val="0"/>
        <w:pageBreakBefore w:val="0"/>
        <w:tabs>
          <w:tab w:val="left" w:pos="360"/>
        </w:tabs>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　　</w:t>
      </w:r>
      <w:r>
        <w:rPr>
          <w:rFonts w:hint="eastAsia" w:ascii="仿宋_GB2312" w:hAnsi="仿宋_GB2312" w:eastAsia="仿宋_GB2312" w:cs="仿宋_GB2312"/>
          <w:sz w:val="32"/>
          <w:szCs w:val="32"/>
        </w:rPr>
        <w:t>经查，</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sz w:val="32"/>
          <w:szCs w:val="32"/>
        </w:rPr>
        <w:t>均系本局辖区内依法核准登记设立的企业。根据《企业信息公示暂行条例》第八条第一款的规定，企业应当于每年1月1日至6月30日，通过国家企业信用信息公示系统报送上一年度年度报告并向社会公示。经登录“湖南省市场主体综合管理系统”查询核实，</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sz w:val="32"/>
          <w:szCs w:val="32"/>
          <w:lang w:eastAsia="zh-CN"/>
        </w:rPr>
        <w:t>于</w:t>
      </w:r>
      <w:r>
        <w:rPr>
          <w:rFonts w:hint="eastAsia" w:ascii="仿宋_GB2312" w:hAnsi="仿宋_GB2312" w:eastAsia="仿宋_GB2312" w:cs="仿宋_GB2312"/>
          <w:sz w:val="32"/>
          <w:szCs w:val="32"/>
          <w:lang w:val="en-US" w:eastAsia="zh-CN"/>
        </w:rPr>
        <w:t>2023年、2024年</w:t>
      </w:r>
      <w:r>
        <w:rPr>
          <w:rFonts w:hint="eastAsia" w:ascii="仿宋_GB2312" w:hAnsi="仿宋_GB2312" w:eastAsia="仿宋_GB2312" w:cs="仿宋_GB2312"/>
          <w:sz w:val="32"/>
          <w:szCs w:val="32"/>
        </w:rPr>
        <w:t>连续2年未按规定报送年度报告，已被本局依法列入经营异常名录，且至今未改正。</w:t>
      </w:r>
    </w:p>
    <w:p w14:paraId="748AAA1A">
      <w:pPr>
        <w:keepNext w:val="0"/>
        <w:keepLines w:val="0"/>
        <w:pageBreakBefore w:val="0"/>
        <w:tabs>
          <w:tab w:val="left" w:pos="360"/>
        </w:tabs>
        <w:kinsoku/>
        <w:wordWrap/>
        <w:overflowPunct/>
        <w:topLinePunct w:val="0"/>
        <w:autoSpaceDE/>
        <w:autoSpaceDN/>
        <w:bidi w:val="0"/>
        <w:adjustRightInd/>
        <w:snapToGrid w:val="0"/>
        <w:spacing w:line="560" w:lineRule="exact"/>
        <w:ind w:firstLine="65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2026年8月11日和9月11日，本局信用监管股分两次对</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51家企业连续2年未按规定报送年度报告被列入经营异常名录未改正的经营主体，通过中国邮政EMS特快专递寄送《关于拟对长期未年报企业依法吊销营业执照的告知函》，均无人签收。</w:t>
      </w:r>
      <w:r>
        <w:rPr>
          <w:rFonts w:hint="eastAsia" w:ascii="仿宋_GB2312" w:hAnsi="仿宋_GB2312" w:eastAsia="仿宋_GB2312" w:cs="仿宋_GB2312"/>
          <w:sz w:val="32"/>
          <w:szCs w:val="32"/>
        </w:rPr>
        <w:t>据此，依法认定</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sz w:val="32"/>
          <w:szCs w:val="32"/>
        </w:rPr>
        <w:t>通过登记的住所（经营场所）无法取得联系。</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上述事实，</w:t>
      </w:r>
      <w:r>
        <w:rPr>
          <w:rFonts w:hint="eastAsia" w:ascii="仿宋_GB2312" w:hAnsi="仿宋_GB2312" w:eastAsia="仿宋_GB2312" w:cs="仿宋_GB2312"/>
          <w:sz w:val="32"/>
          <w:szCs w:val="32"/>
          <w:lang w:eastAsia="zh-CN"/>
        </w:rPr>
        <w:t>本局</w:t>
      </w:r>
      <w:r>
        <w:rPr>
          <w:rFonts w:hint="eastAsia" w:ascii="仿宋_GB2312" w:hAnsi="仿宋_GB2312" w:eastAsia="仿宋_GB2312" w:cs="仿宋_GB2312"/>
          <w:sz w:val="32"/>
          <w:szCs w:val="32"/>
        </w:rPr>
        <w:t>依法收集了以下证据予以证实：</w:t>
      </w:r>
    </w:p>
    <w:p w14:paraId="3205C181">
      <w:pPr>
        <w:keepNext w:val="0"/>
        <w:keepLines w:val="0"/>
        <w:pageBreakBefore w:val="0"/>
        <w:tabs>
          <w:tab w:val="left" w:pos="36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Cs/>
          <w:sz w:val="32"/>
          <w:szCs w:val="32"/>
        </w:rPr>
        <w:t>证据</w:t>
      </w:r>
      <w:r>
        <w:rPr>
          <w:rFonts w:hint="eastAsia" w:ascii="仿宋_GB2312" w:hAnsi="仿宋_GB2312" w:eastAsia="仿宋_GB2312" w:cs="仿宋_GB2312"/>
          <w:bCs/>
          <w:sz w:val="32"/>
          <w:szCs w:val="32"/>
          <w:lang w:eastAsia="zh-CN"/>
        </w:rPr>
        <w:t>一</w:t>
      </w:r>
      <w:r>
        <w:rPr>
          <w:rFonts w:hint="eastAsia" w:ascii="仿宋_GB2312" w:hAnsi="仿宋_GB2312" w:eastAsia="仿宋_GB2312" w:cs="仿宋_GB2312"/>
          <w:bCs/>
          <w:sz w:val="32"/>
          <w:szCs w:val="32"/>
        </w:rPr>
        <w:t>：</w:t>
      </w:r>
      <w:r>
        <w:rPr>
          <w:rFonts w:hint="eastAsia" w:ascii="仿宋_GB2312" w:hAnsi="仿宋_GB2312" w:eastAsia="仿宋_GB2312" w:cs="仿宋_GB2312"/>
          <w:sz w:val="32"/>
          <w:szCs w:val="32"/>
        </w:rPr>
        <w:t>《案件线索移交单》1份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sz w:val="32"/>
          <w:szCs w:val="32"/>
          <w:lang w:eastAsia="zh-CN"/>
        </w:rPr>
        <w:t>《2023年、2024年连续两年未年报企业名单》</w:t>
      </w:r>
      <w:r>
        <w:rPr>
          <w:rFonts w:hint="eastAsia" w:ascii="仿宋_GB2312" w:hAnsi="仿宋_GB2312" w:eastAsia="仿宋_GB2312" w:cs="仿宋_GB2312"/>
          <w:bCs/>
          <w:sz w:val="32"/>
          <w:szCs w:val="32"/>
          <w:lang w:val="en-US" w:eastAsia="zh-CN"/>
        </w:rPr>
        <w:t>1份，证明案件来源情况</w:t>
      </w:r>
      <w:r>
        <w:rPr>
          <w:rFonts w:hint="eastAsia" w:ascii="仿宋_GB2312" w:hAnsi="仿宋_GB2312" w:eastAsia="仿宋_GB2312" w:cs="仿宋_GB2312"/>
          <w:sz w:val="32"/>
          <w:szCs w:val="32"/>
        </w:rPr>
        <w:t>；</w:t>
      </w:r>
    </w:p>
    <w:p w14:paraId="3D169B6A">
      <w:pPr>
        <w:pStyle w:val="2"/>
        <w:keepNext w:val="0"/>
        <w:keepLines w:val="0"/>
        <w:pageBreakBefore w:val="0"/>
        <w:kinsoku/>
        <w:wordWrap/>
        <w:overflowPunct/>
        <w:topLinePunct w:val="0"/>
        <w:autoSpaceDE/>
        <w:autoSpaceDN/>
        <w:bidi w:val="0"/>
        <w:adjustRightInd w:val="0"/>
        <w:snapToGrid/>
        <w:spacing w:after="0"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证据</w:t>
      </w:r>
      <w:r>
        <w:rPr>
          <w:rFonts w:hint="eastAsia" w:ascii="仿宋_GB2312" w:hAnsi="仿宋_GB2312" w:eastAsia="仿宋_GB2312" w:cs="仿宋_GB2312"/>
          <w:kern w:val="0"/>
          <w:sz w:val="32"/>
          <w:szCs w:val="32"/>
          <w:lang w:eastAsia="zh-CN"/>
        </w:rPr>
        <w:t>二</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湖南省市场监督管理局市场主体综合管理系统中提取</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sz w:val="32"/>
          <w:szCs w:val="32"/>
        </w:rPr>
        <w:t>内资企业登记基本情况表</w:t>
      </w:r>
      <w:r>
        <w:rPr>
          <w:rFonts w:hint="eastAsia" w:ascii="仿宋_GB2312" w:hAnsi="仿宋_GB2312" w:eastAsia="仿宋_GB2312" w:cs="仿宋_GB2312"/>
          <w:kern w:val="0"/>
          <w:sz w:val="32"/>
          <w:szCs w:val="32"/>
          <w:lang w:val="en-US" w:eastAsia="zh-CN"/>
        </w:rPr>
        <w:t>》打印件</w:t>
      </w:r>
      <w:r>
        <w:rPr>
          <w:rFonts w:hint="eastAsia" w:ascii="仿宋_GB2312" w:hAnsi="仿宋_GB2312" w:eastAsia="仿宋_GB2312" w:cs="仿宋_GB2312"/>
          <w:sz w:val="32"/>
          <w:szCs w:val="32"/>
        </w:rPr>
        <w:t>各1份</w:t>
      </w:r>
      <w:r>
        <w:rPr>
          <w:rFonts w:hint="eastAsia" w:ascii="仿宋_GB2312" w:hAnsi="仿宋_GB2312" w:eastAsia="仿宋_GB2312" w:cs="仿宋_GB2312"/>
          <w:kern w:val="0"/>
          <w:sz w:val="32"/>
          <w:szCs w:val="32"/>
        </w:rPr>
        <w:t>，证明</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kern w:val="0"/>
          <w:sz w:val="32"/>
          <w:szCs w:val="32"/>
          <w:lang w:eastAsia="zh-CN"/>
        </w:rPr>
        <w:t>的主体资格</w:t>
      </w:r>
      <w:r>
        <w:rPr>
          <w:rFonts w:hint="eastAsia" w:ascii="仿宋_GB2312" w:hAnsi="仿宋_GB2312" w:eastAsia="仿宋_GB2312" w:cs="仿宋_GB2312"/>
          <w:kern w:val="0"/>
          <w:sz w:val="32"/>
          <w:szCs w:val="32"/>
        </w:rPr>
        <w:t>；</w:t>
      </w:r>
    </w:p>
    <w:p w14:paraId="7934A940">
      <w:pPr>
        <w:pStyle w:val="2"/>
        <w:keepNext w:val="0"/>
        <w:keepLines w:val="0"/>
        <w:pageBreakBefore w:val="0"/>
        <w:kinsoku/>
        <w:wordWrap/>
        <w:overflowPunct/>
        <w:topLinePunct w:val="0"/>
        <w:autoSpaceDE/>
        <w:autoSpaceDN/>
        <w:bidi w:val="0"/>
        <w:adjustRightInd w:val="0"/>
        <w:snapToGrid/>
        <w:spacing w:after="0" w:line="560" w:lineRule="exact"/>
        <w:ind w:left="0" w:leftChars="0"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证据</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湖南省市场监督管理局市场主体综合管理系统中提取</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kern w:val="0"/>
          <w:sz w:val="32"/>
          <w:szCs w:val="32"/>
          <w:lang w:val="en-US" w:eastAsia="zh-CN"/>
        </w:rPr>
        <w:t>《公示信息》打印件</w:t>
      </w:r>
      <w:r>
        <w:rPr>
          <w:rFonts w:hint="eastAsia" w:ascii="仿宋_GB2312" w:hAnsi="仿宋_GB2312" w:eastAsia="仿宋_GB2312" w:cs="仿宋_GB2312"/>
          <w:sz w:val="32"/>
          <w:szCs w:val="32"/>
        </w:rPr>
        <w:t>各1份</w:t>
      </w:r>
      <w:r>
        <w:rPr>
          <w:rFonts w:hint="eastAsia" w:ascii="仿宋_GB2312" w:hAnsi="仿宋_GB2312" w:eastAsia="仿宋_GB2312" w:cs="仿宋_GB2312"/>
          <w:kern w:val="0"/>
          <w:sz w:val="32"/>
          <w:szCs w:val="32"/>
        </w:rPr>
        <w:t>，证明</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51家企业2023年、2024年连续2年未按规定报送年度报告被列入经营异常名录未改正的事实</w:t>
      </w:r>
      <w:r>
        <w:rPr>
          <w:rFonts w:hint="eastAsia" w:ascii="仿宋_GB2312" w:hAnsi="仿宋_GB2312" w:eastAsia="仿宋_GB2312" w:cs="仿宋_GB2312"/>
          <w:kern w:val="0"/>
          <w:sz w:val="32"/>
          <w:szCs w:val="32"/>
        </w:rPr>
        <w:t>；</w:t>
      </w:r>
    </w:p>
    <w:p w14:paraId="09A9B3D6">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证据</w:t>
      </w:r>
      <w:r>
        <w:rPr>
          <w:rFonts w:hint="eastAsia" w:ascii="仿宋_GB2312" w:hAnsi="仿宋_GB2312" w:eastAsia="仿宋_GB2312" w:cs="仿宋_GB2312"/>
          <w:bCs/>
          <w:sz w:val="32"/>
          <w:szCs w:val="32"/>
          <w:lang w:eastAsia="zh-CN"/>
        </w:rPr>
        <w:t>四</w:t>
      </w:r>
      <w:r>
        <w:rPr>
          <w:rFonts w:hint="eastAsia" w:ascii="仿宋_GB2312" w:hAnsi="仿宋_GB2312" w:eastAsia="仿宋_GB2312" w:cs="仿宋_GB2312"/>
          <w:bCs/>
          <w:sz w:val="32"/>
          <w:szCs w:val="32"/>
        </w:rPr>
        <w:t>：</w:t>
      </w:r>
      <w:r>
        <w:rPr>
          <w:rFonts w:hint="eastAsia" w:ascii="仿宋_GB2312" w:hAnsi="仿宋_GB2312" w:eastAsia="仿宋_GB2312" w:cs="仿宋_GB2312"/>
          <w:sz w:val="32"/>
          <w:szCs w:val="32"/>
        </w:rPr>
        <w:t>中国邮政集团有限公司</w:t>
      </w:r>
      <w:r>
        <w:rPr>
          <w:rFonts w:hint="eastAsia" w:ascii="仿宋_GB2312" w:hAnsi="仿宋_GB2312" w:eastAsia="仿宋_GB2312" w:cs="仿宋_GB2312"/>
          <w:sz w:val="32"/>
          <w:szCs w:val="32"/>
          <w:lang w:eastAsia="zh-CN"/>
        </w:rPr>
        <w:t>湖南省桃源县</w:t>
      </w:r>
      <w:r>
        <w:rPr>
          <w:rFonts w:hint="eastAsia" w:ascii="仿宋_GB2312" w:hAnsi="仿宋_GB2312" w:eastAsia="仿宋_GB2312" w:cs="仿宋_GB2312"/>
          <w:sz w:val="32"/>
          <w:szCs w:val="32"/>
        </w:rPr>
        <w:t>分公司寄递业务部出具的《证明》2份、两次邮寄专用信函物流截图</w:t>
      </w:r>
      <w:r>
        <w:rPr>
          <w:rFonts w:hint="eastAsia" w:ascii="仿宋_GB2312" w:hAnsi="仿宋_GB2312" w:eastAsia="仿宋_GB2312" w:cs="仿宋_GB2312"/>
          <w:sz w:val="32"/>
          <w:szCs w:val="32"/>
          <w:lang w:val="en-US" w:eastAsia="zh-CN"/>
        </w:rPr>
        <w:t>51</w:t>
      </w:r>
      <w:r>
        <w:rPr>
          <w:rFonts w:hint="eastAsia" w:ascii="仿宋_GB2312" w:hAnsi="仿宋_GB2312" w:eastAsia="仿宋_GB2312" w:cs="仿宋_GB2312"/>
          <w:sz w:val="32"/>
          <w:szCs w:val="32"/>
        </w:rPr>
        <w:t>份、专用信函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sz w:val="32"/>
          <w:szCs w:val="32"/>
          <w:lang w:val="en-US" w:eastAsia="zh-CN"/>
        </w:rPr>
        <w:t>关于拟对长期未年报企业依法吊销营业执照的告知函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51</w:t>
      </w:r>
      <w:r>
        <w:rPr>
          <w:rFonts w:hint="eastAsia" w:ascii="仿宋_GB2312" w:hAnsi="仿宋_GB2312" w:eastAsia="仿宋_GB2312" w:cs="仿宋_GB2312"/>
          <w:sz w:val="32"/>
          <w:szCs w:val="32"/>
        </w:rPr>
        <w:t>份</w:t>
      </w:r>
      <w:r>
        <w:rPr>
          <w:rFonts w:hint="eastAsia" w:ascii="仿宋_GB2312" w:hAnsi="仿宋_GB2312" w:eastAsia="仿宋_GB2312" w:cs="仿宋_GB2312"/>
          <w:sz w:val="32"/>
          <w:szCs w:val="32"/>
          <w:lang w:eastAsia="zh-CN"/>
        </w:rPr>
        <w:t>，证明</w:t>
      </w:r>
      <w:r>
        <w:rPr>
          <w:rFonts w:hint="eastAsia" w:ascii="仿宋_GB2312" w:hAnsi="仿宋_GB2312" w:eastAsia="仿宋_GB2312" w:cs="仿宋_GB2312"/>
          <w:sz w:val="32"/>
          <w:szCs w:val="32"/>
        </w:rPr>
        <w:t>通过</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sz w:val="32"/>
          <w:szCs w:val="32"/>
        </w:rPr>
        <w:t>登记的住所（经营场所）无法取得联系</w:t>
      </w:r>
      <w:r>
        <w:rPr>
          <w:rFonts w:hint="eastAsia" w:ascii="仿宋_GB2312" w:hAnsi="仿宋_GB2312" w:eastAsia="仿宋_GB2312" w:cs="仿宋_GB2312"/>
          <w:sz w:val="32"/>
          <w:szCs w:val="32"/>
          <w:lang w:eastAsia="zh-CN"/>
        </w:rPr>
        <w:t>的事实。</w:t>
      </w:r>
    </w:p>
    <w:p w14:paraId="3AE55D43">
      <w:pPr>
        <w:wordWrap w:val="0"/>
        <w:spacing w:line="52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本局认为，常德鹏旭装饰工程有限公司等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上述</w:t>
      </w:r>
      <w:r>
        <w:rPr>
          <w:rFonts w:hint="eastAsia" w:ascii="仿宋_GB2312" w:hAnsi="仿宋_GB2312" w:eastAsia="仿宋_GB2312" w:cs="仿宋_GB2312"/>
          <w:sz w:val="32"/>
          <w:szCs w:val="32"/>
        </w:rPr>
        <w:t>行为，违反了《企业信息公示暂行条例》第八条第一款之规定，属于连续2年未按规定报送年度报告被列入经营异常名录未改正，且通过登记的住所或者经营场所无法取得联系的违法情形。</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
        </w:rPr>
        <w:t xml:space="preserve">    </w:t>
      </w:r>
      <w:r>
        <w:rPr>
          <w:rFonts w:hint="eastAsia" w:ascii="仿宋_GB2312" w:hAnsi="仿宋_GB2312" w:eastAsia="仿宋_GB2312" w:cs="仿宋_GB2312"/>
          <w:sz w:val="32"/>
          <w:szCs w:val="32"/>
        </w:rPr>
        <w:t>依据《企业信息公示暂行条例》第十八条第一款“企业因连续2年未按规定报送年度报告被列入经营异常名录未改正，且通过登记的住所或者经营场所无法取得联系的，由县级以上市场监督管理部门吊销营业执照”之规定，</w:t>
      </w:r>
      <w:r>
        <w:rPr>
          <w:rFonts w:hint="eastAsia" w:ascii="仿宋_GB2312" w:hAnsi="仿宋_GB2312" w:eastAsia="仿宋_GB2312" w:cs="仿宋_GB2312"/>
          <w:sz w:val="32"/>
          <w:szCs w:val="32"/>
          <w:lang w:eastAsia="zh-CN"/>
        </w:rPr>
        <w:t>本局拟决定</w:t>
      </w:r>
      <w:r>
        <w:rPr>
          <w:rFonts w:hint="eastAsia" w:ascii="仿宋_GB2312" w:hAnsi="仿宋_GB2312" w:eastAsia="仿宋_GB2312" w:cs="仿宋_GB2312"/>
          <w:sz w:val="32"/>
          <w:szCs w:val="32"/>
        </w:rPr>
        <w:t>依法吊销常德鹏旭装饰工程有限公司等</w:t>
      </w:r>
      <w:r>
        <w:rPr>
          <w:rFonts w:hint="eastAsia" w:ascii="仿宋_GB2312" w:hAnsi="仿宋_GB2312" w:eastAsia="仿宋_GB2312" w:cs="仿宋_GB2312"/>
          <w:sz w:val="32"/>
          <w:szCs w:val="32"/>
          <w:lang w:val="en-US" w:eastAsia="zh-CN"/>
        </w:rPr>
        <w:t>51</w:t>
      </w:r>
      <w:r>
        <w:rPr>
          <w:rFonts w:hint="eastAsia" w:ascii="仿宋_GB2312" w:hAnsi="仿宋_GB2312" w:eastAsia="仿宋_GB2312" w:cs="仿宋_GB2312"/>
          <w:sz w:val="32"/>
          <w:szCs w:val="32"/>
        </w:rPr>
        <w:t>家当事人的营业执照。</w:t>
      </w:r>
    </w:p>
    <w:p w14:paraId="4B1F763E">
      <w:pPr>
        <w:wordWrap w:val="0"/>
        <w:spacing w:line="520" w:lineRule="exact"/>
        <w:ind w:firstLine="640" w:firstLineChars="200"/>
        <w:jc w:val="left"/>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根据《中华人民共和国行政处罚法》第四十四条、第四十五条、第六十三条及</w:t>
      </w:r>
      <w:r>
        <w:rPr>
          <w:rFonts w:hint="eastAsia" w:ascii="仿宋_GB2312" w:hAnsi="仿宋_GB2312" w:eastAsia="仿宋_GB2312" w:cs="仿宋_GB2312"/>
          <w:bCs/>
          <w:sz w:val="32"/>
          <w:szCs w:val="32"/>
        </w:rPr>
        <w:t>《市场监督管理行政处罚程序规定》第五十七条之规定，你（单位）就</w:t>
      </w:r>
      <w:r>
        <w:rPr>
          <w:rFonts w:hint="eastAsia" w:ascii="仿宋_GB2312" w:hAnsi="仿宋_GB2312" w:eastAsia="仿宋_GB2312" w:cs="仿宋_GB2312"/>
          <w:bCs/>
          <w:sz w:val="32"/>
          <w:szCs w:val="32"/>
          <w:lang w:eastAsia="zh-CN"/>
        </w:rPr>
        <w:t>本局</w:t>
      </w:r>
      <w:r>
        <w:rPr>
          <w:rFonts w:hint="eastAsia" w:ascii="仿宋_GB2312" w:hAnsi="仿宋_GB2312" w:eastAsia="仿宋_GB2312" w:cs="仿宋_GB2312"/>
          <w:bCs/>
          <w:sz w:val="32"/>
          <w:szCs w:val="32"/>
        </w:rPr>
        <w:t>拟作出的</w:t>
      </w:r>
      <w:r>
        <w:rPr>
          <w:rFonts w:hint="eastAsia" w:ascii="仿宋_GB2312" w:hAnsi="仿宋_GB2312" w:eastAsia="仿宋_GB2312" w:cs="仿宋_GB2312"/>
          <w:sz w:val="32"/>
          <w:szCs w:val="32"/>
        </w:rPr>
        <w:t>处罚</w:t>
      </w:r>
      <w:r>
        <w:rPr>
          <w:rFonts w:hint="eastAsia" w:ascii="仿宋_GB2312" w:hAnsi="仿宋_GB2312" w:eastAsia="仿宋_GB2312" w:cs="仿宋_GB2312"/>
          <w:bCs/>
          <w:sz w:val="32"/>
          <w:szCs w:val="32"/>
        </w:rPr>
        <w:t>决定，依法享有</w:t>
      </w:r>
      <w:bookmarkStart w:id="0" w:name="_GoBack"/>
      <w:bookmarkEnd w:id="0"/>
      <w:r>
        <w:rPr>
          <w:rFonts w:hint="eastAsia" w:ascii="仿宋_GB2312" w:hAnsi="仿宋_GB2312" w:eastAsia="仿宋_GB2312" w:cs="仿宋_GB2312"/>
          <w:bCs/>
          <w:sz w:val="32"/>
          <w:szCs w:val="32"/>
        </w:rPr>
        <w:t>陈述、申辩和要求举行听证的权利。同时依据《湖南省行政程序规定》第七十一条，你（单位）有权对本案的证据发表意见、提出异议。如你（单位）要求行使上述权利，应当在收到本告知书之日起五个工作日内向</w:t>
      </w:r>
      <w:r>
        <w:rPr>
          <w:rFonts w:hint="eastAsia" w:ascii="仿宋_GB2312" w:hAnsi="仿宋_GB2312" w:eastAsia="仿宋_GB2312" w:cs="仿宋_GB2312"/>
          <w:bCs/>
          <w:sz w:val="32"/>
          <w:szCs w:val="32"/>
          <w:lang w:eastAsia="zh-CN"/>
        </w:rPr>
        <w:t>本局</w:t>
      </w:r>
      <w:r>
        <w:rPr>
          <w:rFonts w:hint="eastAsia" w:ascii="仿宋_GB2312" w:hAnsi="仿宋_GB2312" w:eastAsia="仿宋_GB2312" w:cs="仿宋_GB2312"/>
          <w:bCs/>
          <w:sz w:val="32"/>
          <w:szCs w:val="32"/>
        </w:rPr>
        <w:t>提出。逾期未提出的，视为放弃上述权利。</w:t>
      </w:r>
    </w:p>
    <w:p w14:paraId="5E89BBE6">
      <w:pPr>
        <w:wordWrap w:val="0"/>
        <w:spacing w:line="520" w:lineRule="exact"/>
        <w:ind w:firstLine="640" w:firstLineChars="200"/>
        <w:jc w:val="left"/>
        <w:rPr>
          <w:rFonts w:hint="eastAsia" w:ascii="仿宋_GB2312" w:hAnsi="仿宋" w:eastAsia="仿宋_GB2312"/>
          <w:sz w:val="32"/>
          <w:szCs w:val="32"/>
          <w:lang w:val="en-US" w:eastAsia="zh-CN"/>
        </w:rPr>
      </w:pPr>
      <w:r>
        <w:rPr>
          <w:rFonts w:hint="eastAsia" w:ascii="仿宋_GB2312" w:hAnsi="仿宋_GB2312" w:eastAsia="仿宋_GB2312" w:cs="仿宋_GB2312"/>
          <w:sz w:val="32"/>
          <w:szCs w:val="32"/>
        </w:rPr>
        <w:t>因</w:t>
      </w:r>
      <w:r>
        <w:rPr>
          <w:rFonts w:hint="eastAsia" w:ascii="仿宋_GB2312" w:hAnsi="仿宋_GB2312" w:eastAsia="仿宋_GB2312" w:cs="仿宋_GB2312"/>
          <w:bCs/>
          <w:sz w:val="32"/>
          <w:szCs w:val="32"/>
          <w:lang w:eastAsia="zh-CN"/>
        </w:rPr>
        <w:t>常德鹏旭装饰工程有限公司等</w:t>
      </w:r>
      <w:r>
        <w:rPr>
          <w:rFonts w:hint="eastAsia" w:ascii="仿宋_GB2312" w:hAnsi="仿宋_GB2312" w:eastAsia="仿宋_GB2312" w:cs="仿宋_GB2312"/>
          <w:bCs/>
          <w:sz w:val="32"/>
          <w:szCs w:val="32"/>
          <w:lang w:val="en-US" w:eastAsia="zh-CN"/>
        </w:rPr>
        <w:t>51家企业</w:t>
      </w:r>
      <w:r>
        <w:rPr>
          <w:rFonts w:hint="eastAsia" w:ascii="仿宋_GB2312" w:hAnsi="仿宋_GB2312" w:eastAsia="仿宋_GB2312" w:cs="仿宋_GB2312"/>
          <w:sz w:val="32"/>
          <w:szCs w:val="32"/>
        </w:rPr>
        <w:t>通过登记的住所（经营场所）无法取得联系，本告知书依法以公告方式送达。自本公告发布之日起三十日，即视为送达。</w:t>
      </w:r>
      <w:r>
        <w:rPr>
          <w:rFonts w:hint="eastAsia" w:ascii="仿宋_GB2312" w:hAnsi="仿宋" w:eastAsia="仿宋_GB2312"/>
          <w:sz w:val="32"/>
          <w:szCs w:val="32"/>
          <w:lang w:val="en-US" w:eastAsia="zh-CN"/>
        </w:rPr>
        <w:t xml:space="preserve"> </w:t>
      </w:r>
    </w:p>
    <w:p w14:paraId="34F10D94">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sz w:val="32"/>
          <w:szCs w:val="30"/>
          <w:lang w:eastAsia="zh-CN"/>
        </w:rPr>
      </w:pPr>
      <w:r>
        <w:rPr>
          <w:rFonts w:hint="eastAsia" w:ascii="仿宋_GB2312" w:hAnsi="仿宋_GB2312" w:eastAsia="仿宋_GB2312" w:cs="仿宋_GB2312"/>
          <w:sz w:val="32"/>
          <w:szCs w:val="30"/>
          <w:lang w:eastAsia="zh-CN"/>
        </w:rPr>
        <w:t>联 系 人：熊灵茜       联系电话：0736-6636200</w:t>
      </w:r>
    </w:p>
    <w:p w14:paraId="106AA14B">
      <w:pPr>
        <w:keepNext w:val="0"/>
        <w:keepLines w:val="0"/>
        <w:pageBreakBefore w:val="0"/>
        <w:kinsoku/>
        <w:wordWrap/>
        <w:overflowPunct/>
        <w:topLinePunct w:val="0"/>
        <w:autoSpaceDE/>
        <w:autoSpaceDN/>
        <w:bidi w:val="0"/>
        <w:snapToGrid/>
        <w:spacing w:line="560" w:lineRule="exact"/>
        <w:ind w:firstLine="640" w:firstLineChars="200"/>
        <w:textAlignment w:val="auto"/>
        <w:rPr>
          <w:rFonts w:hint="eastAsia" w:ascii="仿宋_GB2312" w:hAnsi="仿宋" w:eastAsia="仿宋_GB2312"/>
          <w:sz w:val="32"/>
          <w:szCs w:val="32"/>
          <w:lang w:eastAsia="zh-CN"/>
        </w:rPr>
      </w:pPr>
      <w:r>
        <w:rPr>
          <w:rFonts w:hint="eastAsia" w:ascii="仿宋_GB2312" w:hAnsi="仿宋_GB2312" w:eastAsia="仿宋_GB2312" w:cs="仿宋_GB2312"/>
          <w:sz w:val="32"/>
          <w:szCs w:val="30"/>
          <w:lang w:eastAsia="zh-CN"/>
        </w:rPr>
        <w:t>联系地址：桃源县漳江街道文昌东路06号</w:t>
      </w:r>
      <w:r>
        <w:rPr>
          <w:rFonts w:hint="eastAsia" w:ascii="仿宋_GB2312" w:hAnsi="仿宋" w:eastAsia="仿宋_GB2312"/>
          <w:sz w:val="32"/>
          <w:szCs w:val="32"/>
          <w:lang w:eastAsia="zh-CN"/>
        </w:rPr>
        <w:t xml:space="preserve">                          </w:t>
      </w:r>
    </w:p>
    <w:p w14:paraId="609270F5">
      <w:pPr>
        <w:keepNext w:val="0"/>
        <w:keepLines w:val="0"/>
        <w:pageBreakBefore w:val="0"/>
        <w:widowControl/>
        <w:shd w:val="clear" w:color="auto" w:fill="FFFFFF"/>
        <w:kinsoku/>
        <w:wordWrap/>
        <w:overflowPunct/>
        <w:topLinePunct w:val="0"/>
        <w:autoSpaceDE/>
        <w:autoSpaceDN/>
        <w:bidi w:val="0"/>
        <w:snapToGrid/>
        <w:spacing w:line="560" w:lineRule="exact"/>
        <w:ind w:firstLine="640"/>
        <w:jc w:val="both"/>
        <w:textAlignment w:val="auto"/>
        <w:rPr>
          <w:rFonts w:hint="eastAsia" w:ascii="仿宋_GB2312" w:hAnsi="仿宋" w:eastAsia="仿宋_GB2312"/>
          <w:sz w:val="32"/>
          <w:szCs w:val="32"/>
          <w:lang w:eastAsia="zh-CN"/>
        </w:rPr>
      </w:pPr>
    </w:p>
    <w:p w14:paraId="04A2C69F">
      <w:pPr>
        <w:keepNext w:val="0"/>
        <w:keepLines w:val="0"/>
        <w:pageBreakBefore w:val="0"/>
        <w:widowControl/>
        <w:shd w:val="clear" w:color="auto" w:fill="FFFFFF"/>
        <w:kinsoku/>
        <w:wordWrap/>
        <w:overflowPunct/>
        <w:topLinePunct w:val="0"/>
        <w:autoSpaceDE/>
        <w:autoSpaceDN/>
        <w:bidi w:val="0"/>
        <w:snapToGrid/>
        <w:spacing w:line="560" w:lineRule="exact"/>
        <w:ind w:firstLine="640"/>
        <w:jc w:val="both"/>
        <w:textAlignment w:val="auto"/>
        <w:rPr>
          <w:rFonts w:hint="eastAsia" w:ascii="仿宋_GB2312" w:hAnsi="仿宋" w:eastAsia="仿宋_GB2312"/>
          <w:sz w:val="32"/>
          <w:szCs w:val="32"/>
          <w:lang w:eastAsia="zh-CN"/>
        </w:rPr>
      </w:pPr>
    </w:p>
    <w:p w14:paraId="3588CD44">
      <w:pPr>
        <w:keepNext w:val="0"/>
        <w:keepLines w:val="0"/>
        <w:pageBreakBefore w:val="0"/>
        <w:widowControl/>
        <w:shd w:val="clear" w:color="auto" w:fill="FFFFFF"/>
        <w:kinsoku/>
        <w:wordWrap/>
        <w:overflowPunct/>
        <w:topLinePunct w:val="0"/>
        <w:autoSpaceDE/>
        <w:autoSpaceDN/>
        <w:bidi w:val="0"/>
        <w:snapToGrid/>
        <w:spacing w:line="560" w:lineRule="exact"/>
        <w:ind w:firstLine="5120" w:firstLineChars="1600"/>
        <w:jc w:val="both"/>
        <w:textAlignment w:val="auto"/>
        <w:rPr>
          <w:rFonts w:ascii="仿宋_GB2312" w:hAnsi="仿宋" w:eastAsia="仿宋_GB2312"/>
          <w:sz w:val="32"/>
          <w:szCs w:val="32"/>
          <w:lang w:eastAsia="zh-CN"/>
        </w:rPr>
      </w:pPr>
      <w:r>
        <w:rPr>
          <w:rFonts w:hint="eastAsia" w:ascii="仿宋_GB2312" w:hAnsi="仿宋" w:eastAsia="仿宋_GB2312"/>
          <w:sz w:val="32"/>
          <w:szCs w:val="32"/>
          <w:lang w:eastAsia="zh-CN"/>
        </w:rPr>
        <w:t xml:space="preserve">  桃源县市场监督管理局</w:t>
      </w:r>
    </w:p>
    <w:p w14:paraId="533B4473">
      <w:pPr>
        <w:keepNext w:val="0"/>
        <w:keepLines w:val="0"/>
        <w:pageBreakBefore w:val="0"/>
        <w:widowControl/>
        <w:shd w:val="clear" w:color="auto" w:fill="FFFFFF"/>
        <w:kinsoku/>
        <w:wordWrap/>
        <w:overflowPunct/>
        <w:topLinePunct w:val="0"/>
        <w:autoSpaceDE/>
        <w:autoSpaceDN/>
        <w:bidi w:val="0"/>
        <w:snapToGrid/>
        <w:spacing w:line="560" w:lineRule="exact"/>
        <w:ind w:firstLine="640"/>
        <w:jc w:val="both"/>
        <w:textAlignment w:val="auto"/>
        <w:rPr>
          <w:rFonts w:ascii="仿宋_GB2312" w:hAnsi="仿宋" w:eastAsia="仿宋_GB2312"/>
          <w:sz w:val="32"/>
          <w:szCs w:val="32"/>
          <w:lang w:eastAsia="zh-CN"/>
        </w:rPr>
      </w:pPr>
      <w:r>
        <w:rPr>
          <w:rFonts w:hint="eastAsia" w:ascii="仿宋_GB2312" w:hAnsi="仿宋" w:eastAsia="仿宋_GB2312"/>
          <w:sz w:val="32"/>
          <w:szCs w:val="32"/>
          <w:lang w:eastAsia="zh-CN"/>
        </w:rPr>
        <w:t xml:space="preserve">                                202</w:t>
      </w:r>
      <w:r>
        <w:rPr>
          <w:rFonts w:hint="eastAsia" w:ascii="仿宋_GB2312" w:hAnsi="仿宋" w:eastAsia="仿宋_GB2312"/>
          <w:sz w:val="32"/>
          <w:szCs w:val="32"/>
          <w:lang w:val="en-US" w:eastAsia="zh-CN"/>
        </w:rPr>
        <w:t>6</w:t>
      </w:r>
      <w:r>
        <w:rPr>
          <w:rFonts w:hint="eastAsia" w:ascii="仿宋_GB2312" w:hAnsi="仿宋" w:eastAsia="仿宋_GB2312"/>
          <w:sz w:val="32"/>
          <w:szCs w:val="32"/>
          <w:lang w:eastAsia="zh-CN"/>
        </w:rPr>
        <w:t>年</w:t>
      </w:r>
      <w:r>
        <w:rPr>
          <w:rFonts w:hint="eastAsia" w:ascii="仿宋_GB2312" w:hAnsi="仿宋" w:eastAsia="仿宋_GB2312"/>
          <w:sz w:val="32"/>
          <w:szCs w:val="32"/>
          <w:lang w:val="en-US" w:eastAsia="zh-CN"/>
        </w:rPr>
        <w:t>9</w:t>
      </w:r>
      <w:r>
        <w:rPr>
          <w:rFonts w:hint="eastAsia" w:ascii="仿宋_GB2312" w:hAnsi="仿宋" w:eastAsia="仿宋_GB2312"/>
          <w:sz w:val="32"/>
          <w:szCs w:val="32"/>
          <w:lang w:eastAsia="zh-CN"/>
        </w:rPr>
        <w:t>月</w:t>
      </w:r>
      <w:r>
        <w:rPr>
          <w:rFonts w:hint="eastAsia" w:ascii="仿宋_GB2312" w:hAnsi="仿宋" w:eastAsia="仿宋_GB2312"/>
          <w:sz w:val="32"/>
          <w:szCs w:val="32"/>
          <w:lang w:val="en-US" w:eastAsia="zh-CN"/>
        </w:rPr>
        <w:t xml:space="preserve"> 30</w:t>
      </w:r>
      <w:r>
        <w:rPr>
          <w:rFonts w:hint="eastAsia" w:ascii="仿宋_GB2312" w:hAnsi="仿宋" w:eastAsia="仿宋_GB2312"/>
          <w:sz w:val="32"/>
          <w:szCs w:val="32"/>
          <w:lang w:eastAsia="zh-CN"/>
        </w:rPr>
        <w:t>日</w:t>
      </w:r>
    </w:p>
    <w:sectPr>
      <w:footerReference r:id="rId3" w:type="default"/>
      <w:pgSz w:w="11906" w:h="16838"/>
      <w:pgMar w:top="1440" w:right="1474"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小标宋_GBK">
    <w:panose1 w:val="02000000000000000000"/>
    <w:charset w:val="86"/>
    <w:family w:val="roman"/>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FF373">
    <w:pPr>
      <w:pStyle w:val="3"/>
      <w:jc w:val="center"/>
      <w:rPr>
        <w:sz w:val="24"/>
      </w:rPr>
    </w:pPr>
    <w:r>
      <w:rPr>
        <w:rFonts w:hint="eastAsia" w:ascii="仿宋" w:hAnsi="仿宋" w:eastAsia="仿宋"/>
        <w:sz w:val="32"/>
        <w:lang w:eastAsia="zh-CN"/>
      </w:rPr>
      <w:t>第</w:t>
    </w:r>
    <w:sdt>
      <w:sdtPr>
        <w:rPr>
          <w:rFonts w:ascii="仿宋" w:hAnsi="仿宋" w:eastAsia="仿宋"/>
          <w:sz w:val="32"/>
        </w:rPr>
        <w:id w:val="9152425"/>
        <w:docPartObj>
          <w:docPartGallery w:val="autotext"/>
        </w:docPartObj>
      </w:sdtPr>
      <w:sdtEndPr>
        <w:rPr>
          <w:rFonts w:ascii="Calibri" w:hAnsi="Calibri" w:eastAsia="宋体"/>
          <w:sz w:val="24"/>
        </w:rPr>
      </w:sdtEndPr>
      <w:sdtContent>
        <w:r>
          <w:rPr>
            <w:rFonts w:ascii="仿宋" w:hAnsi="仿宋" w:eastAsia="仿宋"/>
            <w:sz w:val="32"/>
          </w:rPr>
          <w:fldChar w:fldCharType="begin"/>
        </w:r>
        <w:r>
          <w:rPr>
            <w:rFonts w:ascii="仿宋" w:hAnsi="仿宋" w:eastAsia="仿宋"/>
            <w:sz w:val="32"/>
          </w:rPr>
          <w:instrText xml:space="preserve"> PAGE   \* MERGEFORMAT </w:instrText>
        </w:r>
        <w:r>
          <w:rPr>
            <w:rFonts w:ascii="仿宋" w:hAnsi="仿宋" w:eastAsia="仿宋"/>
            <w:sz w:val="32"/>
          </w:rPr>
          <w:fldChar w:fldCharType="separate"/>
        </w:r>
        <w:r>
          <w:rPr>
            <w:rFonts w:ascii="仿宋" w:hAnsi="仿宋" w:eastAsia="仿宋"/>
            <w:sz w:val="32"/>
            <w:lang w:val="zh-CN"/>
          </w:rPr>
          <w:t>1</w:t>
        </w:r>
        <w:r>
          <w:rPr>
            <w:rFonts w:ascii="仿宋" w:hAnsi="仿宋" w:eastAsia="仿宋"/>
            <w:sz w:val="32"/>
          </w:rPr>
          <w:fldChar w:fldCharType="end"/>
        </w:r>
        <w:r>
          <w:rPr>
            <w:rFonts w:hint="eastAsia" w:ascii="仿宋" w:hAnsi="仿宋" w:eastAsia="仿宋"/>
            <w:sz w:val="32"/>
            <w:lang w:eastAsia="zh-CN"/>
          </w:rPr>
          <w:t>页 共</w:t>
        </w:r>
        <w:r>
          <w:rPr>
            <w:rFonts w:hint="eastAsia" w:ascii="仿宋" w:hAnsi="仿宋" w:eastAsia="仿宋"/>
            <w:sz w:val="32"/>
            <w:lang w:val="en-US" w:eastAsia="zh-CN"/>
          </w:rPr>
          <w:t>3</w:t>
        </w:r>
        <w:r>
          <w:rPr>
            <w:rFonts w:hint="eastAsia" w:ascii="仿宋" w:hAnsi="仿宋" w:eastAsia="仿宋"/>
            <w:sz w:val="32"/>
            <w:lang w:eastAsia="zh-CN"/>
          </w:rPr>
          <w:t>页</w:t>
        </w:r>
      </w:sdtContent>
    </w:sdt>
  </w:p>
  <w:p w14:paraId="5834B1C5">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B66194"/>
    <w:rsid w:val="00006864"/>
    <w:rsid w:val="0003031D"/>
    <w:rsid w:val="0003308F"/>
    <w:rsid w:val="00033DF9"/>
    <w:rsid w:val="0004407B"/>
    <w:rsid w:val="00045059"/>
    <w:rsid w:val="00047556"/>
    <w:rsid w:val="000528B2"/>
    <w:rsid w:val="00055258"/>
    <w:rsid w:val="0006200B"/>
    <w:rsid w:val="00065393"/>
    <w:rsid w:val="00071FBF"/>
    <w:rsid w:val="000B5AE7"/>
    <w:rsid w:val="000C33D6"/>
    <w:rsid w:val="000D5B02"/>
    <w:rsid w:val="000D77A0"/>
    <w:rsid w:val="000E4144"/>
    <w:rsid w:val="000F0D70"/>
    <w:rsid w:val="000F43AE"/>
    <w:rsid w:val="000F5507"/>
    <w:rsid w:val="000F5BC2"/>
    <w:rsid w:val="00100C90"/>
    <w:rsid w:val="00102165"/>
    <w:rsid w:val="00102EFA"/>
    <w:rsid w:val="001214F1"/>
    <w:rsid w:val="001310D5"/>
    <w:rsid w:val="0013188E"/>
    <w:rsid w:val="00134CFE"/>
    <w:rsid w:val="00141CFB"/>
    <w:rsid w:val="00150B99"/>
    <w:rsid w:val="00154FEF"/>
    <w:rsid w:val="0015707F"/>
    <w:rsid w:val="001708AC"/>
    <w:rsid w:val="00187E47"/>
    <w:rsid w:val="0019328C"/>
    <w:rsid w:val="001A1720"/>
    <w:rsid w:val="001A542F"/>
    <w:rsid w:val="001B1F8E"/>
    <w:rsid w:val="001B3B72"/>
    <w:rsid w:val="001C0967"/>
    <w:rsid w:val="001C3EAD"/>
    <w:rsid w:val="001C66E0"/>
    <w:rsid w:val="001D4A55"/>
    <w:rsid w:val="001E6EBA"/>
    <w:rsid w:val="00201F69"/>
    <w:rsid w:val="00202835"/>
    <w:rsid w:val="0020374E"/>
    <w:rsid w:val="00206E57"/>
    <w:rsid w:val="00207597"/>
    <w:rsid w:val="002150B7"/>
    <w:rsid w:val="002224C7"/>
    <w:rsid w:val="00222EC8"/>
    <w:rsid w:val="0023375D"/>
    <w:rsid w:val="00242C2C"/>
    <w:rsid w:val="0027198F"/>
    <w:rsid w:val="00274972"/>
    <w:rsid w:val="002849B0"/>
    <w:rsid w:val="002A03EA"/>
    <w:rsid w:val="002A5487"/>
    <w:rsid w:val="002C2AA7"/>
    <w:rsid w:val="002D41D7"/>
    <w:rsid w:val="002D45FA"/>
    <w:rsid w:val="002E1E52"/>
    <w:rsid w:val="002E2482"/>
    <w:rsid w:val="002F0685"/>
    <w:rsid w:val="002F2BCB"/>
    <w:rsid w:val="003020A8"/>
    <w:rsid w:val="00306B35"/>
    <w:rsid w:val="003226FC"/>
    <w:rsid w:val="00324C4F"/>
    <w:rsid w:val="003272C4"/>
    <w:rsid w:val="003372F0"/>
    <w:rsid w:val="00342D8A"/>
    <w:rsid w:val="00346D9E"/>
    <w:rsid w:val="00347982"/>
    <w:rsid w:val="00364FAF"/>
    <w:rsid w:val="0036527A"/>
    <w:rsid w:val="0037211A"/>
    <w:rsid w:val="0037275F"/>
    <w:rsid w:val="003936DF"/>
    <w:rsid w:val="003A30B2"/>
    <w:rsid w:val="003C230D"/>
    <w:rsid w:val="003C7175"/>
    <w:rsid w:val="003E0D82"/>
    <w:rsid w:val="003F6756"/>
    <w:rsid w:val="003F6BA7"/>
    <w:rsid w:val="004022A0"/>
    <w:rsid w:val="00421C6E"/>
    <w:rsid w:val="00422682"/>
    <w:rsid w:val="004319EA"/>
    <w:rsid w:val="00436C59"/>
    <w:rsid w:val="00462447"/>
    <w:rsid w:val="00463FCE"/>
    <w:rsid w:val="004737C4"/>
    <w:rsid w:val="00480618"/>
    <w:rsid w:val="00480944"/>
    <w:rsid w:val="0048416B"/>
    <w:rsid w:val="00487ECC"/>
    <w:rsid w:val="00490695"/>
    <w:rsid w:val="00491300"/>
    <w:rsid w:val="0049234F"/>
    <w:rsid w:val="004A0059"/>
    <w:rsid w:val="004A503E"/>
    <w:rsid w:val="004C43A5"/>
    <w:rsid w:val="004C5C11"/>
    <w:rsid w:val="004E07CC"/>
    <w:rsid w:val="004E2AC1"/>
    <w:rsid w:val="004E5E2E"/>
    <w:rsid w:val="004F0E60"/>
    <w:rsid w:val="004F1B0F"/>
    <w:rsid w:val="004F3F72"/>
    <w:rsid w:val="00511E82"/>
    <w:rsid w:val="00521A1E"/>
    <w:rsid w:val="00527536"/>
    <w:rsid w:val="005319C2"/>
    <w:rsid w:val="005345EF"/>
    <w:rsid w:val="00534EFE"/>
    <w:rsid w:val="0054738A"/>
    <w:rsid w:val="005574FC"/>
    <w:rsid w:val="00564F50"/>
    <w:rsid w:val="00571FF4"/>
    <w:rsid w:val="005720C6"/>
    <w:rsid w:val="00572A28"/>
    <w:rsid w:val="00582C6B"/>
    <w:rsid w:val="00586956"/>
    <w:rsid w:val="005B28FE"/>
    <w:rsid w:val="005B34F8"/>
    <w:rsid w:val="005B5A32"/>
    <w:rsid w:val="005D117D"/>
    <w:rsid w:val="005D5068"/>
    <w:rsid w:val="005D771F"/>
    <w:rsid w:val="005E47A2"/>
    <w:rsid w:val="005F6C33"/>
    <w:rsid w:val="006123C1"/>
    <w:rsid w:val="00614922"/>
    <w:rsid w:val="0064141E"/>
    <w:rsid w:val="006445FC"/>
    <w:rsid w:val="00664A98"/>
    <w:rsid w:val="00671BAD"/>
    <w:rsid w:val="00674F35"/>
    <w:rsid w:val="006959DD"/>
    <w:rsid w:val="006A1D43"/>
    <w:rsid w:val="006B1DE2"/>
    <w:rsid w:val="006C2992"/>
    <w:rsid w:val="006C2FC3"/>
    <w:rsid w:val="006E38DC"/>
    <w:rsid w:val="006E46A2"/>
    <w:rsid w:val="007029B5"/>
    <w:rsid w:val="00705335"/>
    <w:rsid w:val="00710267"/>
    <w:rsid w:val="00710AC5"/>
    <w:rsid w:val="0071465B"/>
    <w:rsid w:val="007171F2"/>
    <w:rsid w:val="00720539"/>
    <w:rsid w:val="00732073"/>
    <w:rsid w:val="00736448"/>
    <w:rsid w:val="0074479B"/>
    <w:rsid w:val="007457FE"/>
    <w:rsid w:val="0075180B"/>
    <w:rsid w:val="00771D0B"/>
    <w:rsid w:val="0077499B"/>
    <w:rsid w:val="00784B45"/>
    <w:rsid w:val="00787E41"/>
    <w:rsid w:val="00795C29"/>
    <w:rsid w:val="0079777A"/>
    <w:rsid w:val="007D00CC"/>
    <w:rsid w:val="007F272A"/>
    <w:rsid w:val="007F35DC"/>
    <w:rsid w:val="007F558D"/>
    <w:rsid w:val="007F654E"/>
    <w:rsid w:val="008005E6"/>
    <w:rsid w:val="00817512"/>
    <w:rsid w:val="00827907"/>
    <w:rsid w:val="00837C57"/>
    <w:rsid w:val="008470EF"/>
    <w:rsid w:val="008736C2"/>
    <w:rsid w:val="0087556F"/>
    <w:rsid w:val="008827CB"/>
    <w:rsid w:val="008B2563"/>
    <w:rsid w:val="008C342E"/>
    <w:rsid w:val="008C6497"/>
    <w:rsid w:val="008D16FA"/>
    <w:rsid w:val="008E2527"/>
    <w:rsid w:val="008E7140"/>
    <w:rsid w:val="008E71C0"/>
    <w:rsid w:val="008F5078"/>
    <w:rsid w:val="008F5D29"/>
    <w:rsid w:val="008F6211"/>
    <w:rsid w:val="009232B6"/>
    <w:rsid w:val="00926260"/>
    <w:rsid w:val="009327E4"/>
    <w:rsid w:val="00935BB6"/>
    <w:rsid w:val="00973EF2"/>
    <w:rsid w:val="00975EF5"/>
    <w:rsid w:val="00986BCF"/>
    <w:rsid w:val="009918EB"/>
    <w:rsid w:val="00993FE8"/>
    <w:rsid w:val="009E3035"/>
    <w:rsid w:val="009E4289"/>
    <w:rsid w:val="009F47A9"/>
    <w:rsid w:val="009F7530"/>
    <w:rsid w:val="00A11CD3"/>
    <w:rsid w:val="00A23DC6"/>
    <w:rsid w:val="00A24BA9"/>
    <w:rsid w:val="00A2721E"/>
    <w:rsid w:val="00A445C7"/>
    <w:rsid w:val="00A7157F"/>
    <w:rsid w:val="00A71A92"/>
    <w:rsid w:val="00A73152"/>
    <w:rsid w:val="00A9467D"/>
    <w:rsid w:val="00AA257E"/>
    <w:rsid w:val="00AB4887"/>
    <w:rsid w:val="00AF63F6"/>
    <w:rsid w:val="00B12AC9"/>
    <w:rsid w:val="00B17F41"/>
    <w:rsid w:val="00B21799"/>
    <w:rsid w:val="00B308E1"/>
    <w:rsid w:val="00B31E30"/>
    <w:rsid w:val="00B339D2"/>
    <w:rsid w:val="00B348DA"/>
    <w:rsid w:val="00B41111"/>
    <w:rsid w:val="00B46E52"/>
    <w:rsid w:val="00B56CC0"/>
    <w:rsid w:val="00B61824"/>
    <w:rsid w:val="00B62F81"/>
    <w:rsid w:val="00B6305E"/>
    <w:rsid w:val="00B63D1A"/>
    <w:rsid w:val="00B65481"/>
    <w:rsid w:val="00B66194"/>
    <w:rsid w:val="00B7663B"/>
    <w:rsid w:val="00B8154B"/>
    <w:rsid w:val="00B82A12"/>
    <w:rsid w:val="00B8337E"/>
    <w:rsid w:val="00B90CB4"/>
    <w:rsid w:val="00B92055"/>
    <w:rsid w:val="00B939DE"/>
    <w:rsid w:val="00BA52F9"/>
    <w:rsid w:val="00BA5EAB"/>
    <w:rsid w:val="00BB61D3"/>
    <w:rsid w:val="00BB7328"/>
    <w:rsid w:val="00BC4C89"/>
    <w:rsid w:val="00BD2B54"/>
    <w:rsid w:val="00BE1C1A"/>
    <w:rsid w:val="00BF4CFE"/>
    <w:rsid w:val="00C01355"/>
    <w:rsid w:val="00C15F6E"/>
    <w:rsid w:val="00C206F8"/>
    <w:rsid w:val="00C24DC3"/>
    <w:rsid w:val="00C35DC4"/>
    <w:rsid w:val="00C41228"/>
    <w:rsid w:val="00C551BE"/>
    <w:rsid w:val="00C82184"/>
    <w:rsid w:val="00C84A83"/>
    <w:rsid w:val="00CA0644"/>
    <w:rsid w:val="00CA4DB0"/>
    <w:rsid w:val="00CA5BA3"/>
    <w:rsid w:val="00CB2FB4"/>
    <w:rsid w:val="00CB4656"/>
    <w:rsid w:val="00CB4D44"/>
    <w:rsid w:val="00CD0910"/>
    <w:rsid w:val="00CD2AF8"/>
    <w:rsid w:val="00CE688B"/>
    <w:rsid w:val="00CE6FCE"/>
    <w:rsid w:val="00CF319D"/>
    <w:rsid w:val="00D05C2A"/>
    <w:rsid w:val="00D12494"/>
    <w:rsid w:val="00D21295"/>
    <w:rsid w:val="00D265D2"/>
    <w:rsid w:val="00D345D3"/>
    <w:rsid w:val="00D46CA2"/>
    <w:rsid w:val="00D5386F"/>
    <w:rsid w:val="00D666DE"/>
    <w:rsid w:val="00D75A46"/>
    <w:rsid w:val="00D76CE8"/>
    <w:rsid w:val="00D801FF"/>
    <w:rsid w:val="00DA2A79"/>
    <w:rsid w:val="00DA79B5"/>
    <w:rsid w:val="00DB6E53"/>
    <w:rsid w:val="00DC051F"/>
    <w:rsid w:val="00DD0C9B"/>
    <w:rsid w:val="00DD15E2"/>
    <w:rsid w:val="00DD51CA"/>
    <w:rsid w:val="00DD6C83"/>
    <w:rsid w:val="00DE1135"/>
    <w:rsid w:val="00DF0B12"/>
    <w:rsid w:val="00DF32FB"/>
    <w:rsid w:val="00DF3613"/>
    <w:rsid w:val="00E16678"/>
    <w:rsid w:val="00E16BB8"/>
    <w:rsid w:val="00E468C0"/>
    <w:rsid w:val="00E575FE"/>
    <w:rsid w:val="00E75E2A"/>
    <w:rsid w:val="00E81887"/>
    <w:rsid w:val="00E81999"/>
    <w:rsid w:val="00E81AC4"/>
    <w:rsid w:val="00E85DBB"/>
    <w:rsid w:val="00EB33D9"/>
    <w:rsid w:val="00EC5E0D"/>
    <w:rsid w:val="00EE1FF8"/>
    <w:rsid w:val="00EE4B9C"/>
    <w:rsid w:val="00EF1EF3"/>
    <w:rsid w:val="00F135AE"/>
    <w:rsid w:val="00F16BD1"/>
    <w:rsid w:val="00F21F33"/>
    <w:rsid w:val="00F2277C"/>
    <w:rsid w:val="00F3169F"/>
    <w:rsid w:val="00F42C18"/>
    <w:rsid w:val="00F52E7C"/>
    <w:rsid w:val="00F57611"/>
    <w:rsid w:val="00F61113"/>
    <w:rsid w:val="00F63890"/>
    <w:rsid w:val="00F715E3"/>
    <w:rsid w:val="00FA3AF3"/>
    <w:rsid w:val="00FA6AA3"/>
    <w:rsid w:val="00FD178C"/>
    <w:rsid w:val="00FE0C06"/>
    <w:rsid w:val="00FE583C"/>
    <w:rsid w:val="00FE71A2"/>
    <w:rsid w:val="00FF52AD"/>
    <w:rsid w:val="0167398B"/>
    <w:rsid w:val="017D31AE"/>
    <w:rsid w:val="018362EB"/>
    <w:rsid w:val="0273635F"/>
    <w:rsid w:val="03681C3C"/>
    <w:rsid w:val="04671EF4"/>
    <w:rsid w:val="05DB66F5"/>
    <w:rsid w:val="05F477B7"/>
    <w:rsid w:val="06540256"/>
    <w:rsid w:val="06A04E30"/>
    <w:rsid w:val="07966986"/>
    <w:rsid w:val="079678D0"/>
    <w:rsid w:val="07C1191B"/>
    <w:rsid w:val="08026FA2"/>
    <w:rsid w:val="080B7624"/>
    <w:rsid w:val="083403A8"/>
    <w:rsid w:val="08581F76"/>
    <w:rsid w:val="08A13C26"/>
    <w:rsid w:val="08A515BF"/>
    <w:rsid w:val="08E635E2"/>
    <w:rsid w:val="0A424F95"/>
    <w:rsid w:val="0A6071C9"/>
    <w:rsid w:val="0A740EC6"/>
    <w:rsid w:val="0AA25A34"/>
    <w:rsid w:val="0B161F7E"/>
    <w:rsid w:val="0B8213C1"/>
    <w:rsid w:val="0BC71432"/>
    <w:rsid w:val="0BF24799"/>
    <w:rsid w:val="0C434FF4"/>
    <w:rsid w:val="0C8831F9"/>
    <w:rsid w:val="0D0E61C1"/>
    <w:rsid w:val="0DCE08EE"/>
    <w:rsid w:val="0E9E6512"/>
    <w:rsid w:val="0F0942D3"/>
    <w:rsid w:val="0F16079E"/>
    <w:rsid w:val="0FA45DAA"/>
    <w:rsid w:val="0FEF171B"/>
    <w:rsid w:val="10844541"/>
    <w:rsid w:val="11904838"/>
    <w:rsid w:val="11B5604C"/>
    <w:rsid w:val="12BF2D3A"/>
    <w:rsid w:val="12C00FDE"/>
    <w:rsid w:val="13204619"/>
    <w:rsid w:val="140B63F8"/>
    <w:rsid w:val="14752C60"/>
    <w:rsid w:val="147C10FD"/>
    <w:rsid w:val="14E82BDD"/>
    <w:rsid w:val="1534372C"/>
    <w:rsid w:val="161D2412"/>
    <w:rsid w:val="168B7CC4"/>
    <w:rsid w:val="17045F4E"/>
    <w:rsid w:val="171E28E6"/>
    <w:rsid w:val="176E561B"/>
    <w:rsid w:val="17EB6C6C"/>
    <w:rsid w:val="18826EA4"/>
    <w:rsid w:val="18B33859"/>
    <w:rsid w:val="18C748B7"/>
    <w:rsid w:val="19353F17"/>
    <w:rsid w:val="196071E6"/>
    <w:rsid w:val="1B7F1479"/>
    <w:rsid w:val="1BE55780"/>
    <w:rsid w:val="1C437831"/>
    <w:rsid w:val="1C9848C0"/>
    <w:rsid w:val="1CA81259"/>
    <w:rsid w:val="1DA17C26"/>
    <w:rsid w:val="1E6F3A27"/>
    <w:rsid w:val="1E8A6AB3"/>
    <w:rsid w:val="1E9F7E87"/>
    <w:rsid w:val="1EAF02C7"/>
    <w:rsid w:val="20851A91"/>
    <w:rsid w:val="20C23478"/>
    <w:rsid w:val="21246D4B"/>
    <w:rsid w:val="215D60B4"/>
    <w:rsid w:val="22B42350"/>
    <w:rsid w:val="22D95913"/>
    <w:rsid w:val="232E3EB1"/>
    <w:rsid w:val="235012B6"/>
    <w:rsid w:val="24075509"/>
    <w:rsid w:val="24107A5A"/>
    <w:rsid w:val="241412F8"/>
    <w:rsid w:val="24455AB5"/>
    <w:rsid w:val="245F009A"/>
    <w:rsid w:val="24945F95"/>
    <w:rsid w:val="24D12D46"/>
    <w:rsid w:val="24E72569"/>
    <w:rsid w:val="251B2213"/>
    <w:rsid w:val="253F4153"/>
    <w:rsid w:val="254D22FE"/>
    <w:rsid w:val="257A33DD"/>
    <w:rsid w:val="262A4861"/>
    <w:rsid w:val="263E265D"/>
    <w:rsid w:val="26B741BD"/>
    <w:rsid w:val="26C2328E"/>
    <w:rsid w:val="272B2918"/>
    <w:rsid w:val="27632E7B"/>
    <w:rsid w:val="27EB411E"/>
    <w:rsid w:val="281D62A2"/>
    <w:rsid w:val="28441A80"/>
    <w:rsid w:val="28E374EB"/>
    <w:rsid w:val="293E0BC6"/>
    <w:rsid w:val="2CE90A48"/>
    <w:rsid w:val="2DE53F10"/>
    <w:rsid w:val="2EB20408"/>
    <w:rsid w:val="2F967754"/>
    <w:rsid w:val="2FF344B8"/>
    <w:rsid w:val="302428C3"/>
    <w:rsid w:val="308275EA"/>
    <w:rsid w:val="3150593A"/>
    <w:rsid w:val="31AB491E"/>
    <w:rsid w:val="31B45EC9"/>
    <w:rsid w:val="31F42769"/>
    <w:rsid w:val="3240775C"/>
    <w:rsid w:val="3270299B"/>
    <w:rsid w:val="32764F2C"/>
    <w:rsid w:val="32AB107A"/>
    <w:rsid w:val="32D461C8"/>
    <w:rsid w:val="32DA370D"/>
    <w:rsid w:val="33971713"/>
    <w:rsid w:val="33D71E67"/>
    <w:rsid w:val="34BC5ECA"/>
    <w:rsid w:val="35215623"/>
    <w:rsid w:val="353510CF"/>
    <w:rsid w:val="35FA1FB3"/>
    <w:rsid w:val="36F32FEF"/>
    <w:rsid w:val="377203B8"/>
    <w:rsid w:val="37DE5A4E"/>
    <w:rsid w:val="383E4CFA"/>
    <w:rsid w:val="38C033A5"/>
    <w:rsid w:val="3A7E52C6"/>
    <w:rsid w:val="3ACA4067"/>
    <w:rsid w:val="3AD47537"/>
    <w:rsid w:val="3B245E6D"/>
    <w:rsid w:val="3BD258C9"/>
    <w:rsid w:val="3C6632BA"/>
    <w:rsid w:val="3C687842"/>
    <w:rsid w:val="3C990195"/>
    <w:rsid w:val="3DC6585A"/>
    <w:rsid w:val="3DEB5A22"/>
    <w:rsid w:val="3E126451"/>
    <w:rsid w:val="3E6B790F"/>
    <w:rsid w:val="3EAE5A4E"/>
    <w:rsid w:val="3ECF1BDC"/>
    <w:rsid w:val="405A7C3B"/>
    <w:rsid w:val="40970E8F"/>
    <w:rsid w:val="40DA07BF"/>
    <w:rsid w:val="40EF2A79"/>
    <w:rsid w:val="41214BFD"/>
    <w:rsid w:val="42641245"/>
    <w:rsid w:val="43543566"/>
    <w:rsid w:val="4427077C"/>
    <w:rsid w:val="442E425D"/>
    <w:rsid w:val="444C3D3F"/>
    <w:rsid w:val="446E0159"/>
    <w:rsid w:val="46F72688"/>
    <w:rsid w:val="473332BC"/>
    <w:rsid w:val="47BE31A6"/>
    <w:rsid w:val="48425B85"/>
    <w:rsid w:val="48452E93"/>
    <w:rsid w:val="48A00EA8"/>
    <w:rsid w:val="498D72D3"/>
    <w:rsid w:val="4A45195C"/>
    <w:rsid w:val="4A841EEE"/>
    <w:rsid w:val="4AD1516E"/>
    <w:rsid w:val="4B2C6678"/>
    <w:rsid w:val="4B92472D"/>
    <w:rsid w:val="4BFA2E32"/>
    <w:rsid w:val="4C2537F3"/>
    <w:rsid w:val="4D4C4DB0"/>
    <w:rsid w:val="4E4A12EF"/>
    <w:rsid w:val="4E57260B"/>
    <w:rsid w:val="4EF94AC3"/>
    <w:rsid w:val="4FF21C3E"/>
    <w:rsid w:val="5099030C"/>
    <w:rsid w:val="50FE0AB7"/>
    <w:rsid w:val="515661FD"/>
    <w:rsid w:val="5164091A"/>
    <w:rsid w:val="52993A23"/>
    <w:rsid w:val="52F61A46"/>
    <w:rsid w:val="53422EDD"/>
    <w:rsid w:val="53BE6FCA"/>
    <w:rsid w:val="53E20357"/>
    <w:rsid w:val="54065CB8"/>
    <w:rsid w:val="5452234F"/>
    <w:rsid w:val="54A454D1"/>
    <w:rsid w:val="55071F2A"/>
    <w:rsid w:val="558477DD"/>
    <w:rsid w:val="565162BF"/>
    <w:rsid w:val="56E322E1"/>
    <w:rsid w:val="571E5A0F"/>
    <w:rsid w:val="57325016"/>
    <w:rsid w:val="578C0BCA"/>
    <w:rsid w:val="58DF2F7C"/>
    <w:rsid w:val="58ED35A0"/>
    <w:rsid w:val="59EA1BD8"/>
    <w:rsid w:val="5A4A7340"/>
    <w:rsid w:val="5A511C57"/>
    <w:rsid w:val="5B0D2022"/>
    <w:rsid w:val="5B5157C0"/>
    <w:rsid w:val="5B6B47E0"/>
    <w:rsid w:val="5C3830CF"/>
    <w:rsid w:val="5C433822"/>
    <w:rsid w:val="5CBB0C7B"/>
    <w:rsid w:val="5D310E6F"/>
    <w:rsid w:val="5D417657"/>
    <w:rsid w:val="5E134288"/>
    <w:rsid w:val="5F1A6ABC"/>
    <w:rsid w:val="5F3062DF"/>
    <w:rsid w:val="5F567D30"/>
    <w:rsid w:val="5FC44C79"/>
    <w:rsid w:val="5FFB4B3F"/>
    <w:rsid w:val="60002155"/>
    <w:rsid w:val="607E633C"/>
    <w:rsid w:val="609F196E"/>
    <w:rsid w:val="62E713AB"/>
    <w:rsid w:val="63BD1BDC"/>
    <w:rsid w:val="64813139"/>
    <w:rsid w:val="64B259E8"/>
    <w:rsid w:val="65913850"/>
    <w:rsid w:val="65D57BE0"/>
    <w:rsid w:val="66304E17"/>
    <w:rsid w:val="6655462E"/>
    <w:rsid w:val="665729B1"/>
    <w:rsid w:val="66DB1226"/>
    <w:rsid w:val="671C6501"/>
    <w:rsid w:val="68994EF5"/>
    <w:rsid w:val="689B6FF7"/>
    <w:rsid w:val="68AD1A71"/>
    <w:rsid w:val="691D1325"/>
    <w:rsid w:val="69757C9E"/>
    <w:rsid w:val="69A753F0"/>
    <w:rsid w:val="6A432DB4"/>
    <w:rsid w:val="6A58493C"/>
    <w:rsid w:val="6AE04FFB"/>
    <w:rsid w:val="6AE1707B"/>
    <w:rsid w:val="6B105217"/>
    <w:rsid w:val="6B1C3BBC"/>
    <w:rsid w:val="6B380692"/>
    <w:rsid w:val="6B3A5819"/>
    <w:rsid w:val="6B5E2426"/>
    <w:rsid w:val="6B6D2669"/>
    <w:rsid w:val="6B7E5CE7"/>
    <w:rsid w:val="6BBB5767"/>
    <w:rsid w:val="6C621AA2"/>
    <w:rsid w:val="6CA42DA0"/>
    <w:rsid w:val="6CB0280D"/>
    <w:rsid w:val="6D26480F"/>
    <w:rsid w:val="6D7D0EEB"/>
    <w:rsid w:val="6DD8201C"/>
    <w:rsid w:val="6E543602"/>
    <w:rsid w:val="6E5456B0"/>
    <w:rsid w:val="6F16DA9E"/>
    <w:rsid w:val="6F265009"/>
    <w:rsid w:val="6FC00FB9"/>
    <w:rsid w:val="70765B1C"/>
    <w:rsid w:val="707979DA"/>
    <w:rsid w:val="711B78B6"/>
    <w:rsid w:val="71245A0C"/>
    <w:rsid w:val="716342F2"/>
    <w:rsid w:val="71D40D4C"/>
    <w:rsid w:val="728564EA"/>
    <w:rsid w:val="72D354A8"/>
    <w:rsid w:val="7400407A"/>
    <w:rsid w:val="7527323C"/>
    <w:rsid w:val="75612522"/>
    <w:rsid w:val="758E56B6"/>
    <w:rsid w:val="75B710B1"/>
    <w:rsid w:val="764A5A81"/>
    <w:rsid w:val="76911902"/>
    <w:rsid w:val="76B566AC"/>
    <w:rsid w:val="76C52039"/>
    <w:rsid w:val="78727511"/>
    <w:rsid w:val="78C23FF4"/>
    <w:rsid w:val="78F4767B"/>
    <w:rsid w:val="795211D7"/>
    <w:rsid w:val="796E1A86"/>
    <w:rsid w:val="796E5F2A"/>
    <w:rsid w:val="799A0ACD"/>
    <w:rsid w:val="7A0F14BB"/>
    <w:rsid w:val="7AAC0949"/>
    <w:rsid w:val="7AD324E9"/>
    <w:rsid w:val="7AE87FB7"/>
    <w:rsid w:val="7AF73F01"/>
    <w:rsid w:val="7B1E128A"/>
    <w:rsid w:val="7BD55DED"/>
    <w:rsid w:val="7C8B61BE"/>
    <w:rsid w:val="7E026C41"/>
    <w:rsid w:val="7E2C7A37"/>
    <w:rsid w:val="7E307C52"/>
    <w:rsid w:val="7E8D29AE"/>
    <w:rsid w:val="7F0C5FC9"/>
    <w:rsid w:val="7FEC1957"/>
    <w:rsid w:val="FFFB9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Calibri" w:hAnsi="Calibri" w:eastAsia="宋体" w:cs="Times New Roman"/>
      <w:sz w:val="22"/>
      <w:szCs w:val="22"/>
      <w:lang w:val="en-US" w:eastAsia="en-US"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10"/>
    <w:qFormat/>
    <w:uiPriority w:val="99"/>
    <w:pPr>
      <w:spacing w:after="120" w:line="480" w:lineRule="auto"/>
      <w:ind w:left="420" w:leftChars="200"/>
      <w:jc w:val="both"/>
    </w:pPr>
    <w:rPr>
      <w:kern w:val="2"/>
      <w:sz w:val="21"/>
      <w:szCs w:val="24"/>
      <w:lang w:eastAsia="zh-CN"/>
    </w:rPr>
  </w:style>
  <w:style w:type="paragraph" w:styleId="3">
    <w:name w:val="footer"/>
    <w:basedOn w:val="1"/>
    <w:link w:val="9"/>
    <w:qFormat/>
    <w:uiPriority w:val="99"/>
    <w:pPr>
      <w:tabs>
        <w:tab w:val="center" w:pos="4153"/>
        <w:tab w:val="right" w:pos="8306"/>
      </w:tabs>
      <w:snapToGrid w:val="0"/>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pPr>
    <w:rPr>
      <w:rFonts w:ascii="宋体" w:hAnsi="宋体" w:cs="宋体"/>
      <w:sz w:val="24"/>
      <w:szCs w:val="24"/>
      <w:lang w:eastAsia="zh-CN"/>
    </w:rPr>
  </w:style>
  <w:style w:type="character" w:customStyle="1" w:styleId="8">
    <w:name w:val="页眉 Char"/>
    <w:basedOn w:val="7"/>
    <w:link w:val="4"/>
    <w:qFormat/>
    <w:uiPriority w:val="0"/>
    <w:rPr>
      <w:sz w:val="18"/>
      <w:szCs w:val="18"/>
      <w:lang w:eastAsia="en-US"/>
    </w:rPr>
  </w:style>
  <w:style w:type="character" w:customStyle="1" w:styleId="9">
    <w:name w:val="页脚 Char"/>
    <w:basedOn w:val="7"/>
    <w:link w:val="3"/>
    <w:qFormat/>
    <w:uiPriority w:val="99"/>
    <w:rPr>
      <w:sz w:val="18"/>
      <w:szCs w:val="18"/>
      <w:lang w:eastAsia="en-US"/>
    </w:rPr>
  </w:style>
  <w:style w:type="character" w:customStyle="1" w:styleId="10">
    <w:name w:val="正文文本缩进 2 Char"/>
    <w:basedOn w:val="7"/>
    <w:link w:val="2"/>
    <w:qFormat/>
    <w:uiPriority w:val="99"/>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系统天地官网</Company>
  <Pages>3</Pages>
  <Words>2464</Words>
  <Characters>2536</Characters>
  <Lines>15</Lines>
  <Paragraphs>4</Paragraphs>
  <TotalTime>3</TotalTime>
  <ScaleCrop>false</ScaleCrop>
  <LinksUpToDate>false</LinksUpToDate>
  <CharactersWithSpaces>2668</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2021-08-03T15:18:00Z</dcterms:created>
  <dc:creator>赵敏</dc:creator>
  <cp:lastModifiedBy>kylin</cp:lastModifiedBy>
  <cp:lastPrinted>2026-07-29T08:47:00Z</cp:lastPrinted>
  <dcterms:modified xsi:type="dcterms:W3CDTF">2026-09-30T11:34:11Z</dcterms:modified>
  <cp:revision>227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eyJoZGlkIjoiYmZmODkyM2ZjNGM0NDJkZDM3MTM0Y2ZiNjdiNzgxZDgiLCJ1c2VySWQiOiI1ODgyNTY2NzEifQ==</vt:lpwstr>
  </property>
  <property fmtid="{D5CDD505-2E9C-101B-9397-08002B2CF9AE}" pid="4" name="ICV">
    <vt:lpwstr>05ADFC6741DC4D90B6F4561FCDD334A2_12</vt:lpwstr>
  </property>
</Properties>
</file>