
<file path=[Content_Types].xml><?xml version="1.0" encoding="utf-8"?>
<Types xmlns="http://schemas.openxmlformats.org/package/2006/content-types">
  <Default Extension="xml" ContentType="application/xml"/>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6"/>
          <w:szCs w:val="36"/>
        </w:rPr>
      </w:pPr>
    </w:p>
    <w:p>
      <w:pPr>
        <w:rPr>
          <w:rFonts w:eastAsia="仿宋_GB2312"/>
          <w:sz w:val="36"/>
          <w:szCs w:val="36"/>
          <w:u w:val="none"/>
        </w:rPr>
      </w:pPr>
    </w:p>
    <w:p>
      <w:pPr>
        <w:rPr>
          <w:rFonts w:eastAsia="仿宋_GB2312"/>
          <w:sz w:val="36"/>
          <w:szCs w:val="36"/>
          <w:u w:val="none"/>
        </w:rPr>
      </w:pPr>
      <w:r>
        <w:rPr>
          <w:sz w:val="36"/>
        </w:rPr>
        <mc:AlternateContent>
          <mc:Choice Requires="wps">
            <w:drawing>
              <wp:anchor distT="0" distB="0" distL="114300" distR="114300" simplePos="0" relativeHeight="251661312" behindDoc="0" locked="0" layoutInCell="1" allowOverlap="1">
                <wp:simplePos x="0" y="0"/>
                <wp:positionH relativeFrom="column">
                  <wp:posOffset>4453890</wp:posOffset>
                </wp:positionH>
                <wp:positionV relativeFrom="paragraph">
                  <wp:posOffset>-195580</wp:posOffset>
                </wp:positionV>
                <wp:extent cx="1019810" cy="342900"/>
                <wp:effectExtent l="4445" t="4445" r="23495" b="14605"/>
                <wp:wrapNone/>
                <wp:docPr id="2" name="文本框 2"/>
                <wp:cNvGraphicFramePr/>
                <a:graphic xmlns:a="http://schemas.openxmlformats.org/drawingml/2006/main">
                  <a:graphicData uri="http://schemas.microsoft.com/office/word/2010/wordprocessingShape">
                    <wps:wsp>
                      <wps:cNvSpPr txBox="1"/>
                      <wps:spPr>
                        <a:xfrm>
                          <a:off x="0" y="0"/>
                          <a:ext cx="1019810" cy="342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eastAsia="仿宋_GB2312"/>
                                <w:sz w:val="36"/>
                                <w:szCs w:val="36"/>
                                <w:u w:val="none"/>
                                <w:lang w:val="en-US" w:eastAsia="zh-CN"/>
                              </w:rPr>
                              <w:t>报批稿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0.7pt;margin-top:-15.4pt;height:27pt;width:80.3pt;z-index:251661312;mso-width-relative:page;mso-height-relative:page;" fillcolor="#FFFFFF [3201]" filled="t" stroked="t" coordsize="21600,21600" o:gfxdata="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orvfvX&#10;AAAACgEAAA8AAAAAAAAAAQAgAAAAIgAAAGRycy9kb3ducmV2LnhtbFBLAQIUABQAAAAIAIdO4kAb&#10;2+AiWgIAALcEAAAOAAAAAAAAAAEAIAAAACYBAABkcnMvZTJvRG9jLnhtbFBLBQYAAAAABgAGAFkB&#10;AADyBQAAAAA=&#10;">
                <v:fill on="t" focussize="0,0"/>
                <v:stroke weight="0.5pt" color="#000000 [3204]" joinstyle="round"/>
                <v:imagedata o:title=""/>
                <o:lock v:ext="edit" aspectratio="f"/>
                <v:textbox>
                  <w:txbxContent>
                    <w:p>
                      <w:r>
                        <w:rPr>
                          <w:rFonts w:hint="eastAsia" w:eastAsia="仿宋_GB2312"/>
                          <w:sz w:val="36"/>
                          <w:szCs w:val="36"/>
                          <w:u w:val="none"/>
                          <w:lang w:val="en-US" w:eastAsia="zh-CN"/>
                        </w:rPr>
                        <w:t>报批稿</w:t>
                      </w:r>
                    </w:p>
                  </w:txbxContent>
                </v:textbox>
              </v:shape>
            </w:pict>
          </mc:Fallback>
        </mc:AlternateContent>
      </w:r>
    </w:p>
    <w:p>
      <w:pPr>
        <w:rPr>
          <w:rFonts w:eastAsia="仿宋_GB2312"/>
          <w:sz w:val="36"/>
          <w:szCs w:val="36"/>
          <w:u w:val="none"/>
        </w:rPr>
      </w:pPr>
    </w:p>
    <w:p>
      <w:pPr>
        <w:rPr>
          <w:rFonts w:eastAsia="仿宋_GB2312"/>
          <w:sz w:val="36"/>
          <w:szCs w:val="36"/>
          <w:u w:val="none"/>
        </w:rPr>
      </w:pPr>
    </w:p>
    <w:p>
      <w:pPr>
        <w:adjustRightInd w:val="0"/>
        <w:snapToGrid w:val="0"/>
        <w:jc w:val="center"/>
        <w:outlineLvl w:val="0"/>
        <w:rPr>
          <w:rFonts w:eastAsia="方正小标宋_GBK"/>
          <w:bCs/>
          <w:sz w:val="72"/>
          <w:szCs w:val="72"/>
          <w:u w:val="none"/>
        </w:rPr>
      </w:pPr>
      <w:bookmarkStart w:id="0" w:name="_Toc22137"/>
      <w:r>
        <w:rPr>
          <w:rFonts w:eastAsia="方正小标宋_GBK"/>
          <w:bCs/>
          <w:sz w:val="72"/>
          <w:szCs w:val="72"/>
          <w:u w:val="none"/>
        </w:rPr>
        <w:t>建设项目环境影响报告表</w:t>
      </w:r>
      <w:bookmarkEnd w:id="0"/>
    </w:p>
    <w:p>
      <w:pPr>
        <w:kinsoku w:val="0"/>
        <w:overflowPunct w:val="0"/>
        <w:autoSpaceDE w:val="0"/>
        <w:autoSpaceDN w:val="0"/>
        <w:adjustRightInd w:val="0"/>
        <w:snapToGrid w:val="0"/>
        <w:spacing w:line="360" w:lineRule="auto"/>
        <w:jc w:val="center"/>
        <w:rPr>
          <w:sz w:val="44"/>
          <w:szCs w:val="44"/>
          <w:u w:val="none"/>
        </w:rPr>
      </w:pPr>
      <w:r>
        <w:rPr>
          <w:rFonts w:hint="eastAsia" w:ascii="楷体_GB2312" w:eastAsia="楷体_GB2312"/>
          <w:bCs/>
          <w:sz w:val="48"/>
          <w:szCs w:val="48"/>
        </w:rPr>
        <w:t>（污染影响类）</w:t>
      </w:r>
    </w:p>
    <w:p>
      <w:pPr>
        <w:adjustRightInd w:val="0"/>
        <w:snapToGrid w:val="0"/>
        <w:spacing w:before="192" w:beforeLines="80"/>
        <w:jc w:val="center"/>
        <w:rPr>
          <w:rFonts w:eastAsia="楷体_GB2312"/>
          <w:bCs/>
          <w:sz w:val="48"/>
          <w:szCs w:val="48"/>
        </w:rPr>
      </w:pPr>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adjustRightInd w:val="0"/>
        <w:snapToGrid w:val="0"/>
        <w:spacing w:line="288" w:lineRule="auto"/>
        <w:ind w:firstLine="1040"/>
        <w:rPr>
          <w:rFonts w:eastAsia="仿宋"/>
          <w:sz w:val="36"/>
          <w:szCs w:val="36"/>
          <w:u w:val="single"/>
        </w:rPr>
      </w:pPr>
      <w:r>
        <w:rPr>
          <w:rFonts w:eastAsia="仿宋_GB2312"/>
          <w:sz w:val="36"/>
          <w:szCs w:val="36"/>
        </w:rPr>
        <w:t>项目名称：</w:t>
      </w:r>
      <w:r>
        <w:rPr>
          <w:rFonts w:hint="eastAsia" w:eastAsia="仿宋_GB2312"/>
          <w:b/>
          <w:spacing w:val="-12"/>
          <w:sz w:val="32"/>
          <w:szCs w:val="32"/>
          <w:u w:val="single"/>
          <w:lang w:eastAsia="zh-CN"/>
        </w:rPr>
        <w:t>三阳港镇</w:t>
      </w:r>
      <w:r>
        <w:rPr>
          <w:rFonts w:hint="eastAsia" w:eastAsia="仿宋_GB2312"/>
          <w:b/>
          <w:spacing w:val="-12"/>
          <w:sz w:val="32"/>
          <w:szCs w:val="32"/>
          <w:u w:val="single"/>
        </w:rPr>
        <w:t>中心卫生院改扩建</w:t>
      </w:r>
      <w:r>
        <w:rPr>
          <w:rFonts w:hint="eastAsia" w:ascii="仿宋" w:hAnsi="仿宋" w:eastAsia="仿宋" w:cs="仿宋"/>
          <w:b/>
          <w:spacing w:val="-12"/>
          <w:sz w:val="32"/>
          <w:szCs w:val="32"/>
          <w:u w:val="single"/>
        </w:rPr>
        <w:t>项目</w:t>
      </w:r>
    </w:p>
    <w:p>
      <w:pPr>
        <w:adjustRightInd w:val="0"/>
        <w:snapToGrid w:val="0"/>
        <w:spacing w:line="288" w:lineRule="auto"/>
        <w:ind w:firstLine="1040"/>
        <w:rPr>
          <w:rFonts w:eastAsia="仿宋_GB2312"/>
          <w:sz w:val="36"/>
          <w:szCs w:val="36"/>
          <w:u w:val="single"/>
        </w:rPr>
      </w:pPr>
      <w:r>
        <w:rPr>
          <w:rFonts w:eastAsia="仿宋_GB2312"/>
          <w:sz w:val="36"/>
          <w:szCs w:val="36"/>
        </w:rPr>
        <w:t>建设单位（盖章）：</w:t>
      </w:r>
      <w:r>
        <w:rPr>
          <w:rFonts w:hint="eastAsia" w:eastAsia="仿宋_GB2312"/>
          <w:b/>
          <w:spacing w:val="-12"/>
          <w:sz w:val="32"/>
          <w:szCs w:val="32"/>
          <w:u w:val="single"/>
          <w:lang w:eastAsia="zh-CN"/>
        </w:rPr>
        <w:t>桃源县开元发展投资有限公司</w:t>
      </w:r>
    </w:p>
    <w:p>
      <w:pPr>
        <w:adjustRightInd w:val="0"/>
        <w:snapToGrid w:val="0"/>
        <w:spacing w:line="288" w:lineRule="auto"/>
        <w:ind w:firstLine="1040"/>
        <w:rPr>
          <w:rFonts w:eastAsia="仿宋_GB2312"/>
          <w:sz w:val="36"/>
          <w:szCs w:val="36"/>
          <w:u w:val="single"/>
        </w:rPr>
      </w:pPr>
      <w:r>
        <w:rPr>
          <w:rFonts w:eastAsia="仿宋_GB2312"/>
          <w:sz w:val="36"/>
          <w:szCs w:val="36"/>
        </w:rPr>
        <w:t>编制日期：</w:t>
      </w:r>
      <w:r>
        <w:rPr>
          <w:rFonts w:eastAsia="仿宋_GB2312"/>
          <w:b/>
          <w:bCs/>
          <w:sz w:val="36"/>
          <w:szCs w:val="36"/>
          <w:u w:val="single"/>
        </w:rPr>
        <w:t>二零二一年</w:t>
      </w:r>
      <w:r>
        <w:rPr>
          <w:rFonts w:hint="eastAsia" w:eastAsia="仿宋_GB2312"/>
          <w:b/>
          <w:bCs/>
          <w:sz w:val="36"/>
          <w:szCs w:val="36"/>
          <w:u w:val="single"/>
          <w:lang w:eastAsia="zh-CN"/>
        </w:rPr>
        <w:t>五</w:t>
      </w:r>
      <w:r>
        <w:rPr>
          <w:rFonts w:eastAsia="仿宋_GB2312"/>
          <w:b/>
          <w:bCs/>
          <w:sz w:val="36"/>
          <w:szCs w:val="36"/>
          <w:u w:val="single"/>
        </w:rPr>
        <w:t>月</w:t>
      </w:r>
    </w:p>
    <w:p>
      <w:pPr>
        <w:adjustRightInd w:val="0"/>
        <w:snapToGrid w:val="0"/>
        <w:spacing w:line="288" w:lineRule="auto"/>
        <w:ind w:firstLine="1040"/>
        <w:rPr>
          <w:rFonts w:eastAsia="仿宋_GB2312"/>
          <w:sz w:val="36"/>
          <w:szCs w:val="36"/>
          <w:u w:val="single"/>
        </w:rPr>
      </w:pPr>
      <w:bookmarkStart w:id="1" w:name="_Hlk57884087"/>
    </w:p>
    <w:p>
      <w:pPr>
        <w:adjustRightInd w:val="0"/>
        <w:snapToGrid w:val="0"/>
        <w:spacing w:line="288" w:lineRule="auto"/>
        <w:ind w:firstLine="1040"/>
        <w:rPr>
          <w:rFonts w:eastAsia="仿宋_GB2312"/>
          <w:sz w:val="36"/>
          <w:szCs w:val="36"/>
        </w:rPr>
      </w:pPr>
    </w:p>
    <w:p>
      <w:pPr>
        <w:adjustRightInd w:val="0"/>
        <w:snapToGrid w:val="0"/>
        <w:spacing w:line="288" w:lineRule="auto"/>
        <w:ind w:firstLine="1040"/>
        <w:rPr>
          <w:rFonts w:eastAsia="仿宋_GB2312"/>
          <w:sz w:val="36"/>
          <w:szCs w:val="36"/>
        </w:rPr>
      </w:pPr>
    </w:p>
    <w:p>
      <w:pPr>
        <w:adjustRightInd w:val="0"/>
        <w:snapToGrid w:val="0"/>
        <w:spacing w:line="288" w:lineRule="auto"/>
        <w:ind w:firstLine="1040"/>
        <w:rPr>
          <w:rFonts w:eastAsia="仿宋_GB2312"/>
          <w:sz w:val="36"/>
          <w:szCs w:val="36"/>
        </w:rPr>
      </w:pPr>
    </w:p>
    <w:p>
      <w:pPr>
        <w:adjustRightInd w:val="0"/>
        <w:snapToGrid w:val="0"/>
        <w:spacing w:line="288" w:lineRule="auto"/>
        <w:ind w:firstLine="1040"/>
        <w:rPr>
          <w:rFonts w:eastAsia="仿宋_GB2312"/>
          <w:sz w:val="36"/>
          <w:szCs w:val="36"/>
        </w:rPr>
      </w:pPr>
    </w:p>
    <w:bookmarkEnd w:id="1"/>
    <w:p>
      <w:pPr>
        <w:adjustRightInd w:val="0"/>
        <w:snapToGrid w:val="0"/>
        <w:spacing w:line="288" w:lineRule="auto"/>
        <w:jc w:val="center"/>
        <w:rPr>
          <w:rFonts w:eastAsia="楷体_GB2312"/>
          <w:sz w:val="36"/>
          <w:szCs w:val="36"/>
        </w:rPr>
      </w:pPr>
      <w:r>
        <w:rPr>
          <w:rFonts w:eastAsia="楷体_GB2312"/>
          <w:sz w:val="36"/>
          <w:szCs w:val="36"/>
        </w:rPr>
        <w:t>中华人民共和国生态环境部制</w:t>
      </w:r>
    </w:p>
    <w:p>
      <w:pPr>
        <w:adjustRightInd w:val="0"/>
        <w:snapToGrid w:val="0"/>
        <w:spacing w:line="288" w:lineRule="auto"/>
        <w:ind w:firstLine="1040"/>
        <w:rPr>
          <w:rFonts w:eastAsia="仿宋_GB2312"/>
          <w:sz w:val="36"/>
          <w:szCs w:val="36"/>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p>
    <w:p>
      <w:pPr>
        <w:pStyle w:val="26"/>
        <w:ind w:firstLine="480"/>
      </w:pPr>
    </w:p>
    <w:p>
      <w:pPr>
        <w:adjustRightInd w:val="0"/>
        <w:snapToGrid w:val="0"/>
        <w:spacing w:line="360" w:lineRule="auto"/>
        <w:ind w:firstLine="480" w:firstLineChars="200"/>
        <w:rPr>
          <w:sz w:val="24"/>
        </w:rPr>
      </w:pPr>
    </w:p>
    <w:p>
      <w:pPr>
        <w:spacing w:before="240" w:beforeLines="100" w:after="240" w:afterLines="100"/>
        <w:jc w:val="center"/>
        <w:rPr>
          <w:b/>
          <w:bCs/>
          <w:sz w:val="36"/>
        </w:rPr>
      </w:pPr>
      <w:r>
        <w:rPr>
          <w:b/>
          <w:bCs/>
          <w:sz w:val="36"/>
        </w:rPr>
        <w:t>《建设项目环境影响报告表》编制说明</w:t>
      </w:r>
    </w:p>
    <w:p>
      <w:pPr>
        <w:spacing w:line="360" w:lineRule="auto"/>
        <w:ind w:right="-29" w:rightChars="-14" w:firstLine="560" w:firstLineChars="200"/>
        <w:rPr>
          <w:sz w:val="28"/>
          <w:szCs w:val="28"/>
        </w:rPr>
      </w:pPr>
      <w:r>
        <w:rPr>
          <w:sz w:val="28"/>
          <w:szCs w:val="28"/>
        </w:rPr>
        <w:t>《建设项目环境影响报告表》由具有从事环境影响评价工作资质的单位编制。</w:t>
      </w:r>
    </w:p>
    <w:p>
      <w:pPr>
        <w:spacing w:line="360" w:lineRule="auto"/>
        <w:ind w:right="-29" w:rightChars="-14" w:firstLine="560" w:firstLineChars="200"/>
        <w:rPr>
          <w:sz w:val="28"/>
          <w:szCs w:val="28"/>
        </w:rPr>
      </w:pPr>
      <w:r>
        <w:rPr>
          <w:sz w:val="28"/>
          <w:szCs w:val="28"/>
        </w:rPr>
        <w:t>1.项目名称——指项目立项批复时的名称，应不超过30个字（两个英文字段作一个汉字）。</w:t>
      </w:r>
    </w:p>
    <w:p>
      <w:pPr>
        <w:spacing w:line="360" w:lineRule="auto"/>
        <w:ind w:right="-29" w:rightChars="-14" w:firstLine="560" w:firstLineChars="200"/>
        <w:rPr>
          <w:sz w:val="28"/>
          <w:szCs w:val="28"/>
        </w:rPr>
      </w:pPr>
      <w:r>
        <w:rPr>
          <w:sz w:val="28"/>
          <w:szCs w:val="28"/>
        </w:rPr>
        <w:t>2.建设地点——指项目所在地详细地址，公路、铁路应填写起止地点。</w:t>
      </w:r>
    </w:p>
    <w:p>
      <w:pPr>
        <w:spacing w:line="360" w:lineRule="auto"/>
        <w:ind w:right="-29" w:rightChars="-14" w:firstLine="560" w:firstLineChars="200"/>
        <w:rPr>
          <w:sz w:val="28"/>
          <w:szCs w:val="28"/>
        </w:rPr>
      </w:pPr>
      <w:r>
        <w:rPr>
          <w:sz w:val="28"/>
          <w:szCs w:val="28"/>
        </w:rPr>
        <w:t>3.行业类别——按国标填写。</w:t>
      </w:r>
    </w:p>
    <w:p>
      <w:pPr>
        <w:spacing w:line="360" w:lineRule="auto"/>
        <w:ind w:right="-29" w:rightChars="-14" w:firstLine="560" w:firstLineChars="200"/>
        <w:rPr>
          <w:sz w:val="28"/>
          <w:szCs w:val="28"/>
        </w:rPr>
      </w:pPr>
      <w:r>
        <w:rPr>
          <w:sz w:val="28"/>
          <w:szCs w:val="28"/>
        </w:rPr>
        <w:t>4.总投资——指项目投资总额。</w:t>
      </w:r>
    </w:p>
    <w:p>
      <w:pPr>
        <w:spacing w:line="360" w:lineRule="auto"/>
        <w:ind w:right="-29" w:rightChars="-14" w:firstLine="560" w:firstLineChars="200"/>
        <w:rPr>
          <w:sz w:val="28"/>
          <w:szCs w:val="28"/>
        </w:rPr>
      </w:pPr>
      <w:r>
        <w:rPr>
          <w:sz w:val="28"/>
          <w:szCs w:val="28"/>
        </w:rPr>
        <w:t>5.主要环境保护目标——指项目区周围一定范围内集中居民住宅区、学校、医院、保护文物、风景名胜区、水源地和生态敏感点等，应尽可能给出保护目标、性质、规模和距厂界距离等。</w:t>
      </w:r>
    </w:p>
    <w:p>
      <w:pPr>
        <w:spacing w:line="360" w:lineRule="auto"/>
        <w:ind w:right="-29" w:rightChars="-14" w:firstLine="560" w:firstLineChars="200"/>
        <w:rPr>
          <w:sz w:val="28"/>
          <w:szCs w:val="28"/>
        </w:rPr>
      </w:pPr>
      <w:r>
        <w:rPr>
          <w:sz w:val="28"/>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right="-29" w:rightChars="-14" w:firstLine="560" w:firstLineChars="200"/>
        <w:rPr>
          <w:sz w:val="28"/>
          <w:szCs w:val="28"/>
        </w:rPr>
      </w:pPr>
      <w:r>
        <w:rPr>
          <w:sz w:val="28"/>
          <w:szCs w:val="28"/>
        </w:rPr>
        <w:t>7.预审意见——由行</w:t>
      </w:r>
      <w:r>
        <w:rPr>
          <w:rFonts w:hint="eastAsia"/>
          <w:sz w:val="28"/>
          <w:szCs w:val="28"/>
        </w:rPr>
        <w:t>建设单位</w:t>
      </w:r>
      <w:r>
        <w:rPr>
          <w:sz w:val="28"/>
          <w:szCs w:val="28"/>
        </w:rPr>
        <w:t>管部门填写答复意见，无主管部门项目，可不填。</w:t>
      </w:r>
    </w:p>
    <w:p>
      <w:pPr>
        <w:spacing w:line="360" w:lineRule="auto"/>
        <w:ind w:right="-29" w:rightChars="-14" w:firstLine="560" w:firstLineChars="200"/>
        <w:rPr>
          <w:sz w:val="28"/>
          <w:szCs w:val="28"/>
        </w:rPr>
      </w:pPr>
      <w:r>
        <w:rPr>
          <w:sz w:val="28"/>
          <w:szCs w:val="28"/>
        </w:rPr>
        <w:t>8.审批意见——由负责审批该项目的环境保护行政主管部门批复。</w:t>
      </w:r>
    </w:p>
    <w:p>
      <w:pPr>
        <w:spacing w:line="400" w:lineRule="exact"/>
        <w:jc w:val="center"/>
        <w:rPr>
          <w:b/>
          <w:sz w:val="36"/>
          <w:szCs w:val="36"/>
        </w:rPr>
      </w:pPr>
    </w:p>
    <w:p>
      <w:pPr>
        <w:pStyle w:val="5"/>
        <w:sectPr>
          <w:footerReference r:id="rId5" w:type="default"/>
          <w:pgSz w:w="11906" w:h="16838"/>
          <w:pgMar w:top="1701" w:right="1531" w:bottom="1701" w:left="1531" w:header="851" w:footer="1077" w:gutter="0"/>
          <w:pgNumType w:start="1"/>
          <w:cols w:space="720" w:num="1"/>
          <w:docGrid w:linePitch="312" w:charSpace="0"/>
        </w:sectPr>
      </w:pPr>
    </w:p>
    <w:sdt>
      <w:sdtPr>
        <w:rPr>
          <w:rFonts w:eastAsia="黑体"/>
          <w:b/>
          <w:bCs/>
          <w:color w:val="000000"/>
          <w:kern w:val="44"/>
          <w:sz w:val="30"/>
          <w:szCs w:val="30"/>
        </w:rPr>
        <w:id w:val="147463183"/>
        <w15:color w:val="DBDBDB"/>
        <w:docPartObj>
          <w:docPartGallery w:val="Table of Contents"/>
          <w:docPartUnique/>
        </w:docPartObj>
      </w:sdtPr>
      <w:sdtEndPr>
        <w:rPr>
          <w:rFonts w:eastAsia="黑体"/>
          <w:b/>
          <w:bCs/>
          <w:color w:val="000000"/>
          <w:kern w:val="44"/>
          <w:sz w:val="30"/>
          <w:szCs w:val="30"/>
        </w:rPr>
      </w:sdtEndPr>
      <w:sdtContent>
        <w:p>
          <w:pPr>
            <w:jc w:val="center"/>
            <w:rPr>
              <w:b/>
              <w:bCs/>
              <w:sz w:val="28"/>
              <w:szCs w:val="36"/>
            </w:rPr>
          </w:pPr>
          <w:r>
            <w:rPr>
              <w:b/>
              <w:bCs/>
              <w:sz w:val="28"/>
              <w:szCs w:val="36"/>
            </w:rPr>
            <w:t>目录</w:t>
          </w:r>
        </w:p>
        <w:p>
          <w:pPr>
            <w:pStyle w:val="74"/>
            <w:tabs>
              <w:tab w:val="right" w:leader="dot" w:pos="8844"/>
            </w:tabs>
            <w:rPr>
              <w:b/>
            </w:rPr>
          </w:pPr>
          <w:r>
            <w:fldChar w:fldCharType="begin"/>
          </w:r>
          <w:r>
            <w:instrText xml:space="preserve">TOC \o "1-2" \h \u </w:instrText>
          </w:r>
          <w:r>
            <w:fldChar w:fldCharType="separate"/>
          </w:r>
        </w:p>
        <w:p>
          <w:pPr>
            <w:pStyle w:val="74"/>
            <w:tabs>
              <w:tab w:val="right" w:leader="dot" w:pos="8844"/>
            </w:tabs>
            <w:spacing w:line="360" w:lineRule="auto"/>
            <w:rPr>
              <w:b/>
              <w:sz w:val="24"/>
              <w:szCs w:val="24"/>
            </w:rPr>
          </w:pPr>
          <w:r>
            <w:fldChar w:fldCharType="begin"/>
          </w:r>
          <w:r>
            <w:instrText xml:space="preserve"> HYPERLINK \l "_Toc2920" </w:instrText>
          </w:r>
          <w:r>
            <w:fldChar w:fldCharType="separate"/>
          </w:r>
          <w:r>
            <w:rPr>
              <w:b/>
              <w:sz w:val="24"/>
              <w:szCs w:val="24"/>
            </w:rPr>
            <w:t>一、建设项目基本情况</w:t>
          </w:r>
          <w:r>
            <w:rPr>
              <w:b/>
              <w:sz w:val="24"/>
              <w:szCs w:val="24"/>
            </w:rPr>
            <w:tab/>
          </w:r>
          <w:r>
            <w:rPr>
              <w:b/>
              <w:sz w:val="24"/>
              <w:szCs w:val="24"/>
            </w:rPr>
            <w:fldChar w:fldCharType="begin"/>
          </w:r>
          <w:r>
            <w:rPr>
              <w:b/>
              <w:sz w:val="24"/>
              <w:szCs w:val="24"/>
            </w:rPr>
            <w:instrText xml:space="preserve"> PAGEREF _Toc2920 </w:instrText>
          </w:r>
          <w:r>
            <w:rPr>
              <w:b/>
              <w:sz w:val="24"/>
              <w:szCs w:val="24"/>
            </w:rPr>
            <w:fldChar w:fldCharType="separate"/>
          </w:r>
          <w:r>
            <w:rPr>
              <w:b/>
              <w:sz w:val="24"/>
              <w:szCs w:val="24"/>
            </w:rPr>
            <w:t>1</w:t>
          </w:r>
          <w:r>
            <w:rPr>
              <w:b/>
              <w:sz w:val="24"/>
              <w:szCs w:val="24"/>
            </w:rPr>
            <w:fldChar w:fldCharType="end"/>
          </w:r>
          <w:r>
            <w:rPr>
              <w:b/>
              <w:sz w:val="24"/>
              <w:szCs w:val="24"/>
            </w:rPr>
            <w:fldChar w:fldCharType="end"/>
          </w:r>
        </w:p>
        <w:p>
          <w:pPr>
            <w:pStyle w:val="74"/>
            <w:tabs>
              <w:tab w:val="right" w:leader="dot" w:pos="8844"/>
            </w:tabs>
            <w:spacing w:line="360" w:lineRule="auto"/>
            <w:rPr>
              <w:b/>
              <w:sz w:val="24"/>
              <w:szCs w:val="24"/>
            </w:rPr>
          </w:pPr>
          <w:r>
            <w:fldChar w:fldCharType="begin"/>
          </w:r>
          <w:r>
            <w:instrText xml:space="preserve"> HYPERLINK \l "_Toc22676" </w:instrText>
          </w:r>
          <w:r>
            <w:fldChar w:fldCharType="separate"/>
          </w:r>
          <w:r>
            <w:rPr>
              <w:b/>
              <w:sz w:val="24"/>
              <w:szCs w:val="24"/>
            </w:rPr>
            <w:t>二、建设项目工程分析</w:t>
          </w:r>
          <w:r>
            <w:rPr>
              <w:b/>
              <w:sz w:val="24"/>
              <w:szCs w:val="24"/>
            </w:rPr>
            <w:tab/>
          </w:r>
          <w:r>
            <w:rPr>
              <w:b/>
              <w:sz w:val="24"/>
              <w:szCs w:val="24"/>
            </w:rPr>
            <w:fldChar w:fldCharType="begin"/>
          </w:r>
          <w:r>
            <w:rPr>
              <w:b/>
              <w:sz w:val="24"/>
              <w:szCs w:val="24"/>
            </w:rPr>
            <w:instrText xml:space="preserve"> PAGEREF _Toc22676 </w:instrText>
          </w:r>
          <w:r>
            <w:rPr>
              <w:b/>
              <w:sz w:val="24"/>
              <w:szCs w:val="24"/>
            </w:rPr>
            <w:fldChar w:fldCharType="separate"/>
          </w:r>
          <w:r>
            <w:rPr>
              <w:b/>
              <w:sz w:val="24"/>
              <w:szCs w:val="24"/>
            </w:rPr>
            <w:t>7</w:t>
          </w:r>
          <w:r>
            <w:rPr>
              <w:b/>
              <w:sz w:val="24"/>
              <w:szCs w:val="24"/>
            </w:rPr>
            <w:fldChar w:fldCharType="end"/>
          </w:r>
          <w:r>
            <w:rPr>
              <w:b/>
              <w:sz w:val="24"/>
              <w:szCs w:val="24"/>
            </w:rPr>
            <w:fldChar w:fldCharType="end"/>
          </w:r>
        </w:p>
        <w:p>
          <w:pPr>
            <w:pStyle w:val="74"/>
            <w:tabs>
              <w:tab w:val="right" w:leader="dot" w:pos="8844"/>
            </w:tabs>
            <w:spacing w:line="360" w:lineRule="auto"/>
            <w:rPr>
              <w:b/>
              <w:sz w:val="24"/>
              <w:szCs w:val="24"/>
            </w:rPr>
          </w:pPr>
          <w:r>
            <w:fldChar w:fldCharType="begin"/>
          </w:r>
          <w:r>
            <w:instrText xml:space="preserve"> HYPERLINK \l "_Toc19652" </w:instrText>
          </w:r>
          <w:r>
            <w:fldChar w:fldCharType="separate"/>
          </w:r>
          <w:r>
            <w:rPr>
              <w:b/>
              <w:sz w:val="24"/>
              <w:szCs w:val="24"/>
            </w:rPr>
            <w:t>三、区域环境质量现状、环境保护目标及评价标准</w:t>
          </w:r>
          <w:r>
            <w:rPr>
              <w:b/>
              <w:sz w:val="24"/>
              <w:szCs w:val="24"/>
            </w:rPr>
            <w:tab/>
          </w:r>
          <w:r>
            <w:rPr>
              <w:b/>
              <w:sz w:val="24"/>
              <w:szCs w:val="24"/>
            </w:rPr>
            <w:fldChar w:fldCharType="begin"/>
          </w:r>
          <w:r>
            <w:rPr>
              <w:b/>
              <w:sz w:val="24"/>
              <w:szCs w:val="24"/>
            </w:rPr>
            <w:instrText xml:space="preserve"> PAGEREF _Toc19652 </w:instrText>
          </w:r>
          <w:r>
            <w:rPr>
              <w:b/>
              <w:sz w:val="24"/>
              <w:szCs w:val="24"/>
            </w:rPr>
            <w:fldChar w:fldCharType="separate"/>
          </w:r>
          <w:r>
            <w:rPr>
              <w:b/>
              <w:sz w:val="24"/>
              <w:szCs w:val="24"/>
            </w:rPr>
            <w:t>22</w:t>
          </w:r>
          <w:r>
            <w:rPr>
              <w:b/>
              <w:sz w:val="24"/>
              <w:szCs w:val="24"/>
            </w:rPr>
            <w:fldChar w:fldCharType="end"/>
          </w:r>
          <w:r>
            <w:rPr>
              <w:b/>
              <w:sz w:val="24"/>
              <w:szCs w:val="24"/>
            </w:rPr>
            <w:fldChar w:fldCharType="end"/>
          </w:r>
        </w:p>
        <w:p>
          <w:pPr>
            <w:pStyle w:val="74"/>
            <w:tabs>
              <w:tab w:val="right" w:leader="dot" w:pos="8844"/>
            </w:tabs>
            <w:spacing w:line="360" w:lineRule="auto"/>
            <w:rPr>
              <w:b/>
              <w:sz w:val="24"/>
              <w:szCs w:val="24"/>
            </w:rPr>
          </w:pPr>
          <w:r>
            <w:fldChar w:fldCharType="begin"/>
          </w:r>
          <w:r>
            <w:instrText xml:space="preserve"> HYPERLINK \l "_Toc20449" </w:instrText>
          </w:r>
          <w:r>
            <w:fldChar w:fldCharType="separate"/>
          </w:r>
          <w:r>
            <w:rPr>
              <w:b/>
              <w:sz w:val="24"/>
              <w:szCs w:val="24"/>
            </w:rPr>
            <w:t>四、主要环境影响和保护措施</w:t>
          </w:r>
          <w:r>
            <w:rPr>
              <w:b/>
              <w:sz w:val="24"/>
              <w:szCs w:val="24"/>
            </w:rPr>
            <w:tab/>
          </w:r>
          <w:r>
            <w:rPr>
              <w:b/>
              <w:sz w:val="24"/>
              <w:szCs w:val="24"/>
            </w:rPr>
            <w:fldChar w:fldCharType="begin"/>
          </w:r>
          <w:r>
            <w:rPr>
              <w:b/>
              <w:sz w:val="24"/>
              <w:szCs w:val="24"/>
            </w:rPr>
            <w:instrText xml:space="preserve"> PAGEREF _Toc20449 </w:instrText>
          </w:r>
          <w:r>
            <w:rPr>
              <w:b/>
              <w:sz w:val="24"/>
              <w:szCs w:val="24"/>
            </w:rPr>
            <w:fldChar w:fldCharType="separate"/>
          </w:r>
          <w:r>
            <w:rPr>
              <w:b/>
              <w:sz w:val="24"/>
              <w:szCs w:val="24"/>
            </w:rPr>
            <w:t>28</w:t>
          </w:r>
          <w:r>
            <w:rPr>
              <w:b/>
              <w:sz w:val="24"/>
              <w:szCs w:val="24"/>
            </w:rPr>
            <w:fldChar w:fldCharType="end"/>
          </w:r>
          <w:r>
            <w:rPr>
              <w:b/>
              <w:sz w:val="24"/>
              <w:szCs w:val="24"/>
            </w:rPr>
            <w:fldChar w:fldCharType="end"/>
          </w:r>
        </w:p>
        <w:p>
          <w:pPr>
            <w:pStyle w:val="74"/>
            <w:tabs>
              <w:tab w:val="right" w:leader="dot" w:pos="8844"/>
            </w:tabs>
            <w:spacing w:line="360" w:lineRule="auto"/>
            <w:rPr>
              <w:b/>
              <w:sz w:val="24"/>
              <w:szCs w:val="24"/>
            </w:rPr>
          </w:pPr>
          <w:r>
            <w:fldChar w:fldCharType="begin"/>
          </w:r>
          <w:r>
            <w:instrText xml:space="preserve"> HYPERLINK \l "_Toc19536" </w:instrText>
          </w:r>
          <w:r>
            <w:fldChar w:fldCharType="separate"/>
          </w:r>
          <w:r>
            <w:rPr>
              <w:b/>
              <w:sz w:val="24"/>
              <w:szCs w:val="24"/>
            </w:rPr>
            <w:t>五、环境保护措施监督检查清单</w:t>
          </w:r>
          <w:r>
            <w:rPr>
              <w:b/>
              <w:sz w:val="24"/>
              <w:szCs w:val="24"/>
            </w:rPr>
            <w:tab/>
          </w:r>
          <w:r>
            <w:rPr>
              <w:b/>
              <w:sz w:val="24"/>
              <w:szCs w:val="24"/>
            </w:rPr>
            <w:fldChar w:fldCharType="begin"/>
          </w:r>
          <w:r>
            <w:rPr>
              <w:b/>
              <w:sz w:val="24"/>
              <w:szCs w:val="24"/>
            </w:rPr>
            <w:instrText xml:space="preserve"> PAGEREF _Toc19536 </w:instrText>
          </w:r>
          <w:r>
            <w:rPr>
              <w:b/>
              <w:sz w:val="24"/>
              <w:szCs w:val="24"/>
            </w:rPr>
            <w:fldChar w:fldCharType="separate"/>
          </w:r>
          <w:r>
            <w:rPr>
              <w:b/>
              <w:sz w:val="24"/>
              <w:szCs w:val="24"/>
            </w:rPr>
            <w:t>50</w:t>
          </w:r>
          <w:r>
            <w:rPr>
              <w:b/>
              <w:sz w:val="24"/>
              <w:szCs w:val="24"/>
            </w:rPr>
            <w:fldChar w:fldCharType="end"/>
          </w:r>
          <w:r>
            <w:rPr>
              <w:b/>
              <w:sz w:val="24"/>
              <w:szCs w:val="24"/>
            </w:rPr>
            <w:fldChar w:fldCharType="end"/>
          </w:r>
        </w:p>
        <w:p>
          <w:pPr>
            <w:pStyle w:val="74"/>
            <w:tabs>
              <w:tab w:val="right" w:leader="dot" w:pos="8844"/>
            </w:tabs>
            <w:spacing w:line="360" w:lineRule="auto"/>
            <w:rPr>
              <w:b/>
              <w:sz w:val="24"/>
              <w:szCs w:val="24"/>
            </w:rPr>
          </w:pPr>
          <w:r>
            <w:fldChar w:fldCharType="begin"/>
          </w:r>
          <w:r>
            <w:instrText xml:space="preserve"> HYPERLINK \l "_Toc22623" </w:instrText>
          </w:r>
          <w:r>
            <w:fldChar w:fldCharType="separate"/>
          </w:r>
          <w:r>
            <w:rPr>
              <w:b/>
              <w:sz w:val="24"/>
              <w:szCs w:val="24"/>
            </w:rPr>
            <w:t>六、结论</w:t>
          </w:r>
          <w:r>
            <w:rPr>
              <w:b/>
              <w:sz w:val="24"/>
              <w:szCs w:val="24"/>
            </w:rPr>
            <w:tab/>
          </w:r>
          <w:r>
            <w:rPr>
              <w:b/>
              <w:sz w:val="24"/>
              <w:szCs w:val="24"/>
            </w:rPr>
            <w:fldChar w:fldCharType="begin"/>
          </w:r>
          <w:r>
            <w:rPr>
              <w:b/>
              <w:sz w:val="24"/>
              <w:szCs w:val="24"/>
            </w:rPr>
            <w:instrText xml:space="preserve"> PAGEREF _Toc22623 </w:instrText>
          </w:r>
          <w:r>
            <w:rPr>
              <w:b/>
              <w:sz w:val="24"/>
              <w:szCs w:val="24"/>
            </w:rPr>
            <w:fldChar w:fldCharType="separate"/>
          </w:r>
          <w:r>
            <w:rPr>
              <w:b/>
              <w:sz w:val="24"/>
              <w:szCs w:val="24"/>
            </w:rPr>
            <w:t>52</w:t>
          </w:r>
          <w:r>
            <w:rPr>
              <w:b/>
              <w:sz w:val="24"/>
              <w:szCs w:val="24"/>
            </w:rPr>
            <w:fldChar w:fldCharType="end"/>
          </w:r>
          <w:r>
            <w:rPr>
              <w:b/>
              <w:sz w:val="24"/>
              <w:szCs w:val="24"/>
            </w:rPr>
            <w:fldChar w:fldCharType="end"/>
          </w:r>
        </w:p>
        <w:p>
          <w:pPr>
            <w:pStyle w:val="74"/>
            <w:tabs>
              <w:tab w:val="right" w:leader="dot" w:pos="8844"/>
            </w:tabs>
            <w:spacing w:line="360" w:lineRule="auto"/>
            <w:rPr>
              <w:b/>
            </w:rPr>
          </w:pPr>
          <w:r>
            <w:fldChar w:fldCharType="begin"/>
          </w:r>
          <w:r>
            <w:instrText xml:space="preserve"> HYPERLINK \l "_Toc20942" </w:instrText>
          </w:r>
          <w:r>
            <w:fldChar w:fldCharType="separate"/>
          </w:r>
          <w:r>
            <w:rPr>
              <w:b/>
              <w:sz w:val="24"/>
              <w:szCs w:val="24"/>
            </w:rPr>
            <w:t>附表</w:t>
          </w:r>
          <w:r>
            <w:rPr>
              <w:b/>
              <w:sz w:val="24"/>
              <w:szCs w:val="24"/>
            </w:rPr>
            <w:fldChar w:fldCharType="end"/>
          </w:r>
          <w:r>
            <w:fldChar w:fldCharType="begin"/>
          </w:r>
          <w:r>
            <w:instrText xml:space="preserve"> HYPERLINK \l "_Toc26530" </w:instrText>
          </w:r>
          <w:r>
            <w:fldChar w:fldCharType="separate"/>
          </w:r>
          <w:r>
            <w:rPr>
              <w:b/>
              <w:sz w:val="24"/>
              <w:szCs w:val="24"/>
            </w:rPr>
            <w:t>建设项目污染物排放量汇总表</w:t>
          </w:r>
          <w:r>
            <w:rPr>
              <w:b/>
              <w:sz w:val="24"/>
              <w:szCs w:val="24"/>
            </w:rPr>
            <w:tab/>
          </w:r>
          <w:r>
            <w:rPr>
              <w:b/>
              <w:sz w:val="24"/>
              <w:szCs w:val="24"/>
            </w:rPr>
            <w:fldChar w:fldCharType="begin"/>
          </w:r>
          <w:r>
            <w:rPr>
              <w:b/>
              <w:sz w:val="24"/>
              <w:szCs w:val="24"/>
            </w:rPr>
            <w:instrText xml:space="preserve"> PAGEREF _Toc26530 </w:instrText>
          </w:r>
          <w:r>
            <w:rPr>
              <w:b/>
              <w:sz w:val="24"/>
              <w:szCs w:val="24"/>
            </w:rPr>
            <w:fldChar w:fldCharType="separate"/>
          </w:r>
          <w:r>
            <w:rPr>
              <w:b/>
              <w:sz w:val="24"/>
              <w:szCs w:val="24"/>
            </w:rPr>
            <w:t>54</w:t>
          </w:r>
          <w:r>
            <w:rPr>
              <w:b/>
              <w:sz w:val="24"/>
              <w:szCs w:val="24"/>
            </w:rPr>
            <w:fldChar w:fldCharType="end"/>
          </w:r>
          <w:r>
            <w:rPr>
              <w:b/>
              <w:sz w:val="24"/>
              <w:szCs w:val="24"/>
            </w:rPr>
            <w:fldChar w:fldCharType="end"/>
          </w:r>
        </w:p>
        <w:p>
          <w:pPr>
            <w:pStyle w:val="74"/>
            <w:tabs>
              <w:tab w:val="right" w:leader="dot" w:pos="8844"/>
            </w:tabs>
            <w:rPr>
              <w:b/>
            </w:rPr>
          </w:pPr>
          <w:r>
            <w:fldChar w:fldCharType="begin"/>
          </w:r>
          <w:r>
            <w:instrText xml:space="preserve"> HYPERLINK \l "_Toc20206" </w:instrText>
          </w:r>
          <w:r>
            <w:fldChar w:fldCharType="separate"/>
          </w:r>
          <w:r>
            <w:fldChar w:fldCharType="end"/>
          </w:r>
        </w:p>
        <w:p>
          <w:pPr>
            <w:bidi w:val="0"/>
            <w:spacing w:line="360" w:lineRule="auto"/>
            <w:rPr>
              <w:rFonts w:hint="eastAsia"/>
              <w:b/>
              <w:bCs/>
              <w:sz w:val="24"/>
              <w:szCs w:val="32"/>
              <w:lang w:eastAsia="zh-CN"/>
            </w:rPr>
          </w:pPr>
          <w:r>
            <w:fldChar w:fldCharType="end"/>
          </w:r>
          <w:r>
            <w:rPr>
              <w:rFonts w:hint="eastAsia"/>
              <w:b/>
              <w:bCs/>
              <w:sz w:val="24"/>
              <w:szCs w:val="32"/>
              <w:lang w:eastAsia="zh-CN"/>
            </w:rPr>
            <w:t>附图</w:t>
          </w:r>
        </w:p>
        <w:p>
          <w:pPr>
            <w:bidi w:val="0"/>
            <w:spacing w:line="360" w:lineRule="auto"/>
            <w:rPr>
              <w:rFonts w:hint="eastAsia"/>
              <w:b/>
              <w:bCs/>
              <w:sz w:val="24"/>
              <w:szCs w:val="32"/>
              <w:u w:val="single"/>
              <w:lang w:val="en-US" w:eastAsia="zh-CN"/>
            </w:rPr>
          </w:pPr>
          <w:r>
            <w:rPr>
              <w:rFonts w:hint="eastAsia"/>
              <w:b/>
              <w:bCs/>
              <w:sz w:val="24"/>
              <w:szCs w:val="32"/>
              <w:u w:val="single"/>
              <w:lang w:val="en-US" w:eastAsia="zh-CN"/>
            </w:rPr>
            <w:t>附图1</w:t>
          </w:r>
          <w:r>
            <w:rPr>
              <w:rFonts w:hint="eastAsia"/>
              <w:u w:val="single"/>
              <w:lang w:val="en-US" w:eastAsia="zh-CN"/>
            </w:rPr>
            <w:t xml:space="preserve"> </w:t>
          </w:r>
          <w:r>
            <w:rPr>
              <w:rFonts w:hint="eastAsia"/>
              <w:b/>
              <w:bCs/>
              <w:sz w:val="24"/>
              <w:szCs w:val="32"/>
              <w:u w:val="single"/>
              <w:lang w:val="en-US" w:eastAsia="zh-CN"/>
            </w:rPr>
            <w:t>项目地理位置图</w:t>
          </w:r>
        </w:p>
        <w:p>
          <w:pPr>
            <w:bidi w:val="0"/>
            <w:spacing w:line="360" w:lineRule="auto"/>
            <w:rPr>
              <w:rFonts w:hint="eastAsia"/>
              <w:b/>
              <w:bCs/>
              <w:sz w:val="24"/>
              <w:szCs w:val="32"/>
              <w:u w:val="none"/>
              <w:lang w:val="en-US" w:eastAsia="zh-CN"/>
            </w:rPr>
          </w:pPr>
          <w:r>
            <w:rPr>
              <w:rFonts w:hint="eastAsia"/>
              <w:b/>
              <w:bCs/>
              <w:sz w:val="24"/>
              <w:szCs w:val="32"/>
              <w:u w:val="single"/>
              <w:lang w:val="en-US" w:eastAsia="zh-CN"/>
            </w:rPr>
            <w:t>附图2 项目平面布置图</w:t>
          </w:r>
        </w:p>
        <w:p>
          <w:pPr>
            <w:bidi w:val="0"/>
            <w:spacing w:line="360" w:lineRule="auto"/>
            <w:rPr>
              <w:rFonts w:hint="eastAsia"/>
              <w:b/>
              <w:bCs/>
              <w:sz w:val="24"/>
              <w:szCs w:val="32"/>
              <w:u w:val="none"/>
              <w:lang w:val="en-US" w:eastAsia="zh-CN"/>
            </w:rPr>
          </w:pPr>
          <w:r>
            <w:rPr>
              <w:rFonts w:hint="eastAsia"/>
              <w:b/>
              <w:bCs/>
              <w:sz w:val="24"/>
              <w:szCs w:val="32"/>
              <w:u w:val="none"/>
              <w:lang w:val="en-US" w:eastAsia="zh-CN"/>
            </w:rPr>
            <w:t>附图3 项目周边敏感目标图</w:t>
          </w:r>
        </w:p>
        <w:p>
          <w:pPr>
            <w:bidi w:val="0"/>
            <w:spacing w:line="360" w:lineRule="auto"/>
            <w:rPr>
              <w:rFonts w:hint="eastAsia"/>
              <w:b/>
              <w:bCs/>
              <w:sz w:val="24"/>
              <w:szCs w:val="32"/>
              <w:u w:val="none"/>
              <w:lang w:val="en-US" w:eastAsia="zh-CN"/>
            </w:rPr>
          </w:pPr>
          <w:r>
            <w:rPr>
              <w:rFonts w:hint="eastAsia"/>
              <w:b/>
              <w:bCs/>
              <w:sz w:val="24"/>
              <w:szCs w:val="32"/>
              <w:u w:val="none"/>
              <w:lang w:val="en-US" w:eastAsia="zh-CN"/>
            </w:rPr>
            <w:t>附图4 项目监测点位图</w:t>
          </w:r>
        </w:p>
        <w:p>
          <w:pPr>
            <w:bidi w:val="0"/>
            <w:spacing w:line="360" w:lineRule="auto"/>
            <w:rPr>
              <w:rFonts w:hint="eastAsia"/>
              <w:b/>
              <w:bCs/>
              <w:sz w:val="24"/>
              <w:szCs w:val="32"/>
              <w:u w:val="none"/>
              <w:lang w:val="en-US" w:eastAsia="zh-CN"/>
            </w:rPr>
          </w:pPr>
          <w:r>
            <w:rPr>
              <w:rFonts w:hint="eastAsia"/>
              <w:b/>
              <w:bCs/>
              <w:sz w:val="24"/>
              <w:szCs w:val="32"/>
              <w:u w:val="none"/>
              <w:lang w:val="en-US" w:eastAsia="zh-CN"/>
            </w:rPr>
            <w:t>附图5 项目现状图</w:t>
          </w:r>
        </w:p>
        <w:p>
          <w:pPr>
            <w:bidi w:val="0"/>
            <w:spacing w:line="360" w:lineRule="auto"/>
            <w:rPr>
              <w:rFonts w:hint="eastAsia"/>
              <w:b/>
              <w:bCs/>
              <w:sz w:val="24"/>
              <w:szCs w:val="32"/>
              <w:u w:val="none"/>
              <w:lang w:val="en-US" w:eastAsia="zh-CN"/>
            </w:rPr>
          </w:pPr>
          <w:r>
            <w:rPr>
              <w:rFonts w:hint="eastAsia"/>
              <w:b/>
              <w:bCs/>
              <w:sz w:val="24"/>
              <w:szCs w:val="32"/>
              <w:u w:val="none"/>
              <w:lang w:val="en-US" w:eastAsia="zh-CN"/>
            </w:rPr>
            <w:t>附件</w:t>
          </w:r>
        </w:p>
        <w:p>
          <w:pPr>
            <w:bidi w:val="0"/>
            <w:spacing w:line="360" w:lineRule="auto"/>
            <w:rPr>
              <w:rFonts w:hint="eastAsia"/>
              <w:b/>
              <w:bCs/>
              <w:sz w:val="24"/>
              <w:szCs w:val="32"/>
              <w:u w:val="none"/>
              <w:lang w:val="en-US" w:eastAsia="zh-CN"/>
            </w:rPr>
          </w:pPr>
          <w:r>
            <w:rPr>
              <w:rFonts w:hint="eastAsia"/>
              <w:b/>
              <w:bCs/>
              <w:sz w:val="24"/>
              <w:szCs w:val="32"/>
              <w:u w:val="none"/>
              <w:lang w:val="en-US" w:eastAsia="zh-CN"/>
            </w:rPr>
            <w:t>附件1 项目环评委托书</w:t>
          </w:r>
        </w:p>
        <w:p>
          <w:pPr>
            <w:bidi w:val="0"/>
            <w:spacing w:line="360" w:lineRule="auto"/>
            <w:rPr>
              <w:rFonts w:hint="eastAsia"/>
              <w:b/>
              <w:bCs/>
              <w:sz w:val="24"/>
              <w:szCs w:val="32"/>
              <w:u w:val="none"/>
              <w:lang w:val="en-US" w:eastAsia="zh-CN"/>
            </w:rPr>
          </w:pPr>
          <w:r>
            <w:rPr>
              <w:rFonts w:hint="eastAsia"/>
              <w:b/>
              <w:bCs/>
              <w:sz w:val="24"/>
              <w:szCs w:val="32"/>
              <w:u w:val="none"/>
              <w:lang w:val="en-US" w:eastAsia="zh-CN"/>
            </w:rPr>
            <w:t>附件2 项目发改备案文件</w:t>
          </w:r>
        </w:p>
        <w:p>
          <w:pPr>
            <w:bidi w:val="0"/>
            <w:spacing w:line="360" w:lineRule="auto"/>
            <w:rPr>
              <w:rFonts w:hint="eastAsia"/>
              <w:b/>
              <w:bCs/>
              <w:sz w:val="24"/>
              <w:szCs w:val="32"/>
              <w:u w:val="none"/>
              <w:lang w:val="en-US" w:eastAsia="zh-CN"/>
            </w:rPr>
          </w:pPr>
          <w:r>
            <w:rPr>
              <w:rFonts w:hint="eastAsia"/>
              <w:b/>
              <w:bCs/>
              <w:sz w:val="24"/>
              <w:szCs w:val="32"/>
              <w:u w:val="none"/>
              <w:lang w:val="en-US" w:eastAsia="zh-CN"/>
            </w:rPr>
            <w:t xml:space="preserve">附件3 医院卫生许可证 </w:t>
          </w:r>
        </w:p>
        <w:p>
          <w:pPr>
            <w:bidi w:val="0"/>
            <w:spacing w:line="360" w:lineRule="auto"/>
            <w:rPr>
              <w:rFonts w:hint="eastAsia"/>
              <w:b/>
              <w:bCs/>
              <w:sz w:val="24"/>
              <w:szCs w:val="32"/>
              <w:u w:val="none"/>
              <w:lang w:val="en-US" w:eastAsia="zh-CN"/>
            </w:rPr>
          </w:pPr>
          <w:r>
            <w:rPr>
              <w:rFonts w:hint="eastAsia"/>
              <w:b/>
              <w:bCs/>
              <w:sz w:val="24"/>
              <w:szCs w:val="32"/>
              <w:u w:val="none"/>
              <w:lang w:val="en-US" w:eastAsia="zh-CN"/>
            </w:rPr>
            <w:t xml:space="preserve">附件4 辐射安全许可证 </w:t>
          </w:r>
        </w:p>
        <w:p>
          <w:pPr>
            <w:bidi w:val="0"/>
            <w:spacing w:line="360" w:lineRule="auto"/>
            <w:rPr>
              <w:rFonts w:hint="eastAsia"/>
              <w:b/>
              <w:bCs/>
              <w:sz w:val="24"/>
              <w:szCs w:val="32"/>
              <w:u w:val="none"/>
              <w:lang w:val="en-US" w:eastAsia="zh-CN"/>
            </w:rPr>
          </w:pPr>
          <w:r>
            <w:rPr>
              <w:rFonts w:hint="eastAsia"/>
              <w:b/>
              <w:bCs/>
              <w:sz w:val="24"/>
              <w:szCs w:val="32"/>
              <w:u w:val="none"/>
              <w:lang w:val="en-US" w:eastAsia="zh-CN"/>
            </w:rPr>
            <w:t>附件5危废转移联单</w:t>
          </w:r>
        </w:p>
        <w:p>
          <w:pPr>
            <w:keepLines w:val="0"/>
            <w:pageBreakBefore w:val="0"/>
            <w:widowControl w:val="0"/>
            <w:kinsoku/>
            <w:wordWrap/>
            <w:topLinePunct w:val="0"/>
            <w:autoSpaceDE/>
            <w:autoSpaceDN/>
            <w:bidi w:val="0"/>
            <w:adjustRightInd/>
            <w:spacing w:line="360" w:lineRule="auto"/>
            <w:ind w:left="0"/>
            <w:textAlignment w:val="auto"/>
            <w:rPr>
              <w:rFonts w:hint="eastAsia"/>
              <w:b/>
              <w:bCs/>
              <w:sz w:val="24"/>
              <w:szCs w:val="32"/>
              <w:u w:val="none"/>
              <w:lang w:val="en-US" w:eastAsia="zh-CN"/>
            </w:rPr>
          </w:pPr>
          <w:r>
            <w:rPr>
              <w:rFonts w:hint="eastAsia"/>
              <w:b/>
              <w:bCs/>
              <w:sz w:val="24"/>
              <w:szCs w:val="32"/>
              <w:u w:val="single"/>
              <w:lang w:val="en-US" w:eastAsia="zh-CN"/>
            </w:rPr>
            <w:t xml:space="preserve">附件6 </w:t>
          </w:r>
          <w:r>
            <w:rPr>
              <w:rFonts w:hint="default" w:ascii="Times New Roman" w:hAnsi="Times New Roman" w:eastAsia="宋体" w:cs="Times New Roman"/>
              <w:b/>
              <w:bCs/>
              <w:sz w:val="24"/>
              <w:szCs w:val="24"/>
              <w:u w:val="single"/>
              <w:lang w:val="en-US" w:eastAsia="zh-CN"/>
            </w:rPr>
            <w:t>污水处理站第三方运营协议</w:t>
          </w:r>
        </w:p>
        <w:p>
          <w:pPr>
            <w:pStyle w:val="3"/>
            <w:keepLines w:val="0"/>
            <w:pageBreakBefore w:val="0"/>
            <w:widowControl w:val="0"/>
            <w:kinsoku/>
            <w:wordWrap/>
            <w:topLinePunct w:val="0"/>
            <w:autoSpaceDE/>
            <w:autoSpaceDN/>
            <w:bidi w:val="0"/>
            <w:adjustRightInd/>
            <w:spacing w:before="0" w:after="0"/>
            <w:textAlignment w:val="auto"/>
            <w:sectPr>
              <w:footerReference r:id="rId6" w:type="default"/>
              <w:pgSz w:w="11906" w:h="16838"/>
              <w:pgMar w:top="1701" w:right="1531" w:bottom="1701" w:left="1531" w:header="851" w:footer="1077" w:gutter="0"/>
              <w:pgNumType w:start="1"/>
              <w:cols w:space="720" w:num="1"/>
              <w:docGrid w:linePitch="312" w:charSpace="0"/>
            </w:sectPr>
          </w:pPr>
        </w:p>
      </w:sdtContent>
    </w:sdt>
    <w:p>
      <w:pPr>
        <w:pStyle w:val="3"/>
      </w:pPr>
      <w:bookmarkStart w:id="2" w:name="_Toc2920"/>
      <w:r>
        <w:t>一、建设项目基本情况</w:t>
      </w:r>
      <w:bookmarkEnd w:id="2"/>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23"/>
        <w:gridCol w:w="2296"/>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szCs w:val="21"/>
              </w:rPr>
            </w:pPr>
            <w:r>
              <w:rPr>
                <w:szCs w:val="21"/>
              </w:rPr>
              <w:t>建设项目名称</w:t>
            </w:r>
          </w:p>
        </w:tc>
        <w:tc>
          <w:tcPr>
            <w:tcW w:w="7147" w:type="dxa"/>
            <w:gridSpan w:val="3"/>
            <w:vAlign w:val="center"/>
          </w:tcPr>
          <w:p>
            <w:pPr>
              <w:adjustRightInd w:val="0"/>
              <w:snapToGrid w:val="0"/>
              <w:jc w:val="center"/>
              <w:rPr>
                <w:szCs w:val="21"/>
              </w:rPr>
            </w:pPr>
            <w:r>
              <w:rPr>
                <w:rFonts w:hint="eastAsia"/>
                <w:szCs w:val="21"/>
                <w:lang w:eastAsia="zh-CN"/>
              </w:rPr>
              <w:t>三阳港镇</w:t>
            </w:r>
            <w:r>
              <w:rPr>
                <w:rFonts w:hint="eastAsia"/>
                <w:szCs w:val="21"/>
              </w:rPr>
              <w:t>中心卫生院改扩建</w:t>
            </w:r>
            <w:r>
              <w:rPr>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szCs w:val="21"/>
              </w:rPr>
            </w:pPr>
            <w:r>
              <w:rPr>
                <w:szCs w:val="21"/>
              </w:rPr>
              <w:t>项目代码</w:t>
            </w:r>
          </w:p>
        </w:tc>
        <w:tc>
          <w:tcPr>
            <w:tcW w:w="7147" w:type="dxa"/>
            <w:gridSpan w:val="3"/>
            <w:vAlign w:val="center"/>
          </w:tcPr>
          <w:p>
            <w:pPr>
              <w:adjustRightInd w:val="0"/>
              <w:snapToGrid w:val="0"/>
              <w:jc w:val="center"/>
              <w:rPr>
                <w:szCs w:val="21"/>
              </w:rPr>
            </w:pPr>
            <w:r>
              <w:rPr>
                <w:szCs w:val="21"/>
              </w:rPr>
              <w:t>2020-43</w:t>
            </w:r>
            <w:r>
              <w:rPr>
                <w:rFonts w:hint="eastAsia"/>
                <w:szCs w:val="21"/>
              </w:rPr>
              <w:t>07</w:t>
            </w:r>
            <w:r>
              <w:rPr>
                <w:szCs w:val="21"/>
              </w:rPr>
              <w:t>25-</w:t>
            </w:r>
            <w:r>
              <w:rPr>
                <w:rFonts w:hint="eastAsia"/>
                <w:szCs w:val="21"/>
              </w:rPr>
              <w:t>84</w:t>
            </w:r>
            <w:r>
              <w:rPr>
                <w:szCs w:val="21"/>
              </w:rPr>
              <w:t>-0</w:t>
            </w:r>
            <w:r>
              <w:rPr>
                <w:rFonts w:hint="eastAsia"/>
                <w:szCs w:val="21"/>
              </w:rPr>
              <w:t>1</w:t>
            </w:r>
            <w:r>
              <w:rPr>
                <w:szCs w:val="21"/>
              </w:rPr>
              <w:t>-0</w:t>
            </w:r>
            <w:r>
              <w:rPr>
                <w:rFonts w:hint="eastAsia"/>
                <w:szCs w:val="21"/>
              </w:rPr>
              <w:t>55202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szCs w:val="21"/>
              </w:rPr>
            </w:pPr>
            <w:r>
              <w:rPr>
                <w:szCs w:val="21"/>
              </w:rPr>
              <w:t>建设单位联系人</w:t>
            </w:r>
          </w:p>
        </w:tc>
        <w:tc>
          <w:tcPr>
            <w:tcW w:w="2296" w:type="dxa"/>
            <w:vAlign w:val="center"/>
          </w:tcPr>
          <w:p>
            <w:pPr>
              <w:adjustRightInd w:val="0"/>
              <w:snapToGrid w:val="0"/>
              <w:jc w:val="center"/>
              <w:rPr>
                <w:rFonts w:hint="eastAsia" w:eastAsia="宋体"/>
                <w:szCs w:val="21"/>
                <w:lang w:eastAsia="zh-CN"/>
              </w:rPr>
            </w:pPr>
            <w:r>
              <w:rPr>
                <w:rFonts w:hint="eastAsia"/>
                <w:szCs w:val="21"/>
                <w:lang w:eastAsia="zh-CN"/>
              </w:rPr>
              <w:t>杨毅</w:t>
            </w:r>
          </w:p>
        </w:tc>
        <w:tc>
          <w:tcPr>
            <w:tcW w:w="2212" w:type="dxa"/>
            <w:vAlign w:val="center"/>
          </w:tcPr>
          <w:p>
            <w:pPr>
              <w:adjustRightInd w:val="0"/>
              <w:snapToGrid w:val="0"/>
              <w:jc w:val="center"/>
              <w:rPr>
                <w:szCs w:val="21"/>
              </w:rPr>
            </w:pPr>
            <w:r>
              <w:rPr>
                <w:szCs w:val="21"/>
              </w:rPr>
              <w:t>联系方式</w:t>
            </w:r>
          </w:p>
        </w:tc>
        <w:tc>
          <w:tcPr>
            <w:tcW w:w="2639" w:type="dxa"/>
            <w:vAlign w:val="center"/>
          </w:tcPr>
          <w:p>
            <w:pPr>
              <w:adjustRightInd w:val="0"/>
              <w:snapToGrid w:val="0"/>
              <w:jc w:val="center"/>
              <w:rPr>
                <w:szCs w:val="21"/>
              </w:rPr>
            </w:pPr>
            <w:r>
              <w:rPr>
                <w:rFonts w:hint="eastAsia"/>
                <w:szCs w:val="21"/>
                <w:lang w:val="en-US" w:eastAsia="zh-CN"/>
              </w:rPr>
              <w:t>13875084218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szCs w:val="21"/>
              </w:rPr>
            </w:pPr>
            <w:r>
              <w:rPr>
                <w:szCs w:val="21"/>
              </w:rPr>
              <w:t>建设地点</w:t>
            </w:r>
          </w:p>
        </w:tc>
        <w:tc>
          <w:tcPr>
            <w:tcW w:w="7147" w:type="dxa"/>
            <w:gridSpan w:val="3"/>
            <w:vAlign w:val="center"/>
          </w:tcPr>
          <w:p>
            <w:pPr>
              <w:adjustRightInd w:val="0"/>
              <w:snapToGrid w:val="0"/>
              <w:jc w:val="center"/>
              <w:rPr>
                <w:rFonts w:hint="eastAsia" w:eastAsia="宋体"/>
                <w:szCs w:val="21"/>
                <w:lang w:eastAsia="zh-CN"/>
              </w:rPr>
            </w:pPr>
            <w:r>
              <w:rPr>
                <w:szCs w:val="21"/>
                <w:u w:val="single"/>
              </w:rPr>
              <w:t>湖南</w:t>
            </w:r>
            <w:r>
              <w:rPr>
                <w:szCs w:val="21"/>
              </w:rPr>
              <w:t>省（自治区）</w:t>
            </w:r>
            <w:r>
              <w:rPr>
                <w:rFonts w:hint="eastAsia"/>
                <w:szCs w:val="21"/>
                <w:u w:val="single"/>
              </w:rPr>
              <w:t>常德</w:t>
            </w:r>
            <w:r>
              <w:rPr>
                <w:szCs w:val="21"/>
              </w:rPr>
              <w:t>市</w:t>
            </w:r>
            <w:r>
              <w:rPr>
                <w:rFonts w:hint="eastAsia"/>
                <w:szCs w:val="21"/>
                <w:u w:val="single"/>
              </w:rPr>
              <w:t>桃源</w:t>
            </w:r>
            <w:r>
              <w:rPr>
                <w:szCs w:val="21"/>
              </w:rPr>
              <w:t>县（区）</w:t>
            </w:r>
            <w:r>
              <w:rPr>
                <w:rFonts w:hint="eastAsia"/>
                <w:szCs w:val="21"/>
                <w:u w:val="single"/>
                <w:lang w:eastAsia="zh-CN"/>
              </w:rPr>
              <w:t>三阳港镇墟场中街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szCs w:val="21"/>
              </w:rPr>
            </w:pPr>
            <w:r>
              <w:rPr>
                <w:szCs w:val="21"/>
              </w:rPr>
              <w:t>地理坐标</w:t>
            </w:r>
          </w:p>
        </w:tc>
        <w:tc>
          <w:tcPr>
            <w:tcW w:w="7147" w:type="dxa"/>
            <w:gridSpan w:val="3"/>
            <w:vAlign w:val="center"/>
          </w:tcPr>
          <w:p>
            <w:pPr>
              <w:jc w:val="center"/>
              <w:rPr>
                <w:szCs w:val="21"/>
              </w:rPr>
            </w:pPr>
            <w:r>
              <w:rPr>
                <w:szCs w:val="21"/>
              </w:rPr>
              <w:t>东经</w:t>
            </w:r>
            <w:r>
              <w:rPr>
                <w:szCs w:val="21"/>
                <w:u w:val="single"/>
              </w:rPr>
              <w:t>111</w:t>
            </w:r>
            <w:r>
              <w:rPr>
                <w:szCs w:val="21"/>
              </w:rPr>
              <w:t>度</w:t>
            </w:r>
            <w:r>
              <w:rPr>
                <w:rFonts w:hint="eastAsia"/>
                <w:szCs w:val="21"/>
                <w:u w:val="single"/>
                <w:lang w:val="en-US" w:eastAsia="zh-CN"/>
              </w:rPr>
              <w:t>20</w:t>
            </w:r>
            <w:r>
              <w:rPr>
                <w:szCs w:val="21"/>
              </w:rPr>
              <w:t>分</w:t>
            </w:r>
            <w:r>
              <w:rPr>
                <w:rFonts w:hint="eastAsia"/>
                <w:szCs w:val="21"/>
                <w:u w:val="single"/>
                <w:lang w:val="en-US" w:eastAsia="zh-CN"/>
              </w:rPr>
              <w:t>53.605</w:t>
            </w:r>
            <w:r>
              <w:rPr>
                <w:szCs w:val="21"/>
              </w:rPr>
              <w:t>秒，北纬</w:t>
            </w:r>
            <w:r>
              <w:rPr>
                <w:szCs w:val="21"/>
                <w:u w:val="single"/>
              </w:rPr>
              <w:t>2</w:t>
            </w:r>
            <w:r>
              <w:rPr>
                <w:rFonts w:hint="eastAsia"/>
                <w:szCs w:val="21"/>
                <w:u w:val="single"/>
                <w:lang w:val="en-US" w:eastAsia="zh-CN"/>
              </w:rPr>
              <w:t>8</w:t>
            </w:r>
            <w:r>
              <w:rPr>
                <w:szCs w:val="21"/>
              </w:rPr>
              <w:t>度</w:t>
            </w:r>
            <w:r>
              <w:rPr>
                <w:rFonts w:hint="eastAsia"/>
                <w:szCs w:val="21"/>
                <w:u w:val="single"/>
                <w:lang w:val="en-US" w:eastAsia="zh-CN"/>
              </w:rPr>
              <w:t>58</w:t>
            </w:r>
            <w:r>
              <w:rPr>
                <w:szCs w:val="21"/>
              </w:rPr>
              <w:t>分</w:t>
            </w:r>
            <w:r>
              <w:rPr>
                <w:rFonts w:hint="eastAsia"/>
                <w:szCs w:val="21"/>
                <w:u w:val="single"/>
                <w:lang w:val="en-US" w:eastAsia="zh-CN"/>
              </w:rPr>
              <w:t>26.645</w:t>
            </w:r>
            <w:r>
              <w:rPr>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723" w:type="dxa"/>
            <w:tcMar>
              <w:top w:w="16" w:type="dxa"/>
              <w:left w:w="16" w:type="dxa"/>
              <w:right w:w="16" w:type="dxa"/>
            </w:tcMar>
            <w:vAlign w:val="center"/>
          </w:tcPr>
          <w:p>
            <w:pPr>
              <w:adjustRightInd w:val="0"/>
              <w:snapToGrid w:val="0"/>
              <w:jc w:val="center"/>
              <w:rPr>
                <w:szCs w:val="21"/>
              </w:rPr>
            </w:pPr>
            <w:r>
              <w:rPr>
                <w:szCs w:val="21"/>
              </w:rPr>
              <w:t>国民经济</w:t>
            </w:r>
          </w:p>
          <w:p>
            <w:pPr>
              <w:adjustRightInd w:val="0"/>
              <w:snapToGrid w:val="0"/>
              <w:jc w:val="center"/>
              <w:rPr>
                <w:szCs w:val="21"/>
              </w:rPr>
            </w:pPr>
            <w:r>
              <w:rPr>
                <w:szCs w:val="21"/>
              </w:rPr>
              <w:t>行业类别</w:t>
            </w:r>
          </w:p>
        </w:tc>
        <w:tc>
          <w:tcPr>
            <w:tcW w:w="2296" w:type="dxa"/>
            <w:vAlign w:val="center"/>
          </w:tcPr>
          <w:p>
            <w:pPr>
              <w:adjustRightInd w:val="0"/>
              <w:snapToGrid w:val="0"/>
              <w:jc w:val="center"/>
              <w:rPr>
                <w:szCs w:val="21"/>
              </w:rPr>
            </w:pPr>
            <w:r>
              <w:rPr>
                <w:rFonts w:hint="eastAsia"/>
                <w:szCs w:val="21"/>
              </w:rPr>
              <w:t>Q</w:t>
            </w:r>
            <w:r>
              <w:rPr>
                <w:szCs w:val="21"/>
              </w:rPr>
              <w:t>8423乡镇卫生院</w:t>
            </w:r>
          </w:p>
        </w:tc>
        <w:tc>
          <w:tcPr>
            <w:tcW w:w="2212" w:type="dxa"/>
            <w:vAlign w:val="center"/>
          </w:tcPr>
          <w:p>
            <w:pPr>
              <w:adjustRightInd w:val="0"/>
              <w:snapToGrid w:val="0"/>
              <w:jc w:val="center"/>
              <w:rPr>
                <w:szCs w:val="21"/>
              </w:rPr>
            </w:pPr>
            <w:bookmarkStart w:id="3" w:name="_Hlk49843745"/>
            <w:r>
              <w:rPr>
                <w:szCs w:val="21"/>
              </w:rPr>
              <w:t>建设项目</w:t>
            </w:r>
          </w:p>
          <w:p>
            <w:pPr>
              <w:adjustRightInd w:val="0"/>
              <w:snapToGrid w:val="0"/>
              <w:jc w:val="center"/>
              <w:rPr>
                <w:szCs w:val="21"/>
              </w:rPr>
            </w:pPr>
            <w:r>
              <w:rPr>
                <w:szCs w:val="21"/>
              </w:rPr>
              <w:t>行业类别</w:t>
            </w:r>
            <w:bookmarkEnd w:id="3"/>
          </w:p>
        </w:tc>
        <w:tc>
          <w:tcPr>
            <w:tcW w:w="2639" w:type="dxa"/>
            <w:vAlign w:val="center"/>
          </w:tcPr>
          <w:p>
            <w:pPr>
              <w:adjustRightInd w:val="0"/>
              <w:snapToGrid w:val="0"/>
              <w:rPr>
                <w:szCs w:val="21"/>
              </w:rPr>
            </w:pPr>
            <w:r>
              <w:rPr>
                <w:szCs w:val="21"/>
              </w:rPr>
              <w:t>四十九、卫生</w:t>
            </w:r>
            <w:r>
              <w:rPr>
                <w:rFonts w:hint="eastAsia"/>
                <w:szCs w:val="21"/>
              </w:rPr>
              <w:t>108基层医</w:t>
            </w:r>
          </w:p>
          <w:p>
            <w:pPr>
              <w:adjustRightInd w:val="0"/>
              <w:snapToGrid w:val="0"/>
              <w:rPr>
                <w:szCs w:val="21"/>
              </w:rPr>
            </w:pPr>
            <w:r>
              <w:rPr>
                <w:rFonts w:hint="eastAsia"/>
                <w:szCs w:val="21"/>
              </w:rPr>
              <w:t>疗卫生服务842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23" w:type="dxa"/>
            <w:tcMar>
              <w:top w:w="16" w:type="dxa"/>
              <w:left w:w="16" w:type="dxa"/>
              <w:right w:w="16" w:type="dxa"/>
            </w:tcMar>
            <w:vAlign w:val="center"/>
          </w:tcPr>
          <w:p>
            <w:pPr>
              <w:adjustRightInd w:val="0"/>
              <w:snapToGrid w:val="0"/>
              <w:jc w:val="center"/>
              <w:rPr>
                <w:szCs w:val="21"/>
              </w:rPr>
            </w:pPr>
            <w:r>
              <w:rPr>
                <w:szCs w:val="21"/>
              </w:rPr>
              <w:t>建设性质</w:t>
            </w:r>
          </w:p>
        </w:tc>
        <w:tc>
          <w:tcPr>
            <w:tcW w:w="2296" w:type="dxa"/>
            <w:vAlign w:val="center"/>
          </w:tcPr>
          <w:p>
            <w:pPr>
              <w:jc w:val="left"/>
              <w:rPr>
                <w:szCs w:val="21"/>
              </w:rPr>
            </w:pPr>
            <w:r>
              <w:rPr>
                <w:szCs w:val="21"/>
              </w:rPr>
              <w:sym w:font="Wingdings 2" w:char="00A3"/>
            </w:r>
            <w:r>
              <w:rPr>
                <w:szCs w:val="21"/>
              </w:rPr>
              <w:t>新建（迁建）</w:t>
            </w:r>
          </w:p>
          <w:p>
            <w:pPr>
              <w:jc w:val="left"/>
              <w:rPr>
                <w:rFonts w:hint="eastAsia" w:eastAsia="宋体"/>
                <w:szCs w:val="21"/>
                <w:lang w:eastAsia="zh-CN"/>
              </w:rPr>
            </w:pPr>
            <w:r>
              <w:rPr>
                <w:szCs w:val="21"/>
              </w:rPr>
              <w:sym w:font="Wingdings 2" w:char="0052"/>
            </w:r>
            <w:r>
              <w:rPr>
                <w:rFonts w:hint="eastAsia"/>
                <w:szCs w:val="21"/>
                <w:lang w:eastAsia="zh-CN"/>
              </w:rPr>
              <w:t>改建</w:t>
            </w:r>
          </w:p>
          <w:p>
            <w:pPr>
              <w:jc w:val="left"/>
              <w:rPr>
                <w:szCs w:val="21"/>
              </w:rPr>
            </w:pPr>
            <w:r>
              <w:rPr>
                <w:szCs w:val="21"/>
              </w:rPr>
              <w:sym w:font="Wingdings 2" w:char="0052"/>
            </w:r>
            <w:r>
              <w:rPr>
                <w:szCs w:val="21"/>
              </w:rPr>
              <w:t>扩建</w:t>
            </w:r>
          </w:p>
          <w:p>
            <w:pPr>
              <w:jc w:val="left"/>
              <w:rPr>
                <w:szCs w:val="21"/>
              </w:rPr>
            </w:pPr>
            <w:r>
              <w:rPr>
                <w:szCs w:val="21"/>
              </w:rPr>
              <w:t>□技术改造</w:t>
            </w:r>
          </w:p>
        </w:tc>
        <w:tc>
          <w:tcPr>
            <w:tcW w:w="2212" w:type="dxa"/>
            <w:vAlign w:val="center"/>
          </w:tcPr>
          <w:p>
            <w:pPr>
              <w:adjustRightInd w:val="0"/>
              <w:snapToGrid w:val="0"/>
              <w:jc w:val="center"/>
              <w:rPr>
                <w:szCs w:val="21"/>
              </w:rPr>
            </w:pPr>
            <w:r>
              <w:rPr>
                <w:szCs w:val="21"/>
              </w:rPr>
              <w:t>建设项目</w:t>
            </w:r>
          </w:p>
          <w:p>
            <w:pPr>
              <w:adjustRightInd w:val="0"/>
              <w:snapToGrid w:val="0"/>
              <w:jc w:val="center"/>
              <w:rPr>
                <w:szCs w:val="21"/>
              </w:rPr>
            </w:pPr>
            <w:r>
              <w:rPr>
                <w:szCs w:val="21"/>
              </w:rPr>
              <w:t>申报情形</w:t>
            </w:r>
          </w:p>
        </w:tc>
        <w:tc>
          <w:tcPr>
            <w:tcW w:w="2639" w:type="dxa"/>
            <w:vAlign w:val="center"/>
          </w:tcPr>
          <w:p>
            <w:pPr>
              <w:jc w:val="left"/>
              <w:rPr>
                <w:szCs w:val="21"/>
              </w:rPr>
            </w:pPr>
            <w:r>
              <w:rPr>
                <w:szCs w:val="21"/>
              </w:rPr>
              <w:sym w:font="Wingdings 2" w:char="0052"/>
            </w:r>
            <w:r>
              <w:rPr>
                <w:szCs w:val="21"/>
              </w:rPr>
              <w:t>首次申报项目</w:t>
            </w:r>
          </w:p>
          <w:p>
            <w:pPr>
              <w:jc w:val="left"/>
              <w:rPr>
                <w:szCs w:val="21"/>
              </w:rPr>
            </w:pPr>
            <w:r>
              <w:rPr>
                <w:szCs w:val="21"/>
              </w:rPr>
              <w:t>□不予批准后再次申报项目</w:t>
            </w:r>
          </w:p>
          <w:p>
            <w:pPr>
              <w:jc w:val="left"/>
              <w:rPr>
                <w:szCs w:val="21"/>
              </w:rPr>
            </w:pPr>
            <w:r>
              <w:rPr>
                <w:szCs w:val="21"/>
              </w:rPr>
              <w:sym w:font="Wingdings 2" w:char="00A3"/>
            </w:r>
            <w:r>
              <w:rPr>
                <w:szCs w:val="21"/>
              </w:rPr>
              <w:t>超五年重新审核项目</w:t>
            </w:r>
          </w:p>
          <w:p>
            <w:pPr>
              <w:jc w:val="left"/>
              <w:rPr>
                <w:szCs w:val="21"/>
              </w:rPr>
            </w:pPr>
            <w:r>
              <w:rPr>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723" w:type="dxa"/>
            <w:tcMar>
              <w:top w:w="16" w:type="dxa"/>
              <w:left w:w="16" w:type="dxa"/>
              <w:right w:w="16" w:type="dxa"/>
            </w:tcMar>
            <w:vAlign w:val="center"/>
          </w:tcPr>
          <w:p>
            <w:pPr>
              <w:adjustRightInd w:val="0"/>
              <w:snapToGrid w:val="0"/>
              <w:jc w:val="center"/>
              <w:rPr>
                <w:szCs w:val="21"/>
              </w:rPr>
            </w:pPr>
            <w:r>
              <w:rPr>
                <w:szCs w:val="21"/>
              </w:rPr>
              <w:t>项目审批（核准/</w:t>
            </w:r>
          </w:p>
          <w:p>
            <w:pPr>
              <w:adjustRightInd w:val="0"/>
              <w:snapToGrid w:val="0"/>
              <w:jc w:val="center"/>
              <w:rPr>
                <w:szCs w:val="21"/>
              </w:rPr>
            </w:pPr>
            <w:r>
              <w:rPr>
                <w:szCs w:val="21"/>
              </w:rPr>
              <w:t>备案）部门</w:t>
            </w:r>
          </w:p>
        </w:tc>
        <w:tc>
          <w:tcPr>
            <w:tcW w:w="2296" w:type="dxa"/>
            <w:vAlign w:val="center"/>
          </w:tcPr>
          <w:p>
            <w:pPr>
              <w:adjustRightInd w:val="0"/>
              <w:snapToGrid w:val="0"/>
              <w:jc w:val="center"/>
              <w:rPr>
                <w:szCs w:val="21"/>
              </w:rPr>
            </w:pPr>
            <w:r>
              <w:rPr>
                <w:rFonts w:hint="default" w:ascii="Times New Roman" w:hAnsi="Times New Roman" w:cs="Times New Roman"/>
                <w:szCs w:val="21"/>
                <w:lang w:val="en-US" w:eastAsia="zh-CN"/>
              </w:rPr>
              <w:t>桃源县发展和改革局</w:t>
            </w:r>
          </w:p>
        </w:tc>
        <w:tc>
          <w:tcPr>
            <w:tcW w:w="2212" w:type="dxa"/>
            <w:vAlign w:val="center"/>
          </w:tcPr>
          <w:p>
            <w:pPr>
              <w:adjustRightInd w:val="0"/>
              <w:snapToGrid w:val="0"/>
              <w:jc w:val="center"/>
              <w:rPr>
                <w:szCs w:val="21"/>
              </w:rPr>
            </w:pPr>
            <w:r>
              <w:rPr>
                <w:szCs w:val="21"/>
              </w:rPr>
              <w:t>项目审批（核准/</w:t>
            </w:r>
          </w:p>
          <w:p>
            <w:pPr>
              <w:adjustRightInd w:val="0"/>
              <w:snapToGrid w:val="0"/>
              <w:jc w:val="center"/>
              <w:rPr>
                <w:szCs w:val="21"/>
              </w:rPr>
            </w:pPr>
            <w:r>
              <w:rPr>
                <w:szCs w:val="21"/>
              </w:rPr>
              <w:t>备案）文号</w:t>
            </w:r>
          </w:p>
        </w:tc>
        <w:tc>
          <w:tcPr>
            <w:tcW w:w="2639" w:type="dxa"/>
            <w:vAlign w:val="center"/>
          </w:tcPr>
          <w:p>
            <w:pPr>
              <w:adjustRightInd w:val="0"/>
              <w:snapToGrid w:val="0"/>
              <w:jc w:val="center"/>
              <w:rPr>
                <w:szCs w:val="21"/>
              </w:rPr>
            </w:pPr>
            <w:r>
              <w:rPr>
                <w:rFonts w:hint="default" w:ascii="Times New Roman" w:hAnsi="Times New Roman" w:cs="Times New Roman"/>
                <w:szCs w:val="21"/>
                <w:lang w:val="en-US" w:eastAsia="zh-CN"/>
              </w:rPr>
              <w:t>桃发改许[2020]129号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szCs w:val="21"/>
              </w:rPr>
            </w:pPr>
            <w:r>
              <w:rPr>
                <w:szCs w:val="21"/>
              </w:rPr>
              <w:t>总投资（万元）</w:t>
            </w:r>
          </w:p>
        </w:tc>
        <w:tc>
          <w:tcPr>
            <w:tcW w:w="2296" w:type="dxa"/>
            <w:vAlign w:val="center"/>
          </w:tcPr>
          <w:p>
            <w:pPr>
              <w:adjustRightInd w:val="0"/>
              <w:snapToGrid w:val="0"/>
              <w:jc w:val="center"/>
              <w:rPr>
                <w:rFonts w:hint="default" w:eastAsia="宋体"/>
                <w:szCs w:val="21"/>
                <w:lang w:val="en-US" w:eastAsia="zh-CN"/>
              </w:rPr>
            </w:pPr>
            <w:r>
              <w:rPr>
                <w:rFonts w:hint="eastAsia"/>
                <w:szCs w:val="21"/>
                <w:lang w:val="en-US" w:eastAsia="zh-CN"/>
              </w:rPr>
              <w:t>956.65</w:t>
            </w:r>
          </w:p>
        </w:tc>
        <w:tc>
          <w:tcPr>
            <w:tcW w:w="2212" w:type="dxa"/>
            <w:tcMar>
              <w:top w:w="16" w:type="dxa"/>
              <w:left w:w="16" w:type="dxa"/>
              <w:right w:w="16" w:type="dxa"/>
            </w:tcMar>
            <w:vAlign w:val="center"/>
          </w:tcPr>
          <w:p>
            <w:pPr>
              <w:adjustRightInd w:val="0"/>
              <w:snapToGrid w:val="0"/>
              <w:jc w:val="center"/>
              <w:rPr>
                <w:szCs w:val="21"/>
              </w:rPr>
            </w:pPr>
            <w:r>
              <w:rPr>
                <w:szCs w:val="21"/>
              </w:rPr>
              <w:t>环保投资（万元）</w:t>
            </w:r>
          </w:p>
        </w:tc>
        <w:tc>
          <w:tcPr>
            <w:tcW w:w="2639" w:type="dxa"/>
            <w:vAlign w:val="center"/>
          </w:tcPr>
          <w:p>
            <w:pPr>
              <w:adjustRightInd w:val="0"/>
              <w:snapToGrid w:val="0"/>
              <w:jc w:val="center"/>
              <w:rPr>
                <w:rFonts w:hint="eastAsia" w:eastAsia="宋体"/>
                <w:szCs w:val="21"/>
                <w:lang w:eastAsia="zh-CN"/>
              </w:rPr>
            </w:pPr>
            <w:r>
              <w:rPr>
                <w:rFonts w:hint="eastAsia"/>
                <w:szCs w:val="21"/>
                <w:highlight w:val="none"/>
                <w:lang w:eastAsia="zh-CN"/>
              </w:rPr>
              <w:t>55.4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szCs w:val="21"/>
              </w:rPr>
            </w:pPr>
            <w:r>
              <w:rPr>
                <w:szCs w:val="21"/>
              </w:rPr>
              <w:t>环保投资占比（%）</w:t>
            </w:r>
          </w:p>
        </w:tc>
        <w:tc>
          <w:tcPr>
            <w:tcW w:w="2296" w:type="dxa"/>
            <w:vAlign w:val="center"/>
          </w:tcPr>
          <w:p>
            <w:pPr>
              <w:adjustRightInd w:val="0"/>
              <w:snapToGrid w:val="0"/>
              <w:jc w:val="center"/>
              <w:rPr>
                <w:rFonts w:hint="eastAsia" w:eastAsia="宋体"/>
                <w:szCs w:val="21"/>
                <w:lang w:eastAsia="zh-CN"/>
              </w:rPr>
            </w:pPr>
            <w:r>
              <w:rPr>
                <w:rFonts w:hint="eastAsia"/>
                <w:szCs w:val="21"/>
                <w:highlight w:val="none"/>
                <w:lang w:eastAsia="zh-CN"/>
              </w:rPr>
              <w:t>5.79</w:t>
            </w:r>
          </w:p>
        </w:tc>
        <w:tc>
          <w:tcPr>
            <w:tcW w:w="2212" w:type="dxa"/>
            <w:tcMar>
              <w:top w:w="16" w:type="dxa"/>
              <w:left w:w="16" w:type="dxa"/>
              <w:right w:w="16" w:type="dxa"/>
            </w:tcMar>
            <w:vAlign w:val="center"/>
          </w:tcPr>
          <w:p>
            <w:pPr>
              <w:adjustRightInd w:val="0"/>
              <w:snapToGrid w:val="0"/>
              <w:jc w:val="center"/>
              <w:rPr>
                <w:szCs w:val="21"/>
              </w:rPr>
            </w:pPr>
            <w:r>
              <w:rPr>
                <w:szCs w:val="21"/>
              </w:rPr>
              <w:t>施工工期</w:t>
            </w:r>
          </w:p>
        </w:tc>
        <w:tc>
          <w:tcPr>
            <w:tcW w:w="2639" w:type="dxa"/>
            <w:vAlign w:val="center"/>
          </w:tcPr>
          <w:p>
            <w:pPr>
              <w:adjustRightInd w:val="0"/>
              <w:snapToGrid w:val="0"/>
              <w:jc w:val="center"/>
              <w:rPr>
                <w:szCs w:val="21"/>
              </w:rPr>
            </w:pPr>
            <w:r>
              <w:rPr>
                <w:szCs w:val="21"/>
              </w:rPr>
              <w:t>1</w:t>
            </w:r>
            <w:r>
              <w:rPr>
                <w:rFonts w:hint="eastAsia"/>
                <w:szCs w:val="21"/>
              </w:rPr>
              <w:t>2</w:t>
            </w:r>
            <w:r>
              <w:rPr>
                <w:szCs w:val="21"/>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szCs w:val="21"/>
              </w:rPr>
            </w:pPr>
            <w:r>
              <w:rPr>
                <w:szCs w:val="21"/>
              </w:rPr>
              <w:t>是否开工建设</w:t>
            </w:r>
          </w:p>
        </w:tc>
        <w:tc>
          <w:tcPr>
            <w:tcW w:w="2296" w:type="dxa"/>
            <w:vAlign w:val="center"/>
          </w:tcPr>
          <w:p>
            <w:pPr>
              <w:adjustRightInd w:val="0"/>
              <w:snapToGrid w:val="0"/>
              <w:rPr>
                <w:szCs w:val="21"/>
              </w:rPr>
            </w:pPr>
            <w:r>
              <w:rPr>
                <w:szCs w:val="21"/>
              </w:rPr>
              <w:sym w:font="Wingdings 2" w:char="0052"/>
            </w:r>
            <w:r>
              <w:rPr>
                <w:szCs w:val="21"/>
              </w:rPr>
              <w:t>否</w:t>
            </w:r>
          </w:p>
          <w:p>
            <w:pPr>
              <w:adjustRightInd w:val="0"/>
              <w:snapToGrid w:val="0"/>
              <w:rPr>
                <w:szCs w:val="21"/>
              </w:rPr>
            </w:pPr>
            <w:r>
              <w:rPr>
                <w:szCs w:val="21"/>
              </w:rPr>
              <w:sym w:font="Wingdings 2" w:char="00A3"/>
            </w:r>
            <w:r>
              <w:rPr>
                <w:szCs w:val="21"/>
              </w:rPr>
              <w:t>是：</w:t>
            </w:r>
          </w:p>
        </w:tc>
        <w:tc>
          <w:tcPr>
            <w:tcW w:w="2212" w:type="dxa"/>
            <w:tcMar>
              <w:top w:w="16" w:type="dxa"/>
              <w:left w:w="16" w:type="dxa"/>
              <w:right w:w="16" w:type="dxa"/>
            </w:tcMar>
            <w:vAlign w:val="center"/>
          </w:tcPr>
          <w:p>
            <w:pPr>
              <w:adjustRightInd w:val="0"/>
              <w:snapToGrid w:val="0"/>
              <w:jc w:val="center"/>
              <w:rPr>
                <w:szCs w:val="21"/>
              </w:rPr>
            </w:pPr>
            <w:r>
              <w:rPr>
                <w:spacing w:val="-6"/>
                <w:szCs w:val="21"/>
              </w:rPr>
              <w:t>用地面积（m</w:t>
            </w:r>
            <w:r>
              <w:rPr>
                <w:spacing w:val="-6"/>
                <w:szCs w:val="21"/>
                <w:vertAlign w:val="superscript"/>
              </w:rPr>
              <w:t>2</w:t>
            </w:r>
            <w:r>
              <w:rPr>
                <w:spacing w:val="-6"/>
                <w:szCs w:val="21"/>
              </w:rPr>
              <w:t>）</w:t>
            </w:r>
          </w:p>
        </w:tc>
        <w:tc>
          <w:tcPr>
            <w:tcW w:w="2639" w:type="dxa"/>
            <w:vAlign w:val="center"/>
          </w:tcPr>
          <w:p>
            <w:pPr>
              <w:adjustRightInd w:val="0"/>
              <w:snapToGrid w:val="0"/>
              <w:jc w:val="center"/>
              <w:rPr>
                <w:rFonts w:hint="eastAsia" w:eastAsia="宋体"/>
                <w:szCs w:val="21"/>
                <w:lang w:eastAsia="zh-CN"/>
              </w:rPr>
            </w:pPr>
            <w:r>
              <w:rPr>
                <w:rFonts w:hint="eastAsia"/>
                <w:szCs w:val="21"/>
                <w:highlight w:val="none"/>
                <w:lang w:eastAsia="zh-CN"/>
              </w:rPr>
              <w:t>5079.5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3" w:type="dxa"/>
            <w:vAlign w:val="center"/>
          </w:tcPr>
          <w:p>
            <w:pPr>
              <w:autoSpaceDE w:val="0"/>
              <w:autoSpaceDN w:val="0"/>
              <w:adjustRightInd w:val="0"/>
              <w:snapToGrid w:val="0"/>
              <w:jc w:val="center"/>
              <w:rPr>
                <w:kern w:val="0"/>
                <w:szCs w:val="21"/>
              </w:rPr>
            </w:pPr>
            <w:r>
              <w:rPr>
                <w:kern w:val="0"/>
                <w:szCs w:val="21"/>
              </w:rPr>
              <w:t>专项评价设置情况</w:t>
            </w:r>
          </w:p>
        </w:tc>
        <w:tc>
          <w:tcPr>
            <w:tcW w:w="7147" w:type="dxa"/>
            <w:gridSpan w:val="3"/>
            <w:vAlign w:val="center"/>
          </w:tcPr>
          <w:p>
            <w:pPr>
              <w:autoSpaceDE w:val="0"/>
              <w:autoSpaceDN w:val="0"/>
              <w:adjustRightInd w:val="0"/>
              <w:snapToGrid w:val="0"/>
              <w:jc w:val="center"/>
              <w:rPr>
                <w:kern w:val="0"/>
                <w:szCs w:val="21"/>
              </w:rPr>
            </w:pPr>
            <w:r>
              <w:rPr>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3" w:type="dxa"/>
            <w:vAlign w:val="center"/>
          </w:tcPr>
          <w:p>
            <w:pPr>
              <w:autoSpaceDE w:val="0"/>
              <w:autoSpaceDN w:val="0"/>
              <w:adjustRightInd w:val="0"/>
              <w:snapToGrid w:val="0"/>
              <w:jc w:val="center"/>
              <w:rPr>
                <w:kern w:val="0"/>
                <w:szCs w:val="21"/>
              </w:rPr>
            </w:pPr>
            <w:r>
              <w:rPr>
                <w:szCs w:val="21"/>
              </w:rPr>
              <w:t>规划情况</w:t>
            </w:r>
          </w:p>
        </w:tc>
        <w:tc>
          <w:tcPr>
            <w:tcW w:w="7147" w:type="dxa"/>
            <w:gridSpan w:val="3"/>
            <w:vAlign w:val="center"/>
          </w:tcPr>
          <w:p>
            <w:pPr>
              <w:autoSpaceDE w:val="0"/>
              <w:autoSpaceDN w:val="0"/>
              <w:adjustRightInd w:val="0"/>
              <w:snapToGrid w:val="0"/>
              <w:jc w:val="center"/>
              <w:rPr>
                <w:kern w:val="0"/>
                <w:szCs w:val="21"/>
              </w:rPr>
            </w:pPr>
            <w:r>
              <w:rPr>
                <w:rFonts w:hint="eastAsia"/>
                <w:kern w:val="0"/>
                <w:sz w:val="22"/>
                <w:szCs w:val="22"/>
                <w:u w:val="single"/>
              </w:rPr>
              <w:t>湖南省常德市桃源县卫生健康服务体系（2021-2025）规划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3" w:type="dxa"/>
            <w:vAlign w:val="center"/>
          </w:tcPr>
          <w:p>
            <w:pPr>
              <w:adjustRightInd w:val="0"/>
              <w:snapToGrid w:val="0"/>
              <w:jc w:val="center"/>
              <w:rPr>
                <w:szCs w:val="21"/>
              </w:rPr>
            </w:pPr>
            <w:r>
              <w:rPr>
                <w:szCs w:val="21"/>
              </w:rPr>
              <w:t>规划环境影响</w:t>
            </w:r>
          </w:p>
          <w:p>
            <w:pPr>
              <w:adjustRightInd w:val="0"/>
              <w:snapToGrid w:val="0"/>
              <w:jc w:val="center"/>
              <w:rPr>
                <w:kern w:val="0"/>
                <w:szCs w:val="21"/>
              </w:rPr>
            </w:pPr>
            <w:r>
              <w:rPr>
                <w:szCs w:val="21"/>
              </w:rPr>
              <w:t>评价情况</w:t>
            </w:r>
          </w:p>
        </w:tc>
        <w:tc>
          <w:tcPr>
            <w:tcW w:w="7147" w:type="dxa"/>
            <w:gridSpan w:val="3"/>
            <w:vAlign w:val="center"/>
          </w:tcPr>
          <w:p>
            <w:pPr>
              <w:autoSpaceDE w:val="0"/>
              <w:autoSpaceDN w:val="0"/>
              <w:adjustRightInd w:val="0"/>
              <w:snapToGrid w:val="0"/>
              <w:jc w:val="center"/>
              <w:rPr>
                <w:kern w:val="0"/>
                <w:szCs w:val="21"/>
              </w:rPr>
            </w:pPr>
            <w:r>
              <w:rPr>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3" w:type="dxa"/>
            <w:vAlign w:val="center"/>
          </w:tcPr>
          <w:p>
            <w:pPr>
              <w:autoSpaceDE w:val="0"/>
              <w:autoSpaceDN w:val="0"/>
              <w:adjustRightInd w:val="0"/>
              <w:snapToGrid w:val="0"/>
              <w:jc w:val="center"/>
              <w:rPr>
                <w:kern w:val="0"/>
                <w:szCs w:val="21"/>
              </w:rPr>
            </w:pPr>
            <w:r>
              <w:rPr>
                <w:kern w:val="0"/>
                <w:szCs w:val="21"/>
              </w:rPr>
              <w:t>规划及规划环境</w:t>
            </w:r>
          </w:p>
          <w:p>
            <w:pPr>
              <w:autoSpaceDE w:val="0"/>
              <w:autoSpaceDN w:val="0"/>
              <w:adjustRightInd w:val="0"/>
              <w:snapToGrid w:val="0"/>
              <w:jc w:val="center"/>
              <w:rPr>
                <w:kern w:val="0"/>
                <w:szCs w:val="21"/>
              </w:rPr>
            </w:pPr>
            <w:r>
              <w:rPr>
                <w:kern w:val="0"/>
                <w:szCs w:val="21"/>
              </w:rPr>
              <w:t>影响评价符合性分析</w:t>
            </w:r>
          </w:p>
        </w:tc>
        <w:tc>
          <w:tcPr>
            <w:tcW w:w="7147" w:type="dxa"/>
            <w:gridSpan w:val="3"/>
            <w:vAlign w:val="center"/>
          </w:tcPr>
          <w:p>
            <w:pPr>
              <w:tabs>
                <w:tab w:val="left" w:pos="360"/>
              </w:tabs>
              <w:spacing w:line="360" w:lineRule="auto"/>
              <w:jc w:val="center"/>
              <w:rPr>
                <w:b/>
                <w:sz w:val="20"/>
                <w:szCs w:val="20"/>
                <w:u w:val="single"/>
              </w:rPr>
            </w:pPr>
            <w:r>
              <w:rPr>
                <w:b/>
                <w:sz w:val="20"/>
                <w:szCs w:val="20"/>
                <w:u w:val="single"/>
              </w:rPr>
              <w:t>表1-1项目</w:t>
            </w:r>
            <w:r>
              <w:rPr>
                <w:rFonts w:hint="eastAsia"/>
                <w:b/>
                <w:sz w:val="20"/>
                <w:szCs w:val="20"/>
                <w:u w:val="single"/>
                <w:lang w:eastAsia="zh-CN"/>
              </w:rPr>
              <w:t>与桃源县卫生健康服务体系（2021-2025）规划</w:t>
            </w:r>
            <w:r>
              <w:rPr>
                <w:b/>
                <w:sz w:val="20"/>
                <w:szCs w:val="20"/>
                <w:u w:val="single"/>
              </w:rPr>
              <w:t>符合性分析</w:t>
            </w:r>
          </w:p>
          <w:tbl>
            <w:tblPr>
              <w:tblStyle w:val="27"/>
              <w:tblW w:w="473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
              <w:gridCol w:w="2841"/>
              <w:gridCol w:w="2219"/>
              <w:gridCol w:w="5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6" w:type="dxa"/>
                  <w:vAlign w:val="center"/>
                </w:tcPr>
                <w:p>
                  <w:pPr>
                    <w:pStyle w:val="66"/>
                    <w:rPr>
                      <w:b/>
                      <w:bCs/>
                      <w:u w:val="single"/>
                    </w:rPr>
                  </w:pPr>
                  <w:r>
                    <w:rPr>
                      <w:rFonts w:hint="eastAsia"/>
                      <w:b/>
                      <w:bCs/>
                      <w:u w:val="single"/>
                    </w:rPr>
                    <w:t>规划</w:t>
                  </w:r>
                </w:p>
              </w:tc>
              <w:tc>
                <w:tcPr>
                  <w:tcW w:w="2841" w:type="dxa"/>
                  <w:vAlign w:val="center"/>
                </w:tcPr>
                <w:p>
                  <w:pPr>
                    <w:pStyle w:val="66"/>
                    <w:rPr>
                      <w:b/>
                      <w:bCs/>
                      <w:u w:val="single"/>
                    </w:rPr>
                  </w:pPr>
                  <w:r>
                    <w:rPr>
                      <w:rFonts w:hint="eastAsia"/>
                      <w:b/>
                      <w:bCs/>
                      <w:u w:val="single"/>
                    </w:rPr>
                    <w:t>要求</w:t>
                  </w:r>
                </w:p>
              </w:tc>
              <w:tc>
                <w:tcPr>
                  <w:tcW w:w="2219" w:type="dxa"/>
                  <w:vAlign w:val="center"/>
                </w:tcPr>
                <w:p>
                  <w:pPr>
                    <w:pStyle w:val="66"/>
                    <w:rPr>
                      <w:b/>
                      <w:bCs/>
                      <w:u w:val="single"/>
                    </w:rPr>
                  </w:pPr>
                  <w:r>
                    <w:rPr>
                      <w:b/>
                      <w:bCs/>
                      <w:u w:val="single"/>
                    </w:rPr>
                    <w:t>本项目情况</w:t>
                  </w:r>
                </w:p>
              </w:tc>
              <w:tc>
                <w:tcPr>
                  <w:tcW w:w="591" w:type="dxa"/>
                  <w:vAlign w:val="center"/>
                </w:tcPr>
                <w:p>
                  <w:pPr>
                    <w:pStyle w:val="66"/>
                    <w:rPr>
                      <w:b/>
                      <w:bCs/>
                      <w:u w:val="single"/>
                    </w:rPr>
                  </w:pPr>
                  <w:r>
                    <w:rPr>
                      <w:b/>
                      <w:bCs/>
                      <w:u w:val="single"/>
                    </w:rPr>
                    <w:t>是否</w:t>
                  </w:r>
                </w:p>
                <w:p>
                  <w:pPr>
                    <w:pStyle w:val="66"/>
                    <w:rPr>
                      <w:b/>
                      <w:bCs/>
                      <w:u w:val="single"/>
                    </w:rPr>
                  </w:pPr>
                  <w:r>
                    <w:rPr>
                      <w:b/>
                      <w:bCs/>
                      <w:u w:val="singl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06" w:type="dxa"/>
                  <w:vMerge w:val="restart"/>
                  <w:vAlign w:val="center"/>
                </w:tcPr>
                <w:p>
                  <w:pPr>
                    <w:pStyle w:val="66"/>
                    <w:rPr>
                      <w:u w:val="single"/>
                    </w:rPr>
                  </w:pPr>
                  <w:r>
                    <w:rPr>
                      <w:rFonts w:hint="eastAsia"/>
                      <w:u w:val="single"/>
                    </w:rPr>
                    <w:t>湖南省常德市桃源县</w:t>
                  </w:r>
                </w:p>
                <w:p>
                  <w:pPr>
                    <w:pStyle w:val="66"/>
                    <w:rPr>
                      <w:u w:val="single"/>
                    </w:rPr>
                  </w:pPr>
                  <w:r>
                    <w:rPr>
                      <w:rFonts w:hint="eastAsia"/>
                      <w:u w:val="single"/>
                    </w:rPr>
                    <w:t>卫生健康服务体系（2021-2025）规划</w:t>
                  </w:r>
                </w:p>
              </w:tc>
              <w:tc>
                <w:tcPr>
                  <w:tcW w:w="2841" w:type="dxa"/>
                  <w:vAlign w:val="center"/>
                </w:tcPr>
                <w:p>
                  <w:pPr>
                    <w:pStyle w:val="66"/>
                    <w:rPr>
                      <w:highlight w:val="yellow"/>
                      <w:u w:val="single"/>
                    </w:rPr>
                  </w:pPr>
                  <w:r>
                    <w:rPr>
                      <w:rFonts w:hint="eastAsia"/>
                      <w:u w:val="single"/>
                    </w:rPr>
                    <w:t>根据湖南省常德市桃源县卫生健康服务体系（2021-2025）规划：目前我县60岁及以上老年人有22.44万人，至2030年，我县60岁以上老年人预测将会累积至30万人以上。根据我县近几年对门诊人次和住院人次统计分析，门诊人次的58.28%和住院人次的51.41.14%为60岁以上老年人（住院比例在基层医疗机构中更高）。据测算，仅此增加的床位会超过800张。</w:t>
                  </w:r>
                </w:p>
              </w:tc>
              <w:tc>
                <w:tcPr>
                  <w:tcW w:w="2219" w:type="dxa"/>
                  <w:vAlign w:val="center"/>
                </w:tcPr>
                <w:p>
                  <w:pPr>
                    <w:pStyle w:val="66"/>
                    <w:rPr>
                      <w:u w:val="single"/>
                    </w:rPr>
                  </w:pPr>
                  <w:r>
                    <w:rPr>
                      <w:rFonts w:hint="eastAsia"/>
                      <w:u w:val="single"/>
                    </w:rPr>
                    <w:t>桃源县</w:t>
                  </w:r>
                  <w:r>
                    <w:rPr>
                      <w:rFonts w:hint="eastAsia"/>
                      <w:u w:val="single"/>
                      <w:lang w:eastAsia="zh-CN"/>
                    </w:rPr>
                    <w:t>三阳港镇</w:t>
                  </w:r>
                  <w:r>
                    <w:rPr>
                      <w:rFonts w:hint="eastAsia"/>
                      <w:u w:val="single"/>
                    </w:rPr>
                    <w:t>中心卫生院是一个集医疗、科学、科研、预防、保健、急救、体检、康复等多功能于一体的现代化全民综合性医院。扩建前在编床位数为50张，扩建后的床位数为</w:t>
                  </w:r>
                  <w:r>
                    <w:rPr>
                      <w:rFonts w:hint="eastAsia"/>
                      <w:u w:val="single"/>
                      <w:lang w:val="en-US" w:eastAsia="zh-CN"/>
                    </w:rPr>
                    <w:t>6</w:t>
                  </w:r>
                  <w:r>
                    <w:rPr>
                      <w:rFonts w:hint="eastAsia"/>
                      <w:u w:val="single"/>
                    </w:rPr>
                    <w:t>0张，此次扩建增加</w:t>
                  </w:r>
                  <w:r>
                    <w:rPr>
                      <w:rFonts w:hint="eastAsia"/>
                      <w:u w:val="single"/>
                      <w:lang w:val="en-US" w:eastAsia="zh-CN"/>
                    </w:rPr>
                    <w:t>10</w:t>
                  </w:r>
                  <w:r>
                    <w:rPr>
                      <w:rFonts w:hint="eastAsia"/>
                      <w:u w:val="single"/>
                    </w:rPr>
                    <w:t>张床位。</w:t>
                  </w:r>
                </w:p>
              </w:tc>
              <w:tc>
                <w:tcPr>
                  <w:tcW w:w="591" w:type="dxa"/>
                  <w:vAlign w:val="center"/>
                </w:tcPr>
                <w:p>
                  <w:pPr>
                    <w:pStyle w:val="66"/>
                    <w:rPr>
                      <w:u w:val="single"/>
                    </w:rPr>
                  </w:pPr>
                  <w:r>
                    <w:rPr>
                      <w:rFonts w:hint="eastAsia"/>
                      <w:u w:val="singl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06" w:type="dxa"/>
                  <w:vMerge w:val="continue"/>
                  <w:vAlign w:val="center"/>
                </w:tcPr>
                <w:p>
                  <w:pPr>
                    <w:pStyle w:val="66"/>
                    <w:rPr>
                      <w:u w:val="single"/>
                    </w:rPr>
                  </w:pPr>
                </w:p>
              </w:tc>
              <w:tc>
                <w:tcPr>
                  <w:tcW w:w="2841" w:type="dxa"/>
                  <w:vAlign w:val="center"/>
                </w:tcPr>
                <w:p>
                  <w:pPr>
                    <w:pStyle w:val="66"/>
                    <w:rPr>
                      <w:highlight w:val="yellow"/>
                      <w:u w:val="single"/>
                    </w:rPr>
                  </w:pPr>
                  <w:r>
                    <w:rPr>
                      <w:rFonts w:hint="eastAsia"/>
                      <w:u w:val="single"/>
                    </w:rPr>
                    <w:t>根据湖南省常德市桃源县卫生健康服务体系（2021-2025）规划：重大项目建设。一是加强突发公共卫生事件应急指挥、救治、检验、培训、仓储、后勤等基础设施建设。二是加强桃源县医共体县乡村三级互联网+卫生健康服务体系建设。三是加强桃源县“县域医疗分中心”项目建设。五是加强桃源县妇幼保健计划生育服务中心改扩建项目建设。六是加强桃源县</w:t>
                  </w:r>
                  <w:r>
                    <w:rPr>
                      <w:rFonts w:hint="eastAsia"/>
                      <w:u w:val="single"/>
                      <w:lang w:eastAsia="zh-CN"/>
                    </w:rPr>
                    <w:t>三阳港镇</w:t>
                  </w:r>
                  <w:r>
                    <w:rPr>
                      <w:rFonts w:hint="eastAsia"/>
                      <w:u w:val="single"/>
                    </w:rPr>
                    <w:t>中心卫生院门诊住院综合楼项目建设。七是加强桃源县基层医院提质改造项目建设。八是加强医养结合项目建设。</w:t>
                  </w:r>
                </w:p>
              </w:tc>
              <w:tc>
                <w:tcPr>
                  <w:tcW w:w="2219" w:type="dxa"/>
                  <w:vAlign w:val="center"/>
                </w:tcPr>
                <w:p>
                  <w:pPr>
                    <w:pStyle w:val="66"/>
                    <w:rPr>
                      <w:u w:val="single"/>
                    </w:rPr>
                  </w:pPr>
                  <w:r>
                    <w:rPr>
                      <w:rFonts w:hint="eastAsia"/>
                      <w:u w:val="single"/>
                    </w:rPr>
                    <w:t>桃源县</w:t>
                  </w:r>
                  <w:r>
                    <w:rPr>
                      <w:rFonts w:hint="eastAsia"/>
                      <w:u w:val="single"/>
                      <w:lang w:eastAsia="zh-CN"/>
                    </w:rPr>
                    <w:t>三阳港镇</w:t>
                  </w:r>
                  <w:r>
                    <w:rPr>
                      <w:rFonts w:hint="eastAsia"/>
                      <w:u w:val="single"/>
                    </w:rPr>
                    <w:t>中心卫生院是一个集医疗、科学、科研、预防、保健、急救、体检、康复等多功能于一体的现代化全民综合性甲等医院。本次应规划要求，进行门诊住院综合楼的建设。</w:t>
                  </w:r>
                </w:p>
              </w:tc>
              <w:tc>
                <w:tcPr>
                  <w:tcW w:w="591" w:type="dxa"/>
                  <w:vAlign w:val="center"/>
                </w:tcPr>
                <w:p>
                  <w:pPr>
                    <w:pStyle w:val="66"/>
                    <w:rPr>
                      <w:u w:val="single"/>
                    </w:rPr>
                  </w:pPr>
                  <w:r>
                    <w:rPr>
                      <w:rFonts w:hint="eastAsia"/>
                      <w:u w:val="singl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06" w:type="dxa"/>
                  <w:vMerge w:val="continue"/>
                  <w:vAlign w:val="center"/>
                </w:tcPr>
                <w:p>
                  <w:pPr>
                    <w:pStyle w:val="66"/>
                    <w:rPr>
                      <w:u w:val="single"/>
                    </w:rPr>
                  </w:pPr>
                </w:p>
              </w:tc>
              <w:tc>
                <w:tcPr>
                  <w:tcW w:w="2841" w:type="dxa"/>
                  <w:vAlign w:val="center"/>
                </w:tcPr>
                <w:p>
                  <w:pPr>
                    <w:pStyle w:val="66"/>
                    <w:rPr>
                      <w:u w:val="single"/>
                    </w:rPr>
                  </w:pPr>
                  <w:r>
                    <w:rPr>
                      <w:rFonts w:hint="eastAsia"/>
                      <w:u w:val="single"/>
                    </w:rPr>
                    <w:t>建立健全适应桃源县经济社会和谐发展要求和人民健康需求的疾病预防控制体系、医疗健康服务体系、卫生监督执法体系、应对突发公共卫生事件及突发灾难的医疗救治体系。重点加强4个县域内医疗分中心建设。（</w:t>
                  </w:r>
                  <w:r>
                    <w:rPr>
                      <w:rFonts w:hint="eastAsia" w:asciiTheme="majorEastAsia" w:hAnsiTheme="majorEastAsia" w:eastAsiaTheme="majorEastAsia" w:cstheme="majorEastAsia"/>
                      <w:szCs w:val="21"/>
                      <w:u w:val="single"/>
                    </w:rPr>
                    <w:t>人医、中医、妇幼、精神病专科医院</w:t>
                  </w:r>
                  <w:r>
                    <w:rPr>
                      <w:rFonts w:hint="eastAsia"/>
                      <w:u w:val="single"/>
                    </w:rPr>
                    <w:t>）</w:t>
                  </w:r>
                </w:p>
              </w:tc>
              <w:tc>
                <w:tcPr>
                  <w:tcW w:w="2219" w:type="dxa"/>
                  <w:vAlign w:val="center"/>
                </w:tcPr>
                <w:p>
                  <w:pPr>
                    <w:pStyle w:val="66"/>
                    <w:rPr>
                      <w:u w:val="single"/>
                    </w:rPr>
                  </w:pPr>
                  <w:r>
                    <w:rPr>
                      <w:rFonts w:hint="eastAsia"/>
                      <w:u w:val="single"/>
                    </w:rPr>
                    <w:t>桃源县</w:t>
                  </w:r>
                  <w:r>
                    <w:rPr>
                      <w:rFonts w:hint="eastAsia"/>
                      <w:u w:val="single"/>
                      <w:lang w:eastAsia="zh-CN"/>
                    </w:rPr>
                    <w:t>三阳港镇</w:t>
                  </w:r>
                  <w:r>
                    <w:rPr>
                      <w:rFonts w:hint="eastAsia"/>
                      <w:u w:val="single"/>
                    </w:rPr>
                    <w:t>中心卫生院是一个集医疗、科学、科研、预防、保健、急救、体检、康复等多功能于一体的现代化全民综合性医院。</w:t>
                  </w:r>
                </w:p>
              </w:tc>
              <w:tc>
                <w:tcPr>
                  <w:tcW w:w="591" w:type="dxa"/>
                  <w:vAlign w:val="center"/>
                </w:tcPr>
                <w:p>
                  <w:pPr>
                    <w:pStyle w:val="66"/>
                    <w:rPr>
                      <w:rFonts w:hint="eastAsia" w:eastAsia="宋体"/>
                      <w:u w:val="single"/>
                      <w:lang w:eastAsia="zh-CN"/>
                    </w:rPr>
                  </w:pPr>
                  <w:r>
                    <w:rPr>
                      <w:rFonts w:hint="eastAsia"/>
                      <w:u w:val="single"/>
                      <w:lang w:eastAsia="zh-CN"/>
                    </w:rPr>
                    <w:t>符合</w:t>
                  </w:r>
                </w:p>
              </w:tc>
            </w:tr>
          </w:tbl>
          <w:p>
            <w:pPr>
              <w:autoSpaceDE w:val="0"/>
              <w:autoSpaceDN w:val="0"/>
              <w:adjustRightInd w:val="0"/>
              <w:snapToGrid w:val="0"/>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3" w:type="dxa"/>
            <w:vAlign w:val="center"/>
          </w:tcPr>
          <w:p>
            <w:pPr>
              <w:autoSpaceDE w:val="0"/>
              <w:autoSpaceDN w:val="0"/>
              <w:adjustRightInd w:val="0"/>
              <w:snapToGrid w:val="0"/>
              <w:jc w:val="center"/>
              <w:rPr>
                <w:kern w:val="0"/>
                <w:szCs w:val="21"/>
              </w:rPr>
            </w:pPr>
            <w:r>
              <w:rPr>
                <w:kern w:val="0"/>
                <w:szCs w:val="21"/>
              </w:rPr>
              <w:t>其他符合性分析</w:t>
            </w:r>
          </w:p>
        </w:tc>
        <w:tc>
          <w:tcPr>
            <w:tcW w:w="7147" w:type="dxa"/>
            <w:gridSpan w:val="3"/>
            <w:vAlign w:val="center"/>
          </w:tcPr>
          <w:p>
            <w:pPr>
              <w:tabs>
                <w:tab w:val="left" w:pos="360"/>
              </w:tabs>
              <w:spacing w:line="360" w:lineRule="auto"/>
              <w:rPr>
                <w:b/>
                <w:sz w:val="24"/>
              </w:rPr>
            </w:pPr>
            <w:r>
              <w:rPr>
                <w:b/>
                <w:sz w:val="24"/>
              </w:rPr>
              <w:t>1、政策符合性分析</w:t>
            </w:r>
          </w:p>
          <w:p>
            <w:pPr>
              <w:spacing w:line="360" w:lineRule="auto"/>
              <w:ind w:firstLine="480" w:firstLineChars="200"/>
              <w:rPr>
                <w:sz w:val="24"/>
              </w:rPr>
            </w:pPr>
            <w:r>
              <w:rPr>
                <w:rFonts w:hint="eastAsia" w:ascii="宋体" w:hAnsi="宋体" w:cs="宋体"/>
                <w:sz w:val="24"/>
              </w:rPr>
              <w:t>①</w:t>
            </w:r>
            <w:r>
              <w:rPr>
                <w:sz w:val="24"/>
              </w:rPr>
              <w:t>产业政策符合性分析</w:t>
            </w:r>
          </w:p>
          <w:p>
            <w:pPr>
              <w:tabs>
                <w:tab w:val="left" w:pos="360"/>
              </w:tabs>
              <w:spacing w:line="360" w:lineRule="auto"/>
              <w:ind w:firstLine="480" w:firstLineChars="200"/>
              <w:rPr>
                <w:bCs/>
                <w:sz w:val="24"/>
              </w:rPr>
            </w:pPr>
            <w:r>
              <w:rPr>
                <w:rFonts w:hint="eastAsia"/>
                <w:sz w:val="24"/>
              </w:rPr>
              <w:t>本项目为综合医院，属于《产业结构调整指导目录（2019年本）》鼓励类中三十七类“卫生健康”中第5项“医疗卫生服务设施建设”，项目已取得了县卫生健康局颁发的《医疗机构执业许可证》，符合国家和地方产业政策。</w:t>
            </w:r>
          </w:p>
          <w:p>
            <w:pPr>
              <w:tabs>
                <w:tab w:val="left" w:pos="360"/>
              </w:tabs>
              <w:spacing w:line="360" w:lineRule="auto"/>
              <w:ind w:firstLine="482" w:firstLineChars="200"/>
              <w:rPr>
                <w:b/>
                <w:sz w:val="24"/>
              </w:rPr>
            </w:pPr>
            <w:r>
              <w:rPr>
                <w:b/>
                <w:sz w:val="24"/>
              </w:rPr>
              <w:t>2、选址合理性分析</w:t>
            </w:r>
          </w:p>
          <w:p>
            <w:pPr>
              <w:spacing w:line="360" w:lineRule="auto"/>
              <w:ind w:firstLine="480" w:firstLineChars="200"/>
              <w:rPr>
                <w:sz w:val="24"/>
              </w:rPr>
            </w:pPr>
            <w:r>
              <w:rPr>
                <w:rFonts w:hint="eastAsia"/>
                <w:sz w:val="24"/>
              </w:rPr>
              <w:t>根据医院选址要求，医院应交通方便，便于利用城市基础设施，远离易燃易爆物品的生产储存区和高压电线，不应临近少年儿童活动密集的场所。项目区域交通发达，</w:t>
            </w:r>
            <w:r>
              <w:rPr>
                <w:rFonts w:hint="eastAsia"/>
                <w:sz w:val="24"/>
                <w:lang w:eastAsia="zh-CN"/>
              </w:rPr>
              <w:t>东</w:t>
            </w:r>
            <w:r>
              <w:rPr>
                <w:rFonts w:hint="eastAsia"/>
                <w:sz w:val="24"/>
              </w:rPr>
              <w:t>侧为</w:t>
            </w:r>
            <w:r>
              <w:rPr>
                <w:rFonts w:hint="eastAsia"/>
                <w:sz w:val="24"/>
                <w:lang w:eastAsia="zh-CN"/>
              </w:rPr>
              <w:t>镇区街道</w:t>
            </w:r>
            <w:r>
              <w:rPr>
                <w:rFonts w:hint="eastAsia"/>
                <w:sz w:val="24"/>
              </w:rPr>
              <w:t>，距离5m，</w:t>
            </w:r>
            <w:r>
              <w:rPr>
                <w:rFonts w:hint="eastAsia"/>
                <w:sz w:val="24"/>
                <w:lang w:eastAsia="zh-CN"/>
              </w:rPr>
              <w:t>北侧分布的是行政办公楼，</w:t>
            </w:r>
            <w:r>
              <w:rPr>
                <w:rFonts w:hint="eastAsia"/>
                <w:sz w:val="24"/>
              </w:rPr>
              <w:t>南侧</w:t>
            </w:r>
            <w:r>
              <w:rPr>
                <w:rFonts w:hint="eastAsia"/>
                <w:sz w:val="24"/>
                <w:lang w:eastAsia="zh-CN"/>
              </w:rPr>
              <w:t>为商铺，商铺</w:t>
            </w:r>
            <w:r>
              <w:rPr>
                <w:rFonts w:hint="eastAsia"/>
                <w:sz w:val="24"/>
                <w:lang w:val="en-US" w:eastAsia="zh-CN"/>
              </w:rPr>
              <w:t>100m外为镇区街道</w:t>
            </w:r>
            <w:r>
              <w:rPr>
                <w:rFonts w:hint="eastAsia"/>
                <w:sz w:val="24"/>
              </w:rPr>
              <w:t>，</w:t>
            </w:r>
            <w:r>
              <w:rPr>
                <w:rFonts w:hint="eastAsia"/>
                <w:sz w:val="24"/>
                <w:lang w:eastAsia="zh-CN"/>
              </w:rPr>
              <w:t>东</w:t>
            </w:r>
            <w:r>
              <w:rPr>
                <w:rFonts w:hint="eastAsia"/>
                <w:sz w:val="24"/>
              </w:rPr>
              <w:t>侧</w:t>
            </w:r>
            <w:r>
              <w:rPr>
                <w:rFonts w:hint="eastAsia"/>
                <w:sz w:val="24"/>
                <w:lang w:eastAsia="zh-CN"/>
              </w:rPr>
              <w:t>紧邻乡道</w:t>
            </w:r>
            <w:r>
              <w:rPr>
                <w:rFonts w:hint="eastAsia"/>
                <w:sz w:val="24"/>
              </w:rPr>
              <w:t>。项目周边以居住、商业为主，从依托的区域基础市政设施条件看，项目区域的供水、排水、供电、供气、通讯等基础设施完善，能保障医疗工作的顺利开展，同时为病人提供良好的生活保障和社会服务，能满足能源供应、信息交流、医疗及生活保障的需要，可满足医院营运要求。</w:t>
            </w:r>
            <w:r>
              <w:rPr>
                <w:rFonts w:hint="eastAsia"/>
                <w:sz w:val="24"/>
                <w:u w:val="none"/>
                <w:lang w:eastAsia="zh-CN"/>
              </w:rPr>
              <w:t>且本项目在原医院用地内建设，不新增用地。</w:t>
            </w:r>
            <w:r>
              <w:rPr>
                <w:rFonts w:hint="eastAsia"/>
                <w:sz w:val="24"/>
              </w:rPr>
              <w:t>因此，本环评认为项目选址可行。</w:t>
            </w:r>
          </w:p>
          <w:p>
            <w:pPr>
              <w:spacing w:line="360" w:lineRule="auto"/>
              <w:ind w:firstLine="482" w:firstLineChars="200"/>
              <w:rPr>
                <w:b/>
                <w:bCs/>
                <w:sz w:val="24"/>
              </w:rPr>
            </w:pPr>
            <w:r>
              <w:rPr>
                <w:b/>
                <w:bCs/>
                <w:sz w:val="24"/>
              </w:rPr>
              <w:t>3、平面布局合理性分析</w:t>
            </w:r>
          </w:p>
          <w:p>
            <w:pPr>
              <w:tabs>
                <w:tab w:val="left" w:pos="1021"/>
              </w:tabs>
              <w:spacing w:line="360" w:lineRule="auto"/>
              <w:ind w:firstLine="480" w:firstLineChars="200"/>
              <w:rPr>
                <w:spacing w:val="4"/>
                <w:sz w:val="24"/>
              </w:rPr>
            </w:pPr>
            <w:r>
              <w:rPr>
                <w:sz w:val="24"/>
              </w:rPr>
              <w:t>厂区总平面布置为近似矩形，根据工艺布置要求，</w:t>
            </w:r>
            <w:r>
              <w:rPr>
                <w:rFonts w:hint="eastAsia"/>
                <w:sz w:val="24"/>
                <w:lang w:eastAsia="zh-CN"/>
              </w:rPr>
              <w:t>项目北侧布设职工宿舍，西侧自北向南依次布设发电机房、杂物间、放射科室、洗衣房和职工食堂（本次环评需要拆除）及医疗废物暂存间，南侧布设住院大楼（现拟计划改成公卫楼和职工宿舍），东侧</w:t>
            </w:r>
            <w:r>
              <w:rPr>
                <w:rFonts w:hint="eastAsia"/>
                <w:sz w:val="24"/>
              </w:rPr>
              <w:t>靠近</w:t>
            </w:r>
            <w:r>
              <w:rPr>
                <w:rFonts w:hint="eastAsia"/>
                <w:sz w:val="24"/>
                <w:lang w:eastAsia="zh-CN"/>
              </w:rPr>
              <w:t>镇区街道</w:t>
            </w:r>
            <w:r>
              <w:rPr>
                <w:rFonts w:hint="eastAsia"/>
                <w:sz w:val="24"/>
              </w:rPr>
              <w:t>布设门诊楼</w:t>
            </w:r>
            <w:r>
              <w:rPr>
                <w:rFonts w:hint="eastAsia"/>
                <w:sz w:val="24"/>
                <w:lang w:eastAsia="zh-CN"/>
              </w:rPr>
              <w:t>（现拟计划拆除）</w:t>
            </w:r>
            <w:r>
              <w:rPr>
                <w:sz w:val="24"/>
              </w:rPr>
              <w:t>，</w:t>
            </w:r>
            <w:r>
              <w:rPr>
                <w:rFonts w:hint="eastAsia"/>
                <w:sz w:val="24"/>
                <w:lang w:eastAsia="zh-CN"/>
              </w:rPr>
              <w:t>中间原有的北侧花坛拆除改扩建成停车场，南侧花坛保留，原有的公卫楼拆除，新建一栋</w:t>
            </w:r>
            <w:r>
              <w:rPr>
                <w:rFonts w:hint="eastAsia"/>
                <w:sz w:val="24"/>
                <w:lang w:val="en-US" w:eastAsia="zh-CN"/>
              </w:rPr>
              <w:t>3层的综合门诊住院楼</w:t>
            </w:r>
            <w:r>
              <w:rPr>
                <w:rFonts w:hint="eastAsia"/>
                <w:sz w:val="24"/>
              </w:rPr>
              <w:t>，</w:t>
            </w:r>
            <w:r>
              <w:rPr>
                <w:sz w:val="24"/>
              </w:rPr>
              <w:t>各区域划分明确，总体布局合理。</w:t>
            </w:r>
          </w:p>
          <w:p>
            <w:pPr>
              <w:tabs>
                <w:tab w:val="left" w:pos="1021"/>
              </w:tabs>
              <w:spacing w:line="360" w:lineRule="auto"/>
              <w:ind w:firstLine="480"/>
              <w:rPr>
                <w:sz w:val="24"/>
              </w:rPr>
            </w:pPr>
            <w:r>
              <w:rPr>
                <w:bCs/>
                <w:sz w:val="24"/>
              </w:rPr>
              <w:t>根据噪声预测可知项目厂界四周噪声均能达到《工业企业厂界环境噪声排放标准》（GB12348-2008）2类标准要求，</w:t>
            </w:r>
            <w:r>
              <w:rPr>
                <w:sz w:val="24"/>
              </w:rPr>
              <w:t>本项目平面布置充分利用厂区空间与资源，工艺流程顺畅，综上所述，从环境保护角度分析，本项目平面布局合理。</w:t>
            </w:r>
          </w:p>
          <w:p>
            <w:pPr>
              <w:tabs>
                <w:tab w:val="left" w:pos="360"/>
              </w:tabs>
              <w:spacing w:line="360" w:lineRule="auto"/>
              <w:ind w:firstLine="482" w:firstLineChars="200"/>
              <w:rPr>
                <w:b/>
                <w:snapToGrid w:val="0"/>
                <w:sz w:val="24"/>
              </w:rPr>
            </w:pPr>
            <w:r>
              <w:rPr>
                <w:b/>
                <w:snapToGrid w:val="0"/>
                <w:sz w:val="24"/>
              </w:rPr>
              <w:t>4、项目</w:t>
            </w:r>
            <w:r>
              <w:rPr>
                <w:rFonts w:hint="eastAsia"/>
                <w:b/>
                <w:snapToGrid w:val="0"/>
                <w:sz w:val="24"/>
              </w:rPr>
              <w:t>规划符合性</w:t>
            </w:r>
            <w:r>
              <w:rPr>
                <w:b/>
                <w:snapToGrid w:val="0"/>
                <w:sz w:val="24"/>
              </w:rPr>
              <w:t>分析</w:t>
            </w:r>
          </w:p>
          <w:p>
            <w:pPr>
              <w:tabs>
                <w:tab w:val="left" w:pos="360"/>
              </w:tabs>
              <w:spacing w:line="360" w:lineRule="auto"/>
              <w:ind w:firstLine="480" w:firstLineChars="200"/>
              <w:rPr>
                <w:bCs/>
                <w:snapToGrid w:val="0"/>
                <w:sz w:val="24"/>
              </w:rPr>
            </w:pPr>
            <w:r>
              <w:rPr>
                <w:bCs/>
                <w:snapToGrid w:val="0"/>
                <w:sz w:val="24"/>
              </w:rPr>
              <w:t>本项目与其</w:t>
            </w:r>
            <w:r>
              <w:rPr>
                <w:rFonts w:hint="eastAsia"/>
                <w:bCs/>
                <w:snapToGrid w:val="0"/>
                <w:sz w:val="24"/>
              </w:rPr>
              <w:t>相关规划符合性</w:t>
            </w:r>
            <w:r>
              <w:rPr>
                <w:bCs/>
                <w:snapToGrid w:val="0"/>
                <w:sz w:val="24"/>
              </w:rPr>
              <w:t>分析如下：</w:t>
            </w:r>
          </w:p>
          <w:p>
            <w:pPr>
              <w:tabs>
                <w:tab w:val="left" w:pos="360"/>
              </w:tabs>
              <w:spacing w:line="360" w:lineRule="auto"/>
              <w:jc w:val="center"/>
              <w:rPr>
                <w:b/>
                <w:sz w:val="20"/>
                <w:szCs w:val="20"/>
              </w:rPr>
            </w:pPr>
            <w:r>
              <w:rPr>
                <w:b/>
                <w:sz w:val="20"/>
                <w:szCs w:val="20"/>
              </w:rPr>
              <w:t>表1-1项目</w:t>
            </w:r>
            <w:r>
              <w:rPr>
                <w:rFonts w:hint="eastAsia"/>
                <w:b/>
                <w:sz w:val="20"/>
                <w:szCs w:val="20"/>
              </w:rPr>
              <w:t>规划</w:t>
            </w:r>
            <w:r>
              <w:rPr>
                <w:b/>
                <w:sz w:val="20"/>
                <w:szCs w:val="20"/>
              </w:rPr>
              <w:t>符合性分析</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74"/>
              <w:gridCol w:w="906"/>
              <w:gridCol w:w="2841"/>
              <w:gridCol w:w="2219"/>
              <w:gridCol w:w="5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74" w:type="dxa"/>
                  <w:vAlign w:val="center"/>
                </w:tcPr>
                <w:p>
                  <w:pPr>
                    <w:pStyle w:val="66"/>
                    <w:rPr>
                      <w:b/>
                      <w:bCs/>
                      <w:u w:val="none"/>
                    </w:rPr>
                  </w:pPr>
                  <w:r>
                    <w:rPr>
                      <w:b/>
                      <w:bCs/>
                      <w:u w:val="none"/>
                    </w:rPr>
                    <w:t>序号</w:t>
                  </w:r>
                </w:p>
              </w:tc>
              <w:tc>
                <w:tcPr>
                  <w:tcW w:w="906" w:type="dxa"/>
                  <w:vAlign w:val="center"/>
                </w:tcPr>
                <w:p>
                  <w:pPr>
                    <w:pStyle w:val="66"/>
                    <w:rPr>
                      <w:b/>
                      <w:bCs/>
                      <w:u w:val="none"/>
                    </w:rPr>
                  </w:pPr>
                  <w:r>
                    <w:rPr>
                      <w:rFonts w:hint="eastAsia"/>
                      <w:b/>
                      <w:bCs/>
                      <w:u w:val="none"/>
                    </w:rPr>
                    <w:t>规划</w:t>
                  </w:r>
                </w:p>
              </w:tc>
              <w:tc>
                <w:tcPr>
                  <w:tcW w:w="2841" w:type="dxa"/>
                  <w:vAlign w:val="center"/>
                </w:tcPr>
                <w:p>
                  <w:pPr>
                    <w:pStyle w:val="66"/>
                    <w:rPr>
                      <w:b/>
                      <w:bCs/>
                      <w:u w:val="none"/>
                    </w:rPr>
                  </w:pPr>
                  <w:r>
                    <w:rPr>
                      <w:rFonts w:hint="eastAsia"/>
                      <w:b/>
                      <w:bCs/>
                      <w:u w:val="none"/>
                    </w:rPr>
                    <w:t>要求</w:t>
                  </w:r>
                </w:p>
              </w:tc>
              <w:tc>
                <w:tcPr>
                  <w:tcW w:w="2219" w:type="dxa"/>
                  <w:vAlign w:val="center"/>
                </w:tcPr>
                <w:p>
                  <w:pPr>
                    <w:pStyle w:val="66"/>
                    <w:rPr>
                      <w:b/>
                      <w:bCs/>
                      <w:u w:val="none"/>
                    </w:rPr>
                  </w:pPr>
                  <w:r>
                    <w:rPr>
                      <w:b/>
                      <w:bCs/>
                      <w:u w:val="none"/>
                    </w:rPr>
                    <w:t>本项目情况</w:t>
                  </w:r>
                </w:p>
              </w:tc>
              <w:tc>
                <w:tcPr>
                  <w:tcW w:w="591" w:type="dxa"/>
                  <w:vAlign w:val="center"/>
                </w:tcPr>
                <w:p>
                  <w:pPr>
                    <w:pStyle w:val="66"/>
                    <w:rPr>
                      <w:b/>
                      <w:bCs/>
                      <w:u w:val="none"/>
                    </w:rPr>
                  </w:pPr>
                  <w:r>
                    <w:rPr>
                      <w:b/>
                      <w:bCs/>
                      <w:u w:val="none"/>
                    </w:rPr>
                    <w:t>是否</w:t>
                  </w:r>
                </w:p>
                <w:p>
                  <w:pPr>
                    <w:pStyle w:val="66"/>
                    <w:rPr>
                      <w:b/>
                      <w:bCs/>
                      <w:u w:val="none"/>
                    </w:rPr>
                  </w:pPr>
                  <w:r>
                    <w:rPr>
                      <w:b/>
                      <w:bCs/>
                      <w:u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4" w:hRule="atLeast"/>
                <w:tblHeader/>
                <w:jc w:val="center"/>
              </w:trPr>
              <w:tc>
                <w:tcPr>
                  <w:tcW w:w="374" w:type="dxa"/>
                  <w:vAlign w:val="center"/>
                </w:tcPr>
                <w:p>
                  <w:pPr>
                    <w:pStyle w:val="66"/>
                    <w:rPr>
                      <w:u w:val="none"/>
                    </w:rPr>
                  </w:pPr>
                  <w:r>
                    <w:rPr>
                      <w:rFonts w:hint="eastAsia"/>
                      <w:u w:val="none"/>
                    </w:rPr>
                    <w:t>1</w:t>
                  </w:r>
                </w:p>
              </w:tc>
              <w:tc>
                <w:tcPr>
                  <w:tcW w:w="906" w:type="dxa"/>
                  <w:vAlign w:val="center"/>
                </w:tcPr>
                <w:p>
                  <w:pPr>
                    <w:pStyle w:val="66"/>
                    <w:rPr>
                      <w:u w:val="none"/>
                    </w:rPr>
                  </w:pPr>
                  <w:r>
                    <w:rPr>
                      <w:rFonts w:hint="eastAsia"/>
                      <w:u w:val="none"/>
                    </w:rPr>
                    <w:t>《县国民经济和社会发展第十三个五年规划纲要》</w:t>
                  </w:r>
                </w:p>
              </w:tc>
              <w:tc>
                <w:tcPr>
                  <w:tcW w:w="2841" w:type="dxa"/>
                  <w:vAlign w:val="center"/>
                </w:tcPr>
                <w:p>
                  <w:pPr>
                    <w:pStyle w:val="66"/>
                    <w:rPr>
                      <w:u w:val="none"/>
                    </w:rPr>
                  </w:pPr>
                  <w:r>
                    <w:rPr>
                      <w:rFonts w:hint="eastAsia"/>
                      <w:u w:val="none"/>
                    </w:rPr>
                    <w:t>发展重点和主要任务提出</w:t>
                  </w:r>
                </w:p>
                <w:p>
                  <w:pPr>
                    <w:pStyle w:val="66"/>
                    <w:rPr>
                      <w:u w:val="none"/>
                    </w:rPr>
                  </w:pPr>
                  <w:r>
                    <w:rPr>
                      <w:rFonts w:hint="eastAsia"/>
                      <w:u w:val="none"/>
                    </w:rPr>
                    <w:t>“加快医疗卫生事业发展。</w:t>
                  </w:r>
                </w:p>
                <w:p>
                  <w:pPr>
                    <w:pStyle w:val="66"/>
                    <w:rPr>
                      <w:u w:val="none"/>
                    </w:rPr>
                  </w:pPr>
                  <w:r>
                    <w:rPr>
                      <w:rFonts w:hint="eastAsia"/>
                      <w:u w:val="none"/>
                    </w:rPr>
                    <w:t>坚持将基本医疗作为公共产</w:t>
                  </w:r>
                </w:p>
                <w:p>
                  <w:pPr>
                    <w:pStyle w:val="66"/>
                    <w:rPr>
                      <w:u w:val="none"/>
                    </w:rPr>
                  </w:pPr>
                  <w:r>
                    <w:rPr>
                      <w:rFonts w:hint="eastAsia"/>
                      <w:u w:val="none"/>
                    </w:rPr>
                    <w:t>品向全民提供，推进医疗、</w:t>
                  </w:r>
                </w:p>
                <w:p>
                  <w:pPr>
                    <w:pStyle w:val="66"/>
                    <w:rPr>
                      <w:u w:val="none"/>
                    </w:rPr>
                  </w:pPr>
                  <w:r>
                    <w:rPr>
                      <w:rFonts w:hint="eastAsia"/>
                      <w:u w:val="none"/>
                    </w:rPr>
                    <w:t>医药、医保联动，不断满足</w:t>
                  </w:r>
                </w:p>
                <w:p>
                  <w:pPr>
                    <w:pStyle w:val="66"/>
                    <w:rPr>
                      <w:u w:val="none"/>
                    </w:rPr>
                  </w:pPr>
                  <w:r>
                    <w:rPr>
                      <w:rFonts w:hint="eastAsia"/>
                      <w:u w:val="none"/>
                    </w:rPr>
                    <w:t>人民群众多层次、全方位的</w:t>
                  </w:r>
                </w:p>
                <w:p>
                  <w:pPr>
                    <w:pStyle w:val="66"/>
                    <w:rPr>
                      <w:u w:val="none"/>
                    </w:rPr>
                  </w:pPr>
                  <w:r>
                    <w:rPr>
                      <w:rFonts w:hint="eastAsia"/>
                      <w:u w:val="none"/>
                    </w:rPr>
                    <w:t>健康服务需求。深化县级公</w:t>
                  </w:r>
                </w:p>
                <w:p>
                  <w:pPr>
                    <w:pStyle w:val="66"/>
                    <w:rPr>
                      <w:u w:val="none"/>
                    </w:rPr>
                  </w:pPr>
                  <w:r>
                    <w:rPr>
                      <w:rFonts w:hint="eastAsia"/>
                      <w:u w:val="none"/>
                    </w:rPr>
                    <w:t>立医院改革，加快城乡医疗</w:t>
                  </w:r>
                </w:p>
                <w:p>
                  <w:pPr>
                    <w:pStyle w:val="66"/>
                    <w:rPr>
                      <w:u w:val="none"/>
                    </w:rPr>
                  </w:pPr>
                  <w:r>
                    <w:rPr>
                      <w:rFonts w:hint="eastAsia"/>
                      <w:u w:val="none"/>
                    </w:rPr>
                    <w:t>卫生一体化，巩固和完善国</w:t>
                  </w:r>
                </w:p>
                <w:p>
                  <w:pPr>
                    <w:pStyle w:val="66"/>
                    <w:rPr>
                      <w:u w:val="none"/>
                    </w:rPr>
                  </w:pPr>
                  <w:r>
                    <w:rPr>
                      <w:rFonts w:hint="eastAsia"/>
                      <w:u w:val="none"/>
                    </w:rPr>
                    <w:t>家基本药物制度，建立健全</w:t>
                  </w:r>
                </w:p>
                <w:p>
                  <w:pPr>
                    <w:pStyle w:val="66"/>
                    <w:rPr>
                      <w:u w:val="none"/>
                    </w:rPr>
                  </w:pPr>
                  <w:r>
                    <w:rPr>
                      <w:rFonts w:hint="eastAsia"/>
                      <w:u w:val="none"/>
                    </w:rPr>
                    <w:t>覆盖城乡的基本医疗卫生制</w:t>
                  </w:r>
                </w:p>
                <w:p>
                  <w:pPr>
                    <w:pStyle w:val="66"/>
                    <w:rPr>
                      <w:u w:val="none"/>
                    </w:rPr>
                  </w:pPr>
                  <w:r>
                    <w:rPr>
                      <w:rFonts w:hint="eastAsia"/>
                      <w:u w:val="none"/>
                    </w:rPr>
                    <w:t>度和现代医院管理制度。全</w:t>
                  </w:r>
                </w:p>
                <w:p>
                  <w:pPr>
                    <w:pStyle w:val="66"/>
                    <w:rPr>
                      <w:u w:val="none"/>
                    </w:rPr>
                  </w:pPr>
                  <w:r>
                    <w:rPr>
                      <w:rFonts w:hint="eastAsia"/>
                      <w:u w:val="none"/>
                    </w:rPr>
                    <w:t>面提升县级公立医院、镇卫</w:t>
                  </w:r>
                </w:p>
                <w:p>
                  <w:pPr>
                    <w:pStyle w:val="66"/>
                    <w:rPr>
                      <w:u w:val="none"/>
                    </w:rPr>
                  </w:pPr>
                  <w:r>
                    <w:rPr>
                      <w:rFonts w:hint="eastAsia"/>
                      <w:u w:val="none"/>
                    </w:rPr>
                    <w:t>生院和村卫生室的服务水</w:t>
                  </w:r>
                </w:p>
                <w:p>
                  <w:pPr>
                    <w:pStyle w:val="66"/>
                    <w:rPr>
                      <w:u w:val="none"/>
                    </w:rPr>
                  </w:pPr>
                  <w:r>
                    <w:rPr>
                      <w:rFonts w:hint="eastAsia"/>
                      <w:u w:val="none"/>
                    </w:rPr>
                    <w:t>平，完善县、镇、村城乡三级医疗服务体系。</w:t>
                  </w:r>
                </w:p>
              </w:tc>
              <w:tc>
                <w:tcPr>
                  <w:tcW w:w="2219" w:type="dxa"/>
                  <w:vAlign w:val="center"/>
                </w:tcPr>
                <w:p>
                  <w:pPr>
                    <w:pStyle w:val="66"/>
                    <w:rPr>
                      <w:u w:val="none"/>
                    </w:rPr>
                  </w:pPr>
                  <w:r>
                    <w:rPr>
                      <w:rFonts w:hint="eastAsia"/>
                      <w:u w:val="none"/>
                    </w:rPr>
                    <w:t>县医院加快医疗卫生事业发展。坚持将基本医疗作为公共产品向全民提供，推进医疗、医药、医保联动，不断满足人民群众多层次、全方位的健康服务需求。深化县级公立医院改革，加快城乡医疗卫生一体化，巩固和完善国家基本药物制度，建立健全覆盖城乡的基本医疗卫生制度和现代医院管理制度。全面提升县级公立医院、镇卫生院和村卫生室的服务水平，完善县、镇、村城乡三级医疗服务体系</w:t>
                  </w:r>
                </w:p>
              </w:tc>
              <w:tc>
                <w:tcPr>
                  <w:tcW w:w="591" w:type="dxa"/>
                  <w:vAlign w:val="center"/>
                </w:tcPr>
                <w:p>
                  <w:pPr>
                    <w:pStyle w:val="66"/>
                    <w:rPr>
                      <w:u w:val="none"/>
                    </w:rPr>
                  </w:pPr>
                  <w:r>
                    <w:rPr>
                      <w:rFonts w:hint="eastAsia"/>
                      <w:u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74" w:type="dxa"/>
                  <w:vAlign w:val="center"/>
                </w:tcPr>
                <w:p>
                  <w:pPr>
                    <w:pStyle w:val="66"/>
                    <w:rPr>
                      <w:rFonts w:hint="default" w:eastAsia="宋体"/>
                      <w:u w:val="none"/>
                      <w:lang w:val="en-US" w:eastAsia="zh-CN"/>
                    </w:rPr>
                  </w:pPr>
                  <w:r>
                    <w:rPr>
                      <w:rFonts w:hint="eastAsia"/>
                      <w:u w:val="none"/>
                      <w:lang w:val="en-US" w:eastAsia="zh-CN"/>
                    </w:rPr>
                    <w:t>2</w:t>
                  </w:r>
                </w:p>
              </w:tc>
              <w:tc>
                <w:tcPr>
                  <w:tcW w:w="906" w:type="dxa"/>
                  <w:vAlign w:val="center"/>
                </w:tcPr>
                <w:p>
                  <w:pPr>
                    <w:pStyle w:val="66"/>
                    <w:rPr>
                      <w:u w:val="none"/>
                    </w:rPr>
                  </w:pPr>
                  <w:r>
                    <w:rPr>
                      <w:rFonts w:hint="default"/>
                      <w:u w:val="none"/>
                      <w:lang w:val="en-US" w:eastAsia="zh-CN"/>
                    </w:rPr>
                    <w:t>医疗机构设置规划指导原则（2016-2020年）</w:t>
                  </w:r>
                </w:p>
              </w:tc>
              <w:tc>
                <w:tcPr>
                  <w:tcW w:w="2841" w:type="dxa"/>
                  <w:vAlign w:val="center"/>
                </w:tcPr>
                <w:p>
                  <w:pPr>
                    <w:pStyle w:val="66"/>
                    <w:rPr>
                      <w:rFonts w:hint="eastAsia"/>
                      <w:u w:val="none"/>
                    </w:rPr>
                  </w:pPr>
                  <w:r>
                    <w:rPr>
                      <w:rFonts w:hint="eastAsia"/>
                      <w:u w:val="none"/>
                      <w:lang w:val="en-US" w:eastAsia="zh-CN"/>
                    </w:rPr>
                    <w:t>完善城乡医疗服务体系。明确各级各类医疗机构诊疗服务功能定位。完善以</w:t>
                  </w:r>
                  <w:r>
                    <w:rPr>
                      <w:rFonts w:hint="eastAsia"/>
                      <w:u w:val="none"/>
                      <w:lang w:val="en-US" w:eastAsia="zh-CN"/>
                    </w:rPr>
                    <w:fldChar w:fldCharType="begin"/>
                  </w:r>
                  <w:r>
                    <w:rPr>
                      <w:rFonts w:hint="eastAsia"/>
                      <w:u w:val="none"/>
                      <w:lang w:val="en-US" w:eastAsia="zh-CN"/>
                    </w:rPr>
                    <w:instrText xml:space="preserve"> HYPERLINK "https://baike.baidu.com/item/%E7%A4%BE%E5%8C%BA%E5%8D%AB%E7%94%9F%E6%9C%8D%E5%8A%A1/11030153" \t "https://baike.baidu.com/item/%E5%9B%BD%E5%AE%B6%E5%8D%AB%E7%94%9F%E8%AE%A1%E7%94%9F%E5%A7%94%E5%85%B3%E4%BA%8E%E5%8D%B0%E5%8F%91%E5%8C%BB%E7%96%97%E6%9C%BA%E6%9E%84%E8%AE%BE%E7%BD%AE%E8%A7%84%E5%88%92%E6%8C%87%E5%AF%BC%E5%8E%9F%E5%88%99%EF%BC%882016-2020%E5%B9%B4%EF%BC%89%E7%9A%84%E9%80%9A%E7%9F%A5/_blank" </w:instrText>
                  </w:r>
                  <w:r>
                    <w:rPr>
                      <w:rFonts w:hint="eastAsia"/>
                      <w:u w:val="none"/>
                      <w:lang w:val="en-US" w:eastAsia="zh-CN"/>
                    </w:rPr>
                    <w:fldChar w:fldCharType="separate"/>
                  </w:r>
                  <w:r>
                    <w:rPr>
                      <w:rFonts w:hint="eastAsia"/>
                      <w:u w:val="none"/>
                    </w:rPr>
                    <w:t>社区卫生服务</w:t>
                  </w:r>
                  <w:r>
                    <w:rPr>
                      <w:rFonts w:hint="eastAsia"/>
                      <w:u w:val="none"/>
                      <w:lang w:val="en-US" w:eastAsia="zh-CN"/>
                    </w:rPr>
                    <w:fldChar w:fldCharType="end"/>
                  </w:r>
                  <w:r>
                    <w:rPr>
                      <w:rFonts w:hint="eastAsia"/>
                      <w:u w:val="none"/>
                      <w:lang w:val="en-US" w:eastAsia="zh-CN"/>
                    </w:rPr>
                    <w:t>机构为基础的新型城市医疗卫生服务体系，建立城市医院与社区卫生服务机构的分工协作机制；进一步健全以县级医院为龙头，乡镇卫生院和村卫生室为基础的农村医疗服务网络；促使城市各级各类医院、社区卫生服务机构、县级医院、乡镇卫生院、村卫生室层次清晰，结构合理，功能到位，利于发挥整体效能，构建有序的分级诊疗模式。</w:t>
                  </w:r>
                </w:p>
              </w:tc>
              <w:tc>
                <w:tcPr>
                  <w:tcW w:w="2219" w:type="dxa"/>
                  <w:vAlign w:val="center"/>
                </w:tcPr>
                <w:p>
                  <w:pPr>
                    <w:pStyle w:val="66"/>
                    <w:rPr>
                      <w:rFonts w:hint="eastAsia" w:eastAsia="宋体"/>
                      <w:u w:val="none"/>
                      <w:lang w:eastAsia="zh-CN"/>
                    </w:rPr>
                  </w:pPr>
                  <w:r>
                    <w:rPr>
                      <w:rFonts w:hint="eastAsia"/>
                      <w:u w:val="none"/>
                    </w:rPr>
                    <w:t>桃源县</w:t>
                  </w:r>
                  <w:r>
                    <w:rPr>
                      <w:rFonts w:hint="eastAsia"/>
                      <w:u w:val="none"/>
                      <w:lang w:eastAsia="zh-CN"/>
                    </w:rPr>
                    <w:t>三阳港镇</w:t>
                  </w:r>
                  <w:r>
                    <w:rPr>
                      <w:rFonts w:hint="eastAsia"/>
                      <w:u w:val="none"/>
                    </w:rPr>
                    <w:t>中心卫生院是一个集医疗、科学、科研、预防、保健、急救、体检、康复等多功能于一体</w:t>
                  </w:r>
                  <w:r>
                    <w:rPr>
                      <w:rFonts w:hint="eastAsia"/>
                      <w:u w:val="none"/>
                      <w:lang w:eastAsia="zh-CN"/>
                    </w:rPr>
                    <w:t>乡镇卫生院，其功能定位为乡镇综合卫生院，服务人口主要针对桃源县三阳港镇周边民众</w:t>
                  </w:r>
                </w:p>
              </w:tc>
              <w:tc>
                <w:tcPr>
                  <w:tcW w:w="591" w:type="dxa"/>
                  <w:vAlign w:val="center"/>
                </w:tcPr>
                <w:p>
                  <w:pPr>
                    <w:pStyle w:val="66"/>
                    <w:rPr>
                      <w:rFonts w:hint="eastAsia" w:eastAsia="宋体"/>
                      <w:u w:val="none"/>
                      <w:lang w:eastAsia="zh-CN"/>
                    </w:rPr>
                  </w:pPr>
                  <w:r>
                    <w:rPr>
                      <w:rFonts w:hint="eastAsia"/>
                      <w:u w:val="none"/>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74" w:type="dxa"/>
                  <w:vAlign w:val="center"/>
                </w:tcPr>
                <w:p>
                  <w:pPr>
                    <w:pStyle w:val="66"/>
                    <w:rPr>
                      <w:rFonts w:hint="default"/>
                      <w:u w:val="none"/>
                      <w:lang w:val="en-US" w:eastAsia="zh-CN"/>
                    </w:rPr>
                  </w:pPr>
                  <w:r>
                    <w:rPr>
                      <w:rFonts w:hint="eastAsia"/>
                      <w:u w:val="none"/>
                      <w:lang w:val="en-US" w:eastAsia="zh-CN"/>
                    </w:rPr>
                    <w:t>3</w:t>
                  </w:r>
                </w:p>
              </w:tc>
              <w:tc>
                <w:tcPr>
                  <w:tcW w:w="906" w:type="dxa"/>
                  <w:vAlign w:val="center"/>
                </w:tcPr>
                <w:p>
                  <w:pPr>
                    <w:pStyle w:val="66"/>
                    <w:rPr>
                      <w:rFonts w:hint="default"/>
                      <w:u w:val="none"/>
                      <w:lang w:val="en-US" w:eastAsia="zh-CN"/>
                    </w:rPr>
                  </w:pPr>
                  <w:r>
                    <w:rPr>
                      <w:rFonts w:hint="default"/>
                      <w:u w:val="none"/>
                      <w:lang w:val="en-US" w:eastAsia="zh-CN"/>
                    </w:rPr>
                    <w:t>《中华人民共和国医疗机构管理条例(2016修订)》</w:t>
                  </w:r>
                </w:p>
                <w:p>
                  <w:pPr>
                    <w:pStyle w:val="66"/>
                    <w:rPr>
                      <w:rFonts w:hint="default"/>
                      <w:u w:val="none"/>
                      <w:lang w:val="en-US" w:eastAsia="zh-CN"/>
                    </w:rPr>
                  </w:pPr>
                </w:p>
              </w:tc>
              <w:tc>
                <w:tcPr>
                  <w:tcW w:w="2841" w:type="dxa"/>
                  <w:vAlign w:val="center"/>
                </w:tcPr>
                <w:p>
                  <w:pPr>
                    <w:pStyle w:val="66"/>
                    <w:rPr>
                      <w:rFonts w:hint="eastAsia"/>
                      <w:u w:val="none"/>
                      <w:lang w:val="en-US" w:eastAsia="zh-CN"/>
                    </w:rPr>
                  </w:pPr>
                  <w:r>
                    <w:rPr>
                      <w:rFonts w:hint="eastAsia"/>
                      <w:u w:val="none"/>
                      <w:lang w:val="en-US" w:eastAsia="zh-CN"/>
                    </w:rPr>
                    <w:t>第七条：县级以上地方人民政府应当把医疗机构设置规划纳入当地的区域卫生发展规划和城乡建设发展总体规划。第十五条：医疗机构执业，必须进行登记，领取《医疗机构执业许可证》。</w:t>
                  </w:r>
                </w:p>
                <w:p>
                  <w:pPr>
                    <w:pStyle w:val="66"/>
                    <w:rPr>
                      <w:rFonts w:hint="eastAsia"/>
                      <w:u w:val="none"/>
                      <w:lang w:val="en-US" w:eastAsia="zh-CN"/>
                    </w:rPr>
                  </w:pPr>
                </w:p>
                <w:p>
                  <w:pPr>
                    <w:pStyle w:val="66"/>
                    <w:rPr>
                      <w:rFonts w:hint="eastAsia"/>
                      <w:u w:val="none"/>
                      <w:lang w:val="en-US" w:eastAsia="zh-CN"/>
                    </w:rPr>
                  </w:pPr>
                </w:p>
              </w:tc>
              <w:tc>
                <w:tcPr>
                  <w:tcW w:w="2219" w:type="dxa"/>
                  <w:vAlign w:val="center"/>
                </w:tcPr>
                <w:p>
                  <w:pPr>
                    <w:pStyle w:val="66"/>
                    <w:rPr>
                      <w:rFonts w:hint="eastAsia" w:eastAsia="宋体"/>
                      <w:u w:val="none"/>
                      <w:lang w:eastAsia="zh-CN"/>
                    </w:rPr>
                  </w:pPr>
                  <w:r>
                    <w:rPr>
                      <w:rFonts w:hint="eastAsia"/>
                      <w:u w:val="none"/>
                      <w:lang w:eastAsia="zh-CN"/>
                    </w:rPr>
                    <w:t>本项目已经纳入桃源县卫生健康服务体系（2021-2025）规划；建设单位已经取得执业许可证，见附件</w:t>
                  </w:r>
                </w:p>
              </w:tc>
              <w:tc>
                <w:tcPr>
                  <w:tcW w:w="591" w:type="dxa"/>
                  <w:vAlign w:val="center"/>
                </w:tcPr>
                <w:p>
                  <w:pPr>
                    <w:pStyle w:val="66"/>
                    <w:rPr>
                      <w:rFonts w:hint="eastAsia"/>
                      <w:u w:val="none"/>
                      <w:lang w:eastAsia="zh-CN"/>
                    </w:rPr>
                  </w:pPr>
                  <w:r>
                    <w:rPr>
                      <w:rFonts w:hint="eastAsia"/>
                      <w:u w:val="none"/>
                      <w:lang w:eastAsia="zh-CN"/>
                    </w:rPr>
                    <w:t>符合</w:t>
                  </w:r>
                </w:p>
              </w:tc>
            </w:tr>
          </w:tbl>
          <w:p>
            <w:pPr>
              <w:tabs>
                <w:tab w:val="left" w:pos="360"/>
              </w:tabs>
              <w:spacing w:line="360" w:lineRule="auto"/>
              <w:ind w:firstLine="482" w:firstLineChars="200"/>
              <w:rPr>
                <w:b/>
                <w:snapToGrid w:val="0"/>
                <w:sz w:val="24"/>
              </w:rPr>
            </w:pPr>
            <w:r>
              <w:rPr>
                <w:b/>
                <w:snapToGrid w:val="0"/>
                <w:sz w:val="24"/>
              </w:rPr>
              <w:t>6、三线一单合理性分析</w:t>
            </w:r>
          </w:p>
          <w:p>
            <w:pPr>
              <w:jc w:val="center"/>
              <w:rPr>
                <w:b/>
                <w:szCs w:val="21"/>
              </w:rPr>
            </w:pPr>
            <w:r>
              <w:rPr>
                <w:b/>
                <w:szCs w:val="21"/>
              </w:rPr>
              <w:t>表1-3项目“三线一单”符合性分析</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82"/>
              <w:gridCol w:w="4920"/>
              <w:gridCol w:w="82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53" w:type="pct"/>
                  <w:vAlign w:val="center"/>
                </w:tcPr>
                <w:p>
                  <w:pPr>
                    <w:pStyle w:val="65"/>
                    <w:jc w:val="center"/>
                    <w:rPr>
                      <w:rFonts w:ascii="Times New Roman"/>
                      <w:b/>
                      <w:color w:val="auto"/>
                      <w:sz w:val="21"/>
                      <w:szCs w:val="21"/>
                    </w:rPr>
                  </w:pPr>
                  <w:r>
                    <w:rPr>
                      <w:rFonts w:ascii="Times New Roman"/>
                      <w:b/>
                      <w:color w:val="auto"/>
                      <w:sz w:val="21"/>
                      <w:szCs w:val="21"/>
                    </w:rPr>
                    <w:t>内容</w:t>
                  </w:r>
                </w:p>
              </w:tc>
              <w:tc>
                <w:tcPr>
                  <w:tcW w:w="3549" w:type="pct"/>
                  <w:vAlign w:val="center"/>
                </w:tcPr>
                <w:p>
                  <w:pPr>
                    <w:pStyle w:val="65"/>
                    <w:jc w:val="center"/>
                    <w:rPr>
                      <w:rFonts w:ascii="Times New Roman"/>
                      <w:b/>
                      <w:color w:val="auto"/>
                      <w:sz w:val="21"/>
                      <w:szCs w:val="21"/>
                    </w:rPr>
                  </w:pPr>
                  <w:r>
                    <w:rPr>
                      <w:rFonts w:ascii="Times New Roman"/>
                      <w:b/>
                      <w:color w:val="auto"/>
                      <w:sz w:val="21"/>
                      <w:szCs w:val="21"/>
                    </w:rPr>
                    <w:t>符合性分析</w:t>
                  </w:r>
                </w:p>
              </w:tc>
              <w:tc>
                <w:tcPr>
                  <w:tcW w:w="598" w:type="pct"/>
                  <w:vAlign w:val="center"/>
                </w:tcPr>
                <w:p>
                  <w:pPr>
                    <w:pStyle w:val="65"/>
                    <w:jc w:val="center"/>
                    <w:rPr>
                      <w:rFonts w:ascii="Times New Roman"/>
                      <w:b/>
                      <w:color w:val="auto"/>
                      <w:sz w:val="21"/>
                      <w:szCs w:val="21"/>
                    </w:rPr>
                  </w:pPr>
                  <w:r>
                    <w:rPr>
                      <w:rFonts w:ascii="Times New Roman"/>
                      <w:b/>
                      <w:color w:val="auto"/>
                      <w:sz w:val="21"/>
                      <w:szCs w:val="21"/>
                    </w:rPr>
                    <w:t>是否符合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53" w:type="pct"/>
                  <w:vAlign w:val="center"/>
                </w:tcPr>
                <w:p>
                  <w:pPr>
                    <w:pStyle w:val="65"/>
                    <w:jc w:val="center"/>
                    <w:rPr>
                      <w:rFonts w:ascii="Times New Roman"/>
                      <w:color w:val="auto"/>
                      <w:sz w:val="21"/>
                      <w:szCs w:val="21"/>
                    </w:rPr>
                  </w:pPr>
                  <w:r>
                    <w:rPr>
                      <w:rFonts w:ascii="Times New Roman"/>
                      <w:color w:val="auto"/>
                      <w:sz w:val="21"/>
                      <w:szCs w:val="21"/>
                    </w:rPr>
                    <w:t>生态保护红线</w:t>
                  </w:r>
                </w:p>
              </w:tc>
              <w:tc>
                <w:tcPr>
                  <w:tcW w:w="3549" w:type="pct"/>
                  <w:vAlign w:val="center"/>
                </w:tcPr>
                <w:p>
                  <w:pPr>
                    <w:pStyle w:val="65"/>
                    <w:jc w:val="both"/>
                    <w:rPr>
                      <w:rFonts w:ascii="Times New Roman"/>
                      <w:color w:val="auto"/>
                      <w:sz w:val="21"/>
                      <w:szCs w:val="21"/>
                    </w:rPr>
                  </w:pPr>
                  <w:r>
                    <w:rPr>
                      <w:rFonts w:ascii="Times New Roman"/>
                      <w:color w:val="auto"/>
                      <w:sz w:val="21"/>
                      <w:szCs w:val="21"/>
                    </w:rPr>
                    <w:t>根据《湖南省人民政府生态保护红线》，本项目位于</w:t>
                  </w:r>
                  <w:r>
                    <w:rPr>
                      <w:rFonts w:hint="eastAsia" w:ascii="Times New Roman"/>
                      <w:color w:val="auto"/>
                      <w:sz w:val="21"/>
                      <w:szCs w:val="21"/>
                    </w:rPr>
                    <w:t>桃源</w:t>
                  </w:r>
                  <w:r>
                    <w:rPr>
                      <w:rFonts w:ascii="Times New Roman"/>
                      <w:color w:val="auto"/>
                      <w:sz w:val="21"/>
                      <w:szCs w:val="21"/>
                    </w:rPr>
                    <w:t>县</w:t>
                  </w:r>
                  <w:r>
                    <w:rPr>
                      <w:rFonts w:hint="eastAsia" w:ascii="Times New Roman"/>
                      <w:color w:val="auto"/>
                      <w:sz w:val="21"/>
                      <w:szCs w:val="21"/>
                      <w:lang w:eastAsia="zh-CN"/>
                    </w:rPr>
                    <w:t>三阳港镇墟场中街</w:t>
                  </w:r>
                  <w:r>
                    <w:rPr>
                      <w:rFonts w:ascii="Times New Roman"/>
                      <w:color w:val="auto"/>
                      <w:sz w:val="21"/>
                      <w:szCs w:val="21"/>
                    </w:rPr>
                    <w:t>，项目不在生态保护红线内</w:t>
                  </w:r>
                </w:p>
              </w:tc>
              <w:tc>
                <w:tcPr>
                  <w:tcW w:w="598" w:type="pct"/>
                  <w:vAlign w:val="center"/>
                </w:tcPr>
                <w:p>
                  <w:pPr>
                    <w:pStyle w:val="65"/>
                    <w:jc w:val="center"/>
                    <w:rPr>
                      <w:rFonts w:ascii="Times New Roman"/>
                      <w:color w:val="auto"/>
                      <w:sz w:val="21"/>
                      <w:szCs w:val="21"/>
                    </w:rPr>
                  </w:pPr>
                  <w:r>
                    <w:rPr>
                      <w:rFonts w:ascii="Times New Roman"/>
                      <w:color w:val="auto"/>
                      <w:sz w:val="21"/>
                      <w:szCs w:val="21"/>
                    </w:rPr>
                    <w:t>是</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53" w:type="pct"/>
                  <w:vAlign w:val="center"/>
                </w:tcPr>
                <w:p>
                  <w:pPr>
                    <w:pStyle w:val="65"/>
                    <w:jc w:val="center"/>
                    <w:rPr>
                      <w:rFonts w:ascii="Times New Roman"/>
                      <w:color w:val="auto"/>
                      <w:sz w:val="21"/>
                      <w:szCs w:val="21"/>
                    </w:rPr>
                  </w:pPr>
                  <w:r>
                    <w:rPr>
                      <w:rFonts w:ascii="Times New Roman"/>
                      <w:color w:val="auto"/>
                      <w:sz w:val="21"/>
                      <w:szCs w:val="21"/>
                    </w:rPr>
                    <w:t>资源利用上线</w:t>
                  </w:r>
                </w:p>
              </w:tc>
              <w:tc>
                <w:tcPr>
                  <w:tcW w:w="3549" w:type="pct"/>
                  <w:vAlign w:val="center"/>
                </w:tcPr>
                <w:p>
                  <w:pPr>
                    <w:pStyle w:val="65"/>
                    <w:jc w:val="both"/>
                    <w:rPr>
                      <w:rFonts w:ascii="Times New Roman"/>
                      <w:color w:val="auto"/>
                      <w:sz w:val="21"/>
                      <w:szCs w:val="21"/>
                    </w:rPr>
                  </w:pPr>
                  <w:r>
                    <w:rPr>
                      <w:rFonts w:ascii="Times New Roman"/>
                      <w:color w:val="auto"/>
                      <w:sz w:val="21"/>
                      <w:szCs w:val="21"/>
                    </w:rPr>
                    <w:t>项目区域供水、供电配套设施完善，项目所用资源为水、电，资源消耗较少，产生的固体废物量较少，且得到有效妥善的处置，因此项目整体资源消耗不大，不会对当地的资源产生明显的影响，不会触及当地资源分配的上线，项目建设在资源利用上是合理的。</w:t>
                  </w:r>
                </w:p>
              </w:tc>
              <w:tc>
                <w:tcPr>
                  <w:tcW w:w="598" w:type="pct"/>
                  <w:vAlign w:val="center"/>
                </w:tcPr>
                <w:p>
                  <w:pPr>
                    <w:pStyle w:val="65"/>
                    <w:jc w:val="center"/>
                    <w:rPr>
                      <w:rFonts w:ascii="Times New Roman"/>
                      <w:color w:val="auto"/>
                      <w:sz w:val="21"/>
                      <w:szCs w:val="21"/>
                    </w:rPr>
                  </w:pPr>
                  <w:r>
                    <w:rPr>
                      <w:rFonts w:ascii="Times New Roman"/>
                      <w:color w:val="auto"/>
                      <w:sz w:val="21"/>
                      <w:szCs w:val="21"/>
                    </w:rPr>
                    <w:t>是</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53" w:type="pct"/>
                  <w:vAlign w:val="center"/>
                </w:tcPr>
                <w:p>
                  <w:pPr>
                    <w:pStyle w:val="65"/>
                    <w:jc w:val="center"/>
                    <w:rPr>
                      <w:rFonts w:ascii="Times New Roman"/>
                      <w:color w:val="auto"/>
                      <w:sz w:val="21"/>
                      <w:szCs w:val="21"/>
                    </w:rPr>
                  </w:pPr>
                  <w:r>
                    <w:rPr>
                      <w:rFonts w:ascii="Times New Roman"/>
                      <w:color w:val="auto"/>
                      <w:sz w:val="21"/>
                      <w:szCs w:val="21"/>
                    </w:rPr>
                    <w:t>环境质量底线</w:t>
                  </w:r>
                </w:p>
              </w:tc>
              <w:tc>
                <w:tcPr>
                  <w:tcW w:w="3549" w:type="pct"/>
                  <w:vAlign w:val="center"/>
                </w:tcPr>
                <w:p>
                  <w:pPr>
                    <w:pStyle w:val="65"/>
                    <w:jc w:val="both"/>
                    <w:rPr>
                      <w:rFonts w:ascii="Times New Roman"/>
                      <w:color w:val="auto"/>
                      <w:sz w:val="21"/>
                      <w:szCs w:val="21"/>
                    </w:rPr>
                  </w:pPr>
                  <w:r>
                    <w:rPr>
                      <w:rFonts w:ascii="Times New Roman"/>
                      <w:color w:val="auto"/>
                      <w:sz w:val="21"/>
                      <w:szCs w:val="21"/>
                    </w:rPr>
                    <w:t>根据现状监测数据可知，项目所在区域环境空气、地表水环境、声环境等均满足相应环境质量标准。本项目所产生的污染物均采取相应防治措施，采取相应防治措施后对区域环境影响较小</w:t>
                  </w:r>
                </w:p>
              </w:tc>
              <w:tc>
                <w:tcPr>
                  <w:tcW w:w="598" w:type="pct"/>
                  <w:vAlign w:val="center"/>
                </w:tcPr>
                <w:p>
                  <w:pPr>
                    <w:pStyle w:val="65"/>
                    <w:jc w:val="center"/>
                    <w:rPr>
                      <w:rFonts w:ascii="Times New Roman"/>
                      <w:color w:val="auto"/>
                      <w:sz w:val="21"/>
                      <w:szCs w:val="21"/>
                    </w:rPr>
                  </w:pPr>
                  <w:r>
                    <w:rPr>
                      <w:rFonts w:ascii="Times New Roman"/>
                      <w:color w:val="auto"/>
                      <w:sz w:val="21"/>
                      <w:szCs w:val="21"/>
                    </w:rPr>
                    <w:t>是</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53" w:type="pct"/>
                  <w:vAlign w:val="center"/>
                </w:tcPr>
                <w:p>
                  <w:pPr>
                    <w:pStyle w:val="65"/>
                    <w:jc w:val="center"/>
                    <w:rPr>
                      <w:rFonts w:ascii="Times New Roman"/>
                      <w:color w:val="auto"/>
                      <w:sz w:val="21"/>
                      <w:szCs w:val="21"/>
                    </w:rPr>
                  </w:pPr>
                  <w:r>
                    <w:rPr>
                      <w:rFonts w:ascii="Times New Roman"/>
                      <w:color w:val="auto"/>
                      <w:sz w:val="21"/>
                      <w:szCs w:val="21"/>
                    </w:rPr>
                    <w:t>负面清单</w:t>
                  </w:r>
                </w:p>
              </w:tc>
              <w:tc>
                <w:tcPr>
                  <w:tcW w:w="3549" w:type="pct"/>
                  <w:vAlign w:val="center"/>
                </w:tcPr>
                <w:p>
                  <w:pPr>
                    <w:pStyle w:val="65"/>
                    <w:jc w:val="both"/>
                    <w:rPr>
                      <w:rFonts w:ascii="Times New Roman"/>
                      <w:color w:val="auto"/>
                      <w:sz w:val="21"/>
                      <w:szCs w:val="21"/>
                    </w:rPr>
                  </w:pPr>
                  <w:r>
                    <w:rPr>
                      <w:rFonts w:ascii="Times New Roman"/>
                      <w:color w:val="auto"/>
                      <w:sz w:val="21"/>
                      <w:szCs w:val="21"/>
                    </w:rPr>
                    <w:t>根据《产业结构调整指导目录（2019年本）》、《建材行业淘汰落后产能指导目录（2019）》，本项目不属于该指导目录中鼓励类、限制类和淘汰类项目，为国家允许建设项目；本项目选址合理，不涉及生态空间及生态保护红线；污染物排放量较小，并设计了废气处理等设施，废气、废水、固体废物及其他各类污染物均可得到有效处理处置，环境风险较小且可以得到有效管控；资源能源消耗小，资源利用效率较高。因此，本项目不属于环境准入负面清单。</w:t>
                  </w:r>
                </w:p>
              </w:tc>
              <w:tc>
                <w:tcPr>
                  <w:tcW w:w="598" w:type="pct"/>
                  <w:vAlign w:val="center"/>
                </w:tcPr>
                <w:p>
                  <w:pPr>
                    <w:pStyle w:val="65"/>
                    <w:jc w:val="center"/>
                    <w:rPr>
                      <w:rFonts w:ascii="Times New Roman"/>
                      <w:color w:val="auto"/>
                      <w:sz w:val="21"/>
                      <w:szCs w:val="21"/>
                    </w:rPr>
                  </w:pPr>
                  <w:r>
                    <w:rPr>
                      <w:rFonts w:ascii="Times New Roman"/>
                      <w:color w:val="auto"/>
                      <w:sz w:val="21"/>
                      <w:szCs w:val="21"/>
                    </w:rPr>
                    <w:t>是</w:t>
                  </w:r>
                </w:p>
              </w:tc>
            </w:tr>
          </w:tbl>
          <w:p>
            <w:pPr>
              <w:tabs>
                <w:tab w:val="left" w:pos="360"/>
              </w:tabs>
              <w:spacing w:line="360" w:lineRule="auto"/>
              <w:ind w:firstLine="482" w:firstLineChars="200"/>
              <w:rPr>
                <w:b/>
                <w:snapToGrid w:val="0"/>
                <w:sz w:val="24"/>
                <w:lang w:val="zh-CN"/>
              </w:rPr>
            </w:pPr>
            <w:r>
              <w:rPr>
                <w:b/>
                <w:snapToGrid w:val="0"/>
                <w:sz w:val="24"/>
              </w:rPr>
              <w:t>7、</w:t>
            </w:r>
            <w:r>
              <w:rPr>
                <w:b/>
                <w:snapToGrid w:val="0"/>
                <w:sz w:val="24"/>
                <w:lang w:val="zh-CN"/>
              </w:rPr>
              <w:t>与排污许可证制度衔接关系</w:t>
            </w:r>
          </w:p>
          <w:p>
            <w:pPr>
              <w:autoSpaceDE w:val="0"/>
              <w:autoSpaceDN w:val="0"/>
              <w:adjustRightInd w:val="0"/>
              <w:snapToGrid w:val="0"/>
              <w:spacing w:line="360" w:lineRule="auto"/>
              <w:ind w:firstLine="480" w:firstLineChars="200"/>
              <w:jc w:val="left"/>
              <w:rPr>
                <w:bCs/>
                <w:sz w:val="24"/>
              </w:rPr>
            </w:pPr>
            <w:r>
              <w:rPr>
                <w:bCs/>
                <w:sz w:val="24"/>
              </w:rPr>
              <w:t>环境影响评价制度是建设项目的环境准入门槛，是申请排污许可证的前提和重要依据。排污许可制是企事业单位生产运营期排污的法律依据，是确保环境影响评价提出的污染防治设施和措施落实落地的重要保障。建设项目发生实际排污行为之前应当按照国家环境保护相关法律法规以及排污许可证申请与核发技术规范要求申请排污许可证，不得无证排污或不按证排污。</w:t>
            </w:r>
          </w:p>
          <w:p>
            <w:pPr>
              <w:autoSpaceDE w:val="0"/>
              <w:autoSpaceDN w:val="0"/>
              <w:adjustRightInd w:val="0"/>
              <w:snapToGrid w:val="0"/>
              <w:spacing w:line="360" w:lineRule="auto"/>
              <w:ind w:firstLine="480" w:firstLineChars="200"/>
              <w:jc w:val="left"/>
              <w:rPr>
                <w:rFonts w:hint="eastAsia"/>
                <w:bCs/>
                <w:sz w:val="24"/>
                <w:u w:val="none"/>
                <w:lang w:eastAsia="zh-CN"/>
              </w:rPr>
            </w:pPr>
            <w:r>
              <w:rPr>
                <w:rFonts w:hint="eastAsia"/>
                <w:bCs/>
                <w:sz w:val="24"/>
                <w:u w:val="none"/>
                <w:lang w:eastAsia="zh-CN"/>
              </w:rPr>
              <w:t>根据《</w:t>
            </w:r>
            <w:r>
              <w:rPr>
                <w:rFonts w:hint="eastAsia"/>
                <w:bCs/>
                <w:sz w:val="24"/>
                <w:u w:val="none"/>
                <w:lang w:val="en-US" w:eastAsia="zh-CN"/>
              </w:rPr>
              <w:t>固定污染源排污许可分类管理名录</w:t>
            </w:r>
            <w:r>
              <w:rPr>
                <w:rFonts w:hint="eastAsia"/>
                <w:bCs/>
                <w:sz w:val="24"/>
                <w:u w:val="none"/>
                <w:lang w:eastAsia="zh-CN"/>
              </w:rPr>
              <w:t>》（</w:t>
            </w:r>
            <w:r>
              <w:rPr>
                <w:rFonts w:hint="eastAsia"/>
                <w:bCs/>
                <w:sz w:val="24"/>
                <w:u w:val="none"/>
                <w:lang w:val="en-US" w:eastAsia="zh-CN"/>
              </w:rPr>
              <w:t>2019年版</w:t>
            </w:r>
            <w:r>
              <w:rPr>
                <w:rFonts w:hint="eastAsia"/>
                <w:bCs/>
                <w:sz w:val="24"/>
                <w:u w:val="none"/>
                <w:lang w:eastAsia="zh-CN"/>
              </w:rPr>
              <w:t>），本项目属于“四十九、卫生</w:t>
            </w:r>
            <w:r>
              <w:rPr>
                <w:rFonts w:hint="eastAsia"/>
                <w:bCs/>
                <w:sz w:val="24"/>
                <w:u w:val="none"/>
                <w:lang w:val="en-US" w:eastAsia="zh-CN"/>
              </w:rPr>
              <w:t>84中床位100张以下的综合医院8411</w:t>
            </w:r>
            <w:r>
              <w:rPr>
                <w:rFonts w:hint="eastAsia"/>
                <w:bCs/>
                <w:sz w:val="24"/>
                <w:u w:val="none"/>
                <w:lang w:eastAsia="zh-CN"/>
              </w:rPr>
              <w:t>”，应该实行登记管理。</w:t>
            </w:r>
          </w:p>
          <w:p>
            <w:pPr>
              <w:autoSpaceDE w:val="0"/>
              <w:autoSpaceDN w:val="0"/>
              <w:adjustRightInd w:val="0"/>
              <w:snapToGrid w:val="0"/>
              <w:spacing w:line="360" w:lineRule="auto"/>
              <w:ind w:firstLine="480" w:firstLineChars="200"/>
              <w:jc w:val="left"/>
              <w:rPr>
                <w:rFonts w:hint="eastAsia" w:eastAsia="宋体"/>
                <w:lang w:val="en-US" w:eastAsia="zh-CN"/>
              </w:rPr>
            </w:pPr>
            <w:r>
              <w:rPr>
                <w:rFonts w:hint="eastAsia"/>
                <w:bCs/>
                <w:sz w:val="24"/>
                <w:u w:val="none"/>
                <w:lang w:eastAsia="zh-CN"/>
              </w:rPr>
              <w:t>根据《排污许可管理条例》（</w:t>
            </w:r>
            <w:r>
              <w:rPr>
                <w:rFonts w:hint="eastAsia"/>
                <w:bCs/>
                <w:sz w:val="24"/>
                <w:u w:val="none"/>
                <w:lang w:val="en-US" w:eastAsia="zh-CN"/>
              </w:rPr>
              <w:t>中华人民共和国国务院令第736号</w:t>
            </w:r>
            <w:r>
              <w:rPr>
                <w:rFonts w:hint="eastAsia"/>
                <w:bCs/>
                <w:sz w:val="24"/>
                <w:u w:val="none"/>
                <w:lang w:eastAsia="zh-CN"/>
              </w:rPr>
              <w:t>），</w:t>
            </w:r>
            <w:r>
              <w:rPr>
                <w:rFonts w:hint="eastAsia"/>
                <w:bCs/>
                <w:sz w:val="24"/>
                <w:u w:val="none"/>
                <w:lang w:val="en-US" w:eastAsia="zh-CN"/>
              </w:rPr>
              <w:t>排污单位应当依法向审批部门申请排污许可证，按照生态环境主管部门的规定建设规范化污染物排放口，并设置标志牌；污染物排放口位置和数量、污染物排放方式和排放去向应当与排污许可证规定相符。实施新建、改扩建、扩建项目和技术改造的排污单位，应当在建设污染防治设施的同时，建设规范化污染物排放口排污单位应当建立环境管理台账记录制度，按照排污许可证规定的格式、内容和频次，如实记录主要生产设施、污染防治设施运行情况以及污染物排放浓度、排放量。环境管理台账记录保存期限不得少于5年；排污单位应当按照排污许可证规定，如实在全国排污许可证管理信息平台上公开污染物排放信息；污染物排放信息应当包括污染物排放种类、排放浓度和排放量，以及污染防治设施的建设运行情况、排污许可证执行报告、自行监测数据等；其中，水污染物排入市政排水管网的，还应当包括污水接入市政排水管网位置、排放方式等信息。</w:t>
            </w:r>
          </w:p>
        </w:tc>
      </w:tr>
    </w:tbl>
    <w:p>
      <w:pPr>
        <w:spacing w:line="360" w:lineRule="auto"/>
        <w:rPr>
          <w:rFonts w:eastAsia="黑体"/>
          <w:sz w:val="30"/>
          <w:highlight w:val="yellow"/>
        </w:rPr>
        <w:sectPr>
          <w:footerReference r:id="rId7" w:type="default"/>
          <w:pgSz w:w="11906" w:h="16838"/>
          <w:pgMar w:top="1440" w:right="1803" w:bottom="1440" w:left="1803" w:header="851" w:footer="1077" w:gutter="0"/>
          <w:pgNumType w:start="1"/>
          <w:cols w:space="720" w:num="1"/>
          <w:docGrid w:linePitch="312" w:charSpace="0"/>
        </w:sectPr>
      </w:pPr>
    </w:p>
    <w:p>
      <w:pPr>
        <w:pStyle w:val="3"/>
      </w:pPr>
      <w:bookmarkStart w:id="4" w:name="_Toc22676"/>
      <w:r>
        <w:t>二、建设项目工程分析</w:t>
      </w:r>
      <w:bookmarkEnd w:id="4"/>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23" w:type="dxa"/>
            <w:vAlign w:val="center"/>
          </w:tcPr>
          <w:p>
            <w:pPr>
              <w:pStyle w:val="24"/>
              <w:adjustRightInd w:val="0"/>
              <w:snapToGrid w:val="0"/>
              <w:jc w:val="center"/>
              <w:rPr>
                <w:rFonts w:ascii="Times New Roman" w:hAnsi="Times New Roman"/>
                <w:sz w:val="21"/>
                <w:szCs w:val="21"/>
                <w:highlight w:val="yellow"/>
              </w:rPr>
            </w:pPr>
            <w:r>
              <w:rPr>
                <w:rFonts w:ascii="Times New Roman" w:hAnsi="Times New Roman"/>
                <w:sz w:val="21"/>
                <w:szCs w:val="21"/>
              </w:rPr>
              <w:t>建设内容</w:t>
            </w:r>
          </w:p>
        </w:tc>
        <w:tc>
          <w:tcPr>
            <w:tcW w:w="8161" w:type="dxa"/>
          </w:tcPr>
          <w:p>
            <w:pPr>
              <w:pStyle w:val="4"/>
              <w:numPr>
                <w:ilvl w:val="0"/>
                <w:numId w:val="1"/>
              </w:numPr>
              <w:adjustRightInd/>
              <w:snapToGrid/>
              <w:spacing w:beforeLines="0"/>
              <w:ind w:firstLineChars="0"/>
              <w:contextualSpacing/>
              <w:rPr>
                <w:b/>
              </w:rPr>
            </w:pPr>
            <w:r>
              <w:rPr>
                <w:b/>
              </w:rPr>
              <w:t>项目周围环境</w:t>
            </w:r>
          </w:p>
          <w:p>
            <w:pPr>
              <w:pStyle w:val="4"/>
              <w:adjustRightInd/>
              <w:snapToGrid/>
              <w:spacing w:beforeLines="0"/>
              <w:ind w:firstLine="480"/>
              <w:contextualSpacing/>
              <w:rPr>
                <w:bCs/>
              </w:rPr>
            </w:pPr>
            <w:r>
              <w:rPr>
                <w:bCs/>
              </w:rPr>
              <w:t>项目位于湖南</w:t>
            </w:r>
            <w:r>
              <w:rPr>
                <w:rFonts w:hint="eastAsia"/>
                <w:bCs/>
              </w:rPr>
              <w:t>桃源</w:t>
            </w:r>
            <w:r>
              <w:rPr>
                <w:bCs/>
              </w:rPr>
              <w:t>县</w:t>
            </w:r>
            <w:r>
              <w:rPr>
                <w:rFonts w:hint="eastAsia"/>
                <w:bCs/>
                <w:lang w:eastAsia="zh-CN"/>
              </w:rPr>
              <w:t>三阳港镇墟场中街</w:t>
            </w:r>
            <w:r>
              <w:rPr>
                <w:bCs/>
              </w:rPr>
              <w:t>，厂址中心地理坐标为北纬</w:t>
            </w:r>
            <w:r>
              <w:rPr>
                <w:rFonts w:hint="eastAsia"/>
                <w:bCs/>
              </w:rPr>
              <w:t>2</w:t>
            </w:r>
            <w:r>
              <w:rPr>
                <w:rFonts w:hint="eastAsia"/>
                <w:bCs/>
                <w:lang w:val="en-US" w:eastAsia="zh-CN"/>
              </w:rPr>
              <w:t>8.97406803</w:t>
            </w:r>
            <w:r>
              <w:rPr>
                <w:bCs/>
              </w:rPr>
              <w:t>，东经</w:t>
            </w:r>
            <w:r>
              <w:rPr>
                <w:rFonts w:hint="eastAsia"/>
                <w:bCs/>
              </w:rPr>
              <w:t>111.</w:t>
            </w:r>
            <w:r>
              <w:rPr>
                <w:rFonts w:hint="eastAsia"/>
                <w:bCs/>
                <w:lang w:val="en-US" w:eastAsia="zh-CN"/>
              </w:rPr>
              <w:t>34822365</w:t>
            </w:r>
            <w:r>
              <w:rPr>
                <w:bCs/>
              </w:rPr>
              <w:t>。</w:t>
            </w:r>
            <w:r>
              <w:rPr>
                <w:rFonts w:hint="eastAsia"/>
                <w:sz w:val="24"/>
                <w:lang w:eastAsia="zh-CN"/>
              </w:rPr>
              <w:t>东</w:t>
            </w:r>
            <w:r>
              <w:rPr>
                <w:rFonts w:hint="eastAsia"/>
                <w:sz w:val="24"/>
              </w:rPr>
              <w:t>侧为</w:t>
            </w:r>
            <w:r>
              <w:rPr>
                <w:rFonts w:hint="eastAsia"/>
                <w:sz w:val="24"/>
                <w:lang w:eastAsia="zh-CN"/>
              </w:rPr>
              <w:t>镇区街道</w:t>
            </w:r>
            <w:r>
              <w:rPr>
                <w:rFonts w:hint="eastAsia"/>
                <w:sz w:val="24"/>
              </w:rPr>
              <w:t>，距离5m，</w:t>
            </w:r>
            <w:r>
              <w:rPr>
                <w:rFonts w:hint="eastAsia"/>
                <w:sz w:val="24"/>
                <w:lang w:eastAsia="zh-CN"/>
              </w:rPr>
              <w:t>北侧分布的是行政办公楼，</w:t>
            </w:r>
            <w:r>
              <w:rPr>
                <w:rFonts w:hint="eastAsia"/>
                <w:sz w:val="24"/>
              </w:rPr>
              <w:t>南侧</w:t>
            </w:r>
            <w:r>
              <w:rPr>
                <w:rFonts w:hint="eastAsia"/>
                <w:sz w:val="24"/>
                <w:lang w:eastAsia="zh-CN"/>
              </w:rPr>
              <w:t>为商铺，商铺</w:t>
            </w:r>
            <w:r>
              <w:rPr>
                <w:rFonts w:hint="eastAsia"/>
                <w:sz w:val="24"/>
                <w:lang w:val="en-US" w:eastAsia="zh-CN"/>
              </w:rPr>
              <w:t>100m外为镇区街道</w:t>
            </w:r>
            <w:r>
              <w:rPr>
                <w:rFonts w:hint="eastAsia"/>
                <w:sz w:val="24"/>
              </w:rPr>
              <w:t>，</w:t>
            </w:r>
            <w:r>
              <w:rPr>
                <w:rFonts w:hint="eastAsia"/>
                <w:sz w:val="24"/>
                <w:lang w:eastAsia="zh-CN"/>
              </w:rPr>
              <w:t>东</w:t>
            </w:r>
            <w:r>
              <w:rPr>
                <w:rFonts w:hint="eastAsia"/>
                <w:sz w:val="24"/>
              </w:rPr>
              <w:t>侧</w:t>
            </w:r>
            <w:r>
              <w:rPr>
                <w:rFonts w:hint="eastAsia"/>
                <w:sz w:val="24"/>
                <w:lang w:eastAsia="zh-CN"/>
              </w:rPr>
              <w:t>紧邻乡道</w:t>
            </w:r>
            <w:r>
              <w:rPr>
                <w:rFonts w:hint="eastAsia"/>
                <w:sz w:val="24"/>
              </w:rPr>
              <w:t>。</w:t>
            </w:r>
            <w:r>
              <w:rPr>
                <w:bCs/>
              </w:rPr>
              <w:t>项目所在地理位置见附图1，项目周边关系及敏感点位置见附图2。</w:t>
            </w:r>
          </w:p>
          <w:p>
            <w:pPr>
              <w:pStyle w:val="4"/>
              <w:numPr>
                <w:ilvl w:val="0"/>
                <w:numId w:val="1"/>
              </w:numPr>
              <w:adjustRightInd/>
              <w:snapToGrid/>
              <w:spacing w:beforeLines="0"/>
              <w:ind w:firstLineChars="0"/>
              <w:contextualSpacing/>
              <w:rPr>
                <w:b/>
              </w:rPr>
            </w:pPr>
            <w:r>
              <w:rPr>
                <w:b/>
              </w:rPr>
              <w:t>工程概况</w:t>
            </w:r>
          </w:p>
          <w:p>
            <w:pPr>
              <w:pStyle w:val="4"/>
              <w:adjustRightInd/>
              <w:snapToGrid/>
              <w:spacing w:beforeLines="0"/>
              <w:ind w:firstLine="480"/>
              <w:contextualSpacing/>
              <w:rPr>
                <w:rFonts w:hint="eastAsia" w:eastAsia="宋体"/>
                <w:bCs/>
                <w:snapToGrid w:val="0"/>
                <w:lang w:val="en-US" w:eastAsia="zh-CN"/>
              </w:rPr>
            </w:pPr>
            <w:r>
              <w:rPr>
                <w:rFonts w:hint="eastAsia"/>
                <w:bCs/>
                <w:snapToGrid w:val="0"/>
              </w:rPr>
              <w:t>本项目</w:t>
            </w:r>
            <w:r>
              <w:rPr>
                <w:rFonts w:hint="eastAsia"/>
                <w:bCs/>
                <w:snapToGrid w:val="0"/>
                <w:lang w:eastAsia="zh-CN"/>
              </w:rPr>
              <w:t>总占地</w:t>
            </w:r>
            <w:r>
              <w:rPr>
                <w:rFonts w:hint="eastAsia"/>
                <w:bCs/>
                <w:snapToGrid w:val="0"/>
                <w:lang w:val="en-US" w:eastAsia="zh-CN"/>
              </w:rPr>
              <w:t>5079.5</w:t>
            </w:r>
            <w:r>
              <w:rPr>
                <w:rFonts w:hint="eastAsia"/>
                <w:bCs/>
                <w:snapToGrid w:val="0"/>
                <w:lang w:val="zh-CN"/>
              </w:rPr>
              <w:t>m</w:t>
            </w:r>
            <w:r>
              <w:rPr>
                <w:rFonts w:hint="eastAsia"/>
                <w:bCs/>
                <w:snapToGrid w:val="0"/>
                <w:vertAlign w:val="superscript"/>
                <w:lang w:val="zh-CN"/>
              </w:rPr>
              <w:t>2</w:t>
            </w:r>
            <w:r>
              <w:rPr>
                <w:rFonts w:hint="eastAsia"/>
                <w:bCs/>
                <w:snapToGrid w:val="0"/>
                <w:lang w:val="en-US" w:eastAsia="zh-CN"/>
              </w:rPr>
              <w:t>，</w:t>
            </w:r>
            <w:r>
              <w:rPr>
                <w:bCs/>
                <w:snapToGrid w:val="0"/>
              </w:rPr>
              <w:t>拟投资</w:t>
            </w:r>
            <w:r>
              <w:rPr>
                <w:rFonts w:hint="eastAsia"/>
                <w:bCs/>
                <w:snapToGrid w:val="0"/>
                <w:lang w:eastAsia="zh-CN"/>
              </w:rPr>
              <w:t>956.65</w:t>
            </w:r>
            <w:r>
              <w:rPr>
                <w:bCs/>
                <w:snapToGrid w:val="0"/>
              </w:rPr>
              <w:t>万元</w:t>
            </w:r>
            <w:r>
              <w:rPr>
                <w:rFonts w:hint="eastAsia"/>
                <w:bCs/>
                <w:snapToGrid w:val="0"/>
              </w:rPr>
              <w:t>在原医院内</w:t>
            </w:r>
            <w:r>
              <w:rPr>
                <w:rFonts w:hint="eastAsia"/>
                <w:bCs/>
                <w:snapToGrid w:val="0"/>
                <w:lang w:eastAsia="zh-CN"/>
              </w:rPr>
              <w:t>改扩建</w:t>
            </w:r>
            <w:r>
              <w:rPr>
                <w:rFonts w:hint="eastAsia"/>
                <w:bCs/>
                <w:snapToGrid w:val="0"/>
              </w:rPr>
              <w:t>一座</w:t>
            </w:r>
            <w:r>
              <w:rPr>
                <w:rFonts w:hint="eastAsia"/>
                <w:bCs/>
                <w:snapToGrid w:val="0"/>
                <w:lang w:val="en-US" w:eastAsia="zh-CN"/>
              </w:rPr>
              <w:t>3</w:t>
            </w:r>
            <w:r>
              <w:rPr>
                <w:rFonts w:hint="eastAsia"/>
                <w:bCs/>
                <w:snapToGrid w:val="0"/>
              </w:rPr>
              <w:t>层综合</w:t>
            </w:r>
            <w:r>
              <w:rPr>
                <w:rFonts w:hint="eastAsia"/>
                <w:bCs/>
                <w:snapToGrid w:val="0"/>
                <w:lang w:eastAsia="zh-CN"/>
              </w:rPr>
              <w:t>门诊</w:t>
            </w:r>
            <w:r>
              <w:rPr>
                <w:rFonts w:hint="eastAsia"/>
                <w:bCs/>
                <w:snapToGrid w:val="0"/>
              </w:rPr>
              <w:t>住院楼，</w:t>
            </w:r>
            <w:r>
              <w:rPr>
                <w:rFonts w:hint="eastAsia"/>
                <w:bCs/>
                <w:snapToGrid w:val="0"/>
                <w:lang w:eastAsia="zh-CN"/>
              </w:rPr>
              <w:t>改扩建</w:t>
            </w:r>
            <w:r>
              <w:rPr>
                <w:rFonts w:hint="eastAsia"/>
                <w:bCs/>
                <w:snapToGrid w:val="0"/>
              </w:rPr>
              <w:t>工程</w:t>
            </w:r>
            <w:r>
              <w:rPr>
                <w:rFonts w:hint="eastAsia"/>
                <w:bCs/>
                <w:snapToGrid w:val="0"/>
                <w:lang w:val="zh-CN"/>
              </w:rPr>
              <w:t>总占地面积为</w:t>
            </w:r>
            <w:r>
              <w:rPr>
                <w:rFonts w:hint="eastAsia"/>
                <w:bCs/>
                <w:snapToGrid w:val="0"/>
                <w:lang w:val="en-US" w:eastAsia="zh-CN"/>
              </w:rPr>
              <w:t>872.95</w:t>
            </w:r>
            <w:r>
              <w:rPr>
                <w:rFonts w:hint="eastAsia"/>
                <w:bCs/>
                <w:snapToGrid w:val="0"/>
                <w:lang w:val="zh-CN"/>
              </w:rPr>
              <w:t>m</w:t>
            </w:r>
            <w:r>
              <w:rPr>
                <w:rFonts w:hint="eastAsia"/>
                <w:bCs/>
                <w:snapToGrid w:val="0"/>
                <w:vertAlign w:val="superscript"/>
                <w:lang w:val="zh-CN"/>
              </w:rPr>
              <w:t>2</w:t>
            </w:r>
            <w:r>
              <w:rPr>
                <w:rFonts w:hint="eastAsia"/>
                <w:bCs/>
                <w:snapToGrid w:val="0"/>
                <w:lang w:val="zh-CN"/>
              </w:rPr>
              <w:t>，建筑面积为</w:t>
            </w:r>
            <w:r>
              <w:rPr>
                <w:rFonts w:hint="eastAsia"/>
                <w:bCs/>
                <w:snapToGrid w:val="0"/>
                <w:lang w:eastAsia="zh-CN"/>
              </w:rPr>
              <w:t>2689.05</w:t>
            </w:r>
            <w:r>
              <w:rPr>
                <w:rFonts w:hint="eastAsia"/>
                <w:bCs/>
                <w:snapToGrid w:val="0"/>
                <w:lang w:val="zh-CN"/>
              </w:rPr>
              <w:t>m</w:t>
            </w:r>
            <w:r>
              <w:rPr>
                <w:rFonts w:hint="eastAsia"/>
                <w:bCs/>
                <w:snapToGrid w:val="0"/>
                <w:vertAlign w:val="superscript"/>
                <w:lang w:val="zh-CN"/>
              </w:rPr>
              <w:t>2</w:t>
            </w:r>
            <w:r>
              <w:rPr>
                <w:rFonts w:hint="eastAsia"/>
                <w:bCs/>
                <w:snapToGrid w:val="0"/>
              </w:rPr>
              <w:t>。</w:t>
            </w:r>
            <w:r>
              <w:rPr>
                <w:rFonts w:hint="eastAsia"/>
                <w:bCs/>
                <w:snapToGrid w:val="0"/>
                <w:lang w:eastAsia="zh-CN"/>
              </w:rPr>
              <w:t>（</w:t>
            </w:r>
            <w:r>
              <w:rPr>
                <w:rFonts w:hint="eastAsia"/>
                <w:bCs/>
                <w:snapToGrid w:val="0"/>
                <w:lang w:val="en-US" w:eastAsia="zh-CN"/>
              </w:rPr>
              <w:t>1</w:t>
            </w:r>
            <w:r>
              <w:rPr>
                <w:rFonts w:hint="eastAsia"/>
                <w:bCs/>
                <w:snapToGrid w:val="0"/>
                <w:lang w:eastAsia="zh-CN"/>
              </w:rPr>
              <w:t>）</w:t>
            </w:r>
            <w:r>
              <w:rPr>
                <w:rFonts w:hint="eastAsia"/>
                <w:bCs/>
                <w:snapToGrid w:val="0"/>
              </w:rPr>
              <w:t>项目保留</w:t>
            </w:r>
            <w:r>
              <w:rPr>
                <w:rFonts w:hint="eastAsia"/>
                <w:bCs/>
                <w:snapToGrid w:val="0"/>
                <w:lang w:eastAsia="zh-CN"/>
              </w:rPr>
              <w:t>内容：</w:t>
            </w:r>
            <w:r>
              <w:rPr>
                <w:rFonts w:hint="eastAsia"/>
                <w:bCs/>
                <w:snapToGrid w:val="0"/>
              </w:rPr>
              <w:t>卫生院原有的职工宿舍、污水处理站、</w:t>
            </w:r>
            <w:r>
              <w:rPr>
                <w:rFonts w:hint="eastAsia"/>
                <w:bCs/>
                <w:snapToGrid w:val="0"/>
                <w:lang w:eastAsia="zh-CN"/>
              </w:rPr>
              <w:t>杂物间、发电机房、洗衣房、</w:t>
            </w:r>
            <w:r>
              <w:rPr>
                <w:rFonts w:hint="eastAsia"/>
                <w:bCs/>
                <w:snapToGrid w:val="0"/>
              </w:rPr>
              <w:t>医疗废物暂存间</w:t>
            </w:r>
            <w:r>
              <w:rPr>
                <w:rFonts w:hint="eastAsia"/>
                <w:bCs/>
                <w:snapToGrid w:val="0"/>
                <w:lang w:eastAsia="zh-CN"/>
              </w:rPr>
              <w:t>，南侧花坛；（</w:t>
            </w:r>
            <w:r>
              <w:rPr>
                <w:rFonts w:hint="eastAsia"/>
                <w:bCs/>
                <w:snapToGrid w:val="0"/>
                <w:lang w:val="en-US" w:eastAsia="zh-CN"/>
              </w:rPr>
              <w:t>2</w:t>
            </w:r>
            <w:r>
              <w:rPr>
                <w:rFonts w:hint="eastAsia"/>
                <w:bCs/>
                <w:snapToGrid w:val="0"/>
                <w:lang w:eastAsia="zh-CN"/>
              </w:rPr>
              <w:t>）拆除内容：</w:t>
            </w:r>
            <w:r>
              <w:rPr>
                <w:rFonts w:hint="eastAsia"/>
                <w:bCs/>
                <w:snapToGrid w:val="0"/>
              </w:rPr>
              <w:t>拆除原有的</w:t>
            </w:r>
            <w:r>
              <w:rPr>
                <w:rFonts w:hint="eastAsia"/>
                <w:bCs/>
                <w:snapToGrid w:val="0"/>
                <w:lang w:eastAsia="zh-CN"/>
              </w:rPr>
              <w:t>门诊楼、公卫楼、职工食堂；（</w:t>
            </w:r>
            <w:r>
              <w:rPr>
                <w:rFonts w:hint="eastAsia"/>
                <w:bCs/>
                <w:snapToGrid w:val="0"/>
                <w:lang w:val="en-US" w:eastAsia="zh-CN"/>
              </w:rPr>
              <w:t>3</w:t>
            </w:r>
            <w:r>
              <w:rPr>
                <w:rFonts w:hint="eastAsia"/>
                <w:bCs/>
                <w:snapToGrid w:val="0"/>
                <w:lang w:eastAsia="zh-CN"/>
              </w:rPr>
              <w:t>）改扩建内容：南侧的老住院楼</w:t>
            </w:r>
            <w:r>
              <w:rPr>
                <w:rFonts w:hint="eastAsia"/>
                <w:bCs/>
                <w:snapToGrid w:val="0"/>
              </w:rPr>
              <w:t>拟计划改成公卫楼和职工宿舍</w:t>
            </w:r>
            <w:r>
              <w:rPr>
                <w:rFonts w:hint="eastAsia"/>
                <w:bCs/>
                <w:snapToGrid w:val="0"/>
                <w:lang w:eastAsia="zh-CN"/>
              </w:rPr>
              <w:t>，</w:t>
            </w:r>
            <w:r>
              <w:rPr>
                <w:rFonts w:hint="eastAsia"/>
                <w:bCs/>
                <w:snapToGrid w:val="0"/>
              </w:rPr>
              <w:t>中间原有的北侧花坛拆除</w:t>
            </w:r>
            <w:r>
              <w:rPr>
                <w:rFonts w:hint="eastAsia"/>
                <w:bCs/>
                <w:snapToGrid w:val="0"/>
                <w:lang w:eastAsia="zh-CN"/>
              </w:rPr>
              <w:t>改扩建</w:t>
            </w:r>
            <w:r>
              <w:rPr>
                <w:rFonts w:hint="eastAsia"/>
                <w:bCs/>
                <w:snapToGrid w:val="0"/>
              </w:rPr>
              <w:t>成停车场</w:t>
            </w:r>
            <w:r>
              <w:rPr>
                <w:rFonts w:hint="eastAsia"/>
                <w:bCs/>
                <w:snapToGrid w:val="0"/>
                <w:lang w:eastAsia="zh-CN"/>
              </w:rPr>
              <w:t>；（</w:t>
            </w:r>
            <w:r>
              <w:rPr>
                <w:rFonts w:hint="eastAsia"/>
                <w:bCs/>
                <w:snapToGrid w:val="0"/>
                <w:lang w:val="en-US" w:eastAsia="zh-CN"/>
              </w:rPr>
              <w:t>4</w:t>
            </w:r>
            <w:r>
              <w:rPr>
                <w:rFonts w:hint="eastAsia"/>
                <w:bCs/>
                <w:snapToGrid w:val="0"/>
                <w:lang w:eastAsia="zh-CN"/>
              </w:rPr>
              <w:t>）新建内容：原住院楼西侧新建一栋</w:t>
            </w:r>
            <w:r>
              <w:rPr>
                <w:rFonts w:hint="eastAsia"/>
                <w:bCs/>
                <w:snapToGrid w:val="0"/>
                <w:lang w:val="en-US" w:eastAsia="zh-CN"/>
              </w:rPr>
              <w:t>3层的综合一体楼</w:t>
            </w:r>
            <w:r>
              <w:rPr>
                <w:rFonts w:hint="eastAsia"/>
                <w:bCs/>
                <w:snapToGrid w:val="0"/>
                <w:lang w:eastAsia="zh-CN"/>
              </w:rPr>
              <w:t>。</w:t>
            </w:r>
            <w:r>
              <w:rPr>
                <w:rFonts w:hint="eastAsia"/>
                <w:bCs/>
                <w:snapToGrid w:val="0"/>
              </w:rPr>
              <w:t>项目配套给排水、供配电、场地硬化、绿化等工程。项目建设完成后病床数从</w:t>
            </w:r>
            <w:r>
              <w:rPr>
                <w:rFonts w:hint="eastAsia"/>
                <w:bCs/>
                <w:snapToGrid w:val="0"/>
                <w:lang w:eastAsia="zh-CN"/>
              </w:rPr>
              <w:t>50张</w:t>
            </w:r>
            <w:r>
              <w:rPr>
                <w:rFonts w:hint="eastAsia"/>
                <w:bCs/>
                <w:snapToGrid w:val="0"/>
              </w:rPr>
              <w:t>加至</w:t>
            </w:r>
            <w:r>
              <w:rPr>
                <w:rFonts w:hint="eastAsia"/>
                <w:bCs/>
                <w:snapToGrid w:val="0"/>
                <w:lang w:eastAsia="zh-CN"/>
              </w:rPr>
              <w:t>60张</w:t>
            </w:r>
            <w:r>
              <w:rPr>
                <w:rFonts w:hint="eastAsia"/>
                <w:bCs/>
                <w:snapToGrid w:val="0"/>
              </w:rPr>
              <w:t>。</w:t>
            </w:r>
          </w:p>
          <w:p>
            <w:pPr>
              <w:spacing w:line="360" w:lineRule="auto"/>
              <w:contextualSpacing/>
              <w:rPr>
                <w:b/>
                <w:sz w:val="24"/>
              </w:rPr>
            </w:pPr>
            <w:r>
              <w:rPr>
                <w:b/>
                <w:sz w:val="24"/>
              </w:rPr>
              <w:t>3、主要建设内容</w:t>
            </w:r>
          </w:p>
          <w:p>
            <w:pPr>
              <w:spacing w:line="360" w:lineRule="auto"/>
              <w:ind w:firstLine="480" w:firstLineChars="200"/>
              <w:rPr>
                <w:sz w:val="24"/>
              </w:rPr>
            </w:pPr>
            <w:r>
              <w:rPr>
                <w:sz w:val="24"/>
              </w:rPr>
              <w:t>本项目主要建设内容见下表：</w:t>
            </w:r>
          </w:p>
          <w:p>
            <w:pPr>
              <w:pStyle w:val="34"/>
              <w:spacing w:before="120"/>
              <w:ind w:firstLine="422"/>
              <w:rPr>
                <w:sz w:val="21"/>
                <w:szCs w:val="16"/>
              </w:rPr>
            </w:pPr>
            <w:r>
              <w:rPr>
                <w:rFonts w:hint="eastAsia"/>
                <w:sz w:val="21"/>
                <w:szCs w:val="16"/>
              </w:rPr>
              <w:t>表2-1卫生院扩建前后建设内容情况一览表</w:t>
            </w:r>
          </w:p>
          <w:tbl>
            <w:tblPr>
              <w:tblStyle w:val="28"/>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927"/>
              <w:gridCol w:w="2469"/>
              <w:gridCol w:w="2117"/>
              <w:gridCol w:w="1089"/>
              <w:gridCol w:w="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gridSpan w:val="2"/>
                  <w:vMerge w:val="restart"/>
                  <w:vAlign w:val="center"/>
                </w:tcPr>
                <w:p>
                  <w:pPr>
                    <w:tabs>
                      <w:tab w:val="left" w:pos="4602"/>
                    </w:tabs>
                    <w:jc w:val="center"/>
                    <w:rPr>
                      <w:b/>
                      <w:szCs w:val="21"/>
                    </w:rPr>
                  </w:pPr>
                  <w:r>
                    <w:rPr>
                      <w:b/>
                      <w:szCs w:val="21"/>
                    </w:rPr>
                    <w:t>工程类别</w:t>
                  </w:r>
                </w:p>
              </w:tc>
              <w:tc>
                <w:tcPr>
                  <w:tcW w:w="5675" w:type="dxa"/>
                  <w:gridSpan w:val="3"/>
                  <w:vAlign w:val="center"/>
                </w:tcPr>
                <w:p>
                  <w:pPr>
                    <w:tabs>
                      <w:tab w:val="left" w:pos="4602"/>
                    </w:tabs>
                    <w:jc w:val="center"/>
                    <w:rPr>
                      <w:b/>
                      <w:szCs w:val="21"/>
                    </w:rPr>
                  </w:pPr>
                  <w:r>
                    <w:rPr>
                      <w:b/>
                      <w:szCs w:val="21"/>
                    </w:rPr>
                    <w:t>建设规模及内容</w:t>
                  </w:r>
                </w:p>
              </w:tc>
              <w:tc>
                <w:tcPr>
                  <w:tcW w:w="629" w:type="dxa"/>
                  <w:vAlign w:val="center"/>
                </w:tcPr>
                <w:p>
                  <w:pPr>
                    <w:tabs>
                      <w:tab w:val="left" w:pos="4602"/>
                    </w:tabs>
                    <w:jc w:val="center"/>
                    <w:rPr>
                      <w:b/>
                      <w:szCs w:val="21"/>
                    </w:rPr>
                  </w:pPr>
                  <w:r>
                    <w:rPr>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gridSpan w:val="2"/>
                  <w:vMerge w:val="continue"/>
                  <w:vAlign w:val="center"/>
                </w:tcPr>
                <w:p>
                  <w:pPr>
                    <w:tabs>
                      <w:tab w:val="left" w:pos="4602"/>
                    </w:tabs>
                    <w:jc w:val="center"/>
                    <w:rPr>
                      <w:b/>
                      <w:szCs w:val="21"/>
                    </w:rPr>
                  </w:pPr>
                </w:p>
              </w:tc>
              <w:tc>
                <w:tcPr>
                  <w:tcW w:w="2469" w:type="dxa"/>
                  <w:vAlign w:val="center"/>
                </w:tcPr>
                <w:p>
                  <w:pPr>
                    <w:tabs>
                      <w:tab w:val="left" w:pos="4602"/>
                    </w:tabs>
                    <w:jc w:val="center"/>
                    <w:rPr>
                      <w:b/>
                      <w:szCs w:val="21"/>
                    </w:rPr>
                  </w:pPr>
                  <w:r>
                    <w:rPr>
                      <w:rFonts w:hint="eastAsia"/>
                      <w:b/>
                      <w:szCs w:val="21"/>
                    </w:rPr>
                    <w:t>现有</w:t>
                  </w:r>
                </w:p>
              </w:tc>
              <w:tc>
                <w:tcPr>
                  <w:tcW w:w="2117" w:type="dxa"/>
                  <w:vAlign w:val="center"/>
                </w:tcPr>
                <w:p>
                  <w:pPr>
                    <w:tabs>
                      <w:tab w:val="left" w:pos="4602"/>
                    </w:tabs>
                    <w:jc w:val="center"/>
                    <w:rPr>
                      <w:b/>
                      <w:szCs w:val="21"/>
                    </w:rPr>
                  </w:pPr>
                  <w:r>
                    <w:rPr>
                      <w:rFonts w:hint="eastAsia"/>
                      <w:b/>
                      <w:szCs w:val="21"/>
                    </w:rPr>
                    <w:t>本次改扩建</w:t>
                  </w:r>
                </w:p>
              </w:tc>
              <w:tc>
                <w:tcPr>
                  <w:tcW w:w="1089" w:type="dxa"/>
                  <w:vAlign w:val="center"/>
                </w:tcPr>
                <w:p>
                  <w:pPr>
                    <w:tabs>
                      <w:tab w:val="left" w:pos="4602"/>
                    </w:tabs>
                    <w:jc w:val="center"/>
                    <w:rPr>
                      <w:b/>
                      <w:szCs w:val="21"/>
                    </w:rPr>
                  </w:pPr>
                  <w:r>
                    <w:rPr>
                      <w:rFonts w:hint="eastAsia"/>
                      <w:b/>
                      <w:szCs w:val="21"/>
                    </w:rPr>
                    <w:t>全院</w:t>
                  </w:r>
                </w:p>
              </w:tc>
              <w:tc>
                <w:tcPr>
                  <w:tcW w:w="629" w:type="dxa"/>
                  <w:vAlign w:val="center"/>
                </w:tcPr>
                <w:p>
                  <w:pPr>
                    <w:tabs>
                      <w:tab w:val="left" w:pos="4602"/>
                    </w:tabs>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pPr>
                    <w:tabs>
                      <w:tab w:val="left" w:pos="4602"/>
                    </w:tabs>
                    <w:jc w:val="center"/>
                    <w:rPr>
                      <w:bCs/>
                      <w:szCs w:val="21"/>
                    </w:rPr>
                  </w:pPr>
                  <w:r>
                    <w:rPr>
                      <w:bCs/>
                      <w:szCs w:val="21"/>
                    </w:rPr>
                    <w:t>主体工程</w:t>
                  </w:r>
                </w:p>
              </w:tc>
              <w:tc>
                <w:tcPr>
                  <w:tcW w:w="927" w:type="dxa"/>
                  <w:vAlign w:val="center"/>
                </w:tcPr>
                <w:p>
                  <w:pPr>
                    <w:tabs>
                      <w:tab w:val="left" w:pos="4602"/>
                    </w:tabs>
                    <w:jc w:val="center"/>
                    <w:rPr>
                      <w:bCs/>
                      <w:szCs w:val="21"/>
                    </w:rPr>
                  </w:pPr>
                  <w:r>
                    <w:rPr>
                      <w:rFonts w:hint="eastAsia"/>
                      <w:bCs/>
                      <w:szCs w:val="21"/>
                    </w:rPr>
                    <w:t>门诊楼</w:t>
                  </w:r>
                </w:p>
              </w:tc>
              <w:tc>
                <w:tcPr>
                  <w:tcW w:w="2469" w:type="dxa"/>
                  <w:vAlign w:val="center"/>
                </w:tcPr>
                <w:p>
                  <w:pPr>
                    <w:tabs>
                      <w:tab w:val="left" w:pos="4602"/>
                    </w:tabs>
                    <w:jc w:val="left"/>
                    <w:rPr>
                      <w:bCs/>
                      <w:szCs w:val="21"/>
                    </w:rPr>
                  </w:pPr>
                  <w:r>
                    <w:rPr>
                      <w:rFonts w:hint="eastAsia"/>
                      <w:bCs/>
                      <w:szCs w:val="21"/>
                    </w:rPr>
                    <w:t>建筑面积</w:t>
                  </w:r>
                  <w:r>
                    <w:rPr>
                      <w:rFonts w:hint="eastAsia"/>
                      <w:bCs/>
                      <w:szCs w:val="21"/>
                      <w:lang w:val="en-US" w:eastAsia="zh-CN"/>
                    </w:rPr>
                    <w:t>2250</w:t>
                  </w:r>
                  <w:r>
                    <w:rPr>
                      <w:rFonts w:hint="eastAsia"/>
                      <w:bCs/>
                      <w:szCs w:val="21"/>
                    </w:rPr>
                    <w:t>m</w:t>
                  </w:r>
                  <w:r>
                    <w:rPr>
                      <w:rFonts w:hint="eastAsia"/>
                      <w:bCs/>
                      <w:szCs w:val="21"/>
                      <w:vertAlign w:val="superscript"/>
                    </w:rPr>
                    <w:t>2</w:t>
                  </w:r>
                  <w:r>
                    <w:rPr>
                      <w:rFonts w:hint="eastAsia"/>
                      <w:bCs/>
                      <w:szCs w:val="21"/>
                    </w:rPr>
                    <w:t>，共</w:t>
                  </w:r>
                  <w:r>
                    <w:rPr>
                      <w:rFonts w:hint="eastAsia"/>
                      <w:bCs/>
                      <w:szCs w:val="21"/>
                      <w:lang w:val="en-US" w:eastAsia="zh-CN"/>
                    </w:rPr>
                    <w:t>4</w:t>
                  </w:r>
                  <w:r>
                    <w:rPr>
                      <w:rFonts w:hint="eastAsia"/>
                      <w:bCs/>
                      <w:szCs w:val="21"/>
                    </w:rPr>
                    <w:t>层。一层为门诊部，二层为</w:t>
                  </w:r>
                  <w:r>
                    <w:rPr>
                      <w:rFonts w:hint="eastAsia"/>
                      <w:bCs/>
                      <w:szCs w:val="21"/>
                      <w:lang w:eastAsia="zh-CN"/>
                    </w:rPr>
                    <w:t>治疗室、护士站</w:t>
                  </w:r>
                  <w:r>
                    <w:rPr>
                      <w:rFonts w:hint="eastAsia"/>
                      <w:bCs/>
                      <w:szCs w:val="21"/>
                    </w:rPr>
                    <w:t>，三层为办公室</w:t>
                  </w:r>
                  <w:r>
                    <w:rPr>
                      <w:rFonts w:hint="eastAsia"/>
                      <w:bCs/>
                      <w:szCs w:val="21"/>
                      <w:lang w:eastAsia="zh-CN"/>
                    </w:rPr>
                    <w:t>、</w:t>
                  </w:r>
                  <w:r>
                    <w:rPr>
                      <w:rFonts w:hint="eastAsia"/>
                      <w:bCs/>
                      <w:szCs w:val="21"/>
                    </w:rPr>
                    <w:t>会议室</w:t>
                  </w:r>
                  <w:r>
                    <w:rPr>
                      <w:rFonts w:hint="eastAsia"/>
                      <w:bCs/>
                      <w:szCs w:val="21"/>
                      <w:lang w:eastAsia="zh-CN"/>
                    </w:rPr>
                    <w:t>，</w:t>
                  </w:r>
                  <w:r>
                    <w:rPr>
                      <w:rFonts w:hint="eastAsia"/>
                      <w:bCs/>
                      <w:szCs w:val="21"/>
                      <w:lang w:val="en-US" w:eastAsia="zh-CN"/>
                    </w:rPr>
                    <w:t>4层为会议室、多功能厅</w:t>
                  </w:r>
                  <w:r>
                    <w:rPr>
                      <w:rFonts w:hint="eastAsia"/>
                      <w:bCs/>
                      <w:szCs w:val="21"/>
                    </w:rPr>
                    <w:t>。</w:t>
                  </w:r>
                </w:p>
              </w:tc>
              <w:tc>
                <w:tcPr>
                  <w:tcW w:w="2117" w:type="dxa"/>
                  <w:vAlign w:val="center"/>
                </w:tcPr>
                <w:p>
                  <w:pPr>
                    <w:tabs>
                      <w:tab w:val="left" w:pos="4602"/>
                    </w:tabs>
                    <w:jc w:val="center"/>
                    <w:rPr>
                      <w:rFonts w:hint="eastAsia" w:eastAsia="宋体"/>
                      <w:bCs/>
                      <w:szCs w:val="21"/>
                      <w:u w:val="single"/>
                      <w:lang w:eastAsia="zh-CN"/>
                    </w:rPr>
                  </w:pPr>
                  <w:r>
                    <w:rPr>
                      <w:rFonts w:hint="eastAsia"/>
                      <w:bCs/>
                      <w:szCs w:val="21"/>
                      <w:u w:val="single"/>
                      <w:lang w:eastAsia="zh-CN"/>
                    </w:rPr>
                    <w:t>新住院楼建成后拆除</w:t>
                  </w:r>
                </w:p>
              </w:tc>
              <w:tc>
                <w:tcPr>
                  <w:tcW w:w="1089" w:type="dxa"/>
                  <w:vAlign w:val="center"/>
                </w:tcPr>
                <w:p>
                  <w:pPr>
                    <w:tabs>
                      <w:tab w:val="left" w:pos="4602"/>
                    </w:tabs>
                    <w:jc w:val="center"/>
                    <w:rPr>
                      <w:rFonts w:hint="eastAsia" w:eastAsia="宋体"/>
                      <w:bCs/>
                      <w:szCs w:val="21"/>
                      <w:lang w:val="en-US" w:eastAsia="zh-CN"/>
                    </w:rPr>
                  </w:pPr>
                  <w:r>
                    <w:rPr>
                      <w:rFonts w:hint="eastAsia"/>
                      <w:bCs/>
                      <w:szCs w:val="21"/>
                      <w:lang w:val="en-US" w:eastAsia="zh-CN"/>
                    </w:rPr>
                    <w:t>/</w:t>
                  </w:r>
                </w:p>
              </w:tc>
              <w:tc>
                <w:tcPr>
                  <w:tcW w:w="629" w:type="dxa"/>
                  <w:vAlign w:val="center"/>
                </w:tcPr>
                <w:p>
                  <w:pPr>
                    <w:tabs>
                      <w:tab w:val="left" w:pos="4602"/>
                    </w:tabs>
                    <w:jc w:val="center"/>
                    <w:rPr>
                      <w:rFonts w:hint="eastAsia" w:eastAsia="宋体"/>
                      <w:bCs/>
                      <w:szCs w:val="21"/>
                      <w:lang w:eastAsia="zh-CN"/>
                    </w:rPr>
                  </w:pPr>
                  <w:r>
                    <w:rPr>
                      <w:rFonts w:hint="eastAsia"/>
                      <w:bCs/>
                      <w:szCs w:val="21"/>
                      <w:lang w:eastAsia="zh-CN"/>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tabs>
                      <w:tab w:val="left" w:pos="4602"/>
                    </w:tabs>
                    <w:jc w:val="center"/>
                    <w:rPr>
                      <w:bCs/>
                      <w:szCs w:val="21"/>
                    </w:rPr>
                  </w:pPr>
                </w:p>
              </w:tc>
              <w:tc>
                <w:tcPr>
                  <w:tcW w:w="927" w:type="dxa"/>
                  <w:vAlign w:val="center"/>
                </w:tcPr>
                <w:p>
                  <w:pPr>
                    <w:tabs>
                      <w:tab w:val="left" w:pos="4602"/>
                    </w:tabs>
                    <w:jc w:val="center"/>
                    <w:rPr>
                      <w:bCs/>
                      <w:szCs w:val="21"/>
                    </w:rPr>
                  </w:pPr>
                  <w:r>
                    <w:rPr>
                      <w:rFonts w:hint="eastAsia"/>
                      <w:bCs/>
                      <w:szCs w:val="21"/>
                      <w:lang w:eastAsia="zh-CN"/>
                    </w:rPr>
                    <w:t>公卫</w:t>
                  </w:r>
                  <w:r>
                    <w:rPr>
                      <w:rFonts w:hint="eastAsia"/>
                      <w:bCs/>
                      <w:szCs w:val="21"/>
                    </w:rPr>
                    <w:t>楼</w:t>
                  </w:r>
                </w:p>
              </w:tc>
              <w:tc>
                <w:tcPr>
                  <w:tcW w:w="2469" w:type="dxa"/>
                  <w:vAlign w:val="center"/>
                </w:tcPr>
                <w:p>
                  <w:pPr>
                    <w:tabs>
                      <w:tab w:val="left" w:pos="4602"/>
                    </w:tabs>
                    <w:jc w:val="left"/>
                    <w:rPr>
                      <w:bCs/>
                      <w:szCs w:val="21"/>
                    </w:rPr>
                  </w:pPr>
                  <w:r>
                    <w:rPr>
                      <w:rFonts w:hint="eastAsia"/>
                      <w:bCs/>
                      <w:szCs w:val="21"/>
                    </w:rPr>
                    <w:t>占地面积约320m</w:t>
                  </w:r>
                  <w:r>
                    <w:rPr>
                      <w:rFonts w:hint="eastAsia"/>
                      <w:bCs/>
                      <w:szCs w:val="21"/>
                      <w:vertAlign w:val="superscript"/>
                    </w:rPr>
                    <w:t>2</w:t>
                  </w:r>
                  <w:r>
                    <w:rPr>
                      <w:rFonts w:hint="eastAsia"/>
                      <w:bCs/>
                      <w:szCs w:val="21"/>
                    </w:rPr>
                    <w:t>，共</w:t>
                  </w:r>
                  <w:r>
                    <w:rPr>
                      <w:rFonts w:hint="eastAsia"/>
                      <w:bCs/>
                      <w:szCs w:val="21"/>
                      <w:lang w:val="en-US" w:eastAsia="zh-CN"/>
                    </w:rPr>
                    <w:t>3</w:t>
                  </w:r>
                  <w:r>
                    <w:rPr>
                      <w:rFonts w:hint="eastAsia"/>
                      <w:bCs/>
                      <w:szCs w:val="21"/>
                    </w:rPr>
                    <w:t>层，建筑面积约</w:t>
                  </w:r>
                  <w:r>
                    <w:rPr>
                      <w:rFonts w:hint="eastAsia"/>
                      <w:bCs/>
                      <w:szCs w:val="21"/>
                      <w:lang w:val="en-US" w:eastAsia="zh-CN"/>
                    </w:rPr>
                    <w:t>960</w:t>
                  </w:r>
                  <w:r>
                    <w:rPr>
                      <w:rFonts w:hint="eastAsia"/>
                      <w:bCs/>
                      <w:szCs w:val="21"/>
                    </w:rPr>
                    <w:t>m</w:t>
                  </w:r>
                  <w:r>
                    <w:rPr>
                      <w:rFonts w:hint="eastAsia"/>
                      <w:bCs/>
                      <w:szCs w:val="21"/>
                      <w:vertAlign w:val="superscript"/>
                    </w:rPr>
                    <w:t>2</w:t>
                  </w:r>
                  <w:r>
                    <w:rPr>
                      <w:rFonts w:hint="eastAsia"/>
                      <w:bCs/>
                      <w:szCs w:val="21"/>
                    </w:rPr>
                    <w:t>。一层为预防保育室、放射室，二层为妇幼保健室、档案室</w:t>
                  </w:r>
                  <w:r>
                    <w:rPr>
                      <w:rFonts w:hint="eastAsia"/>
                      <w:bCs/>
                      <w:szCs w:val="21"/>
                      <w:lang w:eastAsia="zh-CN"/>
                    </w:rPr>
                    <w:t>，三层设设备室、档案室</w:t>
                  </w:r>
                  <w:r>
                    <w:rPr>
                      <w:rFonts w:hint="eastAsia"/>
                      <w:bCs/>
                      <w:szCs w:val="21"/>
                    </w:rPr>
                    <w:t>。</w:t>
                  </w:r>
                </w:p>
              </w:tc>
              <w:tc>
                <w:tcPr>
                  <w:tcW w:w="2117" w:type="dxa"/>
                  <w:vAlign w:val="center"/>
                </w:tcPr>
                <w:p>
                  <w:pPr>
                    <w:tabs>
                      <w:tab w:val="left" w:pos="4602"/>
                    </w:tabs>
                    <w:jc w:val="center"/>
                    <w:rPr>
                      <w:rFonts w:hint="eastAsia" w:eastAsia="宋体"/>
                      <w:bCs/>
                      <w:szCs w:val="21"/>
                      <w:u w:val="single"/>
                      <w:lang w:eastAsia="zh-CN"/>
                    </w:rPr>
                  </w:pPr>
                  <w:r>
                    <w:rPr>
                      <w:rFonts w:hint="eastAsia"/>
                      <w:bCs/>
                      <w:szCs w:val="21"/>
                      <w:u w:val="single"/>
                      <w:lang w:eastAsia="zh-CN"/>
                    </w:rPr>
                    <w:t>新住院楼建成后拆除</w:t>
                  </w:r>
                </w:p>
              </w:tc>
              <w:tc>
                <w:tcPr>
                  <w:tcW w:w="1089" w:type="dxa"/>
                  <w:vAlign w:val="center"/>
                </w:tcPr>
                <w:p>
                  <w:pPr>
                    <w:tabs>
                      <w:tab w:val="left" w:pos="4602"/>
                    </w:tabs>
                    <w:jc w:val="center"/>
                    <w:rPr>
                      <w:rFonts w:hint="eastAsia" w:eastAsia="宋体"/>
                      <w:bCs/>
                      <w:szCs w:val="21"/>
                      <w:lang w:eastAsia="zh-CN"/>
                    </w:rPr>
                  </w:pPr>
                  <w:r>
                    <w:rPr>
                      <w:rFonts w:hint="eastAsia"/>
                      <w:bCs/>
                      <w:szCs w:val="21"/>
                      <w:lang w:val="en-US" w:eastAsia="zh-CN"/>
                    </w:rPr>
                    <w:t>/</w:t>
                  </w:r>
                </w:p>
              </w:tc>
              <w:tc>
                <w:tcPr>
                  <w:tcW w:w="629" w:type="dxa"/>
                  <w:vAlign w:val="center"/>
                </w:tcPr>
                <w:p>
                  <w:pPr>
                    <w:tabs>
                      <w:tab w:val="left" w:pos="4602"/>
                    </w:tabs>
                    <w:jc w:val="center"/>
                    <w:rPr>
                      <w:bCs/>
                      <w:szCs w:val="21"/>
                    </w:rPr>
                  </w:pPr>
                  <w:r>
                    <w:rPr>
                      <w:rFonts w:hint="eastAsia"/>
                      <w:bCs/>
                      <w:szCs w:val="21"/>
                      <w:lang w:eastAsia="zh-CN"/>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tabs>
                      <w:tab w:val="left" w:pos="4602"/>
                    </w:tabs>
                    <w:jc w:val="center"/>
                    <w:rPr>
                      <w:bCs/>
                      <w:szCs w:val="21"/>
                    </w:rPr>
                  </w:pPr>
                </w:p>
              </w:tc>
              <w:tc>
                <w:tcPr>
                  <w:tcW w:w="927" w:type="dxa"/>
                  <w:vAlign w:val="center"/>
                </w:tcPr>
                <w:p>
                  <w:pPr>
                    <w:tabs>
                      <w:tab w:val="left" w:pos="4602"/>
                    </w:tabs>
                    <w:jc w:val="center"/>
                    <w:rPr>
                      <w:bCs/>
                      <w:szCs w:val="21"/>
                    </w:rPr>
                  </w:pPr>
                  <w:r>
                    <w:rPr>
                      <w:rFonts w:hint="eastAsia"/>
                      <w:bCs/>
                      <w:szCs w:val="21"/>
                    </w:rPr>
                    <w:t>住院楼</w:t>
                  </w:r>
                </w:p>
              </w:tc>
              <w:tc>
                <w:tcPr>
                  <w:tcW w:w="2469" w:type="dxa"/>
                  <w:vAlign w:val="center"/>
                </w:tcPr>
                <w:p>
                  <w:pPr>
                    <w:tabs>
                      <w:tab w:val="left" w:pos="4602"/>
                    </w:tabs>
                    <w:jc w:val="left"/>
                    <w:rPr>
                      <w:bCs/>
                      <w:szCs w:val="21"/>
                    </w:rPr>
                  </w:pPr>
                  <w:r>
                    <w:rPr>
                      <w:rFonts w:hint="eastAsia"/>
                      <w:bCs/>
                      <w:szCs w:val="21"/>
                    </w:rPr>
                    <w:t>总建筑面积</w:t>
                  </w:r>
                  <w:r>
                    <w:rPr>
                      <w:rFonts w:hint="eastAsia"/>
                      <w:bCs/>
                      <w:szCs w:val="21"/>
                      <w:lang w:val="en-US" w:eastAsia="zh-CN"/>
                    </w:rPr>
                    <w:t>190</w:t>
                  </w:r>
                  <w:r>
                    <w:rPr>
                      <w:rFonts w:hint="eastAsia"/>
                      <w:bCs/>
                      <w:szCs w:val="21"/>
                    </w:rPr>
                    <w:t>0m</w:t>
                  </w:r>
                  <w:r>
                    <w:rPr>
                      <w:rFonts w:hint="eastAsia"/>
                      <w:bCs/>
                      <w:szCs w:val="21"/>
                      <w:vertAlign w:val="superscript"/>
                    </w:rPr>
                    <w:t>2</w:t>
                  </w:r>
                  <w:r>
                    <w:rPr>
                      <w:rFonts w:hint="eastAsia"/>
                      <w:bCs/>
                      <w:szCs w:val="21"/>
                    </w:rPr>
                    <w:t>，共</w:t>
                  </w:r>
                  <w:r>
                    <w:rPr>
                      <w:rFonts w:hint="eastAsia"/>
                      <w:bCs/>
                      <w:szCs w:val="21"/>
                      <w:lang w:val="en-US" w:eastAsia="zh-CN"/>
                    </w:rPr>
                    <w:t>3</w:t>
                  </w:r>
                  <w:r>
                    <w:rPr>
                      <w:rFonts w:hint="eastAsia"/>
                      <w:bCs/>
                      <w:szCs w:val="21"/>
                    </w:rPr>
                    <w:t>层。一层包括儿保、妇保、妇科、中西药房、抢救室、心电B超、透视摄片室等，二层为病房、值班室、护士站、治疗室</w:t>
                  </w:r>
                  <w:r>
                    <w:rPr>
                      <w:rFonts w:hint="eastAsia"/>
                      <w:bCs/>
                      <w:szCs w:val="21"/>
                      <w:lang w:eastAsia="zh-CN"/>
                    </w:rPr>
                    <w:t>等；三层设</w:t>
                  </w:r>
                  <w:r>
                    <w:rPr>
                      <w:rFonts w:hint="eastAsia"/>
                      <w:bCs/>
                      <w:szCs w:val="21"/>
                    </w:rPr>
                    <w:t>针灸、理疗、煎药、办公室、档案室等。</w:t>
                  </w:r>
                </w:p>
              </w:tc>
              <w:tc>
                <w:tcPr>
                  <w:tcW w:w="2117" w:type="dxa"/>
                  <w:vAlign w:val="center"/>
                </w:tcPr>
                <w:p>
                  <w:pPr>
                    <w:tabs>
                      <w:tab w:val="left" w:pos="4602"/>
                    </w:tabs>
                    <w:jc w:val="left"/>
                    <w:rPr>
                      <w:bCs/>
                      <w:szCs w:val="21"/>
                    </w:rPr>
                  </w:pPr>
                  <w:r>
                    <w:rPr>
                      <w:rFonts w:hint="eastAsia"/>
                      <w:bCs/>
                      <w:szCs w:val="21"/>
                    </w:rPr>
                    <w:t>总建筑面积</w:t>
                  </w:r>
                  <w:r>
                    <w:rPr>
                      <w:rFonts w:hint="eastAsia"/>
                      <w:bCs/>
                      <w:szCs w:val="21"/>
                      <w:lang w:eastAsia="zh-CN"/>
                    </w:rPr>
                    <w:t>2689.05</w:t>
                  </w:r>
                  <w:r>
                    <w:rPr>
                      <w:rFonts w:hint="eastAsia"/>
                      <w:bCs/>
                      <w:szCs w:val="21"/>
                    </w:rPr>
                    <w:t>m</w:t>
                  </w:r>
                  <w:r>
                    <w:rPr>
                      <w:rFonts w:hint="eastAsia"/>
                      <w:bCs/>
                      <w:szCs w:val="21"/>
                      <w:vertAlign w:val="superscript"/>
                    </w:rPr>
                    <w:t>2</w:t>
                  </w:r>
                  <w:r>
                    <w:rPr>
                      <w:rFonts w:hint="eastAsia"/>
                      <w:bCs/>
                      <w:szCs w:val="21"/>
                    </w:rPr>
                    <w:t>，共</w:t>
                  </w:r>
                  <w:r>
                    <w:rPr>
                      <w:rFonts w:hint="eastAsia"/>
                      <w:bCs/>
                      <w:szCs w:val="21"/>
                      <w:lang w:val="en-US" w:eastAsia="zh-CN"/>
                    </w:rPr>
                    <w:t>3</w:t>
                  </w:r>
                  <w:r>
                    <w:rPr>
                      <w:rFonts w:hint="eastAsia"/>
                      <w:bCs/>
                      <w:szCs w:val="21"/>
                    </w:rPr>
                    <w:t>层。</w:t>
                  </w:r>
                  <w:r>
                    <w:rPr>
                      <w:rFonts w:hint="eastAsia"/>
                      <w:bCs/>
                      <w:szCs w:val="21"/>
                      <w:u w:val="single"/>
                    </w:rPr>
                    <w:t>一层包括2人和3人病房</w:t>
                  </w:r>
                  <w:r>
                    <w:rPr>
                      <w:rFonts w:hint="eastAsia"/>
                      <w:bCs/>
                      <w:szCs w:val="21"/>
                      <w:u w:val="single"/>
                      <w:lang w:eastAsia="zh-CN"/>
                    </w:rPr>
                    <w:t>（设急诊科病房）</w:t>
                  </w:r>
                  <w:r>
                    <w:rPr>
                      <w:rFonts w:hint="eastAsia"/>
                      <w:bCs/>
                      <w:szCs w:val="21"/>
                      <w:u w:val="single"/>
                    </w:rPr>
                    <w:t>、值班室、抢救室、</w:t>
                  </w:r>
                  <w:r>
                    <w:rPr>
                      <w:rFonts w:hint="eastAsia"/>
                      <w:bCs/>
                      <w:szCs w:val="21"/>
                      <w:u w:val="single"/>
                      <w:lang w:eastAsia="zh-CN"/>
                    </w:rPr>
                    <w:t>医保办、</w:t>
                  </w:r>
                  <w:r>
                    <w:rPr>
                      <w:rFonts w:hint="eastAsia"/>
                      <w:bCs/>
                      <w:szCs w:val="21"/>
                      <w:u w:val="single"/>
                    </w:rPr>
                    <w:t>收费室、护士站、住院大厅等，二层包括2人和3人病房、值班室、抢救室</w:t>
                  </w:r>
                  <w:r>
                    <w:rPr>
                      <w:rFonts w:hint="eastAsia"/>
                      <w:bCs/>
                      <w:szCs w:val="21"/>
                      <w:u w:val="single"/>
                      <w:lang w:eastAsia="zh-CN"/>
                    </w:rPr>
                    <w:t>、</w:t>
                  </w:r>
                  <w:r>
                    <w:rPr>
                      <w:rFonts w:hint="eastAsia"/>
                      <w:bCs/>
                      <w:szCs w:val="21"/>
                      <w:u w:val="single"/>
                    </w:rPr>
                    <w:t>库房、护士站等</w:t>
                  </w:r>
                  <w:r>
                    <w:rPr>
                      <w:rFonts w:hint="eastAsia"/>
                      <w:bCs/>
                      <w:szCs w:val="21"/>
                      <w:u w:val="single"/>
                      <w:lang w:eastAsia="zh-CN"/>
                    </w:rPr>
                    <w:t>（设内科、妇产科和儿科病房）</w:t>
                  </w:r>
                  <w:r>
                    <w:rPr>
                      <w:rFonts w:hint="eastAsia"/>
                      <w:bCs/>
                      <w:szCs w:val="21"/>
                      <w:u w:val="single"/>
                    </w:rPr>
                    <w:t>，三层包括2人和3人病房</w:t>
                  </w:r>
                  <w:r>
                    <w:rPr>
                      <w:rFonts w:hint="eastAsia"/>
                      <w:bCs/>
                      <w:szCs w:val="21"/>
                      <w:u w:val="single"/>
                      <w:lang w:eastAsia="zh-CN"/>
                    </w:rPr>
                    <w:t>（设中医科、外科、骨科病房，）</w:t>
                  </w:r>
                  <w:r>
                    <w:rPr>
                      <w:rFonts w:hint="eastAsia"/>
                      <w:bCs/>
                      <w:szCs w:val="21"/>
                      <w:u w:val="single"/>
                    </w:rPr>
                    <w:t>等</w:t>
                  </w:r>
                  <w:r>
                    <w:rPr>
                      <w:rFonts w:hint="eastAsia"/>
                      <w:bCs/>
                      <w:szCs w:val="21"/>
                    </w:rPr>
                    <w:t>。</w:t>
                  </w:r>
                </w:p>
              </w:tc>
              <w:tc>
                <w:tcPr>
                  <w:tcW w:w="1089" w:type="dxa"/>
                  <w:vAlign w:val="center"/>
                </w:tcPr>
                <w:p>
                  <w:pPr>
                    <w:tabs>
                      <w:tab w:val="left" w:pos="4602"/>
                    </w:tabs>
                    <w:jc w:val="left"/>
                    <w:rPr>
                      <w:rFonts w:hint="default"/>
                      <w:bCs/>
                      <w:szCs w:val="21"/>
                      <w:lang w:val="en-US"/>
                    </w:rPr>
                  </w:pPr>
                  <w:r>
                    <w:rPr>
                      <w:rFonts w:hint="eastAsia"/>
                      <w:bCs/>
                      <w:szCs w:val="21"/>
                      <w:lang w:eastAsia="zh-CN"/>
                    </w:rPr>
                    <w:t>老住院楼改扩建成公卫楼和职工宿舍，项目西侧新建一栋</w:t>
                  </w:r>
                  <w:r>
                    <w:rPr>
                      <w:rFonts w:hint="eastAsia"/>
                      <w:bCs/>
                      <w:szCs w:val="21"/>
                      <w:lang w:val="en-US" w:eastAsia="zh-CN"/>
                    </w:rPr>
                    <w:t>3层住院楼</w:t>
                  </w:r>
                </w:p>
              </w:tc>
              <w:tc>
                <w:tcPr>
                  <w:tcW w:w="629" w:type="dxa"/>
                  <w:vAlign w:val="center"/>
                </w:tcPr>
                <w:p>
                  <w:pPr>
                    <w:tabs>
                      <w:tab w:val="left" w:pos="4602"/>
                    </w:tabs>
                    <w:jc w:val="center"/>
                    <w:rPr>
                      <w:rFonts w:hint="eastAsia" w:eastAsia="宋体"/>
                      <w:bCs/>
                      <w:szCs w:val="21"/>
                      <w:lang w:eastAsia="zh-CN"/>
                    </w:rPr>
                  </w:pPr>
                  <w:r>
                    <w:rPr>
                      <w:rFonts w:hint="eastAsia"/>
                      <w:bCs/>
                      <w:szCs w:val="21"/>
                      <w:u w:val="single"/>
                      <w:lang w:eastAsia="zh-CN"/>
                    </w:rPr>
                    <w:t>新住院楼建成后将</w:t>
                  </w:r>
                  <w:r>
                    <w:rPr>
                      <w:rFonts w:hint="eastAsia"/>
                      <w:bCs/>
                      <w:szCs w:val="21"/>
                      <w:u w:val="single"/>
                    </w:rPr>
                    <w:t>老住院楼</w:t>
                  </w:r>
                  <w:r>
                    <w:rPr>
                      <w:rFonts w:hint="eastAsia"/>
                      <w:bCs/>
                      <w:szCs w:val="21"/>
                      <w:u w:val="single"/>
                      <w:lang w:eastAsia="zh-CN"/>
                    </w:rPr>
                    <w:t>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pPr>
                    <w:tabs>
                      <w:tab w:val="left" w:pos="4602"/>
                    </w:tabs>
                    <w:jc w:val="center"/>
                    <w:rPr>
                      <w:bCs/>
                      <w:szCs w:val="21"/>
                    </w:rPr>
                  </w:pPr>
                  <w:r>
                    <w:rPr>
                      <w:bCs/>
                      <w:szCs w:val="21"/>
                    </w:rPr>
                    <w:t>辅助工程</w:t>
                  </w:r>
                </w:p>
              </w:tc>
              <w:tc>
                <w:tcPr>
                  <w:tcW w:w="927" w:type="dxa"/>
                  <w:vAlign w:val="center"/>
                </w:tcPr>
                <w:p>
                  <w:pPr>
                    <w:tabs>
                      <w:tab w:val="left" w:pos="4602"/>
                    </w:tabs>
                    <w:jc w:val="center"/>
                    <w:rPr>
                      <w:bCs/>
                      <w:szCs w:val="21"/>
                    </w:rPr>
                  </w:pPr>
                  <w:r>
                    <w:rPr>
                      <w:rFonts w:hint="eastAsia"/>
                      <w:bCs/>
                      <w:szCs w:val="21"/>
                    </w:rPr>
                    <w:t>食堂</w:t>
                  </w:r>
                </w:p>
              </w:tc>
              <w:tc>
                <w:tcPr>
                  <w:tcW w:w="2469" w:type="dxa"/>
                  <w:vAlign w:val="center"/>
                </w:tcPr>
                <w:p>
                  <w:pPr>
                    <w:jc w:val="left"/>
                    <w:rPr>
                      <w:bCs/>
                      <w:szCs w:val="21"/>
                    </w:rPr>
                  </w:pPr>
                  <w:r>
                    <w:rPr>
                      <w:rFonts w:hint="eastAsia"/>
                      <w:bCs/>
                      <w:szCs w:val="21"/>
                    </w:rPr>
                    <w:t>建筑面积120m</w:t>
                  </w:r>
                  <w:r>
                    <w:rPr>
                      <w:rFonts w:hint="eastAsia"/>
                      <w:bCs/>
                      <w:szCs w:val="21"/>
                      <w:vertAlign w:val="superscript"/>
                    </w:rPr>
                    <w:t>2</w:t>
                  </w:r>
                  <w:r>
                    <w:rPr>
                      <w:rFonts w:hint="eastAsia"/>
                      <w:bCs/>
                      <w:szCs w:val="21"/>
                    </w:rPr>
                    <w:t>。</w:t>
                  </w:r>
                </w:p>
              </w:tc>
              <w:tc>
                <w:tcPr>
                  <w:tcW w:w="2117" w:type="dxa"/>
                  <w:vAlign w:val="center"/>
                </w:tcPr>
                <w:p>
                  <w:pPr>
                    <w:jc w:val="left"/>
                    <w:rPr>
                      <w:rFonts w:hint="default" w:eastAsia="宋体"/>
                      <w:bCs/>
                      <w:szCs w:val="21"/>
                      <w:lang w:val="en-US" w:eastAsia="zh-CN"/>
                    </w:rPr>
                  </w:pPr>
                  <w:r>
                    <w:rPr>
                      <w:rFonts w:hint="eastAsia"/>
                      <w:bCs/>
                      <w:szCs w:val="21"/>
                      <w:u w:val="single"/>
                      <w:lang w:eastAsia="zh-CN"/>
                    </w:rPr>
                    <w:t>新住院楼建成后拆除旧食堂，在新住院楼</w:t>
                  </w:r>
                  <w:r>
                    <w:rPr>
                      <w:rFonts w:hint="eastAsia"/>
                      <w:bCs/>
                      <w:szCs w:val="21"/>
                      <w:u w:val="single"/>
                      <w:lang w:val="en-US" w:eastAsia="zh-CN"/>
                    </w:rPr>
                    <w:t>1楼新设食堂</w:t>
                  </w:r>
                </w:p>
              </w:tc>
              <w:tc>
                <w:tcPr>
                  <w:tcW w:w="1089" w:type="dxa"/>
                  <w:vAlign w:val="center"/>
                </w:tcPr>
                <w:p>
                  <w:pPr>
                    <w:jc w:val="left"/>
                    <w:rPr>
                      <w:rFonts w:hint="eastAsia"/>
                      <w:bCs/>
                      <w:szCs w:val="21"/>
                    </w:rPr>
                  </w:pPr>
                  <w:r>
                    <w:rPr>
                      <w:rFonts w:hint="eastAsia"/>
                      <w:bCs/>
                      <w:szCs w:val="21"/>
                      <w:u w:val="single"/>
                      <w:lang w:eastAsia="zh-CN"/>
                    </w:rPr>
                    <w:t>新住院楼</w:t>
                  </w:r>
                  <w:r>
                    <w:rPr>
                      <w:rFonts w:hint="eastAsia"/>
                      <w:bCs/>
                      <w:szCs w:val="21"/>
                      <w:u w:val="single"/>
                      <w:lang w:val="en-US" w:eastAsia="zh-CN"/>
                    </w:rPr>
                    <w:t>1楼新设食堂</w:t>
                  </w:r>
                </w:p>
              </w:tc>
              <w:tc>
                <w:tcPr>
                  <w:tcW w:w="629" w:type="dxa"/>
                  <w:vAlign w:val="center"/>
                </w:tcPr>
                <w:p>
                  <w:pPr>
                    <w:tabs>
                      <w:tab w:val="left" w:pos="4602"/>
                    </w:tabs>
                    <w:jc w:val="center"/>
                    <w:rPr>
                      <w:rFonts w:hint="eastAsia" w:eastAsia="宋体"/>
                      <w:bCs/>
                      <w:szCs w:val="21"/>
                      <w:lang w:eastAsia="zh-CN"/>
                    </w:rPr>
                  </w:pPr>
                  <w:r>
                    <w:rPr>
                      <w:rFonts w:hint="eastAsia"/>
                      <w:bCs/>
                      <w:szCs w:val="21"/>
                      <w:lang w:eastAsia="zh-CN"/>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tabs>
                      <w:tab w:val="left" w:pos="4602"/>
                    </w:tabs>
                    <w:jc w:val="center"/>
                    <w:rPr>
                      <w:bCs/>
                      <w:szCs w:val="21"/>
                    </w:rPr>
                  </w:pPr>
                </w:p>
              </w:tc>
              <w:tc>
                <w:tcPr>
                  <w:tcW w:w="927" w:type="dxa"/>
                  <w:vAlign w:val="center"/>
                </w:tcPr>
                <w:p>
                  <w:pPr>
                    <w:tabs>
                      <w:tab w:val="left" w:pos="4602"/>
                    </w:tabs>
                    <w:jc w:val="center"/>
                    <w:rPr>
                      <w:bCs/>
                      <w:szCs w:val="21"/>
                    </w:rPr>
                  </w:pPr>
                  <w:r>
                    <w:rPr>
                      <w:rFonts w:hint="eastAsia"/>
                      <w:bCs/>
                      <w:szCs w:val="21"/>
                    </w:rPr>
                    <w:t>宿舍</w:t>
                  </w:r>
                </w:p>
              </w:tc>
              <w:tc>
                <w:tcPr>
                  <w:tcW w:w="2469" w:type="dxa"/>
                  <w:vAlign w:val="center"/>
                </w:tcPr>
                <w:p>
                  <w:pPr>
                    <w:jc w:val="left"/>
                    <w:rPr>
                      <w:bCs/>
                      <w:szCs w:val="21"/>
                    </w:rPr>
                  </w:pPr>
                  <w:r>
                    <w:rPr>
                      <w:rFonts w:hint="eastAsia"/>
                      <w:bCs/>
                      <w:szCs w:val="21"/>
                    </w:rPr>
                    <w:t>总建筑面积</w:t>
                  </w:r>
                  <w:r>
                    <w:rPr>
                      <w:rFonts w:hint="eastAsia"/>
                      <w:bCs/>
                      <w:szCs w:val="21"/>
                      <w:lang w:val="en-US" w:eastAsia="zh-CN"/>
                    </w:rPr>
                    <w:t>90</w:t>
                  </w:r>
                  <w:r>
                    <w:rPr>
                      <w:rFonts w:hint="eastAsia"/>
                      <w:bCs/>
                      <w:szCs w:val="21"/>
                    </w:rPr>
                    <w:t>00m</w:t>
                  </w:r>
                  <w:r>
                    <w:rPr>
                      <w:rFonts w:hint="eastAsia"/>
                      <w:bCs/>
                      <w:szCs w:val="21"/>
                      <w:vertAlign w:val="superscript"/>
                    </w:rPr>
                    <w:t>2</w:t>
                  </w:r>
                  <w:r>
                    <w:rPr>
                      <w:rFonts w:hint="eastAsia"/>
                      <w:bCs/>
                      <w:szCs w:val="21"/>
                    </w:rPr>
                    <w:t>，共</w:t>
                  </w:r>
                  <w:r>
                    <w:rPr>
                      <w:rFonts w:hint="eastAsia"/>
                      <w:bCs/>
                      <w:szCs w:val="21"/>
                      <w:lang w:val="en-US" w:eastAsia="zh-CN"/>
                    </w:rPr>
                    <w:t>2</w:t>
                  </w:r>
                  <w:r>
                    <w:rPr>
                      <w:rFonts w:hint="eastAsia"/>
                      <w:bCs/>
                      <w:szCs w:val="21"/>
                    </w:rPr>
                    <w:t>栋，每栋5层</w:t>
                  </w:r>
                </w:p>
              </w:tc>
              <w:tc>
                <w:tcPr>
                  <w:tcW w:w="2117" w:type="dxa"/>
                  <w:vAlign w:val="center"/>
                </w:tcPr>
                <w:p>
                  <w:pPr>
                    <w:jc w:val="left"/>
                    <w:rPr>
                      <w:rFonts w:hint="default" w:eastAsia="宋体"/>
                      <w:bCs/>
                      <w:szCs w:val="21"/>
                      <w:lang w:val="en-US" w:eastAsia="zh-CN"/>
                    </w:rPr>
                  </w:pPr>
                  <w:r>
                    <w:rPr>
                      <w:rFonts w:hint="eastAsia"/>
                      <w:bCs/>
                      <w:szCs w:val="21"/>
                      <w:lang w:eastAsia="zh-CN"/>
                    </w:rPr>
                    <w:t>新增一层宿舍，建筑面积约</w:t>
                  </w:r>
                  <w:r>
                    <w:rPr>
                      <w:rFonts w:hint="eastAsia"/>
                      <w:bCs/>
                      <w:szCs w:val="21"/>
                      <w:lang w:val="en-US" w:eastAsia="zh-CN"/>
                    </w:rPr>
                    <w:t>800</w:t>
                  </w:r>
                  <w:r>
                    <w:rPr>
                      <w:rFonts w:hint="eastAsia"/>
                      <w:bCs/>
                      <w:szCs w:val="21"/>
                    </w:rPr>
                    <w:t>m</w:t>
                  </w:r>
                  <w:r>
                    <w:rPr>
                      <w:rFonts w:hint="eastAsia"/>
                      <w:bCs/>
                      <w:szCs w:val="21"/>
                      <w:vertAlign w:val="superscript"/>
                    </w:rPr>
                    <w:t>2</w:t>
                  </w:r>
                </w:p>
              </w:tc>
              <w:tc>
                <w:tcPr>
                  <w:tcW w:w="1089" w:type="dxa"/>
                  <w:vAlign w:val="center"/>
                </w:tcPr>
                <w:p>
                  <w:pPr>
                    <w:jc w:val="left"/>
                    <w:rPr>
                      <w:rFonts w:hint="eastAsia"/>
                      <w:bCs/>
                      <w:szCs w:val="21"/>
                    </w:rPr>
                  </w:pPr>
                  <w:r>
                    <w:rPr>
                      <w:rFonts w:hint="eastAsia"/>
                      <w:bCs/>
                      <w:szCs w:val="21"/>
                    </w:rPr>
                    <w:t>总建筑面积</w:t>
                  </w:r>
                  <w:r>
                    <w:rPr>
                      <w:rFonts w:hint="eastAsia"/>
                      <w:bCs/>
                      <w:szCs w:val="21"/>
                      <w:lang w:val="en-US" w:eastAsia="zh-CN"/>
                    </w:rPr>
                    <w:t>98</w:t>
                  </w:r>
                  <w:r>
                    <w:rPr>
                      <w:rFonts w:hint="eastAsia"/>
                      <w:bCs/>
                      <w:szCs w:val="21"/>
                    </w:rPr>
                    <w:t>00m</w:t>
                  </w:r>
                  <w:r>
                    <w:rPr>
                      <w:rFonts w:hint="eastAsia"/>
                      <w:bCs/>
                      <w:szCs w:val="21"/>
                      <w:vertAlign w:val="superscript"/>
                    </w:rPr>
                    <w:t>2</w:t>
                  </w:r>
                </w:p>
              </w:tc>
              <w:tc>
                <w:tcPr>
                  <w:tcW w:w="629" w:type="dxa"/>
                  <w:vAlign w:val="center"/>
                </w:tcPr>
                <w:p>
                  <w:pPr>
                    <w:tabs>
                      <w:tab w:val="left" w:pos="4602"/>
                    </w:tabs>
                    <w:jc w:val="center"/>
                    <w:rPr>
                      <w:rFonts w:hint="eastAsia" w:eastAsia="宋体"/>
                      <w:bCs/>
                      <w:szCs w:val="21"/>
                      <w:lang w:eastAsia="zh-CN"/>
                    </w:rPr>
                  </w:pPr>
                  <w:r>
                    <w:rPr>
                      <w:rFonts w:hint="eastAsia"/>
                      <w:bCs/>
                      <w:szCs w:val="21"/>
                      <w:lang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tabs>
                      <w:tab w:val="left" w:pos="4602"/>
                    </w:tabs>
                    <w:jc w:val="center"/>
                    <w:rPr>
                      <w:bCs/>
                      <w:szCs w:val="21"/>
                    </w:rPr>
                  </w:pPr>
                </w:p>
              </w:tc>
              <w:tc>
                <w:tcPr>
                  <w:tcW w:w="927" w:type="dxa"/>
                  <w:vAlign w:val="center"/>
                </w:tcPr>
                <w:p>
                  <w:pPr>
                    <w:tabs>
                      <w:tab w:val="left" w:pos="4602"/>
                    </w:tabs>
                    <w:jc w:val="center"/>
                    <w:rPr>
                      <w:bCs/>
                      <w:szCs w:val="21"/>
                    </w:rPr>
                  </w:pPr>
                  <w:r>
                    <w:rPr>
                      <w:rFonts w:hint="eastAsia"/>
                      <w:bCs/>
                      <w:szCs w:val="21"/>
                    </w:rPr>
                    <w:t>洗衣房</w:t>
                  </w:r>
                </w:p>
              </w:tc>
              <w:tc>
                <w:tcPr>
                  <w:tcW w:w="5675" w:type="dxa"/>
                  <w:gridSpan w:val="3"/>
                  <w:vAlign w:val="center"/>
                </w:tcPr>
                <w:p>
                  <w:pPr>
                    <w:jc w:val="left"/>
                    <w:rPr>
                      <w:bCs/>
                      <w:szCs w:val="21"/>
                    </w:rPr>
                  </w:pPr>
                  <w:r>
                    <w:rPr>
                      <w:rFonts w:hint="eastAsia"/>
                      <w:bCs/>
                      <w:szCs w:val="21"/>
                    </w:rPr>
                    <w:t>建筑面积20m</w:t>
                  </w:r>
                  <w:r>
                    <w:rPr>
                      <w:rFonts w:hint="eastAsia"/>
                      <w:bCs/>
                      <w:szCs w:val="21"/>
                      <w:vertAlign w:val="superscript"/>
                    </w:rPr>
                    <w:t>2</w:t>
                  </w:r>
                  <w:r>
                    <w:rPr>
                      <w:rFonts w:hint="eastAsia"/>
                      <w:bCs/>
                      <w:szCs w:val="21"/>
                    </w:rPr>
                    <w:t>。</w:t>
                  </w:r>
                </w:p>
              </w:tc>
              <w:tc>
                <w:tcPr>
                  <w:tcW w:w="629" w:type="dxa"/>
                  <w:vMerge w:val="restart"/>
                  <w:vAlign w:val="center"/>
                </w:tcPr>
                <w:p>
                  <w:pPr>
                    <w:tabs>
                      <w:tab w:val="left" w:pos="4602"/>
                    </w:tabs>
                    <w:jc w:val="center"/>
                    <w:rPr>
                      <w:rFonts w:hint="eastAsia" w:eastAsia="宋体"/>
                      <w:bCs/>
                      <w:szCs w:val="21"/>
                      <w:lang w:eastAsia="zh-CN"/>
                    </w:rPr>
                  </w:pPr>
                  <w:r>
                    <w:rPr>
                      <w:rFonts w:hint="eastAsia" w:eastAsia="宋体"/>
                      <w:bCs/>
                      <w:szCs w:val="21"/>
                      <w:lang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tabs>
                      <w:tab w:val="left" w:pos="4602"/>
                    </w:tabs>
                    <w:jc w:val="center"/>
                    <w:rPr>
                      <w:bCs/>
                      <w:szCs w:val="21"/>
                    </w:rPr>
                  </w:pPr>
                </w:p>
              </w:tc>
              <w:tc>
                <w:tcPr>
                  <w:tcW w:w="927" w:type="dxa"/>
                  <w:vAlign w:val="center"/>
                </w:tcPr>
                <w:p>
                  <w:pPr>
                    <w:tabs>
                      <w:tab w:val="left" w:pos="4602"/>
                    </w:tabs>
                    <w:jc w:val="center"/>
                    <w:rPr>
                      <w:rFonts w:hint="eastAsia" w:eastAsia="宋体"/>
                      <w:bCs/>
                      <w:szCs w:val="21"/>
                      <w:lang w:eastAsia="zh-CN"/>
                    </w:rPr>
                  </w:pPr>
                  <w:r>
                    <w:rPr>
                      <w:rFonts w:hint="eastAsia"/>
                      <w:bCs/>
                      <w:szCs w:val="21"/>
                      <w:lang w:eastAsia="zh-CN"/>
                    </w:rPr>
                    <w:t>发电机房</w:t>
                  </w:r>
                </w:p>
              </w:tc>
              <w:tc>
                <w:tcPr>
                  <w:tcW w:w="5675" w:type="dxa"/>
                  <w:gridSpan w:val="3"/>
                  <w:vAlign w:val="center"/>
                </w:tcPr>
                <w:p>
                  <w:pPr>
                    <w:jc w:val="left"/>
                    <w:rPr>
                      <w:rFonts w:hint="eastAsia" w:eastAsia="宋体"/>
                      <w:bCs/>
                      <w:szCs w:val="21"/>
                      <w:lang w:eastAsia="zh-CN"/>
                    </w:rPr>
                  </w:pPr>
                  <w:r>
                    <w:rPr>
                      <w:rFonts w:hint="eastAsia"/>
                      <w:bCs/>
                      <w:szCs w:val="21"/>
                      <w:lang w:eastAsia="zh-CN"/>
                    </w:rPr>
                    <w:t>建筑面积</w:t>
                  </w:r>
                  <w:r>
                    <w:rPr>
                      <w:rFonts w:hint="eastAsia"/>
                      <w:bCs/>
                      <w:szCs w:val="21"/>
                      <w:lang w:val="en-US" w:eastAsia="zh-CN"/>
                    </w:rPr>
                    <w:t>10</w:t>
                  </w:r>
                  <w:r>
                    <w:rPr>
                      <w:rFonts w:hint="eastAsia"/>
                      <w:bCs/>
                      <w:szCs w:val="21"/>
                    </w:rPr>
                    <w:t>m</w:t>
                  </w:r>
                  <w:r>
                    <w:rPr>
                      <w:rFonts w:hint="eastAsia"/>
                      <w:bCs/>
                      <w:szCs w:val="21"/>
                      <w:vertAlign w:val="superscript"/>
                    </w:rPr>
                    <w:t>2</w:t>
                  </w:r>
                  <w:r>
                    <w:rPr>
                      <w:rFonts w:hint="eastAsia"/>
                      <w:bCs/>
                      <w:szCs w:val="21"/>
                    </w:rPr>
                    <w:t>。</w:t>
                  </w:r>
                </w:p>
              </w:tc>
              <w:tc>
                <w:tcPr>
                  <w:tcW w:w="629" w:type="dxa"/>
                  <w:vMerge w:val="continue"/>
                  <w:vAlign w:val="center"/>
                </w:tcPr>
                <w:p>
                  <w:pPr>
                    <w:tabs>
                      <w:tab w:val="left" w:pos="4602"/>
                    </w:tabs>
                    <w:jc w:val="center"/>
                    <w:rPr>
                      <w:rFonts w:hint="eastAsia" w:eastAsia="宋体"/>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tabs>
                      <w:tab w:val="left" w:pos="4602"/>
                    </w:tabs>
                    <w:jc w:val="center"/>
                    <w:rPr>
                      <w:bCs/>
                      <w:szCs w:val="21"/>
                    </w:rPr>
                  </w:pPr>
                </w:p>
              </w:tc>
              <w:tc>
                <w:tcPr>
                  <w:tcW w:w="927" w:type="dxa"/>
                  <w:vAlign w:val="center"/>
                </w:tcPr>
                <w:p>
                  <w:pPr>
                    <w:tabs>
                      <w:tab w:val="left" w:pos="4602"/>
                    </w:tabs>
                    <w:jc w:val="center"/>
                    <w:rPr>
                      <w:bCs/>
                      <w:szCs w:val="21"/>
                    </w:rPr>
                  </w:pPr>
                  <w:r>
                    <w:rPr>
                      <w:rFonts w:hint="eastAsia"/>
                      <w:bCs/>
                      <w:szCs w:val="21"/>
                    </w:rPr>
                    <w:t>门卫室</w:t>
                  </w:r>
                </w:p>
              </w:tc>
              <w:tc>
                <w:tcPr>
                  <w:tcW w:w="5675" w:type="dxa"/>
                  <w:gridSpan w:val="3"/>
                  <w:vAlign w:val="center"/>
                </w:tcPr>
                <w:p>
                  <w:pPr>
                    <w:jc w:val="left"/>
                    <w:rPr>
                      <w:bCs/>
                      <w:szCs w:val="21"/>
                    </w:rPr>
                  </w:pPr>
                  <w:r>
                    <w:rPr>
                      <w:rFonts w:hint="eastAsia"/>
                      <w:bCs/>
                      <w:szCs w:val="21"/>
                    </w:rPr>
                    <w:t>建筑面积6m</w:t>
                  </w:r>
                  <w:r>
                    <w:rPr>
                      <w:rFonts w:hint="eastAsia"/>
                      <w:bCs/>
                      <w:szCs w:val="21"/>
                      <w:vertAlign w:val="superscript"/>
                    </w:rPr>
                    <w:t>2</w:t>
                  </w:r>
                  <w:r>
                    <w:rPr>
                      <w:rFonts w:hint="eastAsia"/>
                      <w:bCs/>
                      <w:szCs w:val="21"/>
                    </w:rPr>
                    <w:t>。</w:t>
                  </w:r>
                </w:p>
              </w:tc>
              <w:tc>
                <w:tcPr>
                  <w:tcW w:w="629" w:type="dxa"/>
                  <w:vMerge w:val="continue"/>
                  <w:vAlign w:val="center"/>
                </w:tcPr>
                <w:p>
                  <w:pPr>
                    <w:tabs>
                      <w:tab w:val="left" w:pos="4602"/>
                    </w:tabs>
                    <w:jc w:val="center"/>
                    <w:rPr>
                      <w:rFonts w:hint="eastAsia" w:eastAsia="宋体"/>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tabs>
                      <w:tab w:val="left" w:pos="4602"/>
                    </w:tabs>
                    <w:jc w:val="center"/>
                    <w:rPr>
                      <w:bCs/>
                      <w:szCs w:val="21"/>
                    </w:rPr>
                  </w:pPr>
                </w:p>
              </w:tc>
              <w:tc>
                <w:tcPr>
                  <w:tcW w:w="927" w:type="dxa"/>
                  <w:vAlign w:val="center"/>
                </w:tcPr>
                <w:p>
                  <w:pPr>
                    <w:tabs>
                      <w:tab w:val="left" w:pos="4602"/>
                    </w:tabs>
                    <w:jc w:val="center"/>
                    <w:rPr>
                      <w:bCs/>
                      <w:szCs w:val="21"/>
                    </w:rPr>
                  </w:pPr>
                  <w:r>
                    <w:rPr>
                      <w:rFonts w:hint="eastAsia"/>
                      <w:bCs/>
                      <w:szCs w:val="21"/>
                    </w:rPr>
                    <w:t>停车场</w:t>
                  </w:r>
                </w:p>
              </w:tc>
              <w:tc>
                <w:tcPr>
                  <w:tcW w:w="2469" w:type="dxa"/>
                  <w:vAlign w:val="center"/>
                </w:tcPr>
                <w:p>
                  <w:pPr>
                    <w:jc w:val="left"/>
                    <w:rPr>
                      <w:bCs/>
                      <w:szCs w:val="21"/>
                    </w:rPr>
                  </w:pPr>
                  <w:r>
                    <w:rPr>
                      <w:rFonts w:hint="eastAsia"/>
                      <w:bCs/>
                      <w:szCs w:val="21"/>
                    </w:rPr>
                    <w:t>/</w:t>
                  </w:r>
                </w:p>
              </w:tc>
              <w:tc>
                <w:tcPr>
                  <w:tcW w:w="2117" w:type="dxa"/>
                  <w:vAlign w:val="center"/>
                </w:tcPr>
                <w:p>
                  <w:pPr>
                    <w:jc w:val="left"/>
                    <w:rPr>
                      <w:bCs/>
                      <w:szCs w:val="21"/>
                    </w:rPr>
                  </w:pPr>
                  <w:r>
                    <w:rPr>
                      <w:rFonts w:hint="eastAsia"/>
                      <w:bCs/>
                      <w:szCs w:val="21"/>
                    </w:rPr>
                    <w:t>本次</w:t>
                  </w:r>
                  <w:r>
                    <w:rPr>
                      <w:rFonts w:hint="eastAsia"/>
                      <w:bCs/>
                      <w:szCs w:val="21"/>
                      <w:lang w:eastAsia="zh-CN"/>
                    </w:rPr>
                    <w:t>改</w:t>
                  </w:r>
                  <w:r>
                    <w:rPr>
                      <w:rFonts w:hint="eastAsia"/>
                      <w:bCs/>
                      <w:szCs w:val="21"/>
                    </w:rPr>
                    <w:t>扩建拟计划</w:t>
                  </w:r>
                  <w:r>
                    <w:rPr>
                      <w:rFonts w:hint="eastAsia"/>
                      <w:bCs/>
                      <w:szCs w:val="21"/>
                      <w:lang w:eastAsia="zh-CN"/>
                    </w:rPr>
                    <w:t>在北侧花园位置</w:t>
                  </w:r>
                  <w:r>
                    <w:rPr>
                      <w:rFonts w:hint="eastAsia"/>
                      <w:bCs/>
                      <w:szCs w:val="21"/>
                    </w:rPr>
                    <w:t>设</w:t>
                  </w:r>
                  <w:r>
                    <w:rPr>
                      <w:rFonts w:hint="eastAsia"/>
                      <w:bCs/>
                      <w:szCs w:val="21"/>
                      <w:lang w:val="en-US" w:eastAsia="zh-CN"/>
                    </w:rPr>
                    <w:t>3</w:t>
                  </w:r>
                  <w:r>
                    <w:rPr>
                      <w:rFonts w:hint="eastAsia"/>
                      <w:bCs/>
                      <w:szCs w:val="21"/>
                    </w:rPr>
                    <w:t>0个地上停车位</w:t>
                  </w:r>
                </w:p>
              </w:tc>
              <w:tc>
                <w:tcPr>
                  <w:tcW w:w="1089" w:type="dxa"/>
                  <w:vAlign w:val="center"/>
                </w:tcPr>
                <w:p>
                  <w:pPr>
                    <w:jc w:val="left"/>
                    <w:rPr>
                      <w:bCs/>
                      <w:szCs w:val="21"/>
                    </w:rPr>
                  </w:pPr>
                  <w:r>
                    <w:rPr>
                      <w:rFonts w:hint="eastAsia"/>
                      <w:bCs/>
                      <w:szCs w:val="21"/>
                    </w:rPr>
                    <w:t>同本次</w:t>
                  </w:r>
                  <w:r>
                    <w:rPr>
                      <w:rFonts w:hint="eastAsia"/>
                      <w:bCs/>
                      <w:szCs w:val="21"/>
                      <w:lang w:eastAsia="zh-CN"/>
                    </w:rPr>
                    <w:t>改</w:t>
                  </w:r>
                  <w:r>
                    <w:rPr>
                      <w:rFonts w:hint="eastAsia"/>
                      <w:bCs/>
                      <w:szCs w:val="21"/>
                    </w:rPr>
                    <w:t>扩建内容</w:t>
                  </w:r>
                </w:p>
              </w:tc>
              <w:tc>
                <w:tcPr>
                  <w:tcW w:w="629" w:type="dxa"/>
                  <w:vAlign w:val="center"/>
                </w:tcPr>
                <w:p>
                  <w:pPr>
                    <w:tabs>
                      <w:tab w:val="left" w:pos="4602"/>
                    </w:tabs>
                    <w:jc w:val="center"/>
                    <w:rPr>
                      <w:rFonts w:hint="eastAsia" w:eastAsia="宋体"/>
                      <w:bCs/>
                      <w:szCs w:val="21"/>
                      <w:lang w:eastAsia="zh-CN"/>
                    </w:rPr>
                  </w:pPr>
                  <w:r>
                    <w:rPr>
                      <w:rFonts w:hint="eastAsia"/>
                      <w:bCs/>
                      <w:szCs w:val="21"/>
                      <w:lang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14" w:type="dxa"/>
                  <w:vMerge w:val="restart"/>
                  <w:vAlign w:val="center"/>
                </w:tcPr>
                <w:p>
                  <w:pPr>
                    <w:tabs>
                      <w:tab w:val="left" w:pos="4602"/>
                    </w:tabs>
                    <w:jc w:val="center"/>
                    <w:rPr>
                      <w:bCs/>
                      <w:szCs w:val="21"/>
                    </w:rPr>
                  </w:pPr>
                  <w:r>
                    <w:rPr>
                      <w:bCs/>
                      <w:szCs w:val="21"/>
                    </w:rPr>
                    <w:t>公用工程</w:t>
                  </w:r>
                </w:p>
              </w:tc>
              <w:tc>
                <w:tcPr>
                  <w:tcW w:w="927" w:type="dxa"/>
                  <w:vAlign w:val="center"/>
                </w:tcPr>
                <w:p>
                  <w:pPr>
                    <w:jc w:val="center"/>
                    <w:rPr>
                      <w:szCs w:val="21"/>
                    </w:rPr>
                  </w:pPr>
                  <w:r>
                    <w:rPr>
                      <w:rFonts w:hint="eastAsia"/>
                      <w:szCs w:val="21"/>
                    </w:rPr>
                    <w:t>供水</w:t>
                  </w:r>
                </w:p>
              </w:tc>
              <w:tc>
                <w:tcPr>
                  <w:tcW w:w="5675" w:type="dxa"/>
                  <w:gridSpan w:val="3"/>
                  <w:vAlign w:val="center"/>
                </w:tcPr>
                <w:p>
                  <w:pPr>
                    <w:tabs>
                      <w:tab w:val="left" w:pos="4602"/>
                    </w:tabs>
                    <w:jc w:val="left"/>
                    <w:rPr>
                      <w:bCs/>
                      <w:szCs w:val="21"/>
                    </w:rPr>
                  </w:pPr>
                  <w:r>
                    <w:rPr>
                      <w:bCs/>
                      <w:szCs w:val="21"/>
                    </w:rPr>
                    <w:t>市政管网供水</w:t>
                  </w:r>
                  <w:r>
                    <w:rPr>
                      <w:rFonts w:hint="eastAsia"/>
                      <w:bCs/>
                      <w:szCs w:val="21"/>
                    </w:rPr>
                    <w:t>。</w:t>
                  </w:r>
                </w:p>
              </w:tc>
              <w:tc>
                <w:tcPr>
                  <w:tcW w:w="629" w:type="dxa"/>
                  <w:vMerge w:val="restart"/>
                  <w:vAlign w:val="center"/>
                </w:tcPr>
                <w:p>
                  <w:pPr>
                    <w:tabs>
                      <w:tab w:val="left" w:pos="4602"/>
                    </w:tabs>
                    <w:jc w:val="center"/>
                    <w:rPr>
                      <w:rFonts w:hint="eastAsia" w:eastAsia="宋体"/>
                      <w:bCs/>
                      <w:szCs w:val="21"/>
                      <w:lang w:eastAsia="zh-CN"/>
                    </w:rPr>
                  </w:pPr>
                  <w:r>
                    <w:rPr>
                      <w:rFonts w:hint="eastAsia"/>
                      <w:bCs/>
                      <w:szCs w:val="21"/>
                      <w:lang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14" w:type="dxa"/>
                  <w:vMerge w:val="continue"/>
                  <w:vAlign w:val="center"/>
                </w:tcPr>
                <w:p>
                  <w:pPr>
                    <w:tabs>
                      <w:tab w:val="left" w:pos="4602"/>
                    </w:tabs>
                    <w:jc w:val="center"/>
                  </w:pPr>
                </w:p>
              </w:tc>
              <w:tc>
                <w:tcPr>
                  <w:tcW w:w="927" w:type="dxa"/>
                  <w:vAlign w:val="center"/>
                </w:tcPr>
                <w:p>
                  <w:pPr>
                    <w:adjustRightInd w:val="0"/>
                    <w:snapToGrid w:val="0"/>
                    <w:jc w:val="center"/>
                    <w:rPr>
                      <w:szCs w:val="21"/>
                    </w:rPr>
                  </w:pPr>
                  <w:r>
                    <w:rPr>
                      <w:szCs w:val="21"/>
                    </w:rPr>
                    <w:t>排水</w:t>
                  </w:r>
                </w:p>
              </w:tc>
              <w:tc>
                <w:tcPr>
                  <w:tcW w:w="5675" w:type="dxa"/>
                  <w:gridSpan w:val="3"/>
                  <w:vAlign w:val="center"/>
                </w:tcPr>
                <w:p>
                  <w:pPr>
                    <w:tabs>
                      <w:tab w:val="left" w:pos="4602"/>
                    </w:tabs>
                    <w:jc w:val="left"/>
                    <w:rPr>
                      <w:bCs/>
                      <w:szCs w:val="21"/>
                    </w:rPr>
                  </w:pPr>
                  <w:r>
                    <w:rPr>
                      <w:rFonts w:hint="eastAsia"/>
                      <w:szCs w:val="21"/>
                    </w:rPr>
                    <w:t>生活污水和医疗废水进入污水处理站位处理后排入桃源县</w:t>
                  </w:r>
                  <w:r>
                    <w:rPr>
                      <w:rFonts w:hint="eastAsia"/>
                      <w:szCs w:val="21"/>
                      <w:lang w:eastAsia="zh-CN"/>
                    </w:rPr>
                    <w:t>三阳港镇</w:t>
                  </w:r>
                  <w:r>
                    <w:rPr>
                      <w:rFonts w:hint="eastAsia"/>
                      <w:szCs w:val="21"/>
                    </w:rPr>
                    <w:t>污水处理厂，最终进入沅江。</w:t>
                  </w:r>
                </w:p>
              </w:tc>
              <w:tc>
                <w:tcPr>
                  <w:tcW w:w="629" w:type="dxa"/>
                  <w:vMerge w:val="continue"/>
                  <w:vAlign w:val="center"/>
                </w:tcPr>
                <w:p>
                  <w:pPr>
                    <w:tabs>
                      <w:tab w:val="left" w:pos="4602"/>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714" w:type="dxa"/>
                  <w:vMerge w:val="continue"/>
                  <w:vAlign w:val="center"/>
                </w:tcPr>
                <w:p>
                  <w:pPr>
                    <w:tabs>
                      <w:tab w:val="left" w:pos="4602"/>
                    </w:tabs>
                    <w:jc w:val="center"/>
                    <w:rPr>
                      <w:bCs/>
                      <w:szCs w:val="21"/>
                    </w:rPr>
                  </w:pPr>
                </w:p>
              </w:tc>
              <w:tc>
                <w:tcPr>
                  <w:tcW w:w="927" w:type="dxa"/>
                  <w:vAlign w:val="center"/>
                </w:tcPr>
                <w:p>
                  <w:pPr>
                    <w:jc w:val="center"/>
                    <w:rPr>
                      <w:szCs w:val="21"/>
                    </w:rPr>
                  </w:pPr>
                  <w:r>
                    <w:rPr>
                      <w:rFonts w:hint="eastAsia"/>
                      <w:szCs w:val="21"/>
                    </w:rPr>
                    <w:t>供电</w:t>
                  </w:r>
                </w:p>
              </w:tc>
              <w:tc>
                <w:tcPr>
                  <w:tcW w:w="5675" w:type="dxa"/>
                  <w:gridSpan w:val="3"/>
                  <w:vAlign w:val="center"/>
                </w:tcPr>
                <w:p>
                  <w:pPr>
                    <w:tabs>
                      <w:tab w:val="left" w:pos="4602"/>
                    </w:tabs>
                    <w:jc w:val="left"/>
                    <w:rPr>
                      <w:bCs/>
                      <w:szCs w:val="21"/>
                    </w:rPr>
                  </w:pPr>
                  <w:r>
                    <w:rPr>
                      <w:rFonts w:hint="eastAsia"/>
                      <w:bCs/>
                      <w:szCs w:val="21"/>
                    </w:rPr>
                    <w:t>市</w:t>
                  </w:r>
                  <w:r>
                    <w:rPr>
                      <w:bCs/>
                      <w:szCs w:val="21"/>
                    </w:rPr>
                    <w:t>镇电网供电。</w:t>
                  </w:r>
                  <w:r>
                    <w:rPr>
                      <w:rFonts w:hint="eastAsia"/>
                      <w:bCs/>
                      <w:szCs w:val="21"/>
                    </w:rPr>
                    <w:t>院内断电时由柴油发电机进行临时供电。</w:t>
                  </w:r>
                </w:p>
              </w:tc>
              <w:tc>
                <w:tcPr>
                  <w:tcW w:w="629" w:type="dxa"/>
                  <w:vMerge w:val="continue"/>
                  <w:vAlign w:val="center"/>
                </w:tcPr>
                <w:p>
                  <w:pPr>
                    <w:tabs>
                      <w:tab w:val="left" w:pos="4602"/>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pPr>
                    <w:tabs>
                      <w:tab w:val="left" w:pos="4602"/>
                    </w:tabs>
                    <w:jc w:val="center"/>
                    <w:rPr>
                      <w:bCs/>
                      <w:szCs w:val="21"/>
                    </w:rPr>
                  </w:pPr>
                  <w:r>
                    <w:rPr>
                      <w:bCs/>
                      <w:szCs w:val="21"/>
                    </w:rPr>
                    <w:t>环保工程</w:t>
                  </w:r>
                </w:p>
              </w:tc>
              <w:tc>
                <w:tcPr>
                  <w:tcW w:w="927" w:type="dxa"/>
                  <w:vAlign w:val="center"/>
                </w:tcPr>
                <w:p>
                  <w:pPr>
                    <w:tabs>
                      <w:tab w:val="left" w:pos="4602"/>
                    </w:tabs>
                    <w:jc w:val="center"/>
                    <w:rPr>
                      <w:bCs/>
                      <w:szCs w:val="21"/>
                    </w:rPr>
                  </w:pPr>
                  <w:r>
                    <w:rPr>
                      <w:rFonts w:hint="eastAsia"/>
                      <w:bCs/>
                      <w:szCs w:val="21"/>
                    </w:rPr>
                    <w:t>废水</w:t>
                  </w:r>
                </w:p>
              </w:tc>
              <w:tc>
                <w:tcPr>
                  <w:tcW w:w="5675" w:type="dxa"/>
                  <w:gridSpan w:val="3"/>
                  <w:vAlign w:val="center"/>
                </w:tcPr>
                <w:p>
                  <w:pPr>
                    <w:tabs>
                      <w:tab w:val="left" w:pos="4602"/>
                    </w:tabs>
                    <w:jc w:val="left"/>
                    <w:rPr>
                      <w:bCs/>
                      <w:szCs w:val="21"/>
                    </w:rPr>
                  </w:pPr>
                  <w:r>
                    <w:rPr>
                      <w:rFonts w:hint="eastAsia"/>
                      <w:szCs w:val="21"/>
                    </w:rPr>
                    <w:t>一体化污水处理系统</w:t>
                  </w:r>
                  <w:r>
                    <w:rPr>
                      <w:rFonts w:hint="eastAsia"/>
                    </w:rPr>
                    <w:t>，处理规模为</w:t>
                  </w:r>
                  <w:r>
                    <w:rPr>
                      <w:rFonts w:hint="eastAsia"/>
                      <w:lang w:eastAsia="zh-CN"/>
                    </w:rPr>
                    <w:t>20.71m</w:t>
                  </w:r>
                  <w:r>
                    <w:rPr>
                      <w:rFonts w:hint="eastAsia"/>
                      <w:vertAlign w:val="superscript"/>
                    </w:rPr>
                    <w:t>3</w:t>
                  </w:r>
                  <w:r>
                    <w:rPr>
                      <w:rFonts w:hint="eastAsia"/>
                    </w:rPr>
                    <w:t>/d</w:t>
                  </w:r>
                </w:p>
              </w:tc>
              <w:tc>
                <w:tcPr>
                  <w:tcW w:w="629" w:type="dxa"/>
                  <w:vMerge w:val="continue"/>
                  <w:vAlign w:val="center"/>
                </w:tcPr>
                <w:p>
                  <w:pPr>
                    <w:tabs>
                      <w:tab w:val="left" w:pos="4602"/>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tabs>
                      <w:tab w:val="left" w:pos="4602"/>
                    </w:tabs>
                    <w:jc w:val="center"/>
                    <w:rPr>
                      <w:bCs/>
                      <w:szCs w:val="21"/>
                    </w:rPr>
                  </w:pPr>
                </w:p>
              </w:tc>
              <w:tc>
                <w:tcPr>
                  <w:tcW w:w="927" w:type="dxa"/>
                  <w:vAlign w:val="center"/>
                </w:tcPr>
                <w:p>
                  <w:pPr>
                    <w:tabs>
                      <w:tab w:val="left" w:pos="4602"/>
                    </w:tabs>
                    <w:jc w:val="center"/>
                    <w:rPr>
                      <w:bCs/>
                      <w:szCs w:val="21"/>
                    </w:rPr>
                  </w:pPr>
                  <w:r>
                    <w:rPr>
                      <w:rFonts w:hint="eastAsia"/>
                      <w:bCs/>
                      <w:szCs w:val="21"/>
                    </w:rPr>
                    <w:t>废气</w:t>
                  </w:r>
                </w:p>
              </w:tc>
              <w:tc>
                <w:tcPr>
                  <w:tcW w:w="2469" w:type="dxa"/>
                  <w:vAlign w:val="center"/>
                </w:tcPr>
                <w:p>
                  <w:pPr>
                    <w:tabs>
                      <w:tab w:val="left" w:pos="4602"/>
                    </w:tabs>
                    <w:jc w:val="left"/>
                    <w:rPr>
                      <w:bCs/>
                      <w:szCs w:val="21"/>
                    </w:rPr>
                  </w:pPr>
                  <w:r>
                    <w:rPr>
                      <w:rFonts w:hint="eastAsia"/>
                      <w:bCs/>
                      <w:szCs w:val="21"/>
                    </w:rPr>
                    <w:t>厨房油烟安装有抽油烟机处理。</w:t>
                  </w:r>
                </w:p>
              </w:tc>
              <w:tc>
                <w:tcPr>
                  <w:tcW w:w="2117" w:type="dxa"/>
                  <w:vAlign w:val="center"/>
                </w:tcPr>
                <w:p>
                  <w:pPr>
                    <w:tabs>
                      <w:tab w:val="left" w:pos="4602"/>
                    </w:tabs>
                    <w:jc w:val="left"/>
                    <w:rPr>
                      <w:rFonts w:hint="eastAsia" w:eastAsia="宋体"/>
                      <w:bCs/>
                      <w:szCs w:val="21"/>
                      <w:lang w:eastAsia="zh-CN"/>
                    </w:rPr>
                  </w:pPr>
                  <w:r>
                    <w:rPr>
                      <w:rFonts w:hint="eastAsia"/>
                      <w:bCs/>
                      <w:szCs w:val="21"/>
                      <w:u w:val="single"/>
                      <w:lang w:eastAsia="zh-CN"/>
                    </w:rPr>
                    <w:t>增设油烟净化机</w:t>
                  </w:r>
                </w:p>
              </w:tc>
              <w:tc>
                <w:tcPr>
                  <w:tcW w:w="1089" w:type="dxa"/>
                  <w:vAlign w:val="center"/>
                </w:tcPr>
                <w:p>
                  <w:pPr>
                    <w:tabs>
                      <w:tab w:val="left" w:pos="4602"/>
                    </w:tabs>
                    <w:jc w:val="left"/>
                    <w:rPr>
                      <w:rFonts w:hint="eastAsia" w:eastAsia="宋体"/>
                      <w:bCs/>
                      <w:szCs w:val="21"/>
                      <w:lang w:eastAsia="zh-CN"/>
                    </w:rPr>
                  </w:pPr>
                  <w:r>
                    <w:rPr>
                      <w:rFonts w:hint="eastAsia"/>
                      <w:bCs/>
                      <w:szCs w:val="21"/>
                      <w:u w:val="single"/>
                      <w:lang w:eastAsia="zh-CN"/>
                    </w:rPr>
                    <w:t>油烟净化器</w:t>
                  </w:r>
                </w:p>
              </w:tc>
              <w:tc>
                <w:tcPr>
                  <w:tcW w:w="629" w:type="dxa"/>
                  <w:vAlign w:val="center"/>
                </w:tcPr>
                <w:p>
                  <w:pPr>
                    <w:tabs>
                      <w:tab w:val="left" w:pos="4602"/>
                    </w:tabs>
                    <w:jc w:val="center"/>
                    <w:rPr>
                      <w:rFonts w:hint="eastAsia" w:eastAsia="宋体"/>
                      <w:bCs/>
                      <w:szCs w:val="21"/>
                      <w:lang w:eastAsia="zh-CN"/>
                    </w:rPr>
                  </w:pPr>
                  <w:r>
                    <w:rPr>
                      <w:rFonts w:hint="eastAsia"/>
                      <w:bCs/>
                      <w:szCs w:val="21"/>
                      <w:u w:val="single"/>
                      <w:lang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tabs>
                      <w:tab w:val="left" w:pos="4602"/>
                    </w:tabs>
                    <w:jc w:val="center"/>
                    <w:rPr>
                      <w:bCs/>
                      <w:szCs w:val="21"/>
                    </w:rPr>
                  </w:pPr>
                </w:p>
              </w:tc>
              <w:tc>
                <w:tcPr>
                  <w:tcW w:w="927" w:type="dxa"/>
                  <w:vAlign w:val="center"/>
                </w:tcPr>
                <w:p>
                  <w:pPr>
                    <w:tabs>
                      <w:tab w:val="left" w:pos="4602"/>
                    </w:tabs>
                    <w:jc w:val="center"/>
                    <w:rPr>
                      <w:bCs/>
                      <w:szCs w:val="21"/>
                    </w:rPr>
                  </w:pPr>
                  <w:r>
                    <w:rPr>
                      <w:rFonts w:hint="eastAsia"/>
                      <w:bCs/>
                      <w:szCs w:val="21"/>
                    </w:rPr>
                    <w:t>噪声</w:t>
                  </w:r>
                </w:p>
              </w:tc>
              <w:tc>
                <w:tcPr>
                  <w:tcW w:w="5675" w:type="dxa"/>
                  <w:gridSpan w:val="3"/>
                  <w:vAlign w:val="center"/>
                </w:tcPr>
                <w:p>
                  <w:pPr>
                    <w:tabs>
                      <w:tab w:val="left" w:pos="4602"/>
                    </w:tabs>
                    <w:jc w:val="left"/>
                    <w:rPr>
                      <w:bCs/>
                      <w:szCs w:val="21"/>
                    </w:rPr>
                  </w:pPr>
                  <w:r>
                    <w:rPr>
                      <w:bCs/>
                      <w:szCs w:val="21"/>
                    </w:rPr>
                    <w:t>设备安装减振基座</w:t>
                  </w:r>
                  <w:r>
                    <w:rPr>
                      <w:rFonts w:hint="eastAsia"/>
                      <w:bCs/>
                      <w:szCs w:val="21"/>
                    </w:rPr>
                    <w:t>。</w:t>
                  </w:r>
                </w:p>
              </w:tc>
              <w:tc>
                <w:tcPr>
                  <w:tcW w:w="629" w:type="dxa"/>
                  <w:vMerge w:val="restart"/>
                  <w:vAlign w:val="center"/>
                </w:tcPr>
                <w:p>
                  <w:pPr>
                    <w:tabs>
                      <w:tab w:val="left" w:pos="4602"/>
                    </w:tabs>
                    <w:jc w:val="center"/>
                    <w:rPr>
                      <w:rFonts w:hint="eastAsia" w:eastAsia="宋体"/>
                      <w:bCs/>
                      <w:szCs w:val="21"/>
                      <w:lang w:eastAsia="zh-CN"/>
                    </w:rPr>
                  </w:pPr>
                  <w:r>
                    <w:rPr>
                      <w:rFonts w:hint="eastAsia" w:eastAsia="宋体"/>
                      <w:bCs/>
                      <w:szCs w:val="21"/>
                      <w:lang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tabs>
                      <w:tab w:val="left" w:pos="4602"/>
                    </w:tabs>
                    <w:jc w:val="center"/>
                    <w:rPr>
                      <w:bCs/>
                      <w:szCs w:val="21"/>
                    </w:rPr>
                  </w:pPr>
                </w:p>
              </w:tc>
              <w:tc>
                <w:tcPr>
                  <w:tcW w:w="927" w:type="dxa"/>
                  <w:vMerge w:val="restart"/>
                  <w:vAlign w:val="center"/>
                </w:tcPr>
                <w:p>
                  <w:pPr>
                    <w:tabs>
                      <w:tab w:val="left" w:pos="4602"/>
                    </w:tabs>
                    <w:jc w:val="center"/>
                    <w:rPr>
                      <w:bCs/>
                      <w:szCs w:val="21"/>
                    </w:rPr>
                  </w:pPr>
                  <w:r>
                    <w:rPr>
                      <w:rFonts w:hint="eastAsia"/>
                      <w:bCs/>
                      <w:szCs w:val="21"/>
                    </w:rPr>
                    <w:t>固废</w:t>
                  </w:r>
                </w:p>
              </w:tc>
              <w:tc>
                <w:tcPr>
                  <w:tcW w:w="5675" w:type="dxa"/>
                  <w:gridSpan w:val="3"/>
                  <w:vAlign w:val="center"/>
                </w:tcPr>
                <w:p>
                  <w:pPr>
                    <w:jc w:val="left"/>
                    <w:rPr>
                      <w:szCs w:val="21"/>
                    </w:rPr>
                  </w:pPr>
                  <w:r>
                    <w:rPr>
                      <w:szCs w:val="21"/>
                    </w:rPr>
                    <w:t>设置垃圾桶</w:t>
                  </w:r>
                  <w:r>
                    <w:rPr>
                      <w:rFonts w:hint="eastAsia"/>
                      <w:szCs w:val="21"/>
                    </w:rPr>
                    <w:t>，对项目内生活垃圾进行收集。</w:t>
                  </w:r>
                </w:p>
              </w:tc>
              <w:tc>
                <w:tcPr>
                  <w:tcW w:w="629" w:type="dxa"/>
                  <w:vMerge w:val="continue"/>
                  <w:vAlign w:val="center"/>
                </w:tcPr>
                <w:p>
                  <w:pPr>
                    <w:tabs>
                      <w:tab w:val="left" w:pos="4602"/>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tabs>
                      <w:tab w:val="left" w:pos="4602"/>
                    </w:tabs>
                    <w:jc w:val="center"/>
                    <w:rPr>
                      <w:bCs/>
                      <w:szCs w:val="21"/>
                    </w:rPr>
                  </w:pPr>
                </w:p>
              </w:tc>
              <w:tc>
                <w:tcPr>
                  <w:tcW w:w="927" w:type="dxa"/>
                  <w:vMerge w:val="continue"/>
                  <w:vAlign w:val="center"/>
                </w:tcPr>
                <w:p>
                  <w:pPr>
                    <w:tabs>
                      <w:tab w:val="left" w:pos="4602"/>
                    </w:tabs>
                    <w:jc w:val="center"/>
                    <w:rPr>
                      <w:bCs/>
                      <w:szCs w:val="21"/>
                    </w:rPr>
                  </w:pPr>
                </w:p>
              </w:tc>
              <w:tc>
                <w:tcPr>
                  <w:tcW w:w="5675" w:type="dxa"/>
                  <w:gridSpan w:val="3"/>
                  <w:vAlign w:val="center"/>
                </w:tcPr>
                <w:p>
                  <w:pPr>
                    <w:jc w:val="left"/>
                    <w:rPr>
                      <w:rFonts w:hint="eastAsia"/>
                      <w:szCs w:val="21"/>
                    </w:rPr>
                  </w:pPr>
                  <w:r>
                    <w:rPr>
                      <w:rFonts w:hint="eastAsia"/>
                      <w:szCs w:val="21"/>
                    </w:rPr>
                    <w:t>卫生院西侧建医疗废物暂存间，面积约20m</w:t>
                  </w:r>
                  <w:r>
                    <w:rPr>
                      <w:rFonts w:hint="eastAsia"/>
                      <w:szCs w:val="21"/>
                      <w:vertAlign w:val="superscript"/>
                    </w:rPr>
                    <w:t>2</w:t>
                  </w:r>
                  <w:r>
                    <w:rPr>
                      <w:rFonts w:hint="eastAsia"/>
                      <w:szCs w:val="21"/>
                    </w:rPr>
                    <w:t>，医疗废物委托</w:t>
                  </w:r>
                  <w:r>
                    <w:rPr>
                      <w:rFonts w:hint="eastAsia"/>
                      <w:szCs w:val="21"/>
                      <w:lang w:eastAsia="zh-CN"/>
                    </w:rPr>
                    <w:t>资质单位</w:t>
                  </w:r>
                  <w:r>
                    <w:rPr>
                      <w:rFonts w:hint="eastAsia"/>
                      <w:szCs w:val="21"/>
                    </w:rPr>
                    <w:t>处置。</w:t>
                  </w:r>
                  <w:r>
                    <w:rPr>
                      <w:rFonts w:hint="eastAsia"/>
                      <w:szCs w:val="21"/>
                      <w:u w:val="single"/>
                      <w:lang w:eastAsia="zh-CN"/>
                    </w:rPr>
                    <w:t>污水处理站污泥经石灰杀菌消毒固化后交第三方单位处置。</w:t>
                  </w:r>
                </w:p>
              </w:tc>
              <w:tc>
                <w:tcPr>
                  <w:tcW w:w="629" w:type="dxa"/>
                  <w:vMerge w:val="continue"/>
                  <w:vAlign w:val="center"/>
                </w:tcPr>
                <w:p>
                  <w:pPr>
                    <w:tabs>
                      <w:tab w:val="left" w:pos="4602"/>
                    </w:tabs>
                    <w:jc w:val="center"/>
                    <w:rPr>
                      <w:rFonts w:hint="eastAsia" w:eastAsia="宋体"/>
                      <w:bCs/>
                      <w:szCs w:val="21"/>
                      <w:lang w:eastAsia="zh-CN"/>
                    </w:rPr>
                  </w:pPr>
                </w:p>
              </w:tc>
            </w:tr>
          </w:tbl>
          <w:p>
            <w:pPr>
              <w:snapToGrid w:val="0"/>
              <w:spacing w:line="520" w:lineRule="exact"/>
              <w:contextualSpacing/>
              <w:rPr>
                <w:b/>
                <w:sz w:val="24"/>
              </w:rPr>
            </w:pPr>
            <w:r>
              <w:rPr>
                <w:b/>
                <w:sz w:val="24"/>
              </w:rPr>
              <w:t>4、</w:t>
            </w:r>
            <w:r>
              <w:rPr>
                <w:rFonts w:hint="eastAsia"/>
                <w:b/>
                <w:sz w:val="24"/>
              </w:rPr>
              <w:t>床位数</w:t>
            </w:r>
          </w:p>
          <w:p>
            <w:pPr>
              <w:snapToGrid w:val="0"/>
              <w:contextualSpacing/>
              <w:jc w:val="center"/>
              <w:rPr>
                <w:b/>
                <w:szCs w:val="21"/>
              </w:rPr>
            </w:pPr>
            <w:r>
              <w:rPr>
                <w:b/>
                <w:szCs w:val="21"/>
              </w:rPr>
              <w:t>表2-2</w:t>
            </w:r>
            <w:r>
              <w:rPr>
                <w:rFonts w:hint="eastAsia"/>
                <w:b/>
                <w:szCs w:val="21"/>
              </w:rPr>
              <w:t>扩建前后卫生院床位数情况</w:t>
            </w:r>
            <w:r>
              <w:rPr>
                <w:b/>
                <w:szCs w:val="21"/>
              </w:rPr>
              <w:t>一览表</w:t>
            </w:r>
          </w:p>
          <w:tbl>
            <w:tblPr>
              <w:tblStyle w:val="27"/>
              <w:tblW w:w="7757"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1519"/>
              <w:gridCol w:w="1744"/>
              <w:gridCol w:w="338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717" w:type="pct"/>
                  <w:vAlign w:val="center"/>
                </w:tcPr>
                <w:p>
                  <w:pPr>
                    <w:widowControl/>
                    <w:adjustRightInd w:val="0"/>
                    <w:snapToGrid w:val="0"/>
                    <w:jc w:val="center"/>
                    <w:rPr>
                      <w:b/>
                      <w:kern w:val="0"/>
                      <w:szCs w:val="21"/>
                    </w:rPr>
                  </w:pPr>
                  <w:r>
                    <w:rPr>
                      <w:rFonts w:hint="eastAsia"/>
                      <w:b/>
                      <w:kern w:val="0"/>
                      <w:szCs w:val="21"/>
                    </w:rPr>
                    <w:t>现有床位</w:t>
                  </w:r>
                </w:p>
              </w:tc>
              <w:tc>
                <w:tcPr>
                  <w:tcW w:w="979" w:type="pct"/>
                  <w:vAlign w:val="center"/>
                </w:tcPr>
                <w:p>
                  <w:pPr>
                    <w:widowControl/>
                    <w:adjustRightInd w:val="0"/>
                    <w:snapToGrid w:val="0"/>
                    <w:jc w:val="center"/>
                    <w:rPr>
                      <w:b/>
                      <w:kern w:val="0"/>
                      <w:szCs w:val="21"/>
                    </w:rPr>
                  </w:pPr>
                  <w:r>
                    <w:rPr>
                      <w:rFonts w:hint="eastAsia"/>
                      <w:b/>
                      <w:kern w:val="0"/>
                      <w:szCs w:val="21"/>
                    </w:rPr>
                    <w:t>本次扩建新增</w:t>
                  </w:r>
                </w:p>
              </w:tc>
              <w:tc>
                <w:tcPr>
                  <w:tcW w:w="1124" w:type="pct"/>
                  <w:vAlign w:val="center"/>
                </w:tcPr>
                <w:p>
                  <w:pPr>
                    <w:widowControl/>
                    <w:adjustRightInd w:val="0"/>
                    <w:snapToGrid w:val="0"/>
                    <w:jc w:val="center"/>
                    <w:rPr>
                      <w:b/>
                      <w:kern w:val="0"/>
                      <w:szCs w:val="21"/>
                    </w:rPr>
                  </w:pPr>
                  <w:r>
                    <w:rPr>
                      <w:rFonts w:hint="eastAsia"/>
                      <w:b/>
                      <w:kern w:val="0"/>
                      <w:szCs w:val="21"/>
                    </w:rPr>
                    <w:t>扩建后全院总计</w:t>
                  </w:r>
                </w:p>
              </w:tc>
              <w:tc>
                <w:tcPr>
                  <w:tcW w:w="2179" w:type="pct"/>
                  <w:vAlign w:val="center"/>
                </w:tcPr>
                <w:p>
                  <w:pPr>
                    <w:widowControl/>
                    <w:adjustRightInd w:val="0"/>
                    <w:snapToGrid w:val="0"/>
                    <w:jc w:val="center"/>
                    <w:rPr>
                      <w:b/>
                      <w:kern w:val="0"/>
                      <w:szCs w:val="21"/>
                    </w:rPr>
                  </w:pPr>
                  <w:r>
                    <w:rPr>
                      <w:rFonts w:hint="eastAsia"/>
                      <w:b/>
                      <w:kern w:val="0"/>
                      <w:szCs w:val="21"/>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717" w:type="pct"/>
                  <w:vAlign w:val="center"/>
                </w:tcPr>
                <w:p>
                  <w:pPr>
                    <w:adjustRightInd w:val="0"/>
                    <w:snapToGrid w:val="0"/>
                    <w:jc w:val="center"/>
                    <w:rPr>
                      <w:szCs w:val="21"/>
                    </w:rPr>
                  </w:pPr>
                  <w:r>
                    <w:rPr>
                      <w:rFonts w:hint="eastAsia"/>
                      <w:szCs w:val="21"/>
                    </w:rPr>
                    <w:t>50</w:t>
                  </w:r>
                </w:p>
              </w:tc>
              <w:tc>
                <w:tcPr>
                  <w:tcW w:w="979" w:type="pct"/>
                  <w:vAlign w:val="center"/>
                </w:tcPr>
                <w:p>
                  <w:pPr>
                    <w:adjustRightInd w:val="0"/>
                    <w:snapToGrid w:val="0"/>
                    <w:jc w:val="center"/>
                    <w:rPr>
                      <w:rFonts w:hint="default" w:eastAsia="宋体"/>
                      <w:kern w:val="0"/>
                      <w:szCs w:val="21"/>
                      <w:lang w:val="en-US" w:eastAsia="zh-CN"/>
                    </w:rPr>
                  </w:pPr>
                  <w:r>
                    <w:rPr>
                      <w:rFonts w:hint="eastAsia"/>
                      <w:kern w:val="0"/>
                      <w:szCs w:val="21"/>
                      <w:lang w:val="en-US" w:eastAsia="zh-CN"/>
                    </w:rPr>
                    <w:t>10</w:t>
                  </w:r>
                </w:p>
              </w:tc>
              <w:tc>
                <w:tcPr>
                  <w:tcW w:w="1124" w:type="pct"/>
                  <w:vAlign w:val="center"/>
                </w:tcPr>
                <w:p>
                  <w:pPr>
                    <w:adjustRightInd w:val="0"/>
                    <w:snapToGrid w:val="0"/>
                    <w:jc w:val="center"/>
                    <w:rPr>
                      <w:kern w:val="0"/>
                      <w:szCs w:val="21"/>
                    </w:rPr>
                  </w:pPr>
                  <w:r>
                    <w:rPr>
                      <w:rFonts w:hint="eastAsia"/>
                      <w:kern w:val="0"/>
                      <w:szCs w:val="21"/>
                      <w:lang w:val="en-US" w:eastAsia="zh-CN"/>
                    </w:rPr>
                    <w:t>6</w:t>
                  </w:r>
                  <w:r>
                    <w:rPr>
                      <w:rFonts w:hint="eastAsia"/>
                      <w:kern w:val="0"/>
                      <w:szCs w:val="21"/>
                    </w:rPr>
                    <w:t>0</w:t>
                  </w:r>
                </w:p>
              </w:tc>
              <w:tc>
                <w:tcPr>
                  <w:tcW w:w="2179" w:type="pct"/>
                  <w:vAlign w:val="center"/>
                </w:tcPr>
                <w:p>
                  <w:pPr>
                    <w:adjustRightInd w:val="0"/>
                    <w:snapToGrid w:val="0"/>
                    <w:jc w:val="center"/>
                    <w:rPr>
                      <w:kern w:val="0"/>
                      <w:szCs w:val="21"/>
                    </w:rPr>
                  </w:pPr>
                  <w:r>
                    <w:rPr>
                      <w:rFonts w:hint="eastAsia"/>
                      <w:kern w:val="0"/>
                      <w:szCs w:val="21"/>
                    </w:rPr>
                    <w:t>卫生院2020年12月拿到的床位数为</w:t>
                  </w:r>
                  <w:r>
                    <w:rPr>
                      <w:rFonts w:hint="eastAsia"/>
                      <w:kern w:val="0"/>
                      <w:szCs w:val="21"/>
                      <w:lang w:eastAsia="zh-CN"/>
                    </w:rPr>
                    <w:t>50张</w:t>
                  </w:r>
                  <w:r>
                    <w:rPr>
                      <w:rFonts w:hint="eastAsia"/>
                      <w:kern w:val="0"/>
                      <w:szCs w:val="21"/>
                    </w:rPr>
                    <w:t>，为当时核准。卫生院建成后将重新由卫计局统一核准发证</w:t>
                  </w:r>
                </w:p>
              </w:tc>
            </w:tr>
          </w:tbl>
          <w:p>
            <w:pPr>
              <w:spacing w:line="360" w:lineRule="auto"/>
              <w:rPr>
                <w:b/>
                <w:sz w:val="24"/>
              </w:rPr>
            </w:pPr>
            <w:r>
              <w:rPr>
                <w:b/>
                <w:sz w:val="24"/>
              </w:rPr>
              <w:t>5、主要原辅材料</w:t>
            </w:r>
          </w:p>
          <w:p>
            <w:pPr>
              <w:tabs>
                <w:tab w:val="left" w:pos="4602"/>
              </w:tabs>
              <w:jc w:val="center"/>
              <w:rPr>
                <w:rFonts w:eastAsia="新宋体"/>
                <w:b/>
                <w:szCs w:val="21"/>
              </w:rPr>
            </w:pPr>
            <w:r>
              <w:rPr>
                <w:rFonts w:eastAsia="新宋体"/>
                <w:b/>
                <w:szCs w:val="21"/>
              </w:rPr>
              <w:t>表2-3原辅材料及能源消耗情况一览表</w:t>
            </w:r>
          </w:p>
          <w:tbl>
            <w:tblPr>
              <w:tblStyle w:val="28"/>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750"/>
              <w:gridCol w:w="900"/>
              <w:gridCol w:w="1629"/>
              <w:gridCol w:w="1629"/>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408" w:type="dxa"/>
                  <w:vMerge w:val="restart"/>
                </w:tcPr>
                <w:p>
                  <w:pPr>
                    <w:tabs>
                      <w:tab w:val="left" w:pos="4602"/>
                    </w:tabs>
                    <w:jc w:val="center"/>
                    <w:rPr>
                      <w:b/>
                      <w:szCs w:val="21"/>
                    </w:rPr>
                  </w:pPr>
                  <w:r>
                    <w:rPr>
                      <w:b/>
                      <w:szCs w:val="21"/>
                    </w:rPr>
                    <w:t>类别</w:t>
                  </w:r>
                </w:p>
              </w:tc>
              <w:tc>
                <w:tcPr>
                  <w:tcW w:w="1650" w:type="dxa"/>
                  <w:gridSpan w:val="2"/>
                  <w:vMerge w:val="restart"/>
                </w:tcPr>
                <w:p>
                  <w:pPr>
                    <w:tabs>
                      <w:tab w:val="left" w:pos="4602"/>
                    </w:tabs>
                    <w:jc w:val="center"/>
                    <w:rPr>
                      <w:b/>
                      <w:szCs w:val="21"/>
                    </w:rPr>
                  </w:pPr>
                  <w:r>
                    <w:rPr>
                      <w:b/>
                      <w:szCs w:val="21"/>
                    </w:rPr>
                    <w:t>名称</w:t>
                  </w:r>
                </w:p>
              </w:tc>
              <w:tc>
                <w:tcPr>
                  <w:tcW w:w="4887" w:type="dxa"/>
                  <w:gridSpan w:val="3"/>
                </w:tcPr>
                <w:p>
                  <w:pPr>
                    <w:tabs>
                      <w:tab w:val="left" w:pos="4602"/>
                    </w:tabs>
                    <w:jc w:val="center"/>
                    <w:rPr>
                      <w:b/>
                      <w:szCs w:val="21"/>
                    </w:rPr>
                  </w:pPr>
                  <w:r>
                    <w:rPr>
                      <w:b/>
                      <w:szCs w:val="21"/>
                    </w:rPr>
                    <w:t>年消耗量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tcPr>
                <w:p>
                  <w:pPr>
                    <w:tabs>
                      <w:tab w:val="left" w:pos="4602"/>
                    </w:tabs>
                    <w:jc w:val="center"/>
                    <w:rPr>
                      <w:b/>
                      <w:szCs w:val="21"/>
                    </w:rPr>
                  </w:pPr>
                </w:p>
              </w:tc>
              <w:tc>
                <w:tcPr>
                  <w:tcW w:w="1650" w:type="dxa"/>
                  <w:gridSpan w:val="2"/>
                  <w:vMerge w:val="continue"/>
                </w:tcPr>
                <w:p>
                  <w:pPr>
                    <w:tabs>
                      <w:tab w:val="left" w:pos="4602"/>
                    </w:tabs>
                    <w:jc w:val="center"/>
                    <w:rPr>
                      <w:b/>
                      <w:szCs w:val="21"/>
                    </w:rPr>
                  </w:pPr>
                </w:p>
              </w:tc>
              <w:tc>
                <w:tcPr>
                  <w:tcW w:w="1629" w:type="dxa"/>
                  <w:vAlign w:val="center"/>
                </w:tcPr>
                <w:p>
                  <w:pPr>
                    <w:tabs>
                      <w:tab w:val="left" w:pos="4602"/>
                    </w:tabs>
                    <w:jc w:val="center"/>
                    <w:rPr>
                      <w:b/>
                      <w:szCs w:val="21"/>
                    </w:rPr>
                  </w:pPr>
                  <w:r>
                    <w:rPr>
                      <w:rFonts w:hint="eastAsia"/>
                      <w:b/>
                      <w:szCs w:val="21"/>
                    </w:rPr>
                    <w:t>现有</w:t>
                  </w:r>
                </w:p>
              </w:tc>
              <w:tc>
                <w:tcPr>
                  <w:tcW w:w="1629" w:type="dxa"/>
                  <w:vAlign w:val="center"/>
                </w:tcPr>
                <w:p>
                  <w:pPr>
                    <w:tabs>
                      <w:tab w:val="left" w:pos="4602"/>
                    </w:tabs>
                    <w:jc w:val="center"/>
                    <w:rPr>
                      <w:b/>
                      <w:szCs w:val="21"/>
                    </w:rPr>
                  </w:pPr>
                  <w:r>
                    <w:rPr>
                      <w:rFonts w:hint="eastAsia"/>
                      <w:b/>
                      <w:szCs w:val="21"/>
                    </w:rPr>
                    <w:t>本次改扩建</w:t>
                  </w:r>
                </w:p>
              </w:tc>
              <w:tc>
                <w:tcPr>
                  <w:tcW w:w="1629" w:type="dxa"/>
                  <w:vAlign w:val="center"/>
                </w:tcPr>
                <w:p>
                  <w:pPr>
                    <w:tabs>
                      <w:tab w:val="left" w:pos="4602"/>
                    </w:tabs>
                    <w:jc w:val="center"/>
                    <w:rPr>
                      <w:b/>
                      <w:szCs w:val="21"/>
                    </w:rPr>
                  </w:pPr>
                  <w:r>
                    <w:rPr>
                      <w:rFonts w:hint="eastAsia"/>
                      <w:b/>
                      <w:szCs w:val="21"/>
                    </w:rPr>
                    <w:t>全院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restart"/>
                  <w:vAlign w:val="center"/>
                </w:tcPr>
                <w:p>
                  <w:pPr>
                    <w:tabs>
                      <w:tab w:val="left" w:pos="4602"/>
                    </w:tabs>
                    <w:jc w:val="center"/>
                    <w:rPr>
                      <w:bCs/>
                      <w:szCs w:val="21"/>
                    </w:rPr>
                  </w:pPr>
                  <w:r>
                    <w:rPr>
                      <w:bCs/>
                      <w:szCs w:val="21"/>
                    </w:rPr>
                    <w:t>医疗</w:t>
                  </w:r>
                </w:p>
              </w:tc>
              <w:tc>
                <w:tcPr>
                  <w:tcW w:w="750" w:type="dxa"/>
                  <w:vMerge w:val="restart"/>
                  <w:vAlign w:val="center"/>
                </w:tcPr>
                <w:p>
                  <w:pPr>
                    <w:tabs>
                      <w:tab w:val="left" w:pos="4602"/>
                    </w:tabs>
                    <w:jc w:val="center"/>
                    <w:rPr>
                      <w:bCs/>
                      <w:szCs w:val="21"/>
                    </w:rPr>
                  </w:pPr>
                  <w:r>
                    <w:rPr>
                      <w:bCs/>
                      <w:szCs w:val="21"/>
                    </w:rPr>
                    <w:t>各类药品</w:t>
                  </w:r>
                </w:p>
              </w:tc>
              <w:tc>
                <w:tcPr>
                  <w:tcW w:w="900" w:type="dxa"/>
                  <w:vAlign w:val="center"/>
                </w:tcPr>
                <w:p>
                  <w:pPr>
                    <w:tabs>
                      <w:tab w:val="left" w:pos="4602"/>
                    </w:tabs>
                    <w:jc w:val="center"/>
                    <w:rPr>
                      <w:bCs/>
                      <w:szCs w:val="21"/>
                    </w:rPr>
                  </w:pPr>
                  <w:r>
                    <w:rPr>
                      <w:rFonts w:hint="eastAsia"/>
                      <w:bCs/>
                      <w:szCs w:val="21"/>
                    </w:rPr>
                    <w:t>西药</w:t>
                  </w:r>
                </w:p>
              </w:tc>
              <w:tc>
                <w:tcPr>
                  <w:tcW w:w="1629" w:type="dxa"/>
                </w:tcPr>
                <w:p>
                  <w:pPr>
                    <w:tabs>
                      <w:tab w:val="left" w:pos="4602"/>
                    </w:tabs>
                    <w:jc w:val="center"/>
                    <w:rPr>
                      <w:bCs/>
                      <w:szCs w:val="21"/>
                    </w:rPr>
                  </w:pPr>
                  <w:r>
                    <w:rPr>
                      <w:rFonts w:hint="eastAsia"/>
                      <w:bCs/>
                      <w:szCs w:val="21"/>
                      <w:lang w:val="en-US" w:eastAsia="zh-CN"/>
                    </w:rPr>
                    <w:t>360</w:t>
                  </w:r>
                  <w:r>
                    <w:rPr>
                      <w:rFonts w:hint="eastAsia"/>
                      <w:bCs/>
                      <w:szCs w:val="21"/>
                    </w:rPr>
                    <w:t>万盒</w:t>
                  </w:r>
                </w:p>
              </w:tc>
              <w:tc>
                <w:tcPr>
                  <w:tcW w:w="1629" w:type="dxa"/>
                </w:tcPr>
                <w:p>
                  <w:pPr>
                    <w:tabs>
                      <w:tab w:val="left" w:pos="4602"/>
                    </w:tabs>
                    <w:jc w:val="center"/>
                    <w:rPr>
                      <w:bCs/>
                      <w:szCs w:val="21"/>
                    </w:rPr>
                  </w:pPr>
                  <w:r>
                    <w:rPr>
                      <w:rFonts w:hint="eastAsia"/>
                      <w:bCs/>
                      <w:szCs w:val="21"/>
                      <w:lang w:val="en-US" w:eastAsia="zh-CN"/>
                    </w:rPr>
                    <w:t>72</w:t>
                  </w:r>
                  <w:r>
                    <w:rPr>
                      <w:rFonts w:hint="eastAsia"/>
                      <w:bCs/>
                      <w:szCs w:val="21"/>
                    </w:rPr>
                    <w:t>万盒</w:t>
                  </w:r>
                </w:p>
              </w:tc>
              <w:tc>
                <w:tcPr>
                  <w:tcW w:w="1629" w:type="dxa"/>
                </w:tcPr>
                <w:p>
                  <w:pPr>
                    <w:tabs>
                      <w:tab w:val="left" w:pos="4602"/>
                    </w:tabs>
                    <w:jc w:val="center"/>
                    <w:rPr>
                      <w:bCs/>
                      <w:szCs w:val="21"/>
                    </w:rPr>
                  </w:pPr>
                  <w:r>
                    <w:rPr>
                      <w:rFonts w:hint="eastAsia"/>
                      <w:bCs/>
                      <w:szCs w:val="21"/>
                      <w:lang w:val="en-US" w:eastAsia="zh-CN"/>
                    </w:rPr>
                    <w:t>432</w:t>
                  </w:r>
                  <w:r>
                    <w:rPr>
                      <w:rFonts w:hint="eastAsia"/>
                      <w:bCs/>
                      <w:szCs w:val="21"/>
                    </w:rPr>
                    <w:t>万盒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8" w:type="dxa"/>
                  <w:vMerge w:val="continue"/>
                  <w:vAlign w:val="center"/>
                </w:tcPr>
                <w:p>
                  <w:pPr>
                    <w:tabs>
                      <w:tab w:val="left" w:pos="4602"/>
                    </w:tabs>
                    <w:jc w:val="center"/>
                    <w:rPr>
                      <w:bCs/>
                      <w:szCs w:val="21"/>
                    </w:rPr>
                  </w:pPr>
                </w:p>
              </w:tc>
              <w:tc>
                <w:tcPr>
                  <w:tcW w:w="750" w:type="dxa"/>
                  <w:vMerge w:val="continue"/>
                  <w:vAlign w:val="center"/>
                </w:tcPr>
                <w:p>
                  <w:pPr>
                    <w:tabs>
                      <w:tab w:val="left" w:pos="4602"/>
                    </w:tabs>
                    <w:jc w:val="center"/>
                    <w:rPr>
                      <w:bCs/>
                      <w:szCs w:val="21"/>
                    </w:rPr>
                  </w:pPr>
                </w:p>
              </w:tc>
              <w:tc>
                <w:tcPr>
                  <w:tcW w:w="900" w:type="dxa"/>
                  <w:vAlign w:val="center"/>
                </w:tcPr>
                <w:p>
                  <w:pPr>
                    <w:tabs>
                      <w:tab w:val="left" w:pos="4602"/>
                    </w:tabs>
                    <w:jc w:val="center"/>
                    <w:rPr>
                      <w:bCs/>
                      <w:szCs w:val="21"/>
                    </w:rPr>
                  </w:pPr>
                  <w:r>
                    <w:rPr>
                      <w:rFonts w:hint="eastAsia"/>
                      <w:bCs/>
                      <w:szCs w:val="21"/>
                    </w:rPr>
                    <w:t>中草药</w:t>
                  </w:r>
                </w:p>
              </w:tc>
              <w:tc>
                <w:tcPr>
                  <w:tcW w:w="1629" w:type="dxa"/>
                </w:tcPr>
                <w:p>
                  <w:pPr>
                    <w:tabs>
                      <w:tab w:val="left" w:pos="4602"/>
                    </w:tabs>
                    <w:jc w:val="center"/>
                    <w:rPr>
                      <w:bCs/>
                      <w:szCs w:val="21"/>
                    </w:rPr>
                  </w:pPr>
                  <w:r>
                    <w:rPr>
                      <w:rFonts w:hint="eastAsia"/>
                      <w:bCs/>
                      <w:szCs w:val="21"/>
                      <w:lang w:val="en-US" w:eastAsia="zh-CN"/>
                    </w:rPr>
                    <w:t>3200</w:t>
                  </w:r>
                  <w:r>
                    <w:rPr>
                      <w:rFonts w:hint="eastAsia"/>
                      <w:bCs/>
                      <w:szCs w:val="21"/>
                    </w:rPr>
                    <w:t>kg</w:t>
                  </w:r>
                </w:p>
              </w:tc>
              <w:tc>
                <w:tcPr>
                  <w:tcW w:w="1629" w:type="dxa"/>
                </w:tcPr>
                <w:p>
                  <w:pPr>
                    <w:tabs>
                      <w:tab w:val="left" w:pos="4602"/>
                    </w:tabs>
                    <w:jc w:val="center"/>
                    <w:rPr>
                      <w:bCs/>
                      <w:szCs w:val="21"/>
                    </w:rPr>
                  </w:pPr>
                  <w:r>
                    <w:rPr>
                      <w:rFonts w:hint="eastAsia"/>
                      <w:bCs/>
                      <w:szCs w:val="21"/>
                      <w:lang w:val="en-US" w:eastAsia="zh-CN"/>
                    </w:rPr>
                    <w:t>64</w:t>
                  </w:r>
                  <w:r>
                    <w:rPr>
                      <w:rFonts w:hint="eastAsia"/>
                      <w:bCs/>
                      <w:szCs w:val="21"/>
                    </w:rPr>
                    <w:t>0kg</w:t>
                  </w:r>
                </w:p>
              </w:tc>
              <w:tc>
                <w:tcPr>
                  <w:tcW w:w="1629" w:type="dxa"/>
                </w:tcPr>
                <w:p>
                  <w:pPr>
                    <w:tabs>
                      <w:tab w:val="left" w:pos="4602"/>
                    </w:tabs>
                    <w:jc w:val="center"/>
                    <w:rPr>
                      <w:bCs/>
                      <w:szCs w:val="21"/>
                    </w:rPr>
                  </w:pPr>
                  <w:r>
                    <w:rPr>
                      <w:rFonts w:hint="eastAsia"/>
                      <w:bCs/>
                      <w:szCs w:val="21"/>
                      <w:lang w:val="en-US" w:eastAsia="zh-CN"/>
                    </w:rPr>
                    <w:t>3840</w:t>
                  </w:r>
                  <w:r>
                    <w:rPr>
                      <w:rFonts w:hint="eastAsia"/>
                      <w:bCs/>
                      <w:szCs w:val="21"/>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tabs>
                      <w:tab w:val="left" w:pos="4602"/>
                    </w:tabs>
                    <w:jc w:val="center"/>
                    <w:rPr>
                      <w:bCs/>
                      <w:szCs w:val="21"/>
                    </w:rPr>
                  </w:pPr>
                </w:p>
              </w:tc>
              <w:tc>
                <w:tcPr>
                  <w:tcW w:w="750" w:type="dxa"/>
                  <w:vMerge w:val="continue"/>
                  <w:vAlign w:val="center"/>
                </w:tcPr>
                <w:p>
                  <w:pPr>
                    <w:tabs>
                      <w:tab w:val="left" w:pos="4602"/>
                    </w:tabs>
                    <w:jc w:val="center"/>
                    <w:rPr>
                      <w:bCs/>
                      <w:szCs w:val="21"/>
                    </w:rPr>
                  </w:pPr>
                </w:p>
              </w:tc>
              <w:tc>
                <w:tcPr>
                  <w:tcW w:w="900" w:type="dxa"/>
                  <w:vAlign w:val="center"/>
                </w:tcPr>
                <w:p>
                  <w:pPr>
                    <w:tabs>
                      <w:tab w:val="left" w:pos="4602"/>
                    </w:tabs>
                    <w:jc w:val="center"/>
                    <w:rPr>
                      <w:bCs/>
                      <w:szCs w:val="21"/>
                    </w:rPr>
                  </w:pPr>
                  <w:r>
                    <w:rPr>
                      <w:rFonts w:hint="eastAsia"/>
                      <w:bCs/>
                      <w:szCs w:val="21"/>
                    </w:rPr>
                    <w:t>疫苗</w:t>
                  </w:r>
                </w:p>
              </w:tc>
              <w:tc>
                <w:tcPr>
                  <w:tcW w:w="1629" w:type="dxa"/>
                </w:tcPr>
                <w:p>
                  <w:pPr>
                    <w:tabs>
                      <w:tab w:val="left" w:pos="4602"/>
                    </w:tabs>
                    <w:jc w:val="center"/>
                    <w:rPr>
                      <w:bCs/>
                      <w:szCs w:val="21"/>
                    </w:rPr>
                  </w:pPr>
                  <w:r>
                    <w:rPr>
                      <w:rFonts w:hint="eastAsia"/>
                      <w:bCs/>
                      <w:szCs w:val="21"/>
                      <w:lang w:val="en-US" w:eastAsia="zh-CN"/>
                    </w:rPr>
                    <w:t>16</w:t>
                  </w:r>
                  <w:r>
                    <w:rPr>
                      <w:rFonts w:hint="eastAsia"/>
                      <w:bCs/>
                      <w:szCs w:val="21"/>
                    </w:rPr>
                    <w:t>00支</w:t>
                  </w:r>
                </w:p>
              </w:tc>
              <w:tc>
                <w:tcPr>
                  <w:tcW w:w="1629" w:type="dxa"/>
                </w:tcPr>
                <w:p>
                  <w:pPr>
                    <w:tabs>
                      <w:tab w:val="left" w:pos="4602"/>
                    </w:tabs>
                    <w:jc w:val="center"/>
                    <w:rPr>
                      <w:bCs/>
                      <w:szCs w:val="21"/>
                    </w:rPr>
                  </w:pPr>
                  <w:r>
                    <w:rPr>
                      <w:rFonts w:hint="eastAsia"/>
                      <w:bCs/>
                      <w:szCs w:val="21"/>
                      <w:lang w:val="en-US" w:eastAsia="zh-CN"/>
                    </w:rPr>
                    <w:t>32</w:t>
                  </w:r>
                  <w:r>
                    <w:rPr>
                      <w:rFonts w:hint="eastAsia"/>
                      <w:bCs/>
                      <w:szCs w:val="21"/>
                    </w:rPr>
                    <w:t>0支</w:t>
                  </w:r>
                </w:p>
              </w:tc>
              <w:tc>
                <w:tcPr>
                  <w:tcW w:w="1629" w:type="dxa"/>
                </w:tcPr>
                <w:p>
                  <w:pPr>
                    <w:tabs>
                      <w:tab w:val="left" w:pos="4602"/>
                    </w:tabs>
                    <w:jc w:val="center"/>
                    <w:rPr>
                      <w:bCs/>
                      <w:szCs w:val="21"/>
                    </w:rPr>
                  </w:pPr>
                  <w:r>
                    <w:rPr>
                      <w:rFonts w:hint="eastAsia"/>
                      <w:bCs/>
                      <w:szCs w:val="21"/>
                      <w:lang w:val="en-US" w:eastAsia="zh-CN"/>
                    </w:rPr>
                    <w:t>192</w:t>
                  </w:r>
                  <w:r>
                    <w:rPr>
                      <w:rFonts w:hint="eastAsia"/>
                      <w:bCs/>
                      <w:szCs w:val="21"/>
                    </w:rPr>
                    <w:t>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tabs>
                      <w:tab w:val="left" w:pos="4602"/>
                    </w:tabs>
                    <w:jc w:val="center"/>
                    <w:rPr>
                      <w:bCs/>
                      <w:szCs w:val="21"/>
                    </w:rPr>
                  </w:pPr>
                </w:p>
              </w:tc>
              <w:tc>
                <w:tcPr>
                  <w:tcW w:w="1650" w:type="dxa"/>
                  <w:gridSpan w:val="2"/>
                  <w:vAlign w:val="center"/>
                </w:tcPr>
                <w:p>
                  <w:pPr>
                    <w:tabs>
                      <w:tab w:val="left" w:pos="4602"/>
                    </w:tabs>
                    <w:jc w:val="center"/>
                    <w:rPr>
                      <w:bCs/>
                      <w:szCs w:val="21"/>
                    </w:rPr>
                  </w:pPr>
                  <w:r>
                    <w:rPr>
                      <w:rFonts w:hint="eastAsia"/>
                      <w:bCs/>
                      <w:szCs w:val="21"/>
                    </w:rPr>
                    <w:t>输液器</w:t>
                  </w:r>
                </w:p>
              </w:tc>
              <w:tc>
                <w:tcPr>
                  <w:tcW w:w="1629" w:type="dxa"/>
                  <w:vAlign w:val="center"/>
                </w:tcPr>
                <w:p>
                  <w:pPr>
                    <w:tabs>
                      <w:tab w:val="left" w:pos="4602"/>
                    </w:tabs>
                    <w:jc w:val="center"/>
                    <w:rPr>
                      <w:bCs/>
                      <w:szCs w:val="21"/>
                    </w:rPr>
                  </w:pPr>
                  <w:r>
                    <w:rPr>
                      <w:rFonts w:hint="eastAsia"/>
                      <w:bCs/>
                      <w:szCs w:val="21"/>
                      <w:lang w:val="en-US" w:eastAsia="zh-CN"/>
                    </w:rPr>
                    <w:t>115</w:t>
                  </w:r>
                  <w:r>
                    <w:rPr>
                      <w:rFonts w:hint="eastAsia"/>
                      <w:bCs/>
                      <w:szCs w:val="21"/>
                    </w:rPr>
                    <w:t>00付</w:t>
                  </w:r>
                </w:p>
              </w:tc>
              <w:tc>
                <w:tcPr>
                  <w:tcW w:w="1629" w:type="dxa"/>
                  <w:vAlign w:val="center"/>
                </w:tcPr>
                <w:p>
                  <w:pPr>
                    <w:tabs>
                      <w:tab w:val="left" w:pos="4602"/>
                    </w:tabs>
                    <w:jc w:val="center"/>
                    <w:rPr>
                      <w:bCs/>
                      <w:szCs w:val="21"/>
                    </w:rPr>
                  </w:pPr>
                  <w:r>
                    <w:rPr>
                      <w:rFonts w:hint="eastAsia"/>
                      <w:bCs/>
                      <w:szCs w:val="21"/>
                      <w:lang w:val="en-US" w:eastAsia="zh-CN"/>
                    </w:rPr>
                    <w:t>2</w:t>
                  </w:r>
                  <w:r>
                    <w:rPr>
                      <w:rFonts w:hint="eastAsia"/>
                      <w:bCs/>
                      <w:szCs w:val="21"/>
                    </w:rPr>
                    <w:t>500付</w:t>
                  </w:r>
                </w:p>
              </w:tc>
              <w:tc>
                <w:tcPr>
                  <w:tcW w:w="1629" w:type="dxa"/>
                  <w:vAlign w:val="center"/>
                </w:tcPr>
                <w:p>
                  <w:pPr>
                    <w:tabs>
                      <w:tab w:val="left" w:pos="4602"/>
                    </w:tabs>
                    <w:jc w:val="center"/>
                    <w:rPr>
                      <w:bCs/>
                      <w:szCs w:val="21"/>
                    </w:rPr>
                  </w:pPr>
                  <w:r>
                    <w:rPr>
                      <w:rFonts w:hint="eastAsia"/>
                      <w:bCs/>
                      <w:szCs w:val="21"/>
                      <w:lang w:val="en-US" w:eastAsia="zh-CN"/>
                    </w:rPr>
                    <w:t>1</w:t>
                  </w:r>
                  <w:r>
                    <w:rPr>
                      <w:rFonts w:hint="eastAsia"/>
                      <w:bCs/>
                      <w:szCs w:val="21"/>
                    </w:rPr>
                    <w:t>4000付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tabs>
                      <w:tab w:val="left" w:pos="4602"/>
                    </w:tabs>
                    <w:jc w:val="center"/>
                    <w:rPr>
                      <w:bCs/>
                      <w:szCs w:val="21"/>
                    </w:rPr>
                  </w:pPr>
                </w:p>
              </w:tc>
              <w:tc>
                <w:tcPr>
                  <w:tcW w:w="1650" w:type="dxa"/>
                  <w:gridSpan w:val="2"/>
                  <w:vAlign w:val="center"/>
                </w:tcPr>
                <w:p>
                  <w:pPr>
                    <w:tabs>
                      <w:tab w:val="left" w:pos="4602"/>
                    </w:tabs>
                    <w:jc w:val="center"/>
                    <w:rPr>
                      <w:bCs/>
                      <w:szCs w:val="21"/>
                    </w:rPr>
                  </w:pPr>
                  <w:r>
                    <w:rPr>
                      <w:rFonts w:hint="eastAsia"/>
                      <w:bCs/>
                      <w:szCs w:val="21"/>
                    </w:rPr>
                    <w:t>一次性注射器</w:t>
                  </w:r>
                </w:p>
              </w:tc>
              <w:tc>
                <w:tcPr>
                  <w:tcW w:w="1629" w:type="dxa"/>
                  <w:vAlign w:val="center"/>
                </w:tcPr>
                <w:p>
                  <w:pPr>
                    <w:tabs>
                      <w:tab w:val="left" w:pos="4602"/>
                    </w:tabs>
                    <w:jc w:val="center"/>
                    <w:rPr>
                      <w:bCs/>
                      <w:szCs w:val="21"/>
                    </w:rPr>
                  </w:pPr>
                  <w:r>
                    <w:rPr>
                      <w:rFonts w:hint="eastAsia"/>
                      <w:bCs/>
                      <w:szCs w:val="21"/>
                      <w:lang w:val="en-US" w:eastAsia="zh-CN"/>
                    </w:rPr>
                    <w:t>8</w:t>
                  </w:r>
                  <w:r>
                    <w:rPr>
                      <w:rFonts w:hint="eastAsia"/>
                      <w:bCs/>
                      <w:szCs w:val="21"/>
                    </w:rPr>
                    <w:t>000支</w:t>
                  </w:r>
                </w:p>
              </w:tc>
              <w:tc>
                <w:tcPr>
                  <w:tcW w:w="1629" w:type="dxa"/>
                  <w:vAlign w:val="center"/>
                </w:tcPr>
                <w:p>
                  <w:pPr>
                    <w:tabs>
                      <w:tab w:val="left" w:pos="4602"/>
                    </w:tabs>
                    <w:jc w:val="center"/>
                    <w:rPr>
                      <w:bCs/>
                      <w:szCs w:val="21"/>
                    </w:rPr>
                  </w:pPr>
                  <w:r>
                    <w:rPr>
                      <w:rFonts w:hint="eastAsia"/>
                      <w:bCs/>
                      <w:szCs w:val="21"/>
                      <w:lang w:val="en-US" w:eastAsia="zh-CN"/>
                    </w:rPr>
                    <w:t>16</w:t>
                  </w:r>
                  <w:r>
                    <w:rPr>
                      <w:rFonts w:hint="eastAsia"/>
                      <w:bCs/>
                      <w:szCs w:val="21"/>
                    </w:rPr>
                    <w:t>00支</w:t>
                  </w:r>
                </w:p>
              </w:tc>
              <w:tc>
                <w:tcPr>
                  <w:tcW w:w="1629" w:type="dxa"/>
                  <w:vAlign w:val="center"/>
                </w:tcPr>
                <w:p>
                  <w:pPr>
                    <w:tabs>
                      <w:tab w:val="left" w:pos="4602"/>
                    </w:tabs>
                    <w:jc w:val="center"/>
                    <w:rPr>
                      <w:bCs/>
                      <w:szCs w:val="21"/>
                    </w:rPr>
                  </w:pPr>
                  <w:r>
                    <w:rPr>
                      <w:rFonts w:hint="eastAsia"/>
                      <w:bCs/>
                      <w:szCs w:val="21"/>
                      <w:lang w:val="en-US" w:eastAsia="zh-CN"/>
                    </w:rPr>
                    <w:t>96</w:t>
                  </w:r>
                  <w:r>
                    <w:rPr>
                      <w:rFonts w:hint="eastAsia"/>
                      <w:bCs/>
                      <w:szCs w:val="21"/>
                    </w:rPr>
                    <w:t>00支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tcPr>
                <w:p>
                  <w:pPr>
                    <w:tabs>
                      <w:tab w:val="left" w:pos="4602"/>
                    </w:tabs>
                    <w:jc w:val="center"/>
                    <w:rPr>
                      <w:bCs/>
                      <w:szCs w:val="21"/>
                    </w:rPr>
                  </w:pPr>
                </w:p>
              </w:tc>
              <w:tc>
                <w:tcPr>
                  <w:tcW w:w="1650" w:type="dxa"/>
                  <w:gridSpan w:val="2"/>
                  <w:vAlign w:val="center"/>
                </w:tcPr>
                <w:p>
                  <w:pPr>
                    <w:tabs>
                      <w:tab w:val="left" w:pos="4602"/>
                    </w:tabs>
                    <w:jc w:val="center"/>
                    <w:rPr>
                      <w:bCs/>
                      <w:szCs w:val="21"/>
                    </w:rPr>
                  </w:pPr>
                  <w:r>
                    <w:rPr>
                      <w:rFonts w:hint="eastAsia"/>
                      <w:bCs/>
                      <w:szCs w:val="21"/>
                    </w:rPr>
                    <w:t>消毒液</w:t>
                  </w:r>
                </w:p>
              </w:tc>
              <w:tc>
                <w:tcPr>
                  <w:tcW w:w="1629" w:type="dxa"/>
                  <w:vAlign w:val="center"/>
                </w:tcPr>
                <w:p>
                  <w:pPr>
                    <w:tabs>
                      <w:tab w:val="left" w:pos="4602"/>
                    </w:tabs>
                    <w:jc w:val="center"/>
                    <w:rPr>
                      <w:bCs/>
                      <w:szCs w:val="21"/>
                    </w:rPr>
                  </w:pPr>
                  <w:r>
                    <w:rPr>
                      <w:rFonts w:hint="eastAsia"/>
                      <w:bCs/>
                      <w:szCs w:val="21"/>
                      <w:lang w:val="en-US" w:eastAsia="zh-CN"/>
                    </w:rPr>
                    <w:t>1</w:t>
                  </w:r>
                  <w:r>
                    <w:rPr>
                      <w:rFonts w:hint="eastAsia"/>
                      <w:bCs/>
                      <w:szCs w:val="21"/>
                    </w:rPr>
                    <w:t>50升</w:t>
                  </w:r>
                </w:p>
              </w:tc>
              <w:tc>
                <w:tcPr>
                  <w:tcW w:w="1629" w:type="dxa"/>
                  <w:vAlign w:val="center"/>
                </w:tcPr>
                <w:p>
                  <w:pPr>
                    <w:tabs>
                      <w:tab w:val="left" w:pos="4602"/>
                    </w:tabs>
                    <w:jc w:val="center"/>
                    <w:rPr>
                      <w:bCs/>
                      <w:szCs w:val="21"/>
                    </w:rPr>
                  </w:pPr>
                  <w:r>
                    <w:rPr>
                      <w:rFonts w:hint="eastAsia"/>
                      <w:bCs/>
                      <w:szCs w:val="21"/>
                      <w:lang w:val="en-US" w:eastAsia="zh-CN"/>
                    </w:rPr>
                    <w:t>3</w:t>
                  </w:r>
                  <w:r>
                    <w:rPr>
                      <w:rFonts w:hint="eastAsia"/>
                      <w:bCs/>
                      <w:szCs w:val="21"/>
                    </w:rPr>
                    <w:t>0升</w:t>
                  </w:r>
                </w:p>
              </w:tc>
              <w:tc>
                <w:tcPr>
                  <w:tcW w:w="1629" w:type="dxa"/>
                  <w:vAlign w:val="center"/>
                </w:tcPr>
                <w:p>
                  <w:pPr>
                    <w:tabs>
                      <w:tab w:val="left" w:pos="4602"/>
                    </w:tabs>
                    <w:jc w:val="center"/>
                    <w:rPr>
                      <w:bCs/>
                      <w:szCs w:val="21"/>
                    </w:rPr>
                  </w:pPr>
                  <w:r>
                    <w:rPr>
                      <w:rFonts w:hint="eastAsia"/>
                      <w:bCs/>
                      <w:szCs w:val="21"/>
                      <w:lang w:val="en-US" w:eastAsia="zh-CN"/>
                    </w:rPr>
                    <w:t>18</w:t>
                  </w:r>
                  <w:r>
                    <w:rPr>
                      <w:rFonts w:hint="eastAsia"/>
                      <w:bCs/>
                      <w:szCs w:val="21"/>
                    </w:rPr>
                    <w:t>0升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tcPr>
                <w:p>
                  <w:pPr>
                    <w:tabs>
                      <w:tab w:val="left" w:pos="4602"/>
                    </w:tabs>
                    <w:jc w:val="center"/>
                    <w:rPr>
                      <w:bCs/>
                      <w:szCs w:val="21"/>
                    </w:rPr>
                  </w:pPr>
                  <w:r>
                    <w:rPr>
                      <w:bCs/>
                      <w:szCs w:val="21"/>
                    </w:rPr>
                    <w:t>能耗</w:t>
                  </w:r>
                </w:p>
              </w:tc>
              <w:tc>
                <w:tcPr>
                  <w:tcW w:w="1650" w:type="dxa"/>
                  <w:gridSpan w:val="2"/>
                  <w:vAlign w:val="center"/>
                </w:tcPr>
                <w:p>
                  <w:pPr>
                    <w:tabs>
                      <w:tab w:val="left" w:pos="4602"/>
                    </w:tabs>
                    <w:jc w:val="center"/>
                    <w:rPr>
                      <w:bCs/>
                      <w:szCs w:val="21"/>
                    </w:rPr>
                  </w:pPr>
                  <w:r>
                    <w:rPr>
                      <w:bCs/>
                      <w:szCs w:val="21"/>
                    </w:rPr>
                    <w:t>电</w:t>
                  </w:r>
                </w:p>
              </w:tc>
              <w:tc>
                <w:tcPr>
                  <w:tcW w:w="4887" w:type="dxa"/>
                  <w:gridSpan w:val="3"/>
                </w:tcPr>
                <w:p>
                  <w:pPr>
                    <w:tabs>
                      <w:tab w:val="left" w:pos="4602"/>
                    </w:tabs>
                    <w:jc w:val="center"/>
                    <w:rPr>
                      <w:bCs/>
                      <w:szCs w:val="21"/>
                    </w:rPr>
                  </w:pPr>
                  <w:r>
                    <w:rPr>
                      <w:rFonts w:hint="eastAsia"/>
                      <w:bCs/>
                      <w:szCs w:val="21"/>
                    </w:rPr>
                    <w:t>市政电网供电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tcPr>
                <w:p>
                  <w:pPr>
                    <w:tabs>
                      <w:tab w:val="left" w:pos="4602"/>
                    </w:tabs>
                    <w:jc w:val="center"/>
                    <w:rPr>
                      <w:bCs/>
                      <w:szCs w:val="21"/>
                    </w:rPr>
                  </w:pPr>
                  <w:r>
                    <w:rPr>
                      <w:bCs/>
                      <w:szCs w:val="21"/>
                    </w:rPr>
                    <w:t>水耗</w:t>
                  </w:r>
                </w:p>
              </w:tc>
              <w:tc>
                <w:tcPr>
                  <w:tcW w:w="1650" w:type="dxa"/>
                  <w:gridSpan w:val="2"/>
                  <w:vAlign w:val="center"/>
                </w:tcPr>
                <w:p>
                  <w:pPr>
                    <w:tabs>
                      <w:tab w:val="left" w:pos="4602"/>
                    </w:tabs>
                    <w:jc w:val="center"/>
                    <w:rPr>
                      <w:bCs/>
                      <w:szCs w:val="21"/>
                    </w:rPr>
                  </w:pPr>
                  <w:r>
                    <w:rPr>
                      <w:bCs/>
                      <w:szCs w:val="21"/>
                    </w:rPr>
                    <w:t>水</w:t>
                  </w:r>
                </w:p>
              </w:tc>
              <w:tc>
                <w:tcPr>
                  <w:tcW w:w="1629" w:type="dxa"/>
                </w:tcPr>
                <w:p>
                  <w:pPr>
                    <w:tabs>
                      <w:tab w:val="left" w:pos="4602"/>
                    </w:tabs>
                    <w:jc w:val="center"/>
                    <w:rPr>
                      <w:rFonts w:hint="eastAsia" w:eastAsia="宋体"/>
                      <w:bCs/>
                      <w:szCs w:val="21"/>
                      <w:highlight w:val="none"/>
                      <w:lang w:eastAsia="zh-CN"/>
                    </w:rPr>
                  </w:pPr>
                  <w:r>
                    <w:rPr>
                      <w:rFonts w:hint="eastAsia"/>
                      <w:bCs/>
                      <w:szCs w:val="21"/>
                      <w:highlight w:val="none"/>
                      <w:lang w:eastAsia="zh-CN"/>
                    </w:rPr>
                    <w:t>8101.75m3</w:t>
                  </w:r>
                </w:p>
              </w:tc>
              <w:tc>
                <w:tcPr>
                  <w:tcW w:w="1629" w:type="dxa"/>
                </w:tcPr>
                <w:p>
                  <w:pPr>
                    <w:tabs>
                      <w:tab w:val="left" w:pos="4602"/>
                    </w:tabs>
                    <w:jc w:val="center"/>
                    <w:rPr>
                      <w:rFonts w:hint="eastAsia" w:eastAsia="宋体"/>
                      <w:bCs/>
                      <w:szCs w:val="21"/>
                      <w:highlight w:val="none"/>
                      <w:lang w:eastAsia="zh-CN"/>
                    </w:rPr>
                  </w:pPr>
                  <w:r>
                    <w:rPr>
                      <w:rFonts w:hint="eastAsia"/>
                      <w:bCs/>
                      <w:szCs w:val="21"/>
                      <w:highlight w:val="none"/>
                      <w:lang w:eastAsia="zh-CN"/>
                    </w:rPr>
                    <w:t>1396.125m3</w:t>
                  </w:r>
                </w:p>
              </w:tc>
              <w:tc>
                <w:tcPr>
                  <w:tcW w:w="1629" w:type="dxa"/>
                </w:tcPr>
                <w:p>
                  <w:pPr>
                    <w:tabs>
                      <w:tab w:val="left" w:pos="4602"/>
                    </w:tabs>
                    <w:jc w:val="center"/>
                    <w:rPr>
                      <w:rFonts w:hint="eastAsia" w:eastAsia="宋体"/>
                      <w:bCs/>
                      <w:szCs w:val="21"/>
                      <w:highlight w:val="none"/>
                      <w:lang w:eastAsia="zh-CN"/>
                    </w:rPr>
                  </w:pPr>
                  <w:r>
                    <w:rPr>
                      <w:rFonts w:hint="eastAsia"/>
                      <w:bCs/>
                      <w:szCs w:val="21"/>
                      <w:highlight w:val="none"/>
                      <w:lang w:eastAsia="zh-CN"/>
                    </w:rPr>
                    <w:t>9497.875m3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pPr>
                    <w:tabs>
                      <w:tab w:val="left" w:pos="4602"/>
                    </w:tabs>
                    <w:jc w:val="center"/>
                    <w:rPr>
                      <w:bCs/>
                      <w:szCs w:val="21"/>
                    </w:rPr>
                  </w:pPr>
                  <w:r>
                    <w:rPr>
                      <w:bCs/>
                      <w:szCs w:val="21"/>
                    </w:rPr>
                    <w:t>医疗废水消毒工艺试剂</w:t>
                  </w:r>
                </w:p>
              </w:tc>
              <w:tc>
                <w:tcPr>
                  <w:tcW w:w="1650" w:type="dxa"/>
                  <w:gridSpan w:val="2"/>
                  <w:vAlign w:val="center"/>
                </w:tcPr>
                <w:p>
                  <w:pPr>
                    <w:tabs>
                      <w:tab w:val="left" w:pos="4602"/>
                    </w:tabs>
                    <w:jc w:val="center"/>
                    <w:rPr>
                      <w:bCs/>
                      <w:szCs w:val="21"/>
                    </w:rPr>
                  </w:pPr>
                  <w:r>
                    <w:rPr>
                      <w:bCs/>
                      <w:szCs w:val="21"/>
                    </w:rPr>
                    <w:t>消毒</w:t>
                  </w:r>
                  <w:r>
                    <w:rPr>
                      <w:rFonts w:hint="eastAsia"/>
                      <w:bCs/>
                      <w:szCs w:val="21"/>
                    </w:rPr>
                    <w:t>杀菌</w:t>
                  </w:r>
                  <w:r>
                    <w:rPr>
                      <w:bCs/>
                      <w:szCs w:val="21"/>
                    </w:rPr>
                    <w:t>剂</w:t>
                  </w:r>
                </w:p>
              </w:tc>
              <w:tc>
                <w:tcPr>
                  <w:tcW w:w="1629" w:type="dxa"/>
                  <w:vAlign w:val="center"/>
                </w:tcPr>
                <w:p>
                  <w:pPr>
                    <w:tabs>
                      <w:tab w:val="left" w:pos="4602"/>
                    </w:tabs>
                    <w:jc w:val="center"/>
                    <w:rPr>
                      <w:bCs/>
                      <w:szCs w:val="21"/>
                    </w:rPr>
                  </w:pPr>
                  <w:r>
                    <w:rPr>
                      <w:rFonts w:hint="eastAsia"/>
                      <w:bCs/>
                      <w:szCs w:val="21"/>
                      <w:lang w:val="en-US" w:eastAsia="zh-CN"/>
                    </w:rPr>
                    <w:t>80</w:t>
                  </w:r>
                  <w:r>
                    <w:rPr>
                      <w:rFonts w:hint="eastAsia"/>
                      <w:bCs/>
                      <w:szCs w:val="21"/>
                    </w:rPr>
                    <w:t>L</w:t>
                  </w:r>
                </w:p>
              </w:tc>
              <w:tc>
                <w:tcPr>
                  <w:tcW w:w="1629" w:type="dxa"/>
                  <w:vAlign w:val="center"/>
                </w:tcPr>
                <w:p>
                  <w:pPr>
                    <w:tabs>
                      <w:tab w:val="left" w:pos="4602"/>
                    </w:tabs>
                    <w:jc w:val="center"/>
                    <w:rPr>
                      <w:bCs/>
                      <w:szCs w:val="21"/>
                    </w:rPr>
                  </w:pPr>
                  <w:r>
                    <w:rPr>
                      <w:rFonts w:hint="eastAsia"/>
                      <w:bCs/>
                      <w:szCs w:val="21"/>
                      <w:lang w:val="en-US" w:eastAsia="zh-CN"/>
                    </w:rPr>
                    <w:t>16</w:t>
                  </w:r>
                  <w:r>
                    <w:rPr>
                      <w:rFonts w:hint="eastAsia"/>
                      <w:bCs/>
                      <w:szCs w:val="21"/>
                    </w:rPr>
                    <w:t>L</w:t>
                  </w:r>
                </w:p>
              </w:tc>
              <w:tc>
                <w:tcPr>
                  <w:tcW w:w="1629" w:type="dxa"/>
                  <w:vAlign w:val="center"/>
                </w:tcPr>
                <w:p>
                  <w:pPr>
                    <w:tabs>
                      <w:tab w:val="left" w:pos="4602"/>
                    </w:tabs>
                    <w:jc w:val="center"/>
                    <w:rPr>
                      <w:bCs/>
                      <w:szCs w:val="21"/>
                    </w:rPr>
                  </w:pPr>
                  <w:r>
                    <w:rPr>
                      <w:rFonts w:hint="eastAsia"/>
                      <w:bCs/>
                      <w:szCs w:val="21"/>
                      <w:lang w:val="en-US" w:eastAsia="zh-CN"/>
                    </w:rPr>
                    <w:t>96</w:t>
                  </w:r>
                  <w:r>
                    <w:rPr>
                      <w:rFonts w:hint="eastAsia"/>
                      <w:bCs/>
                      <w:szCs w:val="21"/>
                    </w:rPr>
                    <w:t>L</w:t>
                  </w:r>
                </w:p>
              </w:tc>
            </w:tr>
          </w:tbl>
          <w:p>
            <w:pPr>
              <w:spacing w:line="360" w:lineRule="auto"/>
              <w:rPr>
                <w:b/>
                <w:sz w:val="24"/>
              </w:rPr>
            </w:pPr>
            <w:r>
              <w:rPr>
                <w:b/>
                <w:sz w:val="24"/>
              </w:rPr>
              <w:t>6、主要设备</w:t>
            </w:r>
          </w:p>
          <w:p>
            <w:pPr>
              <w:snapToGrid w:val="0"/>
              <w:spacing w:line="360" w:lineRule="auto"/>
              <w:ind w:firstLine="480" w:firstLineChars="200"/>
              <w:contextualSpacing/>
              <w:jc w:val="left"/>
              <w:rPr>
                <w:b/>
                <w:szCs w:val="21"/>
              </w:rPr>
            </w:pPr>
            <w:r>
              <w:rPr>
                <w:sz w:val="24"/>
              </w:rPr>
              <w:t>本项目主要生产设备具体见下表2-6。</w:t>
            </w:r>
          </w:p>
          <w:p>
            <w:pPr>
              <w:snapToGrid w:val="0"/>
              <w:contextualSpacing/>
              <w:jc w:val="center"/>
              <w:rPr>
                <w:b/>
                <w:szCs w:val="21"/>
              </w:rPr>
            </w:pPr>
            <w:r>
              <w:rPr>
                <w:b/>
                <w:szCs w:val="21"/>
              </w:rPr>
              <w:t>表2-6主要设备一览表</w:t>
            </w:r>
          </w:p>
          <w:tbl>
            <w:tblPr>
              <w:tblStyle w:val="27"/>
              <w:tblW w:w="7497" w:type="dxa"/>
              <w:tblInd w:w="0" w:type="dxa"/>
              <w:tblLayout w:type="fixed"/>
              <w:tblCellMar>
                <w:top w:w="15" w:type="dxa"/>
                <w:left w:w="108" w:type="dxa"/>
                <w:bottom w:w="15" w:type="dxa"/>
                <w:right w:w="108" w:type="dxa"/>
              </w:tblCellMar>
            </w:tblPr>
            <w:tblGrid>
              <w:gridCol w:w="687"/>
              <w:gridCol w:w="2355"/>
              <w:gridCol w:w="1161"/>
              <w:gridCol w:w="1050"/>
              <w:gridCol w:w="2244"/>
            </w:tblGrid>
            <w:tr>
              <w:tblPrEx>
                <w:tblCellMar>
                  <w:top w:w="15" w:type="dxa"/>
                  <w:left w:w="108" w:type="dxa"/>
                  <w:bottom w:w="15" w:type="dxa"/>
                  <w:right w:w="108" w:type="dxa"/>
                </w:tblCellMar>
              </w:tblPrEx>
              <w:trPr>
                <w:trHeight w:val="340" w:hRule="atLeast"/>
              </w:trPr>
              <w:tc>
                <w:tcPr>
                  <w:tcW w:w="687" w:type="dxa"/>
                  <w:tcBorders>
                    <w:top w:val="single" w:color="000000" w:sz="4" w:space="0"/>
                    <w:left w:val="single" w:color="000000" w:sz="4" w:space="0"/>
                    <w:bottom w:val="single" w:color="000000" w:sz="4" w:space="0"/>
                    <w:right w:val="single" w:color="000000" w:sz="4" w:space="0"/>
                  </w:tcBorders>
                  <w:vAlign w:val="center"/>
                </w:tcPr>
                <w:p>
                  <w:pPr>
                    <w:jc w:val="center"/>
                    <w:rPr>
                      <w:b/>
                      <w:bCs/>
                      <w:kern w:val="0"/>
                      <w:szCs w:val="21"/>
                    </w:rPr>
                  </w:pPr>
                  <w:r>
                    <w:rPr>
                      <w:b/>
                      <w:bCs/>
                      <w:kern w:val="0"/>
                      <w:szCs w:val="21"/>
                    </w:rPr>
                    <w:t>编号</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rPr>
                      <w:b/>
                      <w:bCs/>
                      <w:kern w:val="0"/>
                      <w:szCs w:val="21"/>
                    </w:rPr>
                  </w:pPr>
                  <w:r>
                    <w:rPr>
                      <w:b/>
                      <w:bCs/>
                      <w:kern w:val="0"/>
                      <w:szCs w:val="21"/>
                    </w:rPr>
                    <w:t>名称及规格</w:t>
                  </w:r>
                </w:p>
              </w:tc>
              <w:tc>
                <w:tcPr>
                  <w:tcW w:w="1161" w:type="dxa"/>
                  <w:tcBorders>
                    <w:top w:val="single" w:color="000000" w:sz="4" w:space="0"/>
                    <w:left w:val="single" w:color="000000" w:sz="4" w:space="0"/>
                    <w:bottom w:val="single" w:color="000000" w:sz="4" w:space="0"/>
                    <w:right w:val="single" w:color="000000" w:sz="4" w:space="0"/>
                  </w:tcBorders>
                  <w:vAlign w:val="center"/>
                </w:tcPr>
                <w:p>
                  <w:pPr>
                    <w:jc w:val="center"/>
                    <w:rPr>
                      <w:b/>
                      <w:bCs/>
                      <w:kern w:val="0"/>
                      <w:szCs w:val="21"/>
                    </w:rPr>
                  </w:pPr>
                  <w:r>
                    <w:rPr>
                      <w:b/>
                      <w:bCs/>
                      <w:kern w:val="0"/>
                      <w:szCs w:val="21"/>
                    </w:rPr>
                    <w:t>单位</w:t>
                  </w:r>
                </w:p>
              </w:tc>
              <w:tc>
                <w:tcPr>
                  <w:tcW w:w="1050" w:type="dxa"/>
                  <w:tcBorders>
                    <w:top w:val="single" w:color="000000" w:sz="4" w:space="0"/>
                    <w:left w:val="single" w:color="000000" w:sz="4" w:space="0"/>
                    <w:bottom w:val="single" w:color="000000" w:sz="4" w:space="0"/>
                    <w:right w:val="single" w:color="auto" w:sz="4" w:space="0"/>
                  </w:tcBorders>
                  <w:vAlign w:val="center"/>
                </w:tcPr>
                <w:p>
                  <w:pPr>
                    <w:jc w:val="center"/>
                    <w:rPr>
                      <w:b/>
                      <w:bCs/>
                      <w:kern w:val="0"/>
                      <w:szCs w:val="21"/>
                    </w:rPr>
                  </w:pPr>
                  <w:r>
                    <w:rPr>
                      <w:b/>
                      <w:bCs/>
                      <w:kern w:val="0"/>
                      <w:szCs w:val="21"/>
                    </w:rPr>
                    <w:t>数量</w:t>
                  </w:r>
                </w:p>
              </w:tc>
              <w:tc>
                <w:tcPr>
                  <w:tcW w:w="2244" w:type="dxa"/>
                  <w:tcBorders>
                    <w:top w:val="single" w:color="000000" w:sz="4" w:space="0"/>
                    <w:left w:val="single" w:color="000000" w:sz="4" w:space="0"/>
                    <w:bottom w:val="single" w:color="000000" w:sz="4" w:space="0"/>
                    <w:right w:val="single" w:color="auto" w:sz="4" w:space="0"/>
                  </w:tcBorders>
                  <w:vAlign w:val="center"/>
                </w:tcPr>
                <w:p>
                  <w:pPr>
                    <w:jc w:val="center"/>
                    <w:rPr>
                      <w:b/>
                      <w:bCs/>
                      <w:kern w:val="0"/>
                      <w:szCs w:val="21"/>
                    </w:rPr>
                  </w:pPr>
                  <w:r>
                    <w:rPr>
                      <w:rFonts w:hint="eastAsia"/>
                      <w:b/>
                      <w:bCs/>
                      <w:kern w:val="0"/>
                      <w:szCs w:val="21"/>
                    </w:rPr>
                    <w:t>新购/原有</w:t>
                  </w:r>
                </w:p>
              </w:tc>
            </w:tr>
            <w:tr>
              <w:tblPrEx>
                <w:tblCellMar>
                  <w:top w:w="15" w:type="dxa"/>
                  <w:left w:w="108" w:type="dxa"/>
                  <w:bottom w:w="15" w:type="dxa"/>
                  <w:right w:w="108" w:type="dxa"/>
                </w:tblCellMar>
              </w:tblPrEx>
              <w:trPr>
                <w:trHeight w:val="285" w:hRule="atLeast"/>
              </w:trPr>
              <w:tc>
                <w:tcPr>
                  <w:tcW w:w="687"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kern w:val="0"/>
                      <w:szCs w:val="21"/>
                    </w:rPr>
                    <w:t>1</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全自动血球仪</w:t>
                  </w:r>
                </w:p>
              </w:tc>
              <w:tc>
                <w:tcPr>
                  <w:tcW w:w="1161" w:type="dxa"/>
                  <w:tcBorders>
                    <w:top w:val="single" w:color="000000" w:sz="4" w:space="0"/>
                    <w:left w:val="single" w:color="000000" w:sz="4" w:space="0"/>
                    <w:bottom w:val="single" w:color="000000" w:sz="4" w:space="0"/>
                    <w:right w:val="single" w:color="000000" w:sz="4" w:space="0"/>
                  </w:tcBorders>
                </w:tcPr>
                <w:p>
                  <w:pPr>
                    <w:jc w:val="center"/>
                    <w:rPr>
                      <w:kern w:val="0"/>
                      <w:szCs w:val="21"/>
                    </w:rPr>
                  </w:pPr>
                  <w:r>
                    <w:rPr>
                      <w:kern w:val="0"/>
                      <w:szCs w:val="21"/>
                    </w:rPr>
                    <w:t>台</w:t>
                  </w:r>
                </w:p>
              </w:tc>
              <w:tc>
                <w:tcPr>
                  <w:tcW w:w="1050" w:type="dxa"/>
                  <w:tcBorders>
                    <w:top w:val="single" w:color="000000" w:sz="4" w:space="0"/>
                    <w:left w:val="single" w:color="000000" w:sz="4" w:space="0"/>
                    <w:bottom w:val="single" w:color="000000" w:sz="4" w:space="0"/>
                    <w:right w:val="single" w:color="auto" w:sz="4" w:space="0"/>
                  </w:tcBorders>
                  <w:vAlign w:val="center"/>
                </w:tcPr>
                <w:p>
                  <w:pPr>
                    <w:jc w:val="center"/>
                    <w:rPr>
                      <w:kern w:val="0"/>
                      <w:szCs w:val="21"/>
                    </w:rPr>
                  </w:pPr>
                  <w:r>
                    <w:rPr>
                      <w:kern w:val="0"/>
                      <w:szCs w:val="21"/>
                    </w:rPr>
                    <w:t>1</w:t>
                  </w:r>
                </w:p>
              </w:tc>
              <w:tc>
                <w:tcPr>
                  <w:tcW w:w="2244" w:type="dxa"/>
                  <w:tcBorders>
                    <w:top w:val="single" w:color="000000" w:sz="4" w:space="0"/>
                    <w:left w:val="single" w:color="000000" w:sz="4" w:space="0"/>
                    <w:bottom w:val="single" w:color="000000" w:sz="4" w:space="0"/>
                    <w:right w:val="single" w:color="auto" w:sz="4" w:space="0"/>
                  </w:tcBorders>
                  <w:vAlign w:val="center"/>
                </w:tcPr>
                <w:p>
                  <w:pPr>
                    <w:jc w:val="center"/>
                    <w:rPr>
                      <w:kern w:val="0"/>
                      <w:szCs w:val="21"/>
                    </w:rPr>
                  </w:pPr>
                  <w:r>
                    <w:rPr>
                      <w:rFonts w:hint="eastAsia"/>
                      <w:kern w:val="0"/>
                      <w:szCs w:val="21"/>
                    </w:rPr>
                    <w:t>原有</w:t>
                  </w:r>
                </w:p>
              </w:tc>
            </w:tr>
            <w:tr>
              <w:tblPrEx>
                <w:tblCellMar>
                  <w:top w:w="15" w:type="dxa"/>
                  <w:left w:w="108" w:type="dxa"/>
                  <w:bottom w:w="15" w:type="dxa"/>
                  <w:right w:w="108" w:type="dxa"/>
                </w:tblCellMar>
              </w:tblPrEx>
              <w:trPr>
                <w:trHeight w:val="285" w:hRule="atLeast"/>
              </w:trPr>
              <w:tc>
                <w:tcPr>
                  <w:tcW w:w="687"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kern w:val="0"/>
                      <w:szCs w:val="21"/>
                    </w:rPr>
                    <w:t>2</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全自动生化仪</w:t>
                  </w:r>
                </w:p>
              </w:tc>
              <w:tc>
                <w:tcPr>
                  <w:tcW w:w="1161" w:type="dxa"/>
                  <w:tcBorders>
                    <w:top w:val="single" w:color="000000" w:sz="4" w:space="0"/>
                    <w:left w:val="single" w:color="000000" w:sz="4" w:space="0"/>
                    <w:bottom w:val="single" w:color="000000" w:sz="4" w:space="0"/>
                    <w:right w:val="single" w:color="000000" w:sz="4" w:space="0"/>
                  </w:tcBorders>
                </w:tcPr>
                <w:p>
                  <w:pPr>
                    <w:jc w:val="center"/>
                    <w:rPr>
                      <w:kern w:val="0"/>
                      <w:szCs w:val="21"/>
                    </w:rPr>
                  </w:pPr>
                  <w:r>
                    <w:rPr>
                      <w:kern w:val="0"/>
                      <w:szCs w:val="21"/>
                    </w:rPr>
                    <w:t>台</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1</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原有</w:t>
                  </w:r>
                </w:p>
              </w:tc>
            </w:tr>
            <w:tr>
              <w:tblPrEx>
                <w:tblCellMar>
                  <w:top w:w="15" w:type="dxa"/>
                  <w:left w:w="108" w:type="dxa"/>
                  <w:bottom w:w="15" w:type="dxa"/>
                  <w:right w:w="108" w:type="dxa"/>
                </w:tblCellMar>
              </w:tblPrEx>
              <w:trPr>
                <w:trHeight w:val="285" w:hRule="atLeast"/>
              </w:trPr>
              <w:tc>
                <w:tcPr>
                  <w:tcW w:w="687"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kern w:val="0"/>
                      <w:szCs w:val="21"/>
                    </w:rPr>
                    <w:t>3</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X光机</w:t>
                  </w:r>
                </w:p>
              </w:tc>
              <w:tc>
                <w:tcPr>
                  <w:tcW w:w="1161" w:type="dxa"/>
                  <w:tcBorders>
                    <w:top w:val="single" w:color="000000" w:sz="4" w:space="0"/>
                    <w:left w:val="single" w:color="000000" w:sz="4" w:space="0"/>
                    <w:bottom w:val="single" w:color="000000" w:sz="4" w:space="0"/>
                    <w:right w:val="single" w:color="000000" w:sz="4" w:space="0"/>
                  </w:tcBorders>
                </w:tcPr>
                <w:p>
                  <w:pPr>
                    <w:jc w:val="center"/>
                    <w:rPr>
                      <w:kern w:val="0"/>
                      <w:szCs w:val="21"/>
                    </w:rPr>
                  </w:pPr>
                  <w:r>
                    <w:rPr>
                      <w:kern w:val="0"/>
                      <w:szCs w:val="21"/>
                    </w:rPr>
                    <w:t>台</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kern w:val="0"/>
                      <w:szCs w:val="21"/>
                    </w:rPr>
                    <w:t>1</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原有</w:t>
                  </w:r>
                </w:p>
              </w:tc>
            </w:tr>
            <w:tr>
              <w:tblPrEx>
                <w:tblCellMar>
                  <w:top w:w="15" w:type="dxa"/>
                  <w:left w:w="108" w:type="dxa"/>
                  <w:bottom w:w="15" w:type="dxa"/>
                  <w:right w:w="108" w:type="dxa"/>
                </w:tblCellMar>
              </w:tblPrEx>
              <w:trPr>
                <w:trHeight w:val="285" w:hRule="atLeast"/>
              </w:trPr>
              <w:tc>
                <w:tcPr>
                  <w:tcW w:w="687"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4</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心电图机</w:t>
                  </w:r>
                </w:p>
              </w:tc>
              <w:tc>
                <w:tcPr>
                  <w:tcW w:w="1161" w:type="dxa"/>
                  <w:tcBorders>
                    <w:top w:val="single" w:color="000000" w:sz="4" w:space="0"/>
                    <w:left w:val="single" w:color="000000" w:sz="4" w:space="0"/>
                    <w:bottom w:val="single" w:color="000000" w:sz="4" w:space="0"/>
                    <w:right w:val="single" w:color="000000" w:sz="4" w:space="0"/>
                  </w:tcBorders>
                </w:tcPr>
                <w:p>
                  <w:pPr>
                    <w:jc w:val="center"/>
                    <w:rPr>
                      <w:kern w:val="0"/>
                      <w:szCs w:val="21"/>
                    </w:rPr>
                  </w:pPr>
                  <w:r>
                    <w:rPr>
                      <w:kern w:val="0"/>
                      <w:szCs w:val="21"/>
                    </w:rPr>
                    <w:t>台</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1</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center"/>
                    <w:rPr>
                      <w:b/>
                      <w:bCs/>
                      <w:kern w:val="0"/>
                      <w:szCs w:val="21"/>
                    </w:rPr>
                  </w:pPr>
                  <w:r>
                    <w:rPr>
                      <w:rFonts w:hint="eastAsia"/>
                      <w:kern w:val="0"/>
                      <w:szCs w:val="21"/>
                    </w:rPr>
                    <w:t>原有</w:t>
                  </w:r>
                </w:p>
              </w:tc>
            </w:tr>
            <w:tr>
              <w:tblPrEx>
                <w:tblCellMar>
                  <w:top w:w="15" w:type="dxa"/>
                  <w:left w:w="108" w:type="dxa"/>
                  <w:bottom w:w="15" w:type="dxa"/>
                  <w:right w:w="108" w:type="dxa"/>
                </w:tblCellMar>
              </w:tblPrEx>
              <w:trPr>
                <w:trHeight w:val="285" w:hRule="atLeast"/>
              </w:trPr>
              <w:tc>
                <w:tcPr>
                  <w:tcW w:w="687"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5</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心电监护仪</w:t>
                  </w:r>
                </w:p>
              </w:tc>
              <w:tc>
                <w:tcPr>
                  <w:tcW w:w="1161" w:type="dxa"/>
                  <w:tcBorders>
                    <w:top w:val="single" w:color="000000" w:sz="4" w:space="0"/>
                    <w:left w:val="single" w:color="000000" w:sz="4" w:space="0"/>
                    <w:bottom w:val="single" w:color="000000" w:sz="4" w:space="0"/>
                    <w:right w:val="single" w:color="000000" w:sz="4" w:space="0"/>
                  </w:tcBorders>
                </w:tcPr>
                <w:p>
                  <w:pPr>
                    <w:jc w:val="center"/>
                    <w:rPr>
                      <w:kern w:val="0"/>
                      <w:szCs w:val="21"/>
                    </w:rPr>
                  </w:pPr>
                  <w:r>
                    <w:rPr>
                      <w:kern w:val="0"/>
                      <w:szCs w:val="21"/>
                    </w:rPr>
                    <w:t>台</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1</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center"/>
                    <w:rPr>
                      <w:b/>
                      <w:bCs/>
                      <w:kern w:val="0"/>
                      <w:szCs w:val="21"/>
                    </w:rPr>
                  </w:pPr>
                  <w:r>
                    <w:rPr>
                      <w:rFonts w:hint="eastAsia"/>
                      <w:kern w:val="0"/>
                      <w:szCs w:val="21"/>
                    </w:rPr>
                    <w:t>原有</w:t>
                  </w:r>
                </w:p>
              </w:tc>
            </w:tr>
            <w:tr>
              <w:tblPrEx>
                <w:tblCellMar>
                  <w:top w:w="15" w:type="dxa"/>
                  <w:left w:w="108" w:type="dxa"/>
                  <w:bottom w:w="15" w:type="dxa"/>
                  <w:right w:w="108" w:type="dxa"/>
                </w:tblCellMar>
              </w:tblPrEx>
              <w:trPr>
                <w:trHeight w:val="285" w:hRule="atLeast"/>
              </w:trPr>
              <w:tc>
                <w:tcPr>
                  <w:tcW w:w="687"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6</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牵引床</w:t>
                  </w:r>
                </w:p>
              </w:tc>
              <w:tc>
                <w:tcPr>
                  <w:tcW w:w="1161" w:type="dxa"/>
                  <w:tcBorders>
                    <w:top w:val="single" w:color="000000" w:sz="4" w:space="0"/>
                    <w:left w:val="single" w:color="000000" w:sz="4" w:space="0"/>
                    <w:bottom w:val="single" w:color="000000" w:sz="4" w:space="0"/>
                    <w:right w:val="single" w:color="000000" w:sz="4" w:space="0"/>
                  </w:tcBorders>
                </w:tcPr>
                <w:p>
                  <w:pPr>
                    <w:jc w:val="center"/>
                    <w:rPr>
                      <w:kern w:val="0"/>
                      <w:szCs w:val="21"/>
                    </w:rPr>
                  </w:pPr>
                  <w:r>
                    <w:rPr>
                      <w:kern w:val="0"/>
                      <w:szCs w:val="21"/>
                    </w:rPr>
                    <w:t>台</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1</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center"/>
                    <w:rPr>
                      <w:b/>
                      <w:bCs/>
                      <w:kern w:val="0"/>
                      <w:szCs w:val="21"/>
                    </w:rPr>
                  </w:pPr>
                  <w:r>
                    <w:rPr>
                      <w:rFonts w:hint="eastAsia"/>
                      <w:kern w:val="0"/>
                      <w:szCs w:val="21"/>
                    </w:rPr>
                    <w:t>原有</w:t>
                  </w:r>
                </w:p>
              </w:tc>
            </w:tr>
            <w:tr>
              <w:tblPrEx>
                <w:tblCellMar>
                  <w:top w:w="15" w:type="dxa"/>
                  <w:left w:w="108" w:type="dxa"/>
                  <w:bottom w:w="15" w:type="dxa"/>
                  <w:right w:w="108" w:type="dxa"/>
                </w:tblCellMar>
              </w:tblPrEx>
              <w:trPr>
                <w:trHeight w:val="285" w:hRule="atLeast"/>
              </w:trPr>
              <w:tc>
                <w:tcPr>
                  <w:tcW w:w="687"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7</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全自动煎药机</w:t>
                  </w:r>
                </w:p>
              </w:tc>
              <w:tc>
                <w:tcPr>
                  <w:tcW w:w="1161" w:type="dxa"/>
                  <w:tcBorders>
                    <w:top w:val="single" w:color="000000" w:sz="4" w:space="0"/>
                    <w:left w:val="single" w:color="000000" w:sz="4" w:space="0"/>
                    <w:bottom w:val="single" w:color="000000" w:sz="4" w:space="0"/>
                    <w:right w:val="single" w:color="000000" w:sz="4" w:space="0"/>
                  </w:tcBorders>
                </w:tcPr>
                <w:p>
                  <w:pPr>
                    <w:jc w:val="center"/>
                    <w:rPr>
                      <w:kern w:val="0"/>
                      <w:szCs w:val="21"/>
                    </w:rPr>
                  </w:pPr>
                  <w:r>
                    <w:rPr>
                      <w:kern w:val="0"/>
                      <w:szCs w:val="21"/>
                    </w:rPr>
                    <w:t>台</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1</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center"/>
                    <w:rPr>
                      <w:b/>
                      <w:bCs/>
                      <w:kern w:val="0"/>
                      <w:szCs w:val="21"/>
                    </w:rPr>
                  </w:pPr>
                  <w:r>
                    <w:rPr>
                      <w:rFonts w:hint="eastAsia"/>
                      <w:kern w:val="0"/>
                      <w:szCs w:val="21"/>
                    </w:rPr>
                    <w:t>原有</w:t>
                  </w:r>
                </w:p>
              </w:tc>
            </w:tr>
            <w:tr>
              <w:tblPrEx>
                <w:tblCellMar>
                  <w:top w:w="15" w:type="dxa"/>
                  <w:left w:w="108" w:type="dxa"/>
                  <w:bottom w:w="15" w:type="dxa"/>
                  <w:right w:w="108" w:type="dxa"/>
                </w:tblCellMar>
              </w:tblPrEx>
              <w:trPr>
                <w:trHeight w:val="285" w:hRule="atLeast"/>
              </w:trPr>
              <w:tc>
                <w:tcPr>
                  <w:tcW w:w="687"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8</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全自动制水机</w:t>
                  </w:r>
                </w:p>
              </w:tc>
              <w:tc>
                <w:tcPr>
                  <w:tcW w:w="1161" w:type="dxa"/>
                  <w:tcBorders>
                    <w:top w:val="single" w:color="000000" w:sz="4" w:space="0"/>
                    <w:left w:val="single" w:color="000000" w:sz="4" w:space="0"/>
                    <w:bottom w:val="single" w:color="000000" w:sz="4" w:space="0"/>
                    <w:right w:val="single" w:color="000000" w:sz="4" w:space="0"/>
                  </w:tcBorders>
                </w:tcPr>
                <w:p>
                  <w:pPr>
                    <w:jc w:val="center"/>
                    <w:rPr>
                      <w:kern w:val="0"/>
                      <w:szCs w:val="21"/>
                    </w:rPr>
                  </w:pPr>
                  <w:r>
                    <w:rPr>
                      <w:kern w:val="0"/>
                      <w:szCs w:val="21"/>
                    </w:rPr>
                    <w:t>台</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1</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center"/>
                    <w:rPr>
                      <w:b/>
                      <w:bCs/>
                      <w:kern w:val="0"/>
                      <w:szCs w:val="21"/>
                    </w:rPr>
                  </w:pPr>
                  <w:r>
                    <w:rPr>
                      <w:rFonts w:hint="eastAsia"/>
                      <w:kern w:val="0"/>
                      <w:szCs w:val="21"/>
                    </w:rPr>
                    <w:t>原有</w:t>
                  </w:r>
                </w:p>
              </w:tc>
            </w:tr>
            <w:tr>
              <w:tblPrEx>
                <w:tblCellMar>
                  <w:top w:w="15" w:type="dxa"/>
                  <w:left w:w="108" w:type="dxa"/>
                  <w:bottom w:w="15" w:type="dxa"/>
                  <w:right w:w="108" w:type="dxa"/>
                </w:tblCellMar>
              </w:tblPrEx>
              <w:trPr>
                <w:trHeight w:val="285" w:hRule="atLeast"/>
              </w:trPr>
              <w:tc>
                <w:tcPr>
                  <w:tcW w:w="687"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9</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彩色</w:t>
                  </w:r>
                  <w:r>
                    <w:rPr>
                      <w:kern w:val="0"/>
                      <w:szCs w:val="21"/>
                    </w:rPr>
                    <w:t>B</w:t>
                  </w:r>
                  <w:r>
                    <w:rPr>
                      <w:rFonts w:hint="eastAsia"/>
                      <w:kern w:val="0"/>
                      <w:szCs w:val="21"/>
                    </w:rPr>
                    <w:t>超机</w:t>
                  </w:r>
                </w:p>
              </w:tc>
              <w:tc>
                <w:tcPr>
                  <w:tcW w:w="1161" w:type="dxa"/>
                  <w:tcBorders>
                    <w:top w:val="single" w:color="000000" w:sz="4" w:space="0"/>
                    <w:left w:val="single" w:color="000000" w:sz="4" w:space="0"/>
                    <w:bottom w:val="single" w:color="000000" w:sz="4" w:space="0"/>
                    <w:right w:val="single" w:color="000000" w:sz="4" w:space="0"/>
                  </w:tcBorders>
                </w:tcPr>
                <w:p>
                  <w:pPr>
                    <w:jc w:val="center"/>
                    <w:rPr>
                      <w:kern w:val="0"/>
                      <w:szCs w:val="21"/>
                    </w:rPr>
                  </w:pPr>
                  <w:r>
                    <w:rPr>
                      <w:rFonts w:hint="eastAsia"/>
                      <w:kern w:val="0"/>
                      <w:szCs w:val="21"/>
                    </w:rPr>
                    <w:t>台</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2</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center"/>
                    <w:rPr>
                      <w:b/>
                      <w:bCs/>
                      <w:kern w:val="0"/>
                      <w:szCs w:val="21"/>
                    </w:rPr>
                  </w:pPr>
                  <w:r>
                    <w:rPr>
                      <w:rFonts w:hint="eastAsia"/>
                      <w:kern w:val="0"/>
                      <w:szCs w:val="21"/>
                    </w:rPr>
                    <w:t>原有</w:t>
                  </w:r>
                </w:p>
              </w:tc>
            </w:tr>
            <w:tr>
              <w:tblPrEx>
                <w:tblCellMar>
                  <w:top w:w="15" w:type="dxa"/>
                  <w:left w:w="108" w:type="dxa"/>
                  <w:bottom w:w="15" w:type="dxa"/>
                  <w:right w:w="108" w:type="dxa"/>
                </w:tblCellMar>
              </w:tblPrEx>
              <w:trPr>
                <w:trHeight w:val="285" w:hRule="atLeast"/>
              </w:trPr>
              <w:tc>
                <w:tcPr>
                  <w:tcW w:w="687"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10</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DR摄影系统</w:t>
                  </w:r>
                </w:p>
              </w:tc>
              <w:tc>
                <w:tcPr>
                  <w:tcW w:w="1161" w:type="dxa"/>
                  <w:tcBorders>
                    <w:top w:val="single" w:color="000000" w:sz="4" w:space="0"/>
                    <w:left w:val="single" w:color="000000" w:sz="4" w:space="0"/>
                    <w:bottom w:val="single" w:color="000000" w:sz="4" w:space="0"/>
                    <w:right w:val="single" w:color="000000" w:sz="4" w:space="0"/>
                  </w:tcBorders>
                </w:tcPr>
                <w:p>
                  <w:pPr>
                    <w:jc w:val="center"/>
                    <w:rPr>
                      <w:kern w:val="0"/>
                      <w:szCs w:val="21"/>
                    </w:rPr>
                  </w:pPr>
                  <w:r>
                    <w:rPr>
                      <w:rFonts w:hint="eastAsia"/>
                      <w:kern w:val="0"/>
                      <w:szCs w:val="21"/>
                    </w:rPr>
                    <w:t>套</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1</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原有</w:t>
                  </w:r>
                </w:p>
              </w:tc>
            </w:tr>
            <w:tr>
              <w:tblPrEx>
                <w:tblCellMar>
                  <w:top w:w="15" w:type="dxa"/>
                  <w:left w:w="108" w:type="dxa"/>
                  <w:bottom w:w="15" w:type="dxa"/>
                  <w:right w:w="108" w:type="dxa"/>
                </w:tblCellMar>
              </w:tblPrEx>
              <w:trPr>
                <w:trHeight w:val="285" w:hRule="atLeast"/>
              </w:trPr>
              <w:tc>
                <w:tcPr>
                  <w:tcW w:w="687"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11</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IMS电解质分析仪</w:t>
                  </w:r>
                </w:p>
              </w:tc>
              <w:tc>
                <w:tcPr>
                  <w:tcW w:w="1161" w:type="dxa"/>
                  <w:tcBorders>
                    <w:top w:val="single" w:color="000000" w:sz="4" w:space="0"/>
                    <w:left w:val="single" w:color="000000" w:sz="4" w:space="0"/>
                    <w:bottom w:val="single" w:color="000000" w:sz="4" w:space="0"/>
                    <w:right w:val="single" w:color="000000" w:sz="4" w:space="0"/>
                  </w:tcBorders>
                </w:tcPr>
                <w:p>
                  <w:pPr>
                    <w:jc w:val="center"/>
                    <w:rPr>
                      <w:kern w:val="0"/>
                      <w:szCs w:val="21"/>
                    </w:rPr>
                  </w:pPr>
                  <w:r>
                    <w:rPr>
                      <w:rFonts w:hint="eastAsia"/>
                      <w:kern w:val="0"/>
                      <w:szCs w:val="21"/>
                    </w:rPr>
                    <w:t>台</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1</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原有</w:t>
                  </w:r>
                </w:p>
              </w:tc>
            </w:tr>
            <w:tr>
              <w:tblPrEx>
                <w:tblCellMar>
                  <w:top w:w="15" w:type="dxa"/>
                  <w:left w:w="108" w:type="dxa"/>
                  <w:bottom w:w="15" w:type="dxa"/>
                  <w:right w:w="108" w:type="dxa"/>
                </w:tblCellMar>
              </w:tblPrEx>
              <w:trPr>
                <w:trHeight w:val="285" w:hRule="atLeast"/>
              </w:trPr>
              <w:tc>
                <w:tcPr>
                  <w:tcW w:w="687"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12</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床位</w:t>
                  </w:r>
                </w:p>
              </w:tc>
              <w:tc>
                <w:tcPr>
                  <w:tcW w:w="1161"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个</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kern w:val="0"/>
                      <w:szCs w:val="21"/>
                      <w:lang w:val="en-US" w:eastAsia="zh-CN"/>
                    </w:rPr>
                  </w:pPr>
                  <w:r>
                    <w:rPr>
                      <w:rFonts w:hint="eastAsia"/>
                      <w:kern w:val="0"/>
                      <w:szCs w:val="21"/>
                      <w:lang w:val="en-US" w:eastAsia="zh-CN"/>
                    </w:rPr>
                    <w:t>60</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原有50个床位，新购</w:t>
                  </w:r>
                  <w:r>
                    <w:rPr>
                      <w:rFonts w:hint="eastAsia"/>
                      <w:kern w:val="0"/>
                      <w:szCs w:val="21"/>
                      <w:lang w:val="en-US" w:eastAsia="zh-CN"/>
                    </w:rPr>
                    <w:t>1</w:t>
                  </w:r>
                  <w:r>
                    <w:rPr>
                      <w:rFonts w:hint="eastAsia"/>
                      <w:kern w:val="0"/>
                      <w:szCs w:val="21"/>
                    </w:rPr>
                    <w:t>0个床位</w:t>
                  </w:r>
                </w:p>
              </w:tc>
            </w:tr>
            <w:tr>
              <w:tblPrEx>
                <w:tblCellMar>
                  <w:top w:w="15" w:type="dxa"/>
                  <w:left w:w="108" w:type="dxa"/>
                  <w:bottom w:w="15" w:type="dxa"/>
                  <w:right w:w="108" w:type="dxa"/>
                </w:tblCellMar>
              </w:tblPrEx>
              <w:trPr>
                <w:trHeight w:val="285" w:hRule="atLeast"/>
              </w:trPr>
              <w:tc>
                <w:tcPr>
                  <w:tcW w:w="687"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13</w:t>
                  </w:r>
                </w:p>
              </w:tc>
              <w:tc>
                <w:tcPr>
                  <w:tcW w:w="2355"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备用发电机</w:t>
                  </w:r>
                </w:p>
              </w:tc>
              <w:tc>
                <w:tcPr>
                  <w:tcW w:w="1161" w:type="dxa"/>
                  <w:tcBorders>
                    <w:top w:val="single" w:color="000000" w:sz="4" w:space="0"/>
                    <w:left w:val="single" w:color="000000" w:sz="4" w:space="0"/>
                    <w:bottom w:val="single" w:color="000000" w:sz="4" w:space="0"/>
                    <w:right w:val="single" w:color="000000" w:sz="4" w:space="0"/>
                  </w:tcBorders>
                </w:tcPr>
                <w:p>
                  <w:pPr>
                    <w:jc w:val="center"/>
                    <w:rPr>
                      <w:kern w:val="0"/>
                      <w:szCs w:val="21"/>
                    </w:rPr>
                  </w:pPr>
                  <w:r>
                    <w:rPr>
                      <w:rFonts w:hint="eastAsia"/>
                      <w:kern w:val="0"/>
                      <w:szCs w:val="21"/>
                    </w:rPr>
                    <w:t>台</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1</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rPr>
                  </w:pPr>
                  <w:r>
                    <w:rPr>
                      <w:rFonts w:hint="eastAsia"/>
                      <w:kern w:val="0"/>
                      <w:szCs w:val="21"/>
                    </w:rPr>
                    <w:t>原有</w:t>
                  </w:r>
                </w:p>
              </w:tc>
            </w:tr>
            <w:tr>
              <w:tblPrEx>
                <w:tblCellMar>
                  <w:top w:w="15" w:type="dxa"/>
                  <w:left w:w="108" w:type="dxa"/>
                  <w:bottom w:w="15" w:type="dxa"/>
                  <w:right w:w="108" w:type="dxa"/>
                </w:tblCellMar>
              </w:tblPrEx>
              <w:trPr>
                <w:trHeight w:val="285" w:hRule="atLeast"/>
              </w:trPr>
              <w:tc>
                <w:tcPr>
                  <w:tcW w:w="7497"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hint="eastAsia"/>
                      <w:kern w:val="0"/>
                      <w:szCs w:val="21"/>
                    </w:rPr>
                  </w:pPr>
                  <w:r>
                    <w:rPr>
                      <w:rFonts w:hint="eastAsia"/>
                      <w:kern w:val="0"/>
                      <w:szCs w:val="21"/>
                      <w:u w:val="single"/>
                      <w:lang w:eastAsia="zh-CN"/>
                    </w:rPr>
                    <w:t>备注：本项目不新增辐射类设备和其他设备，仅增设床位，原住院楼的设备继续沿用。</w:t>
                  </w:r>
                </w:p>
              </w:tc>
            </w:tr>
          </w:tbl>
          <w:p>
            <w:pPr>
              <w:spacing w:line="360" w:lineRule="auto"/>
              <w:rPr>
                <w:b/>
                <w:sz w:val="24"/>
              </w:rPr>
            </w:pPr>
            <w:r>
              <w:rPr>
                <w:b/>
                <w:sz w:val="24"/>
              </w:rPr>
              <w:t>7、职工定员、工作制度</w:t>
            </w:r>
          </w:p>
          <w:p>
            <w:pPr>
              <w:spacing w:line="360" w:lineRule="auto"/>
              <w:ind w:firstLine="480" w:firstLineChars="200"/>
              <w:contextualSpacing/>
              <w:rPr>
                <w:sz w:val="24"/>
              </w:rPr>
            </w:pPr>
            <w:r>
              <w:rPr>
                <w:rFonts w:hint="eastAsia"/>
                <w:sz w:val="24"/>
                <w:u w:val="single"/>
              </w:rPr>
              <w:t>卫生院</w:t>
            </w:r>
            <w:r>
              <w:rPr>
                <w:sz w:val="24"/>
                <w:u w:val="single"/>
              </w:rPr>
              <w:t>现有职工</w:t>
            </w:r>
            <w:r>
              <w:rPr>
                <w:rFonts w:hint="eastAsia"/>
                <w:sz w:val="24"/>
                <w:u w:val="single"/>
                <w:lang w:val="en-US" w:eastAsia="zh-CN"/>
              </w:rPr>
              <w:t>30</w:t>
            </w:r>
            <w:r>
              <w:rPr>
                <w:rFonts w:hint="eastAsia"/>
                <w:sz w:val="24"/>
                <w:u w:val="single"/>
              </w:rPr>
              <w:t>人</w:t>
            </w:r>
            <w:r>
              <w:rPr>
                <w:sz w:val="24"/>
                <w:u w:val="single"/>
              </w:rPr>
              <w:t>，年工作日365天，实行轮班制，每天24小时，本项目建成后新增职工</w:t>
            </w:r>
            <w:r>
              <w:rPr>
                <w:rFonts w:hint="eastAsia"/>
                <w:sz w:val="24"/>
                <w:u w:val="single"/>
                <w:lang w:val="en-US" w:eastAsia="zh-CN"/>
              </w:rPr>
              <w:t>10人</w:t>
            </w:r>
            <w:r>
              <w:rPr>
                <w:sz w:val="24"/>
                <w:u w:val="single"/>
              </w:rPr>
              <w:t>。</w:t>
            </w:r>
          </w:p>
          <w:p>
            <w:pPr>
              <w:spacing w:line="360" w:lineRule="auto"/>
              <w:contextualSpacing/>
              <w:rPr>
                <w:b/>
                <w:sz w:val="24"/>
              </w:rPr>
            </w:pPr>
            <w:r>
              <w:rPr>
                <w:b/>
                <w:sz w:val="24"/>
              </w:rPr>
              <w:t>8、总平面布置</w:t>
            </w:r>
          </w:p>
          <w:p>
            <w:pPr>
              <w:spacing w:line="360" w:lineRule="auto"/>
              <w:ind w:firstLine="480" w:firstLineChars="200"/>
              <w:rPr>
                <w:kern w:val="0"/>
                <w:sz w:val="24"/>
              </w:rPr>
            </w:pPr>
            <w:r>
              <w:rPr>
                <w:sz w:val="24"/>
              </w:rPr>
              <w:t>项目</w:t>
            </w:r>
            <w:r>
              <w:rPr>
                <w:rFonts w:hint="eastAsia"/>
                <w:sz w:val="24"/>
                <w:lang w:eastAsia="zh-CN"/>
              </w:rPr>
              <w:t>西侧自北向南依次布设发电机房、杂物间、放射科室、洗衣房和职工食堂（本次环评需要拆除）及医疗废物暂存间，南侧布设住院大楼（现拟计划改成公卫楼和职工宿舍），东侧</w:t>
            </w:r>
            <w:r>
              <w:rPr>
                <w:rFonts w:hint="eastAsia"/>
                <w:sz w:val="24"/>
              </w:rPr>
              <w:t>靠近</w:t>
            </w:r>
            <w:r>
              <w:rPr>
                <w:rFonts w:hint="eastAsia"/>
                <w:sz w:val="24"/>
                <w:lang w:eastAsia="zh-CN"/>
              </w:rPr>
              <w:t>镇区街道</w:t>
            </w:r>
            <w:r>
              <w:rPr>
                <w:rFonts w:hint="eastAsia"/>
                <w:sz w:val="24"/>
              </w:rPr>
              <w:t>布设门诊楼</w:t>
            </w:r>
            <w:r>
              <w:rPr>
                <w:rFonts w:hint="eastAsia"/>
                <w:sz w:val="24"/>
                <w:lang w:eastAsia="zh-CN"/>
              </w:rPr>
              <w:t>（现拟计划拆除）</w:t>
            </w:r>
            <w:r>
              <w:rPr>
                <w:sz w:val="24"/>
              </w:rPr>
              <w:t>，</w:t>
            </w:r>
            <w:r>
              <w:rPr>
                <w:rFonts w:hint="eastAsia"/>
                <w:sz w:val="24"/>
                <w:lang w:eastAsia="zh-CN"/>
              </w:rPr>
              <w:t>中间原有的北侧花坛拆除改扩建成停车场，南侧花坛保留，原有的公卫楼拆除新建一栋</w:t>
            </w:r>
            <w:r>
              <w:rPr>
                <w:rFonts w:hint="eastAsia"/>
                <w:sz w:val="24"/>
                <w:lang w:val="en-US" w:eastAsia="zh-CN"/>
              </w:rPr>
              <w:t>3层的综合门诊住院楼。</w:t>
            </w:r>
            <w:r>
              <w:rPr>
                <w:sz w:val="24"/>
              </w:rPr>
              <w:t>各区域划分明确，总体布局合理。</w:t>
            </w:r>
            <w:r>
              <w:rPr>
                <w:kern w:val="0"/>
                <w:sz w:val="24"/>
              </w:rPr>
              <w:t>厂区平面布置见附图2</w:t>
            </w:r>
            <w:r>
              <w:rPr>
                <w:sz w:val="24"/>
              </w:rPr>
              <w:t>。</w:t>
            </w:r>
          </w:p>
          <w:p>
            <w:pPr>
              <w:snapToGrid w:val="0"/>
              <w:spacing w:line="360" w:lineRule="auto"/>
              <w:contextualSpacing/>
              <w:rPr>
                <w:b/>
                <w:sz w:val="24"/>
                <w:highlight w:val="none"/>
              </w:rPr>
            </w:pPr>
            <w:r>
              <w:rPr>
                <w:b/>
                <w:sz w:val="24"/>
                <w:highlight w:val="none"/>
              </w:rPr>
              <w:t>9、公用工程</w:t>
            </w:r>
          </w:p>
          <w:p>
            <w:pPr>
              <w:spacing w:line="360" w:lineRule="auto"/>
              <w:ind w:left="479" w:leftChars="228"/>
              <w:jc w:val="left"/>
              <w:rPr>
                <w:rFonts w:cs="宋体"/>
                <w:sz w:val="24"/>
              </w:rPr>
            </w:pPr>
            <w:r>
              <w:rPr>
                <w:rFonts w:hint="eastAsia" w:cs="宋体"/>
                <w:sz w:val="24"/>
              </w:rPr>
              <w:t>本项目给水由桃源县</w:t>
            </w:r>
            <w:r>
              <w:rPr>
                <w:rFonts w:hint="eastAsia" w:cs="宋体"/>
                <w:sz w:val="24"/>
                <w:lang w:eastAsia="zh-CN"/>
              </w:rPr>
              <w:t>三阳港镇</w:t>
            </w:r>
            <w:r>
              <w:rPr>
                <w:rFonts w:hint="eastAsia" w:cs="宋体"/>
                <w:sz w:val="24"/>
              </w:rPr>
              <w:t>自来水供水系统提供。项目区域设洗衣房。</w:t>
            </w:r>
          </w:p>
          <w:p>
            <w:pPr>
              <w:spacing w:line="360" w:lineRule="auto"/>
              <w:ind w:firstLine="480" w:firstLineChars="200"/>
              <w:rPr>
                <w:sz w:val="24"/>
              </w:rPr>
            </w:pPr>
            <w:r>
              <w:rPr>
                <w:rFonts w:hint="eastAsia"/>
                <w:sz w:val="24"/>
              </w:rPr>
              <w:t>本项目</w:t>
            </w:r>
            <w:r>
              <w:rPr>
                <w:rFonts w:hint="eastAsia"/>
                <w:sz w:val="24"/>
                <w:lang w:eastAsia="zh-CN"/>
              </w:rPr>
              <w:t>在编</w:t>
            </w:r>
            <w:r>
              <w:rPr>
                <w:rFonts w:hint="eastAsia"/>
                <w:sz w:val="24"/>
              </w:rPr>
              <w:t>床位</w:t>
            </w:r>
            <w:r>
              <w:rPr>
                <w:rFonts w:hint="eastAsia"/>
                <w:sz w:val="24"/>
                <w:lang w:val="en-US" w:eastAsia="zh-CN"/>
              </w:rPr>
              <w:t>6</w:t>
            </w:r>
            <w:r>
              <w:rPr>
                <w:rFonts w:hint="eastAsia"/>
                <w:sz w:val="24"/>
                <w:lang w:eastAsia="zh-CN"/>
              </w:rPr>
              <w:t>0张</w:t>
            </w:r>
            <w:r>
              <w:rPr>
                <w:rFonts w:hint="eastAsia"/>
                <w:sz w:val="24"/>
              </w:rPr>
              <w:t>，</w:t>
            </w:r>
            <w:r>
              <w:rPr>
                <w:rFonts w:hint="eastAsia"/>
                <w:sz w:val="24"/>
                <w:u w:val="single"/>
              </w:rPr>
              <w:t>医务人员</w:t>
            </w:r>
            <w:r>
              <w:rPr>
                <w:rFonts w:hint="eastAsia"/>
                <w:sz w:val="24"/>
                <w:u w:val="single"/>
                <w:lang w:val="en-US" w:eastAsia="zh-CN"/>
              </w:rPr>
              <w:t>40</w:t>
            </w:r>
            <w:r>
              <w:rPr>
                <w:rFonts w:hint="eastAsia"/>
                <w:sz w:val="24"/>
                <w:u w:val="single"/>
              </w:rPr>
              <w:t>人</w:t>
            </w:r>
            <w:r>
              <w:rPr>
                <w:rFonts w:hint="eastAsia"/>
                <w:sz w:val="24"/>
              </w:rPr>
              <w:t>，据建设方介绍门诊人数约</w:t>
            </w:r>
            <w:r>
              <w:rPr>
                <w:rFonts w:hint="eastAsia"/>
                <w:sz w:val="24"/>
                <w:u w:val="single"/>
                <w:lang w:val="en-US" w:eastAsia="zh-CN"/>
              </w:rPr>
              <w:t>40人</w:t>
            </w:r>
            <w:r>
              <w:rPr>
                <w:rFonts w:hint="eastAsia"/>
                <w:sz w:val="24"/>
              </w:rPr>
              <w:t>次/天、参照湖南省地方标准《用水定额》（DB43/T388-20</w:t>
            </w:r>
            <w:r>
              <w:rPr>
                <w:rFonts w:hint="eastAsia"/>
                <w:sz w:val="24"/>
                <w:lang w:val="en-US" w:eastAsia="zh-CN"/>
              </w:rPr>
              <w:t>20</w:t>
            </w:r>
            <w:r>
              <w:rPr>
                <w:rFonts w:hint="eastAsia"/>
                <w:sz w:val="24"/>
              </w:rPr>
              <w:t>）和《建筑给水排水设计规范（2009年版）》（GB50015-2003）、《医院污水处理技术指南》环发【2003】197号，确定本项目日用排水量。具体如下：</w:t>
            </w:r>
          </w:p>
          <w:p>
            <w:pPr>
              <w:widowControl/>
              <w:spacing w:line="360" w:lineRule="auto"/>
              <w:ind w:firstLine="480" w:firstLineChars="200"/>
              <w:jc w:val="left"/>
            </w:pPr>
            <w:r>
              <w:rPr>
                <w:rFonts w:hint="eastAsia" w:ascii="宋体" w:hAnsi="宋体" w:cs="宋体"/>
                <w:color w:val="000000"/>
                <w:kern w:val="0"/>
                <w:sz w:val="24"/>
                <w:lang w:bidi="ar"/>
              </w:rPr>
              <w:t>①生活污水</w:t>
            </w:r>
          </w:p>
          <w:p>
            <w:pPr>
              <w:widowControl/>
              <w:spacing w:line="360" w:lineRule="auto"/>
              <w:ind w:firstLine="480" w:firstLineChars="200"/>
              <w:jc w:val="left"/>
              <w:rPr>
                <w:u w:val="single"/>
              </w:rPr>
            </w:pPr>
            <w:r>
              <w:rPr>
                <w:rFonts w:hint="eastAsia" w:ascii="宋体" w:hAnsi="宋体" w:cs="宋体"/>
                <w:color w:val="000000"/>
                <w:kern w:val="0"/>
                <w:sz w:val="24"/>
                <w:u w:val="single"/>
                <w:lang w:bidi="ar"/>
              </w:rPr>
              <w:t>项目设计医护人员为</w:t>
            </w:r>
            <w:r>
              <w:rPr>
                <w:rFonts w:hint="eastAsia"/>
                <w:color w:val="000000"/>
                <w:kern w:val="0"/>
                <w:sz w:val="24"/>
                <w:u w:val="single"/>
                <w:lang w:val="en-US" w:eastAsia="zh-CN" w:bidi="ar"/>
              </w:rPr>
              <w:t>40人</w:t>
            </w:r>
            <w:r>
              <w:rPr>
                <w:rFonts w:hint="eastAsia" w:ascii="宋体" w:hAnsi="宋体" w:cs="宋体"/>
                <w:color w:val="000000"/>
                <w:kern w:val="0"/>
                <w:sz w:val="24"/>
                <w:u w:val="single"/>
                <w:lang w:bidi="ar"/>
              </w:rPr>
              <w:t>，用水量按</w:t>
            </w:r>
            <w:r>
              <w:rPr>
                <w:rFonts w:hint="eastAsia"/>
                <w:color w:val="000000"/>
                <w:kern w:val="0"/>
                <w:sz w:val="24"/>
                <w:u w:val="single"/>
                <w:lang w:val="en-US" w:eastAsia="zh-CN" w:bidi="ar"/>
              </w:rPr>
              <w:t>38</w:t>
            </w:r>
            <w:r>
              <w:rPr>
                <w:color w:val="000000"/>
                <w:kern w:val="0"/>
                <w:sz w:val="24"/>
                <w:u w:val="single"/>
                <w:lang w:bidi="ar"/>
              </w:rPr>
              <w:t>L/</w:t>
            </w:r>
            <w:r>
              <w:rPr>
                <w:rFonts w:hint="eastAsia" w:ascii="宋体" w:hAnsi="宋体" w:cs="宋体"/>
                <w:color w:val="000000"/>
                <w:kern w:val="0"/>
                <w:sz w:val="24"/>
                <w:u w:val="single"/>
                <w:lang w:bidi="ar"/>
              </w:rPr>
              <w:t>人·</w:t>
            </w:r>
            <w:r>
              <w:rPr>
                <w:color w:val="000000"/>
                <w:kern w:val="0"/>
                <w:sz w:val="24"/>
                <w:u w:val="single"/>
                <w:lang w:bidi="ar"/>
              </w:rPr>
              <w:t>d</w:t>
            </w:r>
            <w:r>
              <w:rPr>
                <w:rFonts w:hint="eastAsia" w:ascii="宋体" w:hAnsi="宋体" w:cs="宋体"/>
                <w:color w:val="000000"/>
                <w:kern w:val="0"/>
                <w:sz w:val="24"/>
                <w:u w:val="single"/>
                <w:lang w:bidi="ar"/>
              </w:rPr>
              <w:t>计，员工生活用水量为</w:t>
            </w:r>
            <w:r>
              <w:rPr>
                <w:rFonts w:hint="eastAsia"/>
                <w:color w:val="000000"/>
                <w:kern w:val="0"/>
                <w:sz w:val="24"/>
                <w:u w:val="single"/>
                <w:lang w:val="en-US" w:eastAsia="zh-CN" w:bidi="ar"/>
              </w:rPr>
              <w:t>1.52</w:t>
            </w:r>
            <w:r>
              <w:rPr>
                <w:color w:val="000000"/>
                <w:kern w:val="0"/>
                <w:sz w:val="24"/>
                <w:u w:val="single"/>
                <w:lang w:bidi="ar"/>
              </w:rPr>
              <w:t>m</w:t>
            </w:r>
            <w:r>
              <w:rPr>
                <w:color w:val="000000"/>
                <w:kern w:val="0"/>
                <w:sz w:val="24"/>
                <w:u w:val="single"/>
                <w:vertAlign w:val="superscript"/>
                <w:lang w:bidi="ar"/>
              </w:rPr>
              <w:t>3</w:t>
            </w:r>
            <w:r>
              <w:rPr>
                <w:color w:val="000000"/>
                <w:kern w:val="0"/>
                <w:sz w:val="24"/>
                <w:u w:val="single"/>
                <w:lang w:bidi="ar"/>
              </w:rPr>
              <w:t>/d</w:t>
            </w:r>
            <w:r>
              <w:rPr>
                <w:rFonts w:hint="eastAsia" w:ascii="宋体" w:hAnsi="宋体" w:cs="宋体"/>
                <w:color w:val="000000"/>
                <w:kern w:val="0"/>
                <w:sz w:val="24"/>
                <w:u w:val="single"/>
                <w:lang w:bidi="ar"/>
              </w:rPr>
              <w:t>（</w:t>
            </w:r>
            <w:r>
              <w:rPr>
                <w:rFonts w:hint="eastAsia"/>
                <w:color w:val="000000"/>
                <w:kern w:val="0"/>
                <w:sz w:val="24"/>
                <w:u w:val="single"/>
                <w:lang w:eastAsia="zh-CN" w:bidi="ar"/>
              </w:rPr>
              <w:t>554.8</w:t>
            </w:r>
            <w:r>
              <w:rPr>
                <w:color w:val="000000"/>
                <w:kern w:val="0"/>
                <w:sz w:val="24"/>
                <w:u w:val="single"/>
                <w:lang w:bidi="ar"/>
              </w:rPr>
              <w:t>m</w:t>
            </w:r>
            <w:r>
              <w:rPr>
                <w:color w:val="000000"/>
                <w:kern w:val="0"/>
                <w:sz w:val="24"/>
                <w:u w:val="single"/>
                <w:vertAlign w:val="superscript"/>
                <w:lang w:bidi="ar"/>
              </w:rPr>
              <w:t>3</w:t>
            </w:r>
            <w:r>
              <w:rPr>
                <w:color w:val="000000"/>
                <w:kern w:val="0"/>
                <w:sz w:val="24"/>
                <w:u w:val="single"/>
                <w:lang w:bidi="ar"/>
              </w:rPr>
              <w:t>/a</w:t>
            </w:r>
            <w:r>
              <w:rPr>
                <w:rFonts w:hint="eastAsia" w:ascii="宋体" w:hAnsi="宋体" w:cs="宋体"/>
                <w:color w:val="000000"/>
                <w:kern w:val="0"/>
                <w:sz w:val="24"/>
                <w:u w:val="single"/>
                <w:lang w:bidi="ar"/>
              </w:rPr>
              <w:t>）。</w:t>
            </w:r>
            <w:r>
              <w:rPr>
                <w:rFonts w:hint="eastAsia"/>
                <w:color w:val="000000"/>
                <w:kern w:val="0"/>
                <w:sz w:val="24"/>
                <w:u w:val="single"/>
                <w:lang w:bidi="ar"/>
              </w:rPr>
              <w:t>污水量按照用水量的80%计算，因此得到病床用水量为</w:t>
            </w:r>
            <w:r>
              <w:rPr>
                <w:rFonts w:hint="eastAsia"/>
                <w:color w:val="000000"/>
                <w:kern w:val="0"/>
                <w:sz w:val="24"/>
                <w:u w:val="single"/>
                <w:lang w:val="en-US" w:eastAsia="zh-CN" w:bidi="ar"/>
              </w:rPr>
              <w:t>1.216m</w:t>
            </w:r>
            <w:r>
              <w:rPr>
                <w:color w:val="000000"/>
                <w:kern w:val="0"/>
                <w:sz w:val="24"/>
                <w:u w:val="single"/>
                <w:vertAlign w:val="superscript"/>
                <w:lang w:bidi="ar"/>
              </w:rPr>
              <w:t>3</w:t>
            </w:r>
            <w:r>
              <w:rPr>
                <w:color w:val="000000"/>
                <w:kern w:val="0"/>
                <w:sz w:val="24"/>
                <w:u w:val="single"/>
                <w:lang w:bidi="ar"/>
              </w:rPr>
              <w:t>/d</w:t>
            </w:r>
            <w:r>
              <w:rPr>
                <w:rFonts w:hint="eastAsia" w:ascii="宋体" w:hAnsi="宋体" w:cs="宋体"/>
                <w:color w:val="000000"/>
                <w:kern w:val="0"/>
                <w:sz w:val="24"/>
                <w:u w:val="single"/>
                <w:lang w:bidi="ar"/>
              </w:rPr>
              <w:t>、</w:t>
            </w:r>
            <w:r>
              <w:rPr>
                <w:rFonts w:hint="eastAsia"/>
                <w:color w:val="000000"/>
                <w:kern w:val="0"/>
                <w:sz w:val="24"/>
                <w:u w:val="single"/>
                <w:lang w:val="en-US" w:eastAsia="zh-CN" w:bidi="ar"/>
              </w:rPr>
              <w:t>448.34</w:t>
            </w:r>
            <w:r>
              <w:rPr>
                <w:color w:val="000000"/>
                <w:kern w:val="0"/>
                <w:sz w:val="24"/>
                <w:u w:val="single"/>
                <w:lang w:bidi="ar"/>
              </w:rPr>
              <w:t>m</w:t>
            </w:r>
            <w:r>
              <w:rPr>
                <w:color w:val="000000"/>
                <w:kern w:val="0"/>
                <w:sz w:val="24"/>
                <w:u w:val="single"/>
                <w:vertAlign w:val="superscript"/>
                <w:lang w:bidi="ar"/>
              </w:rPr>
              <w:t>3</w:t>
            </w:r>
            <w:r>
              <w:rPr>
                <w:color w:val="000000"/>
                <w:kern w:val="0"/>
                <w:sz w:val="24"/>
                <w:u w:val="single"/>
                <w:lang w:bidi="ar"/>
              </w:rPr>
              <w:t>/a</w:t>
            </w:r>
            <w:r>
              <w:rPr>
                <w:rFonts w:hint="eastAsia" w:ascii="宋体" w:hAnsi="宋体" w:cs="宋体"/>
                <w:color w:val="000000"/>
                <w:kern w:val="0"/>
                <w:sz w:val="24"/>
                <w:u w:val="single"/>
                <w:lang w:bidi="ar"/>
              </w:rPr>
              <w:t>。</w:t>
            </w:r>
          </w:p>
          <w:p>
            <w:pPr>
              <w:widowControl/>
              <w:spacing w:line="360" w:lineRule="auto"/>
              <w:ind w:firstLine="480" w:firstLineChars="200"/>
              <w:jc w:val="left"/>
            </w:pPr>
            <w:r>
              <w:rPr>
                <w:rFonts w:hint="eastAsia" w:ascii="宋体" w:hAnsi="宋体" w:cs="宋体"/>
                <w:color w:val="000000"/>
                <w:kern w:val="0"/>
                <w:sz w:val="24"/>
                <w:lang w:bidi="ar"/>
              </w:rPr>
              <w:t>②门诊废水</w:t>
            </w:r>
          </w:p>
          <w:p>
            <w:pPr>
              <w:widowControl/>
              <w:spacing w:line="360" w:lineRule="auto"/>
              <w:ind w:firstLine="480" w:firstLineChars="200"/>
              <w:jc w:val="left"/>
            </w:pPr>
            <w:r>
              <w:rPr>
                <w:rFonts w:hint="eastAsia" w:ascii="宋体" w:hAnsi="宋体" w:cs="宋体"/>
                <w:color w:val="000000"/>
                <w:kern w:val="0"/>
                <w:sz w:val="24"/>
                <w:lang w:bidi="ar"/>
              </w:rPr>
              <w:t>项目门诊人次为</w:t>
            </w:r>
            <w:r>
              <w:rPr>
                <w:rFonts w:hint="eastAsia"/>
                <w:color w:val="000000"/>
                <w:kern w:val="0"/>
                <w:sz w:val="24"/>
                <w:u w:val="single"/>
                <w:lang w:val="en-US" w:eastAsia="zh-CN" w:bidi="ar"/>
              </w:rPr>
              <w:t>40人</w:t>
            </w:r>
            <w:r>
              <w:rPr>
                <w:rFonts w:hint="eastAsia" w:ascii="宋体" w:hAnsi="宋体" w:cs="宋体"/>
                <w:color w:val="000000"/>
                <w:kern w:val="0"/>
                <w:sz w:val="24"/>
                <w:lang w:bidi="ar"/>
              </w:rPr>
              <w:t>次</w:t>
            </w:r>
            <w:r>
              <w:rPr>
                <w:color w:val="000000"/>
                <w:kern w:val="0"/>
                <w:sz w:val="24"/>
                <w:lang w:bidi="ar"/>
              </w:rPr>
              <w:t>/d</w:t>
            </w:r>
            <w:r>
              <w:rPr>
                <w:rFonts w:hint="eastAsia" w:ascii="宋体" w:hAnsi="宋体" w:cs="宋体"/>
                <w:color w:val="000000"/>
                <w:kern w:val="0"/>
                <w:sz w:val="24"/>
                <w:lang w:bidi="ar"/>
              </w:rPr>
              <w:t>，根据</w:t>
            </w:r>
            <w:r>
              <w:rPr>
                <w:rFonts w:hint="eastAsia"/>
                <w:sz w:val="24"/>
              </w:rPr>
              <w:t>《建筑给水排水设计规范（2009年版）》（GB50015-2003）</w:t>
            </w:r>
            <w:r>
              <w:rPr>
                <w:rFonts w:hint="eastAsia" w:ascii="宋体" w:hAnsi="宋体" w:cs="宋体"/>
                <w:color w:val="000000"/>
                <w:kern w:val="0"/>
                <w:sz w:val="24"/>
                <w:lang w:bidi="ar"/>
              </w:rPr>
              <w:t>中</w:t>
            </w:r>
            <w:r>
              <w:rPr>
                <w:color w:val="000000"/>
                <w:kern w:val="0"/>
                <w:sz w:val="24"/>
                <w:lang w:bidi="ar"/>
              </w:rPr>
              <w:t>“</w:t>
            </w:r>
            <w:r>
              <w:rPr>
                <w:rFonts w:hint="eastAsia" w:ascii="宋体" w:hAnsi="宋体" w:cs="宋体"/>
                <w:color w:val="000000"/>
                <w:kern w:val="0"/>
                <w:sz w:val="24"/>
                <w:lang w:bidi="ar"/>
              </w:rPr>
              <w:t>门诊类</w:t>
            </w:r>
            <w:r>
              <w:rPr>
                <w:color w:val="000000"/>
                <w:kern w:val="0"/>
                <w:sz w:val="24"/>
                <w:lang w:bidi="ar"/>
              </w:rPr>
              <w:t>”</w:t>
            </w:r>
            <w:r>
              <w:rPr>
                <w:rFonts w:hint="eastAsia" w:ascii="宋体" w:hAnsi="宋体" w:cs="宋体"/>
                <w:color w:val="000000"/>
                <w:kern w:val="0"/>
                <w:sz w:val="24"/>
                <w:lang w:bidi="ar"/>
              </w:rPr>
              <w:t>用水标准，门诊用水按</w:t>
            </w:r>
            <w:r>
              <w:rPr>
                <w:color w:val="000000"/>
                <w:kern w:val="0"/>
                <w:sz w:val="24"/>
                <w:lang w:bidi="ar"/>
              </w:rPr>
              <w:t>1</w:t>
            </w:r>
            <w:r>
              <w:rPr>
                <w:rFonts w:hint="eastAsia"/>
                <w:color w:val="000000"/>
                <w:kern w:val="0"/>
                <w:sz w:val="24"/>
                <w:lang w:val="en-US" w:eastAsia="zh-CN" w:bidi="ar"/>
              </w:rPr>
              <w:t>5</w:t>
            </w:r>
            <w:r>
              <w:rPr>
                <w:color w:val="000000"/>
                <w:kern w:val="0"/>
                <w:sz w:val="24"/>
                <w:lang w:bidi="ar"/>
              </w:rPr>
              <w:t>L/</w:t>
            </w:r>
            <w:r>
              <w:rPr>
                <w:rFonts w:hint="eastAsia" w:ascii="宋体" w:hAnsi="宋体" w:cs="宋体"/>
                <w:color w:val="000000"/>
                <w:kern w:val="0"/>
                <w:sz w:val="24"/>
                <w:lang w:bidi="ar"/>
              </w:rPr>
              <w:t>人</w:t>
            </w:r>
            <w:r>
              <w:rPr>
                <w:color w:val="000000"/>
                <w:kern w:val="0"/>
                <w:sz w:val="24"/>
                <w:lang w:bidi="ar"/>
              </w:rPr>
              <w:t>·</w:t>
            </w:r>
            <w:r>
              <w:rPr>
                <w:rFonts w:hint="eastAsia" w:ascii="宋体" w:hAnsi="宋体" w:cs="宋体"/>
                <w:color w:val="000000"/>
                <w:kern w:val="0"/>
                <w:sz w:val="24"/>
                <w:lang w:bidi="ar"/>
              </w:rPr>
              <w:t>次计算，则门诊用水量为</w:t>
            </w:r>
            <w:r>
              <w:rPr>
                <w:rFonts w:hint="eastAsia"/>
                <w:color w:val="000000"/>
                <w:kern w:val="0"/>
                <w:sz w:val="24"/>
                <w:u w:val="single"/>
                <w:lang w:val="en-US" w:eastAsia="zh-CN" w:bidi="ar"/>
              </w:rPr>
              <w:t>0.6</w:t>
            </w:r>
            <w:r>
              <w:rPr>
                <w:color w:val="000000"/>
                <w:kern w:val="0"/>
                <w:sz w:val="24"/>
                <w:u w:val="single"/>
                <w:lang w:bidi="ar"/>
              </w:rPr>
              <w:t>m</w:t>
            </w:r>
            <w:r>
              <w:rPr>
                <w:color w:val="000000"/>
                <w:kern w:val="0"/>
                <w:sz w:val="24"/>
                <w:u w:val="single"/>
                <w:vertAlign w:val="superscript"/>
                <w:lang w:bidi="ar"/>
              </w:rPr>
              <w:t>3</w:t>
            </w:r>
            <w:r>
              <w:rPr>
                <w:color w:val="000000"/>
                <w:kern w:val="0"/>
                <w:sz w:val="24"/>
                <w:u w:val="single"/>
                <w:lang w:bidi="ar"/>
              </w:rPr>
              <w:t>/d</w:t>
            </w:r>
            <w:r>
              <w:rPr>
                <w:rFonts w:hint="eastAsia" w:ascii="宋体" w:hAnsi="宋体" w:cs="宋体"/>
                <w:color w:val="000000"/>
                <w:kern w:val="0"/>
                <w:sz w:val="24"/>
                <w:u w:val="single"/>
                <w:lang w:bidi="ar"/>
              </w:rPr>
              <w:t>、</w:t>
            </w:r>
            <w:r>
              <w:rPr>
                <w:rFonts w:hint="eastAsia"/>
                <w:color w:val="000000"/>
                <w:kern w:val="0"/>
                <w:sz w:val="24"/>
                <w:u w:val="single"/>
                <w:lang w:val="en-US" w:eastAsia="zh-CN" w:bidi="ar"/>
              </w:rPr>
              <w:t>219</w:t>
            </w:r>
            <w:r>
              <w:rPr>
                <w:color w:val="000000"/>
                <w:kern w:val="0"/>
                <w:sz w:val="24"/>
                <w:u w:val="single"/>
                <w:lang w:bidi="ar"/>
              </w:rPr>
              <w:t>m</w:t>
            </w:r>
            <w:r>
              <w:rPr>
                <w:color w:val="000000"/>
                <w:kern w:val="0"/>
                <w:sz w:val="24"/>
                <w:u w:val="single"/>
                <w:vertAlign w:val="superscript"/>
                <w:lang w:bidi="ar"/>
              </w:rPr>
              <w:t>3</w:t>
            </w:r>
            <w:r>
              <w:rPr>
                <w:color w:val="000000"/>
                <w:kern w:val="0"/>
                <w:sz w:val="24"/>
                <w:u w:val="single"/>
                <w:lang w:bidi="ar"/>
              </w:rPr>
              <w:t>/a</w:t>
            </w:r>
            <w:r>
              <w:rPr>
                <w:rFonts w:hint="eastAsia"/>
                <w:color w:val="000000"/>
                <w:kern w:val="0"/>
                <w:sz w:val="24"/>
                <w:u w:val="single"/>
                <w:lang w:bidi="ar"/>
              </w:rPr>
              <w:t>。污水量按照用水量的80%计算，因此得到病床用水量为0.</w:t>
            </w:r>
            <w:r>
              <w:rPr>
                <w:rFonts w:hint="eastAsia"/>
                <w:color w:val="000000"/>
                <w:kern w:val="0"/>
                <w:sz w:val="24"/>
                <w:u w:val="single"/>
                <w:lang w:val="en-US" w:eastAsia="zh-CN" w:bidi="ar"/>
              </w:rPr>
              <w:t>48</w:t>
            </w:r>
            <w:r>
              <w:rPr>
                <w:color w:val="000000"/>
                <w:kern w:val="0"/>
                <w:sz w:val="24"/>
                <w:u w:val="single"/>
                <w:lang w:bidi="ar"/>
              </w:rPr>
              <w:t>m</w:t>
            </w:r>
            <w:r>
              <w:rPr>
                <w:color w:val="000000"/>
                <w:kern w:val="0"/>
                <w:sz w:val="24"/>
                <w:u w:val="single"/>
                <w:vertAlign w:val="superscript"/>
                <w:lang w:bidi="ar"/>
              </w:rPr>
              <w:t>3</w:t>
            </w:r>
            <w:r>
              <w:rPr>
                <w:color w:val="000000"/>
                <w:kern w:val="0"/>
                <w:sz w:val="24"/>
                <w:u w:val="single"/>
                <w:lang w:bidi="ar"/>
              </w:rPr>
              <w:t>/d</w:t>
            </w:r>
            <w:r>
              <w:rPr>
                <w:rFonts w:hint="eastAsia" w:ascii="宋体" w:hAnsi="宋体" w:cs="宋体"/>
                <w:color w:val="000000"/>
                <w:kern w:val="0"/>
                <w:sz w:val="24"/>
                <w:u w:val="single"/>
                <w:lang w:bidi="ar"/>
              </w:rPr>
              <w:t>、</w:t>
            </w:r>
            <w:r>
              <w:rPr>
                <w:rFonts w:hint="eastAsia"/>
                <w:color w:val="000000"/>
                <w:kern w:val="0"/>
                <w:sz w:val="24"/>
                <w:u w:val="single"/>
                <w:lang w:eastAsia="zh-CN" w:bidi="ar"/>
              </w:rPr>
              <w:t>1</w:t>
            </w:r>
            <w:r>
              <w:rPr>
                <w:rFonts w:hint="eastAsia"/>
                <w:color w:val="000000"/>
                <w:kern w:val="0"/>
                <w:sz w:val="24"/>
                <w:u w:val="single"/>
                <w:lang w:val="en-US" w:eastAsia="zh-CN" w:bidi="ar"/>
              </w:rPr>
              <w:t>75.2</w:t>
            </w:r>
            <w:r>
              <w:rPr>
                <w:color w:val="000000"/>
                <w:kern w:val="0"/>
                <w:sz w:val="24"/>
                <w:u w:val="single"/>
                <w:lang w:bidi="ar"/>
              </w:rPr>
              <w:t>m</w:t>
            </w:r>
            <w:r>
              <w:rPr>
                <w:color w:val="000000"/>
                <w:kern w:val="0"/>
                <w:sz w:val="24"/>
                <w:u w:val="single"/>
                <w:vertAlign w:val="superscript"/>
                <w:lang w:bidi="ar"/>
              </w:rPr>
              <w:t>3</w:t>
            </w:r>
            <w:r>
              <w:rPr>
                <w:color w:val="000000"/>
                <w:kern w:val="0"/>
                <w:sz w:val="24"/>
                <w:u w:val="single"/>
                <w:lang w:bidi="ar"/>
              </w:rPr>
              <w:t>/a</w:t>
            </w:r>
            <w:r>
              <w:rPr>
                <w:rFonts w:hint="eastAsia" w:ascii="宋体" w:hAnsi="宋体" w:cs="宋体"/>
                <w:color w:val="000000"/>
                <w:kern w:val="0"/>
                <w:sz w:val="24"/>
                <w:u w:val="single"/>
                <w:lang w:bidi="ar"/>
              </w:rPr>
              <w:t>。</w:t>
            </w:r>
          </w:p>
          <w:p>
            <w:pPr>
              <w:widowControl/>
              <w:spacing w:line="360" w:lineRule="auto"/>
              <w:ind w:firstLine="480" w:firstLineChars="200"/>
              <w:jc w:val="left"/>
            </w:pPr>
            <w:r>
              <w:rPr>
                <w:rFonts w:hint="eastAsia" w:ascii="宋体" w:hAnsi="宋体" w:cs="宋体"/>
                <w:color w:val="000000"/>
                <w:kern w:val="0"/>
                <w:sz w:val="24"/>
                <w:lang w:bidi="ar"/>
              </w:rPr>
              <w:t>③住院废水</w:t>
            </w:r>
          </w:p>
          <w:p>
            <w:pPr>
              <w:widowControl/>
              <w:spacing w:line="360" w:lineRule="auto"/>
              <w:ind w:firstLine="480" w:firstLineChars="200"/>
              <w:jc w:val="left"/>
            </w:pPr>
            <w:r>
              <w:rPr>
                <w:rFonts w:hint="eastAsia" w:ascii="宋体" w:hAnsi="宋体" w:cs="宋体"/>
                <w:color w:val="000000"/>
                <w:kern w:val="0"/>
                <w:sz w:val="24"/>
                <w:lang w:bidi="ar"/>
              </w:rPr>
              <w:t>本项目规划病床数为</w:t>
            </w:r>
            <w:r>
              <w:rPr>
                <w:rFonts w:hint="eastAsia"/>
                <w:color w:val="000000"/>
                <w:kern w:val="0"/>
                <w:sz w:val="24"/>
                <w:lang w:val="en-US" w:eastAsia="zh-CN" w:bidi="ar"/>
              </w:rPr>
              <w:t>6</w:t>
            </w:r>
            <w:r>
              <w:rPr>
                <w:rFonts w:hint="eastAsia"/>
                <w:color w:val="000000"/>
                <w:kern w:val="0"/>
                <w:sz w:val="24"/>
                <w:lang w:bidi="ar"/>
              </w:rPr>
              <w:t>0</w:t>
            </w:r>
            <w:r>
              <w:rPr>
                <w:rFonts w:hint="eastAsia" w:ascii="宋体" w:hAnsi="宋体" w:cs="宋体"/>
                <w:color w:val="000000"/>
                <w:kern w:val="0"/>
                <w:sz w:val="24"/>
                <w:lang w:bidi="ar"/>
              </w:rPr>
              <w:t>床。根据《医院污水处理技术指南》（环发</w:t>
            </w:r>
            <w:r>
              <w:rPr>
                <w:color w:val="000000"/>
                <w:kern w:val="0"/>
                <w:sz w:val="24"/>
                <w:lang w:bidi="ar"/>
              </w:rPr>
              <w:t>[2003]197</w:t>
            </w:r>
            <w:r>
              <w:rPr>
                <w:rFonts w:hint="eastAsia" w:ascii="宋体" w:hAnsi="宋体" w:cs="宋体"/>
                <w:color w:val="000000"/>
                <w:kern w:val="0"/>
                <w:sz w:val="24"/>
                <w:lang w:bidi="ar"/>
              </w:rPr>
              <w:t>号）和《医院污水处理工程技术规范》（</w:t>
            </w:r>
            <w:r>
              <w:rPr>
                <w:color w:val="000000"/>
                <w:kern w:val="0"/>
                <w:sz w:val="24"/>
                <w:lang w:bidi="ar"/>
              </w:rPr>
              <w:t>HJ2029-2013</w:t>
            </w:r>
            <w:r>
              <w:rPr>
                <w:rFonts w:hint="eastAsia" w:ascii="宋体" w:hAnsi="宋体" w:cs="宋体"/>
                <w:color w:val="000000"/>
                <w:kern w:val="0"/>
                <w:sz w:val="24"/>
                <w:lang w:bidi="ar"/>
              </w:rPr>
              <w:t>）中对于医院日均单位病床污水排放量的规定，</w:t>
            </w:r>
            <w:r>
              <w:rPr>
                <w:rFonts w:hint="eastAsia"/>
                <w:color w:val="000000"/>
                <w:kern w:val="0"/>
                <w:sz w:val="24"/>
                <w:lang w:bidi="ar"/>
              </w:rPr>
              <w:t>床位数在</w:t>
            </w:r>
            <w:r>
              <w:rPr>
                <w:rFonts w:hint="eastAsia"/>
                <w:color w:val="000000"/>
                <w:kern w:val="0"/>
                <w:sz w:val="24"/>
                <w:lang w:val="en-US" w:eastAsia="zh-CN" w:bidi="ar"/>
              </w:rPr>
              <w:t>100张以下</w:t>
            </w:r>
            <w:r>
              <w:rPr>
                <w:rFonts w:hint="eastAsia"/>
                <w:color w:val="000000"/>
                <w:kern w:val="0"/>
                <w:sz w:val="24"/>
                <w:lang w:bidi="ar"/>
              </w:rPr>
              <w:t>的</w:t>
            </w:r>
            <w:r>
              <w:rPr>
                <w:rFonts w:hint="eastAsia" w:ascii="宋体" w:hAnsi="宋体" w:cs="宋体"/>
                <w:color w:val="000000"/>
                <w:kern w:val="0"/>
                <w:sz w:val="24"/>
                <w:lang w:bidi="ar"/>
              </w:rPr>
              <w:t>医院排水量为</w:t>
            </w:r>
            <w:r>
              <w:rPr>
                <w:rFonts w:hint="eastAsia"/>
                <w:color w:val="000000"/>
                <w:kern w:val="0"/>
                <w:sz w:val="24"/>
                <w:lang w:val="en-US" w:eastAsia="zh-CN" w:bidi="ar"/>
              </w:rPr>
              <w:t>250</w:t>
            </w:r>
            <w:r>
              <w:rPr>
                <w:color w:val="000000"/>
                <w:kern w:val="0"/>
                <w:sz w:val="24"/>
                <w:lang w:bidi="ar"/>
              </w:rPr>
              <w:t>L/(</w:t>
            </w:r>
            <w:r>
              <w:rPr>
                <w:rFonts w:hint="eastAsia" w:ascii="宋体" w:hAnsi="宋体" w:cs="宋体"/>
                <w:color w:val="000000"/>
                <w:kern w:val="0"/>
                <w:sz w:val="24"/>
                <w:lang w:bidi="ar"/>
              </w:rPr>
              <w:t>床·</w:t>
            </w:r>
            <w:r>
              <w:rPr>
                <w:color w:val="000000"/>
                <w:kern w:val="0"/>
                <w:sz w:val="24"/>
                <w:lang w:bidi="ar"/>
              </w:rPr>
              <w:t>d)-</w:t>
            </w:r>
            <w:r>
              <w:rPr>
                <w:rFonts w:hint="eastAsia"/>
                <w:color w:val="000000"/>
                <w:kern w:val="0"/>
                <w:sz w:val="24"/>
                <w:lang w:val="en-US" w:eastAsia="zh-CN" w:bidi="ar"/>
              </w:rPr>
              <w:t>3</w:t>
            </w:r>
            <w:r>
              <w:rPr>
                <w:color w:val="000000"/>
                <w:kern w:val="0"/>
                <w:sz w:val="24"/>
                <w:lang w:bidi="ar"/>
              </w:rPr>
              <w:t>00L/(</w:t>
            </w:r>
            <w:r>
              <w:rPr>
                <w:rFonts w:hint="eastAsia" w:ascii="宋体" w:hAnsi="宋体" w:cs="宋体"/>
                <w:color w:val="000000"/>
                <w:kern w:val="0"/>
                <w:sz w:val="24"/>
                <w:lang w:bidi="ar"/>
              </w:rPr>
              <w:t>床·</w:t>
            </w:r>
            <w:r>
              <w:rPr>
                <w:color w:val="000000"/>
                <w:kern w:val="0"/>
                <w:sz w:val="24"/>
                <w:lang w:bidi="ar"/>
              </w:rPr>
              <w:t>d)</w:t>
            </w:r>
            <w:r>
              <w:rPr>
                <w:rFonts w:hint="eastAsia"/>
                <w:color w:val="000000"/>
                <w:kern w:val="0"/>
                <w:sz w:val="24"/>
                <w:lang w:eastAsia="zh-CN" w:bidi="ar"/>
              </w:rPr>
              <w:t>，本环评取</w:t>
            </w:r>
            <w:r>
              <w:rPr>
                <w:rFonts w:hint="eastAsia"/>
                <w:color w:val="000000"/>
                <w:kern w:val="0"/>
                <w:sz w:val="24"/>
                <w:lang w:val="en-US" w:eastAsia="zh-CN" w:bidi="ar"/>
              </w:rPr>
              <w:t>300</w:t>
            </w:r>
            <w:r>
              <w:rPr>
                <w:color w:val="000000"/>
                <w:kern w:val="0"/>
                <w:sz w:val="24"/>
                <w:lang w:bidi="ar"/>
              </w:rPr>
              <w:t>L/(</w:t>
            </w:r>
            <w:r>
              <w:rPr>
                <w:rFonts w:hint="eastAsia" w:ascii="宋体" w:hAnsi="宋体" w:cs="宋体"/>
                <w:color w:val="000000"/>
                <w:kern w:val="0"/>
                <w:sz w:val="24"/>
                <w:lang w:bidi="ar"/>
              </w:rPr>
              <w:t>床·</w:t>
            </w:r>
            <w:r>
              <w:rPr>
                <w:color w:val="000000"/>
                <w:kern w:val="0"/>
                <w:sz w:val="24"/>
                <w:lang w:bidi="ar"/>
              </w:rPr>
              <w:t>d)</w:t>
            </w:r>
            <w:r>
              <w:rPr>
                <w:rFonts w:hint="eastAsia"/>
                <w:color w:val="000000"/>
                <w:kern w:val="0"/>
                <w:sz w:val="24"/>
                <w:lang w:eastAsia="zh-CN" w:bidi="ar"/>
              </w:rPr>
              <w:t>，排水系数取</w:t>
            </w:r>
            <w:r>
              <w:rPr>
                <w:rFonts w:hint="eastAsia"/>
                <w:color w:val="000000"/>
                <w:kern w:val="0"/>
                <w:sz w:val="24"/>
                <w:lang w:val="en-US" w:eastAsia="zh-CN" w:bidi="ar"/>
              </w:rPr>
              <w:t>0.8，则单张病床用水量为375</w:t>
            </w:r>
            <w:r>
              <w:rPr>
                <w:color w:val="000000"/>
                <w:kern w:val="0"/>
                <w:sz w:val="24"/>
                <w:lang w:bidi="ar"/>
              </w:rPr>
              <w:t>L/(</w:t>
            </w:r>
            <w:r>
              <w:rPr>
                <w:rFonts w:hint="eastAsia" w:ascii="宋体" w:hAnsi="宋体" w:cs="宋体"/>
                <w:color w:val="000000"/>
                <w:kern w:val="0"/>
                <w:sz w:val="24"/>
                <w:lang w:bidi="ar"/>
              </w:rPr>
              <w:t>床·</w:t>
            </w:r>
            <w:r>
              <w:rPr>
                <w:color w:val="000000"/>
                <w:kern w:val="0"/>
                <w:sz w:val="24"/>
                <w:lang w:bidi="ar"/>
              </w:rPr>
              <w:t>d)</w:t>
            </w:r>
            <w:r>
              <w:rPr>
                <w:rFonts w:hint="eastAsia" w:ascii="宋体" w:hAnsi="宋体" w:cs="宋体"/>
                <w:color w:val="000000"/>
                <w:kern w:val="0"/>
                <w:sz w:val="24"/>
                <w:lang w:bidi="ar"/>
              </w:rPr>
              <w:t>。由上可知，本卫生院病床用水量为</w:t>
            </w:r>
            <w:r>
              <w:rPr>
                <w:rFonts w:hint="eastAsia"/>
                <w:color w:val="000000"/>
                <w:kern w:val="0"/>
                <w:sz w:val="24"/>
                <w:lang w:val="en-US" w:eastAsia="zh-CN" w:bidi="ar"/>
              </w:rPr>
              <w:t>22.5</w:t>
            </w:r>
            <w:r>
              <w:rPr>
                <w:color w:val="000000"/>
                <w:kern w:val="0"/>
                <w:sz w:val="24"/>
                <w:lang w:bidi="ar"/>
              </w:rPr>
              <w:t>m</w:t>
            </w:r>
            <w:r>
              <w:rPr>
                <w:color w:val="000000"/>
                <w:kern w:val="0"/>
                <w:sz w:val="24"/>
                <w:vertAlign w:val="superscript"/>
                <w:lang w:bidi="ar"/>
              </w:rPr>
              <w:t>3</w:t>
            </w:r>
            <w:r>
              <w:rPr>
                <w:color w:val="000000"/>
                <w:kern w:val="0"/>
                <w:sz w:val="24"/>
                <w:lang w:bidi="ar"/>
              </w:rPr>
              <w:t>/d</w:t>
            </w:r>
            <w:r>
              <w:rPr>
                <w:rFonts w:hint="eastAsia" w:ascii="宋体" w:hAnsi="宋体" w:cs="宋体"/>
                <w:color w:val="000000"/>
                <w:kern w:val="0"/>
                <w:sz w:val="24"/>
                <w:lang w:bidi="ar"/>
              </w:rPr>
              <w:t>、</w:t>
            </w:r>
            <w:r>
              <w:rPr>
                <w:rFonts w:hint="eastAsia"/>
                <w:color w:val="000000"/>
                <w:kern w:val="0"/>
                <w:sz w:val="24"/>
                <w:lang w:eastAsia="zh-CN" w:bidi="ar"/>
              </w:rPr>
              <w:t>8212.5</w:t>
            </w:r>
            <w:r>
              <w:rPr>
                <w:color w:val="000000"/>
                <w:kern w:val="0"/>
                <w:sz w:val="24"/>
                <w:lang w:bidi="ar"/>
              </w:rPr>
              <w:t>m</w:t>
            </w:r>
            <w:r>
              <w:rPr>
                <w:color w:val="000000"/>
                <w:kern w:val="0"/>
                <w:sz w:val="24"/>
                <w:vertAlign w:val="superscript"/>
                <w:lang w:bidi="ar"/>
              </w:rPr>
              <w:t>3</w:t>
            </w:r>
            <w:r>
              <w:rPr>
                <w:color w:val="000000"/>
                <w:kern w:val="0"/>
                <w:sz w:val="24"/>
                <w:lang w:bidi="ar"/>
              </w:rPr>
              <w:t>/a</w:t>
            </w:r>
            <w:r>
              <w:rPr>
                <w:rFonts w:hint="eastAsia"/>
                <w:color w:val="000000"/>
                <w:kern w:val="0"/>
                <w:sz w:val="24"/>
                <w:lang w:bidi="ar"/>
              </w:rPr>
              <w:t>，病床排水量为</w:t>
            </w:r>
            <w:r>
              <w:rPr>
                <w:rFonts w:hint="eastAsia"/>
                <w:color w:val="000000"/>
                <w:kern w:val="0"/>
                <w:sz w:val="24"/>
                <w:lang w:val="en-US" w:eastAsia="zh-CN" w:bidi="ar"/>
              </w:rPr>
              <w:t>18</w:t>
            </w:r>
            <w:r>
              <w:rPr>
                <w:color w:val="000000"/>
                <w:kern w:val="0"/>
                <w:sz w:val="24"/>
                <w:lang w:bidi="ar"/>
              </w:rPr>
              <w:t>m</w:t>
            </w:r>
            <w:r>
              <w:rPr>
                <w:color w:val="000000"/>
                <w:kern w:val="0"/>
                <w:sz w:val="24"/>
                <w:vertAlign w:val="superscript"/>
                <w:lang w:bidi="ar"/>
              </w:rPr>
              <w:t>3</w:t>
            </w:r>
            <w:r>
              <w:rPr>
                <w:color w:val="000000"/>
                <w:kern w:val="0"/>
                <w:sz w:val="24"/>
                <w:lang w:bidi="ar"/>
              </w:rPr>
              <w:t>/d</w:t>
            </w:r>
            <w:r>
              <w:rPr>
                <w:rFonts w:hint="eastAsia" w:ascii="宋体" w:hAnsi="宋体" w:cs="宋体"/>
                <w:color w:val="000000"/>
                <w:kern w:val="0"/>
                <w:sz w:val="24"/>
                <w:lang w:bidi="ar"/>
              </w:rPr>
              <w:t>、</w:t>
            </w:r>
            <w:r>
              <w:rPr>
                <w:rFonts w:hint="eastAsia"/>
                <w:color w:val="000000"/>
                <w:kern w:val="0"/>
                <w:sz w:val="24"/>
                <w:lang w:eastAsia="zh-CN" w:bidi="ar"/>
              </w:rPr>
              <w:t>6570</w:t>
            </w:r>
            <w:r>
              <w:rPr>
                <w:color w:val="000000"/>
                <w:kern w:val="0"/>
                <w:sz w:val="24"/>
                <w:lang w:bidi="ar"/>
              </w:rPr>
              <w:t>m</w:t>
            </w:r>
            <w:r>
              <w:rPr>
                <w:color w:val="000000"/>
                <w:kern w:val="0"/>
                <w:sz w:val="24"/>
                <w:vertAlign w:val="superscript"/>
                <w:lang w:bidi="ar"/>
              </w:rPr>
              <w:t>3</w:t>
            </w:r>
            <w:r>
              <w:rPr>
                <w:color w:val="000000"/>
                <w:kern w:val="0"/>
                <w:sz w:val="24"/>
                <w:lang w:bidi="ar"/>
              </w:rPr>
              <w:t>/a</w:t>
            </w:r>
            <w:r>
              <w:rPr>
                <w:rFonts w:hint="eastAsia" w:ascii="宋体" w:hAnsi="宋体" w:cs="宋体"/>
                <w:color w:val="000000"/>
                <w:kern w:val="0"/>
                <w:sz w:val="24"/>
                <w:lang w:bidi="ar"/>
              </w:rPr>
              <w:t>。。</w:t>
            </w:r>
          </w:p>
          <w:p>
            <w:pPr>
              <w:widowControl/>
              <w:spacing w:line="360" w:lineRule="auto"/>
              <w:ind w:firstLine="480" w:firstLineChars="200"/>
              <w:jc w:val="left"/>
            </w:pPr>
            <w:r>
              <w:rPr>
                <w:rFonts w:hint="eastAsia" w:ascii="宋体" w:hAnsi="宋体" w:cs="宋体"/>
                <w:color w:val="000000"/>
                <w:kern w:val="0"/>
                <w:sz w:val="24"/>
                <w:lang w:bidi="ar"/>
              </w:rPr>
              <w:t>④检验废水</w:t>
            </w:r>
          </w:p>
          <w:p>
            <w:pPr>
              <w:widowControl/>
              <w:spacing w:line="360" w:lineRule="auto"/>
              <w:ind w:firstLine="480" w:firstLineChars="200"/>
              <w:jc w:val="left"/>
            </w:pPr>
            <w:r>
              <w:rPr>
                <w:rFonts w:hint="eastAsia" w:ascii="宋体" w:hAnsi="宋体" w:cs="宋体"/>
                <w:color w:val="000000"/>
                <w:kern w:val="0"/>
                <w:sz w:val="24"/>
                <w:lang w:bidi="ar"/>
              </w:rPr>
              <w:t>检验科全部采用标准配置的试剂盒进行医学检验，不需使用酸碱类、重铬酸钾等化学试剂。试剂盒内的试剂年用量均较小，医院将这些试剂存放在冰箱内，产生的废试剂盒均单独收集后作为危险废物处理，不进入医院废水系统；医院在血常规项目检测中使用的是全自动血沉仪，因此在血常规项目检测中不会产生氰化物；医院检验科病原体的培养基、标本和菌种、毒种保存液，各种废弃的医学标本，废弃的血液、血清等均采用高压蒸汽灭菌后装入专用塑料黄色垃圾袋运送至院内医疗垃圾堆放点暂存，定期委托有资质单位处置，不得进入废水。该部分危险废物直接归入医疗废物处置。</w:t>
            </w:r>
          </w:p>
          <w:p>
            <w:pPr>
              <w:widowControl/>
              <w:spacing w:line="360" w:lineRule="auto"/>
              <w:ind w:firstLine="480" w:firstLineChars="200"/>
              <w:jc w:val="left"/>
            </w:pPr>
            <w:r>
              <w:rPr>
                <w:rFonts w:hint="eastAsia" w:ascii="宋体" w:hAnsi="宋体" w:cs="宋体"/>
                <w:color w:val="000000"/>
                <w:kern w:val="0"/>
                <w:sz w:val="24"/>
                <w:lang w:bidi="ar"/>
              </w:rPr>
              <w:t>⑤食堂废水</w:t>
            </w:r>
          </w:p>
          <w:p>
            <w:pPr>
              <w:widowControl/>
              <w:spacing w:line="360" w:lineRule="auto"/>
              <w:ind w:firstLine="480" w:firstLineChars="200"/>
              <w:jc w:val="left"/>
            </w:pPr>
            <w:r>
              <w:rPr>
                <w:rFonts w:hint="eastAsia" w:ascii="宋体" w:hAnsi="宋体" w:cs="宋体"/>
                <w:color w:val="000000"/>
                <w:kern w:val="0"/>
                <w:sz w:val="24"/>
                <w:lang w:bidi="ar"/>
              </w:rPr>
              <w:t>食堂设计容纳</w:t>
            </w:r>
            <w:r>
              <w:rPr>
                <w:rFonts w:hint="eastAsia"/>
                <w:color w:val="000000"/>
                <w:kern w:val="0"/>
                <w:sz w:val="24"/>
                <w:u w:val="single"/>
                <w:lang w:val="en-US" w:eastAsia="zh-CN" w:bidi="ar"/>
              </w:rPr>
              <w:t>40人</w:t>
            </w:r>
            <w:r>
              <w:rPr>
                <w:rFonts w:hint="eastAsia" w:ascii="宋体" w:hAnsi="宋体" w:cs="宋体"/>
                <w:color w:val="000000"/>
                <w:kern w:val="0"/>
                <w:sz w:val="24"/>
                <w:lang w:bidi="ar"/>
              </w:rPr>
              <w:t>就餐，根据同行业经验，用水定额取</w:t>
            </w:r>
            <w:r>
              <w:rPr>
                <w:color w:val="000000"/>
                <w:kern w:val="0"/>
                <w:sz w:val="24"/>
                <w:lang w:bidi="ar"/>
              </w:rPr>
              <w:t>25(L/</w:t>
            </w:r>
            <w:r>
              <w:rPr>
                <w:rFonts w:hint="eastAsia" w:ascii="宋体" w:hAnsi="宋体" w:cs="宋体"/>
                <w:color w:val="000000"/>
                <w:kern w:val="0"/>
                <w:sz w:val="24"/>
                <w:lang w:bidi="ar"/>
              </w:rPr>
              <w:t>人·</w:t>
            </w:r>
            <w:r>
              <w:rPr>
                <w:color w:val="000000"/>
                <w:kern w:val="0"/>
                <w:sz w:val="24"/>
                <w:lang w:bidi="ar"/>
              </w:rPr>
              <w:t>d)</w:t>
            </w:r>
            <w:r>
              <w:rPr>
                <w:rFonts w:hint="eastAsia" w:ascii="宋体" w:hAnsi="宋体" w:cs="宋体"/>
                <w:color w:val="000000"/>
                <w:kern w:val="0"/>
                <w:sz w:val="24"/>
                <w:lang w:bidi="ar"/>
              </w:rPr>
              <w:t>，则食堂用水量为</w:t>
            </w:r>
            <w:r>
              <w:rPr>
                <w:rFonts w:hint="eastAsia"/>
                <w:color w:val="000000"/>
                <w:kern w:val="0"/>
                <w:sz w:val="24"/>
                <w:u w:val="single"/>
                <w:lang w:val="en-US" w:eastAsia="zh-CN" w:bidi="ar"/>
              </w:rPr>
              <w:t>1.0</w:t>
            </w:r>
            <w:r>
              <w:rPr>
                <w:color w:val="000000"/>
                <w:kern w:val="0"/>
                <w:sz w:val="24"/>
                <w:u w:val="single"/>
                <w:lang w:bidi="ar"/>
              </w:rPr>
              <w:t>m</w:t>
            </w:r>
            <w:r>
              <w:rPr>
                <w:color w:val="000000"/>
                <w:kern w:val="0"/>
                <w:sz w:val="24"/>
                <w:u w:val="single"/>
                <w:vertAlign w:val="superscript"/>
                <w:lang w:bidi="ar"/>
              </w:rPr>
              <w:t>3</w:t>
            </w:r>
            <w:r>
              <w:rPr>
                <w:color w:val="000000"/>
                <w:kern w:val="0"/>
                <w:sz w:val="24"/>
                <w:u w:val="single"/>
                <w:lang w:bidi="ar"/>
              </w:rPr>
              <w:t>/d</w:t>
            </w:r>
            <w:r>
              <w:rPr>
                <w:rFonts w:hint="eastAsia" w:ascii="宋体" w:hAnsi="宋体" w:cs="宋体"/>
                <w:color w:val="000000"/>
                <w:kern w:val="0"/>
                <w:sz w:val="24"/>
                <w:u w:val="single"/>
                <w:lang w:bidi="ar"/>
              </w:rPr>
              <w:t>、</w:t>
            </w:r>
            <w:r>
              <w:rPr>
                <w:rFonts w:hint="eastAsia"/>
                <w:color w:val="000000"/>
                <w:kern w:val="0"/>
                <w:sz w:val="24"/>
                <w:u w:val="single"/>
                <w:lang w:val="en-US" w:eastAsia="zh-CN" w:bidi="ar"/>
              </w:rPr>
              <w:t>365</w:t>
            </w:r>
            <w:r>
              <w:rPr>
                <w:color w:val="000000"/>
                <w:kern w:val="0"/>
                <w:sz w:val="24"/>
                <w:u w:val="single"/>
                <w:lang w:bidi="ar"/>
              </w:rPr>
              <w:t>m</w:t>
            </w:r>
            <w:r>
              <w:rPr>
                <w:color w:val="000000"/>
                <w:kern w:val="0"/>
                <w:sz w:val="24"/>
                <w:u w:val="single"/>
                <w:vertAlign w:val="superscript"/>
                <w:lang w:bidi="ar"/>
              </w:rPr>
              <w:t>3</w:t>
            </w:r>
            <w:r>
              <w:rPr>
                <w:color w:val="000000"/>
                <w:kern w:val="0"/>
                <w:sz w:val="24"/>
                <w:u w:val="single"/>
                <w:lang w:bidi="ar"/>
              </w:rPr>
              <w:t>/a</w:t>
            </w:r>
            <w:r>
              <w:rPr>
                <w:rFonts w:hint="eastAsia" w:ascii="宋体" w:hAnsi="宋体" w:cs="宋体"/>
                <w:color w:val="000000"/>
                <w:kern w:val="0"/>
                <w:sz w:val="24"/>
                <w:u w:val="single"/>
                <w:lang w:bidi="ar"/>
              </w:rPr>
              <w:t>，排水量按</w:t>
            </w:r>
            <w:r>
              <w:rPr>
                <w:color w:val="000000"/>
                <w:kern w:val="0"/>
                <w:sz w:val="24"/>
                <w:u w:val="single"/>
                <w:lang w:bidi="ar"/>
              </w:rPr>
              <w:t>80%</w:t>
            </w:r>
            <w:r>
              <w:rPr>
                <w:rFonts w:hint="eastAsia" w:ascii="宋体" w:hAnsi="宋体" w:cs="宋体"/>
                <w:color w:val="000000"/>
                <w:kern w:val="0"/>
                <w:sz w:val="24"/>
                <w:u w:val="single"/>
                <w:lang w:bidi="ar"/>
              </w:rPr>
              <w:t>计，排水量为</w:t>
            </w:r>
            <w:r>
              <w:rPr>
                <w:rFonts w:hint="eastAsia"/>
                <w:color w:val="000000"/>
                <w:kern w:val="0"/>
                <w:sz w:val="24"/>
                <w:u w:val="single"/>
                <w:lang w:bidi="ar"/>
              </w:rPr>
              <w:t>0.</w:t>
            </w:r>
            <w:r>
              <w:rPr>
                <w:rFonts w:hint="eastAsia"/>
                <w:color w:val="000000"/>
                <w:kern w:val="0"/>
                <w:sz w:val="24"/>
                <w:u w:val="single"/>
                <w:lang w:val="en-US" w:eastAsia="zh-CN" w:bidi="ar"/>
              </w:rPr>
              <w:t>8</w:t>
            </w:r>
            <w:r>
              <w:rPr>
                <w:color w:val="000000"/>
                <w:kern w:val="0"/>
                <w:sz w:val="24"/>
                <w:u w:val="single"/>
                <w:lang w:bidi="ar"/>
              </w:rPr>
              <w:t>m</w:t>
            </w:r>
            <w:r>
              <w:rPr>
                <w:color w:val="000000"/>
                <w:kern w:val="0"/>
                <w:sz w:val="24"/>
                <w:u w:val="single"/>
                <w:vertAlign w:val="superscript"/>
                <w:lang w:bidi="ar"/>
              </w:rPr>
              <w:t>3</w:t>
            </w:r>
            <w:r>
              <w:rPr>
                <w:color w:val="000000"/>
                <w:kern w:val="0"/>
                <w:sz w:val="24"/>
                <w:u w:val="single"/>
                <w:lang w:bidi="ar"/>
              </w:rPr>
              <w:t>/d</w:t>
            </w:r>
            <w:r>
              <w:rPr>
                <w:rFonts w:hint="eastAsia" w:ascii="宋体" w:hAnsi="宋体" w:cs="宋体"/>
                <w:color w:val="000000"/>
                <w:kern w:val="0"/>
                <w:sz w:val="24"/>
                <w:u w:val="single"/>
                <w:lang w:bidi="ar"/>
              </w:rPr>
              <w:t>、</w:t>
            </w:r>
            <w:r>
              <w:rPr>
                <w:rFonts w:hint="eastAsia"/>
                <w:color w:val="000000"/>
                <w:kern w:val="0"/>
                <w:sz w:val="24"/>
                <w:u w:val="single"/>
                <w:lang w:val="en-US" w:eastAsia="zh-CN" w:bidi="ar"/>
              </w:rPr>
              <w:t>292</w:t>
            </w:r>
            <w:r>
              <w:rPr>
                <w:color w:val="000000"/>
                <w:kern w:val="0"/>
                <w:sz w:val="24"/>
                <w:u w:val="single"/>
                <w:lang w:bidi="ar"/>
              </w:rPr>
              <w:t>m</w:t>
            </w:r>
            <w:r>
              <w:rPr>
                <w:color w:val="000000"/>
                <w:kern w:val="0"/>
                <w:sz w:val="24"/>
                <w:u w:val="single"/>
                <w:vertAlign w:val="superscript"/>
                <w:lang w:bidi="ar"/>
              </w:rPr>
              <w:t>3</w:t>
            </w:r>
            <w:r>
              <w:rPr>
                <w:color w:val="000000"/>
                <w:kern w:val="0"/>
                <w:sz w:val="24"/>
                <w:u w:val="single"/>
                <w:lang w:bidi="ar"/>
              </w:rPr>
              <w:t>/a</w:t>
            </w:r>
            <w:r>
              <w:rPr>
                <w:rFonts w:hint="eastAsia" w:ascii="宋体" w:hAnsi="宋体" w:cs="宋体"/>
                <w:color w:val="000000"/>
                <w:kern w:val="0"/>
                <w:sz w:val="24"/>
                <w:u w:val="single"/>
                <w:lang w:bidi="ar"/>
              </w:rPr>
              <w:t>。</w:t>
            </w:r>
          </w:p>
          <w:p>
            <w:pPr>
              <w:widowControl/>
              <w:spacing w:line="360" w:lineRule="auto"/>
              <w:ind w:firstLine="480" w:firstLineChars="200"/>
              <w:jc w:val="left"/>
            </w:pPr>
            <w:r>
              <w:rPr>
                <w:rFonts w:hint="eastAsia" w:ascii="宋体" w:hAnsi="宋体" w:cs="宋体"/>
                <w:color w:val="000000"/>
                <w:kern w:val="0"/>
                <w:sz w:val="24"/>
                <w:lang w:bidi="ar"/>
              </w:rPr>
              <w:t>⑥洗衣房用水</w:t>
            </w:r>
          </w:p>
          <w:p>
            <w:pPr>
              <w:widowControl/>
              <w:spacing w:line="360" w:lineRule="auto"/>
              <w:ind w:firstLine="480" w:firstLineChars="200"/>
              <w:jc w:val="left"/>
              <w:rPr>
                <w:u w:val="single"/>
              </w:rPr>
            </w:pPr>
            <w:r>
              <w:rPr>
                <w:rFonts w:hint="eastAsia" w:ascii="宋体" w:hAnsi="宋体" w:cs="宋体"/>
                <w:color w:val="000000"/>
                <w:kern w:val="0"/>
                <w:sz w:val="24"/>
                <w:u w:val="single"/>
                <w:lang w:bidi="ar"/>
              </w:rPr>
              <w:t>项</w:t>
            </w:r>
            <w:r>
              <w:rPr>
                <w:rFonts w:hint="default" w:ascii="Times New Roman" w:hAnsi="Times New Roman" w:cs="Times New Roman"/>
                <w:color w:val="000000"/>
                <w:kern w:val="0"/>
                <w:sz w:val="24"/>
                <w:u w:val="single"/>
                <w:lang w:bidi="ar"/>
              </w:rPr>
              <w:t>目洗衣房</w:t>
            </w:r>
            <w:r>
              <w:rPr>
                <w:rFonts w:hint="eastAsia" w:cs="Times New Roman"/>
                <w:color w:val="000000"/>
                <w:kern w:val="0"/>
                <w:sz w:val="24"/>
                <w:u w:val="single"/>
                <w:lang w:eastAsia="zh-CN" w:bidi="ar"/>
              </w:rPr>
              <w:t>不进行</w:t>
            </w:r>
            <w:r>
              <w:rPr>
                <w:rFonts w:hint="default" w:ascii="Times New Roman" w:hAnsi="Times New Roman" w:cs="Times New Roman"/>
                <w:color w:val="000000"/>
                <w:kern w:val="0"/>
                <w:sz w:val="24"/>
                <w:u w:val="single"/>
                <w:lang w:bidi="ar"/>
              </w:rPr>
              <w:t>病人衣服</w:t>
            </w:r>
            <w:r>
              <w:rPr>
                <w:rFonts w:hint="eastAsia" w:cs="Times New Roman"/>
                <w:color w:val="000000"/>
                <w:kern w:val="0"/>
                <w:sz w:val="24"/>
                <w:u w:val="single"/>
                <w:lang w:eastAsia="zh-CN" w:bidi="ar"/>
              </w:rPr>
              <w:t>及被服</w:t>
            </w:r>
            <w:r>
              <w:rPr>
                <w:rFonts w:hint="default" w:ascii="Times New Roman" w:hAnsi="Times New Roman" w:cs="Times New Roman"/>
                <w:color w:val="000000"/>
                <w:kern w:val="0"/>
                <w:sz w:val="24"/>
                <w:u w:val="single"/>
                <w:lang w:bidi="ar"/>
              </w:rPr>
              <w:t>清洗</w:t>
            </w:r>
            <w:r>
              <w:rPr>
                <w:rFonts w:hint="eastAsia" w:cs="Times New Roman"/>
                <w:color w:val="000000"/>
                <w:kern w:val="0"/>
                <w:sz w:val="24"/>
                <w:u w:val="single"/>
                <w:lang w:eastAsia="zh-CN" w:bidi="ar"/>
              </w:rPr>
              <w:t>，仅进行洁具洗刷。</w:t>
            </w:r>
            <w:r>
              <w:rPr>
                <w:rFonts w:hint="eastAsia" w:ascii="宋体" w:hAnsi="宋体" w:eastAsia="宋体" w:cs="宋体"/>
                <w:b w:val="0"/>
                <w:bCs w:val="0"/>
                <w:color w:val="000000"/>
                <w:kern w:val="0"/>
                <w:sz w:val="24"/>
                <w:szCs w:val="24"/>
                <w:lang w:val="en-US" w:eastAsia="zh-CN" w:bidi="ar"/>
              </w:rPr>
              <w:t>根据卫生院实际情况，每天早上地面清洁一次，洁具每层涮洗一次，每次用水量为</w:t>
            </w:r>
            <w:r>
              <w:rPr>
                <w:rFonts w:hint="default" w:ascii="Times New Roman" w:hAnsi="Times New Roman" w:eastAsia="宋体" w:cs="Times New Roman"/>
                <w:b w:val="0"/>
                <w:bCs w:val="0"/>
                <w:color w:val="000000"/>
                <w:kern w:val="0"/>
                <w:sz w:val="24"/>
                <w:szCs w:val="24"/>
                <w:lang w:val="en-US" w:eastAsia="zh-CN" w:bidi="ar"/>
              </w:rPr>
              <w:t>0.</w:t>
            </w:r>
            <w:r>
              <w:rPr>
                <w:rFonts w:hint="eastAsia" w:ascii="Times New Roman" w:hAnsi="Times New Roman" w:eastAsia="宋体" w:cs="Times New Roman"/>
                <w:b w:val="0"/>
                <w:bCs w:val="0"/>
                <w:color w:val="000000"/>
                <w:kern w:val="0"/>
                <w:sz w:val="24"/>
                <w:szCs w:val="24"/>
                <w:lang w:val="en-US" w:eastAsia="zh-CN" w:bidi="ar"/>
              </w:rPr>
              <w:t>05</w:t>
            </w:r>
            <w:r>
              <w:rPr>
                <w:rFonts w:hint="default" w:ascii="Times New Roman" w:hAnsi="Times New Roman" w:eastAsia="宋体" w:cs="Times New Roman"/>
                <w:b w:val="0"/>
                <w:bCs w:val="0"/>
                <w:color w:val="000000"/>
                <w:kern w:val="0"/>
                <w:sz w:val="24"/>
                <w:szCs w:val="24"/>
                <w:lang w:val="en-US" w:eastAsia="zh-CN" w:bidi="ar"/>
              </w:rPr>
              <w:t>t</w:t>
            </w:r>
            <w:r>
              <w:rPr>
                <w:rFonts w:hint="eastAsia" w:ascii="Times New Roman" w:hAnsi="Times New Roman" w:eastAsia="宋体" w:cs="Times New Roman"/>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val="en-US" w:eastAsia="zh-CN" w:bidi="ar"/>
              </w:rPr>
              <w:t>根据业主方资料，用水量为</w:t>
            </w:r>
            <w:r>
              <w:rPr>
                <w:rFonts w:hint="eastAsia" w:ascii="Times New Roman" w:hAnsi="Times New Roman" w:eastAsia="宋体" w:cs="Times New Roman"/>
                <w:b w:val="0"/>
                <w:bCs w:val="0"/>
                <w:color w:val="000000"/>
                <w:kern w:val="0"/>
                <w:sz w:val="24"/>
                <w:szCs w:val="24"/>
                <w:lang w:val="en-US" w:eastAsia="zh-CN" w:bidi="ar"/>
              </w:rPr>
              <w:t>0.2</w:t>
            </w:r>
            <w:r>
              <w:rPr>
                <w:rFonts w:hint="default" w:ascii="Times New Roman" w:hAnsi="Times New Roman" w:eastAsia="宋体" w:cs="Times New Roman"/>
                <w:b w:val="0"/>
                <w:bCs w:val="0"/>
                <w:color w:val="000000"/>
                <w:kern w:val="0"/>
                <w:sz w:val="24"/>
                <w:szCs w:val="24"/>
                <w:lang w:val="en-US" w:eastAsia="zh-CN" w:bidi="ar"/>
              </w:rPr>
              <w:t>m</w:t>
            </w:r>
            <w:r>
              <w:rPr>
                <w:rFonts w:hint="default" w:ascii="Times New Roman" w:hAnsi="Times New Roman" w:eastAsia="宋体" w:cs="Times New Roman"/>
                <w:b w:val="0"/>
                <w:bCs w:val="0"/>
                <w:color w:val="000000"/>
                <w:kern w:val="0"/>
                <w:sz w:val="24"/>
                <w:szCs w:val="24"/>
                <w:vertAlign w:val="superscript"/>
                <w:lang w:val="en-US" w:eastAsia="zh-CN" w:bidi="ar"/>
              </w:rPr>
              <w:t>3</w:t>
            </w:r>
            <w:r>
              <w:rPr>
                <w:rFonts w:hint="default" w:ascii="Times New Roman" w:hAnsi="Times New Roman" w:eastAsia="宋体" w:cs="Times New Roman"/>
                <w:b w:val="0"/>
                <w:bCs w:val="0"/>
                <w:color w:val="000000"/>
                <w:kern w:val="0"/>
                <w:sz w:val="24"/>
                <w:szCs w:val="24"/>
                <w:lang w:val="en-US" w:eastAsia="zh-CN" w:bidi="ar"/>
              </w:rPr>
              <w:t>/d</w:t>
            </w:r>
            <w:r>
              <w:rPr>
                <w:rFonts w:hint="eastAsia" w:ascii="宋体" w:hAnsi="宋体" w:eastAsia="宋体" w:cs="宋体"/>
                <w:b w:val="0"/>
                <w:bCs w:val="0"/>
                <w:color w:val="000000"/>
                <w:kern w:val="0"/>
                <w:sz w:val="24"/>
                <w:szCs w:val="24"/>
                <w:lang w:val="en-US" w:eastAsia="zh-CN" w:bidi="ar"/>
              </w:rPr>
              <w:t>，废水量按</w:t>
            </w:r>
            <w:r>
              <w:rPr>
                <w:rFonts w:hint="default" w:ascii="Times New Roman" w:hAnsi="Times New Roman" w:eastAsia="宋体" w:cs="Times New Roman"/>
                <w:b w:val="0"/>
                <w:bCs w:val="0"/>
                <w:color w:val="000000"/>
                <w:kern w:val="0"/>
                <w:sz w:val="24"/>
                <w:szCs w:val="24"/>
                <w:lang w:val="en-US" w:eastAsia="zh-CN" w:bidi="ar"/>
              </w:rPr>
              <w:t>80%</w:t>
            </w:r>
            <w:r>
              <w:rPr>
                <w:rFonts w:hint="eastAsia" w:ascii="宋体" w:hAnsi="宋体" w:eastAsia="宋体" w:cs="宋体"/>
                <w:b w:val="0"/>
                <w:bCs w:val="0"/>
                <w:color w:val="000000"/>
                <w:kern w:val="0"/>
                <w:sz w:val="24"/>
                <w:szCs w:val="24"/>
                <w:lang w:val="en-US" w:eastAsia="zh-CN" w:bidi="ar"/>
              </w:rPr>
              <w:t>计算，因此洗衣房废水量为</w:t>
            </w:r>
            <w:r>
              <w:rPr>
                <w:rFonts w:hint="eastAsia" w:ascii="Times New Roman" w:hAnsi="Times New Roman" w:eastAsia="宋体" w:cs="Times New Roman"/>
                <w:b w:val="0"/>
                <w:bCs w:val="0"/>
                <w:color w:val="000000"/>
                <w:kern w:val="0"/>
                <w:sz w:val="24"/>
                <w:szCs w:val="24"/>
                <w:lang w:val="en-US" w:eastAsia="zh-CN" w:bidi="ar"/>
              </w:rPr>
              <w:t>0.16</w:t>
            </w:r>
            <w:r>
              <w:rPr>
                <w:rFonts w:hint="default" w:ascii="Times New Roman" w:hAnsi="Times New Roman" w:eastAsia="宋体" w:cs="Times New Roman"/>
                <w:b w:val="0"/>
                <w:bCs w:val="0"/>
                <w:color w:val="000000"/>
                <w:kern w:val="0"/>
                <w:sz w:val="24"/>
                <w:szCs w:val="24"/>
                <w:lang w:val="en-US" w:eastAsia="zh-CN" w:bidi="ar"/>
              </w:rPr>
              <w:t>m</w:t>
            </w:r>
            <w:r>
              <w:rPr>
                <w:rFonts w:hint="default" w:ascii="Times New Roman" w:hAnsi="Times New Roman" w:eastAsia="宋体" w:cs="Times New Roman"/>
                <w:b w:val="0"/>
                <w:bCs w:val="0"/>
                <w:color w:val="000000"/>
                <w:kern w:val="0"/>
                <w:sz w:val="24"/>
                <w:szCs w:val="24"/>
                <w:vertAlign w:val="superscript"/>
                <w:lang w:val="en-US" w:eastAsia="zh-CN" w:bidi="ar"/>
              </w:rPr>
              <w:t>3</w:t>
            </w:r>
            <w:r>
              <w:rPr>
                <w:rFonts w:hint="default" w:ascii="Times New Roman" w:hAnsi="Times New Roman" w:eastAsia="宋体" w:cs="Times New Roman"/>
                <w:b w:val="0"/>
                <w:bCs w:val="0"/>
                <w:color w:val="000000"/>
                <w:kern w:val="0"/>
                <w:sz w:val="24"/>
                <w:szCs w:val="24"/>
                <w:lang w:val="en-US" w:eastAsia="zh-CN" w:bidi="ar"/>
              </w:rPr>
              <w:t>/d</w:t>
            </w:r>
            <w:r>
              <w:rPr>
                <w:rFonts w:hint="eastAsia" w:ascii="宋体" w:hAnsi="宋体" w:eastAsia="宋体" w:cs="宋体"/>
                <w:b w:val="0"/>
                <w:bCs w:val="0"/>
                <w:color w:val="000000"/>
                <w:kern w:val="0"/>
                <w:sz w:val="24"/>
                <w:szCs w:val="24"/>
                <w:lang w:val="en-US" w:eastAsia="zh-CN" w:bidi="ar"/>
              </w:rPr>
              <w:t>、</w:t>
            </w:r>
            <w:r>
              <w:rPr>
                <w:rFonts w:hint="eastAsia" w:ascii="Times New Roman" w:hAnsi="Times New Roman" w:eastAsia="宋体" w:cs="Times New Roman"/>
                <w:b w:val="0"/>
                <w:bCs w:val="0"/>
                <w:color w:val="000000"/>
                <w:kern w:val="0"/>
                <w:sz w:val="24"/>
                <w:szCs w:val="24"/>
                <w:lang w:val="en-US" w:eastAsia="zh-CN" w:bidi="ar"/>
              </w:rPr>
              <w:t>58.4</w:t>
            </w:r>
            <w:r>
              <w:rPr>
                <w:rFonts w:hint="default" w:ascii="Times New Roman" w:hAnsi="Times New Roman" w:eastAsia="宋体" w:cs="Times New Roman"/>
                <w:b w:val="0"/>
                <w:bCs w:val="0"/>
                <w:color w:val="000000"/>
                <w:kern w:val="0"/>
                <w:sz w:val="24"/>
                <w:szCs w:val="24"/>
                <w:lang w:val="en-US" w:eastAsia="zh-CN" w:bidi="ar"/>
              </w:rPr>
              <w:t>m</w:t>
            </w:r>
            <w:r>
              <w:rPr>
                <w:rFonts w:hint="default" w:ascii="Times New Roman" w:hAnsi="Times New Roman" w:eastAsia="宋体" w:cs="Times New Roman"/>
                <w:b w:val="0"/>
                <w:bCs w:val="0"/>
                <w:color w:val="000000"/>
                <w:kern w:val="0"/>
                <w:sz w:val="24"/>
                <w:szCs w:val="24"/>
                <w:vertAlign w:val="superscript"/>
                <w:lang w:val="en-US" w:eastAsia="zh-CN" w:bidi="ar"/>
              </w:rPr>
              <w:t>3</w:t>
            </w:r>
            <w:r>
              <w:rPr>
                <w:rFonts w:hint="default" w:ascii="Times New Roman" w:hAnsi="Times New Roman" w:eastAsia="宋体" w:cs="Times New Roman"/>
                <w:b w:val="0"/>
                <w:bCs w:val="0"/>
                <w:color w:val="000000"/>
                <w:kern w:val="0"/>
                <w:sz w:val="24"/>
                <w:szCs w:val="24"/>
                <w:lang w:val="en-US" w:eastAsia="zh-CN" w:bidi="ar"/>
              </w:rPr>
              <w:t>/a</w:t>
            </w:r>
            <w:r>
              <w:rPr>
                <w:rFonts w:hint="eastAsia" w:ascii="宋体" w:hAnsi="宋体" w:cs="宋体"/>
                <w:color w:val="000000"/>
                <w:kern w:val="0"/>
                <w:sz w:val="24"/>
                <w:u w:val="none"/>
                <w:lang w:bidi="ar"/>
              </w:rPr>
              <w:t>。</w:t>
            </w:r>
          </w:p>
          <w:p>
            <w:pPr>
              <w:widowControl/>
              <w:spacing w:line="360" w:lineRule="auto"/>
              <w:ind w:firstLine="720" w:firstLineChars="300"/>
              <w:jc w:val="left"/>
            </w:pPr>
            <w:r>
              <w:rPr>
                <w:rFonts w:hint="eastAsia" w:ascii="宋体" w:hAnsi="宋体" w:cs="宋体"/>
                <w:color w:val="000000"/>
                <w:kern w:val="0"/>
                <w:sz w:val="24"/>
                <w:lang w:bidi="ar"/>
              </w:rPr>
              <w:t>⑦绿化用水</w:t>
            </w:r>
          </w:p>
          <w:p>
            <w:pPr>
              <w:widowControl/>
              <w:spacing w:line="360" w:lineRule="auto"/>
              <w:ind w:firstLine="480" w:firstLineChars="200"/>
              <w:jc w:val="left"/>
            </w:pPr>
            <w:r>
              <w:rPr>
                <w:rFonts w:hint="eastAsia" w:ascii="宋体" w:hAnsi="宋体" w:cs="宋体"/>
                <w:color w:val="000000"/>
                <w:kern w:val="0"/>
                <w:sz w:val="24"/>
                <w:lang w:bidi="ar"/>
              </w:rPr>
              <w:t>本项目绿化面积约为</w:t>
            </w:r>
            <w:r>
              <w:rPr>
                <w:color w:val="000000"/>
                <w:kern w:val="0"/>
                <w:sz w:val="24"/>
                <w:lang w:bidi="ar"/>
              </w:rPr>
              <w:t>500m</w:t>
            </w:r>
            <w:r>
              <w:rPr>
                <w:color w:val="000000"/>
                <w:kern w:val="0"/>
                <w:sz w:val="24"/>
                <w:vertAlign w:val="superscript"/>
                <w:lang w:bidi="ar"/>
              </w:rPr>
              <w:t>2</w:t>
            </w:r>
            <w:r>
              <w:rPr>
                <w:rFonts w:hint="eastAsia" w:ascii="宋体" w:hAnsi="宋体" w:cs="宋体"/>
                <w:color w:val="000000"/>
                <w:kern w:val="0"/>
                <w:sz w:val="24"/>
                <w:lang w:bidi="ar"/>
              </w:rPr>
              <w:t>，根据《湖南省地方标准工业与城镇生活用水定额》（</w:t>
            </w:r>
            <w:r>
              <w:rPr>
                <w:color w:val="000000"/>
                <w:kern w:val="0"/>
                <w:sz w:val="24"/>
                <w:lang w:bidi="ar"/>
              </w:rPr>
              <w:t>DB4</w:t>
            </w:r>
            <w:r>
              <w:rPr>
                <w:rFonts w:hint="eastAsia"/>
                <w:color w:val="000000"/>
                <w:kern w:val="0"/>
                <w:sz w:val="24"/>
                <w:lang w:bidi="ar"/>
              </w:rPr>
              <w:t>3</w:t>
            </w:r>
            <w:r>
              <w:rPr>
                <w:color w:val="000000"/>
                <w:kern w:val="0"/>
                <w:sz w:val="24"/>
                <w:lang w:bidi="ar"/>
              </w:rPr>
              <w:t>/T38</w:t>
            </w:r>
            <w:r>
              <w:rPr>
                <w:rFonts w:hint="eastAsia"/>
                <w:color w:val="000000"/>
                <w:kern w:val="0"/>
                <w:sz w:val="24"/>
                <w:lang w:bidi="ar"/>
              </w:rPr>
              <w:t>8</w:t>
            </w:r>
            <w:r>
              <w:rPr>
                <w:color w:val="000000"/>
                <w:kern w:val="0"/>
                <w:sz w:val="24"/>
                <w:lang w:bidi="ar"/>
              </w:rPr>
              <w:t>-20</w:t>
            </w:r>
            <w:r>
              <w:rPr>
                <w:rFonts w:hint="eastAsia"/>
                <w:color w:val="000000"/>
                <w:kern w:val="0"/>
                <w:sz w:val="24"/>
                <w:lang w:bidi="ar"/>
              </w:rPr>
              <w:t>20</w:t>
            </w:r>
            <w:r>
              <w:rPr>
                <w:rFonts w:hint="eastAsia" w:ascii="宋体" w:hAnsi="宋体" w:cs="宋体"/>
                <w:color w:val="000000"/>
                <w:kern w:val="0"/>
                <w:sz w:val="24"/>
                <w:lang w:bidi="ar"/>
              </w:rPr>
              <w:t>），本项目绿化用水标准按</w:t>
            </w:r>
            <w:r>
              <w:rPr>
                <w:rFonts w:hint="eastAsia"/>
                <w:color w:val="000000"/>
                <w:kern w:val="0"/>
                <w:sz w:val="24"/>
                <w:lang w:bidi="ar"/>
              </w:rPr>
              <w:t>60L</w:t>
            </w:r>
            <w:r>
              <w:rPr>
                <w:color w:val="000000"/>
                <w:kern w:val="0"/>
                <w:sz w:val="24"/>
                <w:lang w:bidi="ar"/>
              </w:rPr>
              <w:t>/m</w:t>
            </w:r>
            <w:r>
              <w:rPr>
                <w:color w:val="000000"/>
                <w:kern w:val="0"/>
                <w:sz w:val="24"/>
                <w:vertAlign w:val="superscript"/>
                <w:lang w:bidi="ar"/>
              </w:rPr>
              <w:t>2</w:t>
            </w:r>
            <w:r>
              <w:rPr>
                <w:rFonts w:hint="eastAsia" w:ascii="宋体" w:hAnsi="宋体" w:cs="宋体"/>
                <w:color w:val="000000"/>
                <w:kern w:val="0"/>
                <w:sz w:val="24"/>
                <w:lang w:bidi="ar"/>
              </w:rPr>
              <w:t>·月计算，绿化用水仅在每年的夏季使用，则用水量约为</w:t>
            </w:r>
            <w:r>
              <w:rPr>
                <w:rFonts w:hint="eastAsia"/>
                <w:color w:val="000000"/>
                <w:kern w:val="0"/>
                <w:sz w:val="24"/>
                <w:lang w:val="en-US" w:eastAsia="zh-CN" w:bidi="ar"/>
              </w:rPr>
              <w:t>90</w:t>
            </w:r>
            <w:r>
              <w:rPr>
                <w:color w:val="000000"/>
                <w:kern w:val="0"/>
                <w:sz w:val="24"/>
                <w:lang w:bidi="ar"/>
              </w:rPr>
              <w:t>m</w:t>
            </w:r>
            <w:r>
              <w:rPr>
                <w:rStyle w:val="83"/>
                <w:sz w:val="24"/>
                <w:szCs w:val="24"/>
                <w:lang w:bidi="ar"/>
              </w:rPr>
              <w:t>3</w:t>
            </w:r>
            <w:r>
              <w:rPr>
                <w:color w:val="000000"/>
                <w:kern w:val="0"/>
                <w:sz w:val="24"/>
                <w:lang w:bidi="ar"/>
              </w:rPr>
              <w:t>/a</w:t>
            </w:r>
            <w:r>
              <w:rPr>
                <w:rFonts w:hint="eastAsia" w:ascii="宋体" w:hAnsi="宋体" w:cs="宋体"/>
                <w:color w:val="000000"/>
                <w:kern w:val="0"/>
                <w:sz w:val="24"/>
                <w:lang w:bidi="ar"/>
              </w:rPr>
              <w:t>，绿化用水不外排。</w:t>
            </w:r>
          </w:p>
          <w:p>
            <w:pPr>
              <w:pStyle w:val="34"/>
              <w:spacing w:before="120"/>
              <w:ind w:firstLine="422"/>
              <w:rPr>
                <w:sz w:val="21"/>
                <w:szCs w:val="21"/>
              </w:rPr>
            </w:pPr>
            <w:r>
              <w:rPr>
                <w:sz w:val="21"/>
                <w:szCs w:val="21"/>
              </w:rPr>
              <w:t>表</w:t>
            </w:r>
            <w:r>
              <w:rPr>
                <w:rFonts w:hint="eastAsia"/>
                <w:sz w:val="21"/>
                <w:szCs w:val="21"/>
              </w:rPr>
              <w:t>2-7</w:t>
            </w:r>
            <w:r>
              <w:rPr>
                <w:sz w:val="21"/>
                <w:szCs w:val="21"/>
              </w:rPr>
              <w:t>本项目用</w:t>
            </w:r>
            <w:r>
              <w:rPr>
                <w:rFonts w:hint="eastAsia"/>
                <w:sz w:val="21"/>
                <w:szCs w:val="21"/>
              </w:rPr>
              <w:t>排</w:t>
            </w:r>
            <w:r>
              <w:rPr>
                <w:sz w:val="21"/>
                <w:szCs w:val="21"/>
              </w:rPr>
              <w:t>水量汇总一览表</w:t>
            </w:r>
          </w:p>
          <w:tbl>
            <w:tblPr>
              <w:tblStyle w:val="27"/>
              <w:tblW w:w="7852" w:type="dxa"/>
              <w:tblInd w:w="0" w:type="dxa"/>
              <w:tblLayout w:type="fixed"/>
              <w:tblCellMar>
                <w:top w:w="0" w:type="dxa"/>
                <w:left w:w="108" w:type="dxa"/>
                <w:bottom w:w="0" w:type="dxa"/>
                <w:right w:w="108" w:type="dxa"/>
              </w:tblCellMar>
            </w:tblPr>
            <w:tblGrid>
              <w:gridCol w:w="357"/>
              <w:gridCol w:w="1089"/>
              <w:gridCol w:w="636"/>
              <w:gridCol w:w="638"/>
              <w:gridCol w:w="895"/>
              <w:gridCol w:w="741"/>
              <w:gridCol w:w="723"/>
              <w:gridCol w:w="723"/>
              <w:gridCol w:w="930"/>
              <w:gridCol w:w="1120"/>
            </w:tblGrid>
            <w:tr>
              <w:tblPrEx>
                <w:tblCellMar>
                  <w:top w:w="0" w:type="dxa"/>
                  <w:left w:w="108" w:type="dxa"/>
                  <w:bottom w:w="0" w:type="dxa"/>
                  <w:right w:w="108" w:type="dxa"/>
                </w:tblCellMar>
              </w:tblPrEx>
              <w:trPr>
                <w:trHeight w:val="1088" w:hRule="atLeast"/>
                <w:tblHeader/>
              </w:trPr>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序号</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用水项目</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用水单耗</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规模</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日用水量（m</w:t>
                  </w:r>
                  <w:r>
                    <w:rPr>
                      <w:rStyle w:val="83"/>
                      <w:u w:val="single"/>
                      <w:lang w:bidi="ar"/>
                    </w:rPr>
                    <w:t>3</w:t>
                  </w:r>
                  <w:r>
                    <w:rPr>
                      <w:color w:val="000000"/>
                      <w:kern w:val="0"/>
                      <w:szCs w:val="21"/>
                      <w:u w:val="single"/>
                      <w:lang w:bidi="ar"/>
                    </w:rPr>
                    <w:t>/d）</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年用水量（m</w:t>
                  </w:r>
                  <w:r>
                    <w:rPr>
                      <w:color w:val="000000"/>
                      <w:kern w:val="0"/>
                      <w:szCs w:val="21"/>
                      <w:u w:val="single"/>
                      <w:vertAlign w:val="superscript"/>
                      <w:lang w:bidi="ar"/>
                    </w:rPr>
                    <w:t>3</w:t>
                  </w:r>
                  <w:r>
                    <w:rPr>
                      <w:color w:val="000000"/>
                      <w:kern w:val="0"/>
                      <w:szCs w:val="21"/>
                      <w:u w:val="single"/>
                      <w:lang w:bidi="ar"/>
                    </w:rPr>
                    <w:t>/a）</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污水产生系数</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日排水量（m</w:t>
                  </w:r>
                  <w:r>
                    <w:rPr>
                      <w:rStyle w:val="83"/>
                      <w:u w:val="single"/>
                      <w:lang w:bidi="ar"/>
                    </w:rPr>
                    <w:t>3</w:t>
                  </w:r>
                  <w:r>
                    <w:rPr>
                      <w:color w:val="000000"/>
                      <w:kern w:val="0"/>
                      <w:szCs w:val="21"/>
                      <w:u w:val="single"/>
                      <w:lang w:bidi="ar"/>
                    </w:rPr>
                    <w:t>/d）</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年排水量（m</w:t>
                  </w:r>
                  <w:r>
                    <w:rPr>
                      <w:color w:val="000000"/>
                      <w:kern w:val="0"/>
                      <w:szCs w:val="21"/>
                      <w:u w:val="single"/>
                      <w:vertAlign w:val="superscript"/>
                      <w:lang w:bidi="ar"/>
                    </w:rPr>
                    <w:t>3</w:t>
                  </w:r>
                  <w:r>
                    <w:rPr>
                      <w:color w:val="000000"/>
                      <w:kern w:val="0"/>
                      <w:szCs w:val="21"/>
                      <w:u w:val="single"/>
                      <w:lang w:bidi="ar"/>
                    </w:rPr>
                    <w:t>/a）</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备注</w:t>
                  </w:r>
                </w:p>
              </w:tc>
            </w:tr>
            <w:tr>
              <w:tblPrEx>
                <w:tblCellMar>
                  <w:top w:w="0" w:type="dxa"/>
                  <w:left w:w="108" w:type="dxa"/>
                  <w:bottom w:w="0" w:type="dxa"/>
                  <w:right w:w="108" w:type="dxa"/>
                </w:tblCellMar>
              </w:tblPrEx>
              <w:trPr>
                <w:trHeight w:val="676"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医务人员办公生活污水</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38</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40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1.52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554.8</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0.8</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1.216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443.84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单耗单位L/人·天</w:t>
                  </w:r>
                </w:p>
              </w:tc>
            </w:tr>
            <w:tr>
              <w:tblPrEx>
                <w:tblCellMar>
                  <w:top w:w="0" w:type="dxa"/>
                  <w:left w:w="108" w:type="dxa"/>
                  <w:bottom w:w="0" w:type="dxa"/>
                  <w:right w:w="108" w:type="dxa"/>
                </w:tblCellMar>
              </w:tblPrEx>
              <w:trPr>
                <w:trHeight w:val="576"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2</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门诊医疗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15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40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0.6</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219</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0.8</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0.48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175.2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单耗单位</w:t>
                  </w:r>
                  <w:r>
                    <w:rPr>
                      <w:rFonts w:hint="default"/>
                      <w:u w:val="single"/>
                      <w:lang w:val="en-US" w:eastAsia="zh-CN"/>
                    </w:rPr>
                    <w:t>L/</w:t>
                  </w:r>
                  <w:r>
                    <w:rPr>
                      <w:rFonts w:hint="eastAsia"/>
                      <w:u w:val="single"/>
                      <w:lang w:val="en-US" w:eastAsia="zh-CN"/>
                    </w:rPr>
                    <w:t>人</w:t>
                  </w:r>
                  <w:r>
                    <w:rPr>
                      <w:rFonts w:hint="default"/>
                      <w:u w:val="single"/>
                      <w:lang w:val="en-US" w:eastAsia="zh-CN"/>
                    </w:rPr>
                    <w:t>•</w:t>
                  </w:r>
                  <w:r>
                    <w:rPr>
                      <w:rFonts w:hint="eastAsia"/>
                      <w:u w:val="single"/>
                      <w:lang w:val="en-US" w:eastAsia="zh-CN"/>
                    </w:rPr>
                    <w:t>次</w:t>
                  </w:r>
                </w:p>
              </w:tc>
            </w:tr>
            <w:tr>
              <w:tblPrEx>
                <w:tblCellMar>
                  <w:top w:w="0" w:type="dxa"/>
                  <w:left w:w="108" w:type="dxa"/>
                  <w:bottom w:w="0" w:type="dxa"/>
                  <w:right w:w="108" w:type="dxa"/>
                </w:tblCellMar>
              </w:tblPrEx>
              <w:trPr>
                <w:trHeight w:val="576"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3</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住院病房</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375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60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22.5</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8212.5</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0.8</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18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6570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单耗单位</w:t>
                  </w:r>
                  <w:r>
                    <w:rPr>
                      <w:rFonts w:hint="default"/>
                      <w:u w:val="single"/>
                      <w:lang w:val="en-US" w:eastAsia="zh-CN"/>
                    </w:rPr>
                    <w:t>L/</w:t>
                  </w:r>
                  <w:r>
                    <w:rPr>
                      <w:rFonts w:hint="eastAsia"/>
                      <w:u w:val="single"/>
                      <w:lang w:val="en-US" w:eastAsia="zh-CN"/>
                    </w:rPr>
                    <w:t>床</w:t>
                  </w:r>
                  <w:r>
                    <w:rPr>
                      <w:rFonts w:hint="default"/>
                      <w:u w:val="single"/>
                      <w:lang w:val="en-US" w:eastAsia="zh-CN"/>
                    </w:rPr>
                    <w:t>·d</w:t>
                  </w:r>
                </w:p>
              </w:tc>
            </w:tr>
            <w:tr>
              <w:tblPrEx>
                <w:tblCellMar>
                  <w:top w:w="0" w:type="dxa"/>
                  <w:left w:w="108" w:type="dxa"/>
                  <w:bottom w:w="0" w:type="dxa"/>
                  <w:right w:w="108" w:type="dxa"/>
                </w:tblCellMar>
              </w:tblPrEx>
              <w:trPr>
                <w:trHeight w:val="576"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4</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食堂废水</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25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40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365</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0.8</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292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单耗单位</w:t>
                  </w:r>
                  <w:r>
                    <w:rPr>
                      <w:rFonts w:hint="default"/>
                      <w:u w:val="single"/>
                      <w:lang w:val="en-US" w:eastAsia="zh-CN"/>
                    </w:rPr>
                    <w:t>L/</w:t>
                  </w:r>
                  <w:r>
                    <w:rPr>
                      <w:rFonts w:hint="eastAsia"/>
                      <w:u w:val="single"/>
                      <w:lang w:val="en-US" w:eastAsia="zh-CN"/>
                    </w:rPr>
                    <w:t>人</w:t>
                  </w:r>
                  <w:r>
                    <w:rPr>
                      <w:rFonts w:hint="default"/>
                      <w:u w:val="single"/>
                      <w:lang w:val="en-US" w:eastAsia="zh-CN"/>
                    </w:rPr>
                    <w:t>·d</w:t>
                  </w:r>
                </w:p>
              </w:tc>
            </w:tr>
            <w:tr>
              <w:tblPrEx>
                <w:tblCellMar>
                  <w:top w:w="0" w:type="dxa"/>
                  <w:left w:w="108" w:type="dxa"/>
                  <w:bottom w:w="0" w:type="dxa"/>
                  <w:right w:w="108" w:type="dxa"/>
                </w:tblCellMar>
              </w:tblPrEx>
              <w:trPr>
                <w:trHeight w:val="859"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5</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洗衣房废水</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73</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0.8</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58.4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本项目病人被服外委给第三方洗涤</w:t>
                  </w:r>
                </w:p>
              </w:tc>
            </w:tr>
            <w:tr>
              <w:tblPrEx>
                <w:tblCellMar>
                  <w:top w:w="0" w:type="dxa"/>
                  <w:left w:w="108" w:type="dxa"/>
                  <w:bottom w:w="0" w:type="dxa"/>
                  <w:right w:w="108" w:type="dxa"/>
                </w:tblCellMar>
              </w:tblPrEx>
              <w:trPr>
                <w:trHeight w:val="550"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6</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绿化</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60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500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30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90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单耗单位L/m</w:t>
                  </w:r>
                  <w:r>
                    <w:rPr>
                      <w:rFonts w:hint="eastAsia"/>
                      <w:u w:val="single"/>
                      <w:vertAlign w:val="superscript"/>
                      <w:lang w:val="en-US" w:eastAsia="zh-CN"/>
                    </w:rPr>
                    <w:t>2</w:t>
                  </w:r>
                  <w:r>
                    <w:rPr>
                      <w:rFonts w:hint="eastAsia"/>
                      <w:u w:val="single"/>
                      <w:lang w:val="en-US" w:eastAsia="zh-CN"/>
                    </w:rPr>
                    <w:t>·月</w:t>
                  </w:r>
                </w:p>
              </w:tc>
            </w:tr>
            <w:tr>
              <w:tblPrEx>
                <w:tblCellMar>
                  <w:top w:w="0" w:type="dxa"/>
                  <w:left w:w="108" w:type="dxa"/>
                  <w:bottom w:w="0" w:type="dxa"/>
                  <w:right w:w="108" w:type="dxa"/>
                </w:tblCellMar>
              </w:tblPrEx>
              <w:trPr>
                <w:trHeight w:val="499"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7</w:t>
                  </w:r>
                </w:p>
              </w:tc>
              <w:tc>
                <w:tcPr>
                  <w:tcW w:w="2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合计</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55.82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9514.3</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20.656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7539.44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p>
              </w:tc>
            </w:tr>
          </w:tbl>
          <w:p>
            <w:pPr>
              <w:spacing w:line="360" w:lineRule="auto"/>
              <w:ind w:firstLine="480" w:firstLineChars="200"/>
              <w:rPr>
                <w:rFonts w:cs="宋体"/>
                <w:sz w:val="24"/>
              </w:rPr>
            </w:pPr>
            <w:r>
              <w:rPr>
                <w:rFonts w:hint="eastAsia" w:cs="宋体"/>
                <w:sz w:val="24"/>
              </w:rPr>
              <w:t>本项目室外排水采取雨污分流。雨水经雨水管网排入周边沟渠；项目生活污水和医疗废水经一体化污水处理系统处理后排入</w:t>
            </w:r>
            <w:r>
              <w:rPr>
                <w:rFonts w:hint="eastAsia" w:cs="宋体"/>
                <w:sz w:val="24"/>
                <w:lang w:eastAsia="zh-CN"/>
              </w:rPr>
              <w:t>三阳港</w:t>
            </w:r>
            <w:r>
              <w:rPr>
                <w:rFonts w:hint="eastAsia" w:cs="宋体"/>
                <w:sz w:val="24"/>
              </w:rPr>
              <w:t>污水处理厂，最终进入沅江。</w:t>
            </w:r>
          </w:p>
          <w:p>
            <w:pPr>
              <w:adjustRightInd w:val="0"/>
              <w:snapToGrid w:val="0"/>
              <w:spacing w:line="360" w:lineRule="auto"/>
              <w:jc w:val="center"/>
              <w:rPr>
                <w:rFonts w:hint="eastAsia" w:eastAsia="宋体"/>
                <w:sz w:val="24"/>
                <w:highlight w:val="yellow"/>
                <w:lang w:eastAsia="zh-CN"/>
              </w:rPr>
            </w:pPr>
            <w:r>
              <w:rPr>
                <w:rFonts w:hint="eastAsia" w:eastAsia="宋体"/>
                <w:sz w:val="24"/>
                <w:highlight w:val="none"/>
                <w:u w:val="single"/>
                <w:lang w:eastAsia="zh-CN"/>
              </w:rPr>
              <w:drawing>
                <wp:inline distT="0" distB="0" distL="114300" distR="114300">
                  <wp:extent cx="5034915" cy="2955925"/>
                  <wp:effectExtent l="0" t="0" r="13335" b="15875"/>
                  <wp:docPr id="1"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wps"/>
                          <pic:cNvPicPr>
                            <a:picLocks noChangeAspect="1"/>
                          </pic:cNvPicPr>
                        </pic:nvPicPr>
                        <pic:blipFill>
                          <a:blip r:embed="rId10"/>
                          <a:srcRect l="4414" t="8682" r="15977" b="7529"/>
                          <a:stretch>
                            <a:fillRect/>
                          </a:stretch>
                        </pic:blipFill>
                        <pic:spPr>
                          <a:xfrm>
                            <a:off x="0" y="0"/>
                            <a:ext cx="5034915" cy="2955925"/>
                          </a:xfrm>
                          <a:prstGeom prst="rect">
                            <a:avLst/>
                          </a:prstGeom>
                        </pic:spPr>
                      </pic:pic>
                    </a:graphicData>
                  </a:graphic>
                </wp:inline>
              </w:drawing>
            </w:r>
          </w:p>
          <w:p>
            <w:pPr>
              <w:snapToGrid w:val="0"/>
              <w:spacing w:line="360" w:lineRule="auto"/>
              <w:contextualSpacing/>
              <w:jc w:val="center"/>
              <w:rPr>
                <w:b/>
                <w:bCs/>
                <w:szCs w:val="21"/>
                <w:u w:val="single"/>
              </w:rPr>
            </w:pPr>
            <w:r>
              <w:rPr>
                <w:b/>
                <w:bCs/>
                <w:szCs w:val="21"/>
                <w:u w:val="single"/>
              </w:rPr>
              <w:t>图2-1项目水平衡图（m</w:t>
            </w:r>
            <w:r>
              <w:rPr>
                <w:b/>
                <w:bCs/>
                <w:szCs w:val="21"/>
                <w:u w:val="single"/>
                <w:vertAlign w:val="superscript"/>
              </w:rPr>
              <w:t>3</w:t>
            </w:r>
            <w:r>
              <w:rPr>
                <w:b/>
                <w:bCs/>
                <w:szCs w:val="21"/>
                <w:u w:val="single"/>
              </w:rPr>
              <w:t>/a）</w:t>
            </w:r>
          </w:p>
          <w:p>
            <w:pPr>
              <w:spacing w:line="360" w:lineRule="auto"/>
              <w:ind w:firstLine="482"/>
              <w:rPr>
                <w:sz w:val="24"/>
              </w:rPr>
            </w:pPr>
            <w:r>
              <w:rPr>
                <w:sz w:val="24"/>
              </w:rPr>
              <w:t>（3）供配电</w:t>
            </w:r>
          </w:p>
          <w:p>
            <w:pPr>
              <w:spacing w:line="360" w:lineRule="auto"/>
              <w:ind w:firstLine="480" w:firstLineChars="200"/>
              <w:rPr>
                <w:rFonts w:cs="宋体"/>
                <w:sz w:val="24"/>
              </w:rPr>
            </w:pPr>
            <w:r>
              <w:rPr>
                <w:rFonts w:hint="eastAsia" w:cs="宋体"/>
                <w:sz w:val="24"/>
              </w:rPr>
              <w:t>本项目供电由乡镇电网供电，现有工程无备用电源，建设完成后，于综合楼设置功率5kW的备用发电机一台。</w:t>
            </w:r>
          </w:p>
          <w:p>
            <w:pPr>
              <w:spacing w:line="360" w:lineRule="auto"/>
              <w:ind w:firstLine="482"/>
              <w:rPr>
                <w:rFonts w:hint="eastAsia" w:eastAsia="宋体"/>
                <w:sz w:val="24"/>
                <w:u w:val="single"/>
                <w:lang w:eastAsia="zh-CN"/>
              </w:rPr>
            </w:pPr>
            <w:r>
              <w:rPr>
                <w:sz w:val="24"/>
              </w:rPr>
              <w:t>（4）</w:t>
            </w:r>
            <w:r>
              <w:rPr>
                <w:rFonts w:hint="eastAsia"/>
                <w:sz w:val="24"/>
              </w:rPr>
              <w:t>供气</w:t>
            </w:r>
            <w:r>
              <w:rPr>
                <w:rStyle w:val="33"/>
                <w:rFonts w:hint="eastAsia"/>
                <w:kern w:val="0"/>
                <w:sz w:val="24"/>
                <w:szCs w:val="24"/>
                <w:lang w:eastAsia="zh-CN"/>
              </w:rPr>
              <w:t>、</w:t>
            </w:r>
            <w:r>
              <w:rPr>
                <w:rStyle w:val="33"/>
                <w:rFonts w:hint="eastAsia"/>
                <w:kern w:val="0"/>
                <w:sz w:val="24"/>
                <w:szCs w:val="24"/>
                <w:u w:val="single"/>
                <w:lang w:eastAsia="zh-CN"/>
              </w:rPr>
              <w:t>供热</w:t>
            </w:r>
          </w:p>
          <w:p>
            <w:pPr>
              <w:snapToGrid w:val="0"/>
              <w:spacing w:line="360" w:lineRule="auto"/>
              <w:ind w:firstLine="480" w:firstLineChars="200"/>
              <w:contextualSpacing/>
              <w:rPr>
                <w:rFonts w:hint="eastAsia" w:eastAsia="宋体"/>
                <w:sz w:val="24"/>
                <w:lang w:eastAsia="zh-CN"/>
              </w:rPr>
            </w:pPr>
            <w:r>
              <w:rPr>
                <w:sz w:val="24"/>
              </w:rPr>
              <w:t>本项目</w:t>
            </w:r>
            <w:r>
              <w:rPr>
                <w:rFonts w:hint="eastAsia"/>
                <w:sz w:val="24"/>
              </w:rPr>
              <w:t>食堂燃料为液化石油气，由当地液化气厂提供</w:t>
            </w:r>
            <w:r>
              <w:rPr>
                <w:sz w:val="24"/>
                <w:u w:val="single"/>
              </w:rPr>
              <w:t>。</w:t>
            </w:r>
            <w:r>
              <w:rPr>
                <w:rFonts w:hint="eastAsia"/>
                <w:sz w:val="24"/>
                <w:u w:val="single"/>
                <w:lang w:eastAsia="zh-CN"/>
              </w:rPr>
              <w:t>办公用房、宿舍及病房供暖由分散式空调柜机提供。</w:t>
            </w:r>
          </w:p>
          <w:p>
            <w:pPr>
              <w:spacing w:line="360" w:lineRule="auto"/>
              <w:ind w:firstLine="480" w:firstLineChars="200"/>
              <w:rPr>
                <w:sz w:val="24"/>
              </w:rPr>
            </w:pPr>
            <w:r>
              <w:rPr>
                <w:rFonts w:hint="eastAsia"/>
                <w:sz w:val="24"/>
              </w:rPr>
              <w:t>（5）</w:t>
            </w:r>
            <w:r>
              <w:rPr>
                <w:rFonts w:hint="eastAsia" w:cs="宋体"/>
                <w:sz w:val="24"/>
              </w:rPr>
              <w:t>消防</w:t>
            </w:r>
          </w:p>
          <w:p>
            <w:pPr>
              <w:spacing w:line="360" w:lineRule="auto"/>
              <w:ind w:firstLine="480" w:firstLineChars="200"/>
              <w:rPr>
                <w:rFonts w:cs="宋体"/>
                <w:sz w:val="24"/>
                <w:lang w:val="ru-RU"/>
              </w:rPr>
            </w:pPr>
            <w:r>
              <w:rPr>
                <w:rFonts w:cs="宋体"/>
                <w:sz w:val="24"/>
                <w:lang w:val="ru-RU"/>
              </w:rPr>
              <w:t>本工程新建</w:t>
            </w:r>
            <w:r>
              <w:rPr>
                <w:rFonts w:hint="eastAsia" w:cs="宋体"/>
                <w:sz w:val="24"/>
                <w:lang w:val="ru-RU"/>
              </w:rPr>
              <w:t>住院大</w:t>
            </w:r>
            <w:r>
              <w:rPr>
                <w:rFonts w:cs="宋体"/>
                <w:sz w:val="24"/>
                <w:lang w:val="ru-RU"/>
              </w:rPr>
              <w:t>楼设置火灾探测报警系统，建筑物内各房间根据规范要求，配置火灾探测器。配电室和控制室内布置手提式灭火器，可采用磷酸铵盐干粉灭火器，另外配置适量的砂箱和消防铲。</w:t>
            </w:r>
          </w:p>
          <w:p>
            <w:pPr>
              <w:numPr>
                <w:ilvl w:val="0"/>
                <w:numId w:val="2"/>
              </w:numPr>
              <w:spacing w:line="360" w:lineRule="auto"/>
              <w:rPr>
                <w:rFonts w:hint="eastAsia" w:cs="宋体"/>
                <w:b/>
                <w:bCs/>
                <w:sz w:val="24"/>
                <w:u w:val="single"/>
                <w:lang w:val="ru-RU" w:eastAsia="zh-CN"/>
              </w:rPr>
            </w:pPr>
            <w:r>
              <w:rPr>
                <w:rFonts w:hint="eastAsia" w:cs="宋体"/>
                <w:b/>
                <w:bCs/>
                <w:sz w:val="24"/>
                <w:u w:val="single"/>
                <w:lang w:val="ru-RU" w:eastAsia="zh-CN"/>
              </w:rPr>
              <w:t>评价范围说明：</w:t>
            </w:r>
          </w:p>
          <w:p>
            <w:pPr>
              <w:numPr>
                <w:ilvl w:val="0"/>
                <w:numId w:val="0"/>
              </w:numPr>
              <w:spacing w:line="360" w:lineRule="auto"/>
              <w:ind w:firstLine="480" w:firstLineChars="200"/>
              <w:rPr>
                <w:rFonts w:hint="default" w:eastAsia="宋体"/>
                <w:bCs/>
                <w:szCs w:val="21"/>
                <w:highlight w:val="yellow"/>
                <w:lang w:val="en-US" w:eastAsia="zh-CN"/>
              </w:rPr>
            </w:pPr>
            <w:r>
              <w:rPr>
                <w:rFonts w:hint="eastAsia" w:cs="宋体"/>
                <w:sz w:val="24"/>
                <w:u w:val="single"/>
                <w:lang w:val="en-US" w:eastAsia="zh-CN"/>
              </w:rPr>
              <w:t>本项目不新增辐射设备，现有住院楼的辐射设备拆除之后移至新综合住院楼使用。本次环评不包含DR仪器等辐射设备的评价，辐射部分内容建设单位已另行委托第三方单位评价，并取得辐射安全许可证。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823" w:type="dxa"/>
            <w:vAlign w:val="center"/>
          </w:tcPr>
          <w:p>
            <w:pPr>
              <w:pStyle w:val="24"/>
              <w:adjustRightInd w:val="0"/>
              <w:snapToGrid w:val="0"/>
              <w:jc w:val="center"/>
              <w:rPr>
                <w:rFonts w:ascii="Times New Roman" w:hAnsi="Times New Roman"/>
                <w:sz w:val="21"/>
                <w:szCs w:val="21"/>
                <w:highlight w:val="yellow"/>
              </w:rPr>
            </w:pPr>
            <w:r>
              <w:rPr>
                <w:rFonts w:ascii="Times New Roman" w:hAnsi="Times New Roman"/>
                <w:sz w:val="21"/>
                <w:szCs w:val="21"/>
              </w:rPr>
              <w:t>工艺流程和产排污环节</w:t>
            </w:r>
          </w:p>
        </w:tc>
        <w:tc>
          <w:tcPr>
            <w:tcW w:w="8161" w:type="dxa"/>
          </w:tcPr>
          <w:p>
            <w:pPr>
              <w:spacing w:line="360" w:lineRule="auto"/>
              <w:ind w:firstLine="480" w:firstLineChars="200"/>
              <w:rPr>
                <w:sz w:val="24"/>
              </w:rPr>
            </w:pPr>
            <w:r>
              <w:rPr>
                <w:sz w:val="24"/>
              </w:rPr>
              <w:t>施工期工艺流程及产污情况</w:t>
            </w:r>
            <w:r>
              <w:rPr>
                <w:rFonts w:hint="eastAsia"/>
                <w:sz w:val="24"/>
              </w:rPr>
              <w:t>见</w:t>
            </w:r>
            <w:r>
              <w:rPr>
                <w:sz w:val="24"/>
              </w:rPr>
              <w:t>下图</w:t>
            </w:r>
            <w:r>
              <w:rPr>
                <w:rFonts w:hint="eastAsia"/>
                <w:sz w:val="24"/>
              </w:rPr>
              <w:t>。</w:t>
            </w:r>
          </w:p>
          <w:p>
            <w:pPr>
              <w:spacing w:line="360" w:lineRule="auto"/>
              <w:jc w:val="center"/>
              <w:rPr>
                <w:sz w:val="24"/>
              </w:rPr>
            </w:pPr>
            <w:r>
              <w:drawing>
                <wp:inline distT="0" distB="0" distL="114300" distR="114300">
                  <wp:extent cx="5039995" cy="1268095"/>
                  <wp:effectExtent l="0" t="0" r="8255" b="8255"/>
                  <wp:docPr id="7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9"/>
                          <pic:cNvPicPr>
                            <a:picLocks noChangeAspect="1"/>
                          </pic:cNvPicPr>
                        </pic:nvPicPr>
                        <pic:blipFill>
                          <a:blip r:embed="rId11"/>
                          <a:stretch>
                            <a:fillRect/>
                          </a:stretch>
                        </pic:blipFill>
                        <pic:spPr>
                          <a:xfrm>
                            <a:off x="0" y="0"/>
                            <a:ext cx="5039995" cy="1268095"/>
                          </a:xfrm>
                          <a:prstGeom prst="rect">
                            <a:avLst/>
                          </a:prstGeom>
                          <a:noFill/>
                          <a:ln>
                            <a:noFill/>
                          </a:ln>
                        </pic:spPr>
                      </pic:pic>
                    </a:graphicData>
                  </a:graphic>
                </wp:inline>
              </w:drawing>
            </w:r>
          </w:p>
          <w:p>
            <w:pPr>
              <w:tabs>
                <w:tab w:val="left" w:pos="4602"/>
              </w:tabs>
              <w:jc w:val="center"/>
              <w:rPr>
                <w:rFonts w:eastAsia="新宋体"/>
                <w:b/>
                <w:szCs w:val="21"/>
              </w:rPr>
            </w:pPr>
            <w:r>
              <w:rPr>
                <w:rFonts w:eastAsia="新宋体"/>
                <w:b/>
                <w:szCs w:val="21"/>
              </w:rPr>
              <w:t>图</w:t>
            </w:r>
            <w:r>
              <w:rPr>
                <w:rFonts w:hint="eastAsia" w:eastAsia="新宋体"/>
                <w:b/>
                <w:szCs w:val="21"/>
              </w:rPr>
              <w:t>2-2</w:t>
            </w:r>
            <w:r>
              <w:rPr>
                <w:rFonts w:eastAsia="新宋体"/>
                <w:b/>
                <w:szCs w:val="21"/>
              </w:rPr>
              <w:t>项目施工</w:t>
            </w:r>
            <w:r>
              <w:rPr>
                <w:rFonts w:hint="eastAsia" w:eastAsia="新宋体"/>
                <w:b/>
                <w:szCs w:val="21"/>
              </w:rPr>
              <w:t>期</w:t>
            </w:r>
            <w:r>
              <w:rPr>
                <w:rFonts w:eastAsia="新宋体"/>
                <w:b/>
                <w:szCs w:val="21"/>
              </w:rPr>
              <w:t>流程图</w:t>
            </w:r>
          </w:p>
          <w:p>
            <w:pPr>
              <w:spacing w:line="360" w:lineRule="auto"/>
              <w:ind w:firstLine="482" w:firstLineChars="200"/>
              <w:rPr>
                <w:b/>
                <w:sz w:val="24"/>
              </w:rPr>
            </w:pPr>
            <w:r>
              <w:rPr>
                <w:rFonts w:hint="eastAsia"/>
                <w:b/>
                <w:sz w:val="24"/>
              </w:rPr>
              <w:t>2、营运</w:t>
            </w:r>
            <w:r>
              <w:rPr>
                <w:b/>
                <w:sz w:val="24"/>
              </w:rPr>
              <w:t>期工艺流程</w:t>
            </w:r>
          </w:p>
          <w:p>
            <w:pPr>
              <w:spacing w:line="360" w:lineRule="auto"/>
              <w:ind w:firstLine="480" w:firstLineChars="200"/>
              <w:rPr>
                <w:sz w:val="24"/>
              </w:rPr>
            </w:pPr>
            <w:r>
              <w:rPr>
                <w:sz w:val="24"/>
              </w:rPr>
              <w:t>运营期主要工艺流程及产污环节见下图</w:t>
            </w:r>
            <w:r>
              <w:rPr>
                <w:rFonts w:hint="eastAsia"/>
                <w:sz w:val="24"/>
              </w:rPr>
              <w:t>。</w:t>
            </w:r>
          </w:p>
          <w:p>
            <w:pPr>
              <w:spacing w:line="360" w:lineRule="auto"/>
              <w:jc w:val="center"/>
              <w:rPr>
                <w:sz w:val="24"/>
              </w:rPr>
            </w:pPr>
            <w:r>
              <w:drawing>
                <wp:inline distT="0" distB="0" distL="114300" distR="114300">
                  <wp:extent cx="4816475" cy="1858645"/>
                  <wp:effectExtent l="0" t="0" r="3175" b="8255"/>
                  <wp:docPr id="7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20"/>
                          <pic:cNvPicPr>
                            <a:picLocks noChangeAspect="1"/>
                          </pic:cNvPicPr>
                        </pic:nvPicPr>
                        <pic:blipFill>
                          <a:blip r:embed="rId12"/>
                          <a:stretch>
                            <a:fillRect/>
                          </a:stretch>
                        </pic:blipFill>
                        <pic:spPr>
                          <a:xfrm>
                            <a:off x="0" y="0"/>
                            <a:ext cx="4816475" cy="1858645"/>
                          </a:xfrm>
                          <a:prstGeom prst="rect">
                            <a:avLst/>
                          </a:prstGeom>
                          <a:noFill/>
                          <a:ln>
                            <a:noFill/>
                          </a:ln>
                        </pic:spPr>
                      </pic:pic>
                    </a:graphicData>
                  </a:graphic>
                </wp:inline>
              </w:drawing>
            </w:r>
          </w:p>
          <w:p>
            <w:pPr>
              <w:tabs>
                <w:tab w:val="left" w:pos="4602"/>
              </w:tabs>
              <w:jc w:val="center"/>
              <w:rPr>
                <w:bCs/>
                <w:szCs w:val="21"/>
                <w:highlight w:val="yellow"/>
              </w:rPr>
            </w:pPr>
            <w:r>
              <w:rPr>
                <w:rFonts w:eastAsia="新宋体"/>
                <w:b/>
                <w:szCs w:val="21"/>
              </w:rPr>
              <w:t>图</w:t>
            </w:r>
            <w:r>
              <w:rPr>
                <w:rFonts w:hint="eastAsia" w:eastAsia="新宋体"/>
                <w:b/>
                <w:szCs w:val="21"/>
              </w:rPr>
              <w:t>2-3</w:t>
            </w:r>
            <w:r>
              <w:rPr>
                <w:rFonts w:eastAsia="新宋体"/>
                <w:b/>
                <w:szCs w:val="21"/>
              </w:rPr>
              <w:t>项目</w:t>
            </w:r>
            <w:r>
              <w:rPr>
                <w:rFonts w:hint="eastAsia" w:eastAsia="新宋体"/>
                <w:b/>
                <w:szCs w:val="21"/>
              </w:rPr>
              <w:t>营运期</w:t>
            </w:r>
            <w:r>
              <w:rPr>
                <w:rFonts w:eastAsia="新宋体"/>
                <w:b/>
                <w:szCs w:val="21"/>
              </w:rPr>
              <w:t>流程图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23" w:type="dxa"/>
            <w:vAlign w:val="center"/>
          </w:tcPr>
          <w:p>
            <w:pPr>
              <w:pStyle w:val="24"/>
              <w:adjustRightInd w:val="0"/>
              <w:snapToGrid w:val="0"/>
              <w:jc w:val="center"/>
              <w:rPr>
                <w:rFonts w:ascii="Times New Roman" w:hAnsi="Times New Roman"/>
                <w:sz w:val="21"/>
                <w:szCs w:val="21"/>
              </w:rPr>
            </w:pPr>
            <w:r>
              <w:rPr>
                <w:rFonts w:ascii="Times New Roman" w:hAnsi="Times New Roman"/>
                <w:bCs/>
                <w:kern w:val="2"/>
                <w:sz w:val="21"/>
                <w:szCs w:val="21"/>
              </w:rPr>
              <w:t>与项目有关的原有环境污染问题</w:t>
            </w:r>
          </w:p>
        </w:tc>
        <w:tc>
          <w:tcPr>
            <w:tcW w:w="8161" w:type="dxa"/>
          </w:tcPr>
          <w:p>
            <w:pPr>
              <w:spacing w:line="360" w:lineRule="auto"/>
              <w:ind w:firstLine="482" w:firstLineChars="200"/>
              <w:rPr>
                <w:b/>
                <w:sz w:val="24"/>
              </w:rPr>
            </w:pPr>
            <w:r>
              <w:rPr>
                <w:rFonts w:hint="eastAsia" w:cs="宋体"/>
                <w:b/>
                <w:sz w:val="24"/>
              </w:rPr>
              <w:t>一、现有工程概况</w:t>
            </w:r>
          </w:p>
          <w:p>
            <w:pPr>
              <w:spacing w:line="360" w:lineRule="auto"/>
              <w:ind w:firstLine="480" w:firstLineChars="200"/>
              <w:rPr>
                <w:sz w:val="24"/>
              </w:rPr>
            </w:pPr>
            <w:r>
              <w:rPr>
                <w:rFonts w:hint="eastAsia"/>
                <w:sz w:val="24"/>
              </w:rPr>
              <w:t>桃源县</w:t>
            </w:r>
            <w:r>
              <w:rPr>
                <w:rFonts w:hint="eastAsia"/>
                <w:sz w:val="24"/>
                <w:lang w:eastAsia="zh-CN"/>
              </w:rPr>
              <w:t>三阳港镇</w:t>
            </w:r>
            <w:r>
              <w:rPr>
                <w:rFonts w:hint="eastAsia"/>
                <w:sz w:val="24"/>
              </w:rPr>
              <w:t>中心卫生院位于桃源县</w:t>
            </w:r>
            <w:r>
              <w:rPr>
                <w:rFonts w:hint="eastAsia"/>
                <w:sz w:val="24"/>
                <w:lang w:eastAsia="zh-CN"/>
              </w:rPr>
              <w:t>三阳港镇墟场中街</w:t>
            </w:r>
            <w:r>
              <w:rPr>
                <w:sz w:val="24"/>
              </w:rPr>
              <w:t>，</w:t>
            </w:r>
            <w:r>
              <w:rPr>
                <w:rFonts w:hint="eastAsia"/>
                <w:sz w:val="24"/>
              </w:rPr>
              <w:t>卫生院现有职工</w:t>
            </w:r>
            <w:r>
              <w:rPr>
                <w:rFonts w:hint="eastAsia"/>
                <w:sz w:val="24"/>
                <w:u w:val="single"/>
                <w:lang w:val="en-US" w:eastAsia="zh-CN"/>
              </w:rPr>
              <w:t>30</w:t>
            </w:r>
            <w:r>
              <w:rPr>
                <w:rFonts w:hint="eastAsia"/>
                <w:sz w:val="24"/>
                <w:u w:val="single"/>
              </w:rPr>
              <w:t>人</w:t>
            </w:r>
            <w:r>
              <w:rPr>
                <w:rFonts w:hint="eastAsia"/>
                <w:sz w:val="24"/>
              </w:rPr>
              <w:t>，拥有数字化（DR）摄影系统、彩色多普勒超声诊断仪、全自动生化分析仪、IMS-972电解质分析仪、血常规分析仪、心电图机等医疗设备，年门诊量</w:t>
            </w:r>
            <w:r>
              <w:rPr>
                <w:rFonts w:hint="eastAsia"/>
                <w:sz w:val="24"/>
                <w:u w:val="single"/>
                <w:lang w:val="en-US" w:eastAsia="zh-CN"/>
              </w:rPr>
              <w:t>10950</w:t>
            </w:r>
            <w:r>
              <w:rPr>
                <w:rFonts w:hint="eastAsia"/>
                <w:sz w:val="24"/>
                <w:u w:val="single"/>
              </w:rPr>
              <w:t>余人次</w:t>
            </w:r>
            <w:r>
              <w:rPr>
                <w:rFonts w:hint="eastAsia"/>
                <w:sz w:val="24"/>
              </w:rPr>
              <w:t>，住院7500余人次</w:t>
            </w:r>
            <w:r>
              <w:rPr>
                <w:sz w:val="24"/>
              </w:rPr>
              <w:t>。该院创建</w:t>
            </w:r>
            <w:r>
              <w:rPr>
                <w:rFonts w:hint="eastAsia"/>
                <w:sz w:val="24"/>
                <w:lang w:eastAsia="zh-CN"/>
              </w:rPr>
              <w:t>以来</w:t>
            </w:r>
            <w:r>
              <w:rPr>
                <w:rFonts w:hint="eastAsia"/>
                <w:sz w:val="24"/>
              </w:rPr>
              <w:t>未办理过环评手续，属于历史遗留问题。且项目</w:t>
            </w:r>
            <w:r>
              <w:rPr>
                <w:sz w:val="24"/>
              </w:rPr>
              <w:t>建设标准低，经过多年使用，大部分建筑材料已经老化，与此同时，</w:t>
            </w:r>
            <w:r>
              <w:rPr>
                <w:rFonts w:hint="eastAsia"/>
                <w:sz w:val="24"/>
              </w:rPr>
              <w:t>院内</w:t>
            </w:r>
            <w:r>
              <w:rPr>
                <w:sz w:val="24"/>
              </w:rPr>
              <w:t>病床数量已不能满足日益增长的乡镇群众就医需求，</w:t>
            </w:r>
            <w:r>
              <w:rPr>
                <w:rFonts w:hint="eastAsia"/>
                <w:sz w:val="24"/>
              </w:rPr>
              <w:t>故本次</w:t>
            </w:r>
            <w:r>
              <w:rPr>
                <w:rFonts w:hint="eastAsia"/>
                <w:sz w:val="24"/>
                <w:lang w:eastAsia="zh-CN"/>
              </w:rPr>
              <w:t>保留卫生院原有的职工宿舍、污水处理站、杂物间、发电机房、洗衣房、医疗废物暂存间、南侧花坛，</w:t>
            </w:r>
            <w:r>
              <w:rPr>
                <w:rFonts w:hint="eastAsia"/>
                <w:sz w:val="24"/>
              </w:rPr>
              <w:t>拆除原有的</w:t>
            </w:r>
            <w:r>
              <w:rPr>
                <w:rFonts w:hint="eastAsia"/>
                <w:sz w:val="24"/>
                <w:lang w:eastAsia="zh-CN"/>
              </w:rPr>
              <w:t>门诊楼、公卫楼、职工食堂</w:t>
            </w:r>
            <w:r>
              <w:rPr>
                <w:rFonts w:hint="eastAsia"/>
                <w:sz w:val="24"/>
              </w:rPr>
              <w:t>，</w:t>
            </w:r>
            <w:r>
              <w:rPr>
                <w:rFonts w:hint="eastAsia"/>
                <w:sz w:val="24"/>
                <w:lang w:eastAsia="zh-CN"/>
              </w:rPr>
              <w:t>南侧的老住院楼</w:t>
            </w:r>
            <w:r>
              <w:rPr>
                <w:rFonts w:hint="eastAsia"/>
                <w:sz w:val="24"/>
              </w:rPr>
              <w:t>拟计划改成公卫楼和职工宿舍</w:t>
            </w:r>
            <w:r>
              <w:rPr>
                <w:rFonts w:hint="eastAsia"/>
                <w:sz w:val="24"/>
                <w:lang w:eastAsia="zh-CN"/>
              </w:rPr>
              <w:t>，</w:t>
            </w:r>
            <w:r>
              <w:rPr>
                <w:rFonts w:hint="eastAsia"/>
                <w:sz w:val="24"/>
              </w:rPr>
              <w:t>中间原有的北侧花坛拆除</w:t>
            </w:r>
            <w:r>
              <w:rPr>
                <w:rFonts w:hint="eastAsia"/>
                <w:sz w:val="24"/>
                <w:lang w:eastAsia="zh-CN"/>
              </w:rPr>
              <w:t>改扩建</w:t>
            </w:r>
            <w:r>
              <w:rPr>
                <w:rFonts w:hint="eastAsia"/>
                <w:sz w:val="24"/>
              </w:rPr>
              <w:t>成停车场</w:t>
            </w:r>
            <w:r>
              <w:rPr>
                <w:rFonts w:hint="eastAsia"/>
                <w:sz w:val="24"/>
                <w:lang w:eastAsia="zh-CN"/>
              </w:rPr>
              <w:t>，</w:t>
            </w:r>
            <w:r>
              <w:rPr>
                <w:rFonts w:hint="eastAsia"/>
                <w:sz w:val="24"/>
              </w:rPr>
              <w:t>并在空地上新建一栋</w:t>
            </w:r>
            <w:r>
              <w:rPr>
                <w:rFonts w:hint="eastAsia"/>
                <w:sz w:val="24"/>
                <w:lang w:val="en-US" w:eastAsia="zh-CN"/>
              </w:rPr>
              <w:t>3</w:t>
            </w:r>
            <w:r>
              <w:rPr>
                <w:rFonts w:hint="eastAsia"/>
                <w:sz w:val="24"/>
              </w:rPr>
              <w:t>层的综合住院楼。</w:t>
            </w:r>
            <w:r>
              <w:rPr>
                <w:sz w:val="24"/>
              </w:rPr>
              <w:t>项目建设完成后病床数从</w:t>
            </w:r>
            <w:r>
              <w:rPr>
                <w:rFonts w:hint="eastAsia"/>
                <w:sz w:val="24"/>
                <w:lang w:eastAsia="zh-CN"/>
              </w:rPr>
              <w:t>50张</w:t>
            </w:r>
            <w:r>
              <w:rPr>
                <w:sz w:val="24"/>
              </w:rPr>
              <w:t>加至</w:t>
            </w:r>
            <w:r>
              <w:rPr>
                <w:rFonts w:hint="eastAsia"/>
                <w:sz w:val="24"/>
                <w:lang w:eastAsia="zh-CN"/>
              </w:rPr>
              <w:t>60张</w:t>
            </w:r>
            <w:r>
              <w:rPr>
                <w:rFonts w:hint="eastAsia"/>
                <w:sz w:val="24"/>
              </w:rPr>
              <w:t>。</w:t>
            </w:r>
          </w:p>
          <w:p>
            <w:pPr>
              <w:spacing w:line="360" w:lineRule="auto"/>
              <w:ind w:firstLine="480" w:firstLineChars="200"/>
              <w:rPr>
                <w:rFonts w:hAnsi="宋体"/>
                <w:sz w:val="24"/>
              </w:rPr>
            </w:pPr>
            <w:r>
              <w:rPr>
                <w:rFonts w:hint="eastAsia" w:hAnsi="宋体"/>
                <w:sz w:val="24"/>
                <w:lang w:eastAsia="zh-CN"/>
              </w:rPr>
              <w:t>三阳港镇</w:t>
            </w:r>
            <w:r>
              <w:rPr>
                <w:rFonts w:hint="eastAsia" w:hAnsi="宋体"/>
                <w:sz w:val="24"/>
              </w:rPr>
              <w:t>中心卫生院自建成以来，营运至现在，未收到与环境有关的投诉。</w:t>
            </w:r>
          </w:p>
          <w:p>
            <w:pPr>
              <w:spacing w:line="360" w:lineRule="auto"/>
              <w:ind w:firstLine="482" w:firstLineChars="200"/>
              <w:rPr>
                <w:rFonts w:cs="宋体"/>
                <w:b/>
                <w:sz w:val="24"/>
              </w:rPr>
            </w:pPr>
            <w:r>
              <w:rPr>
                <w:rFonts w:hint="eastAsia" w:cs="宋体"/>
                <w:b/>
                <w:sz w:val="24"/>
              </w:rPr>
              <w:t>二、现有工程建设内容及主要生产设备</w:t>
            </w:r>
          </w:p>
          <w:p>
            <w:pPr>
              <w:spacing w:line="360" w:lineRule="auto"/>
              <w:ind w:firstLine="480" w:firstLineChars="200"/>
              <w:rPr>
                <w:rFonts w:hAnsi="宋体"/>
                <w:sz w:val="24"/>
              </w:rPr>
            </w:pPr>
            <w:r>
              <w:rPr>
                <w:rFonts w:hint="eastAsia" w:hAnsi="宋体"/>
                <w:sz w:val="24"/>
              </w:rPr>
              <w:t>现有工程建设内容及规模见表2-8，现有工程主要设备清单见表2-9，现有工程原辅材料及能源消耗情况见表2-10。</w:t>
            </w:r>
          </w:p>
          <w:p>
            <w:pPr>
              <w:tabs>
                <w:tab w:val="left" w:pos="4602"/>
              </w:tabs>
              <w:jc w:val="center"/>
              <w:rPr>
                <w:rFonts w:eastAsia="新宋体"/>
                <w:b/>
                <w:szCs w:val="21"/>
              </w:rPr>
            </w:pPr>
            <w:r>
              <w:rPr>
                <w:rFonts w:eastAsia="新宋体"/>
                <w:b/>
                <w:szCs w:val="21"/>
              </w:rPr>
              <w:t>表2-</w:t>
            </w:r>
            <w:r>
              <w:rPr>
                <w:rFonts w:hint="eastAsia" w:eastAsia="新宋体"/>
                <w:b/>
                <w:szCs w:val="21"/>
              </w:rPr>
              <w:t>8</w:t>
            </w:r>
            <w:r>
              <w:rPr>
                <w:rFonts w:eastAsia="新宋体"/>
                <w:b/>
                <w:szCs w:val="21"/>
              </w:rPr>
              <w:t>主要工程建设内容一览表</w:t>
            </w:r>
          </w:p>
          <w:tbl>
            <w:tblPr>
              <w:tblStyle w:val="28"/>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927"/>
              <w:gridCol w:w="5355"/>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gridSpan w:val="2"/>
                  <w:vAlign w:val="center"/>
                </w:tcPr>
                <w:p>
                  <w:pPr>
                    <w:tabs>
                      <w:tab w:val="left" w:pos="4602"/>
                    </w:tabs>
                    <w:jc w:val="center"/>
                    <w:rPr>
                      <w:b/>
                      <w:szCs w:val="21"/>
                    </w:rPr>
                  </w:pPr>
                  <w:r>
                    <w:rPr>
                      <w:b/>
                      <w:szCs w:val="21"/>
                    </w:rPr>
                    <w:t>工程类别</w:t>
                  </w:r>
                </w:p>
              </w:tc>
              <w:tc>
                <w:tcPr>
                  <w:tcW w:w="5355" w:type="dxa"/>
                  <w:vAlign w:val="center"/>
                </w:tcPr>
                <w:p>
                  <w:pPr>
                    <w:tabs>
                      <w:tab w:val="left" w:pos="4602"/>
                    </w:tabs>
                    <w:jc w:val="center"/>
                    <w:rPr>
                      <w:b/>
                      <w:szCs w:val="21"/>
                    </w:rPr>
                  </w:pPr>
                  <w:r>
                    <w:rPr>
                      <w:b/>
                      <w:szCs w:val="21"/>
                    </w:rPr>
                    <w:t>建设规模及内容</w:t>
                  </w:r>
                </w:p>
              </w:tc>
              <w:tc>
                <w:tcPr>
                  <w:tcW w:w="949" w:type="dxa"/>
                  <w:vAlign w:val="center"/>
                </w:tcPr>
                <w:p>
                  <w:pPr>
                    <w:tabs>
                      <w:tab w:val="left" w:pos="4602"/>
                    </w:tabs>
                    <w:jc w:val="center"/>
                    <w:rPr>
                      <w:b/>
                      <w:szCs w:val="21"/>
                    </w:rPr>
                  </w:pPr>
                  <w:r>
                    <w:rPr>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pPr>
                    <w:tabs>
                      <w:tab w:val="left" w:pos="4602"/>
                    </w:tabs>
                    <w:jc w:val="center"/>
                    <w:rPr>
                      <w:bCs/>
                      <w:szCs w:val="21"/>
                    </w:rPr>
                  </w:pPr>
                  <w:r>
                    <w:rPr>
                      <w:bCs/>
                      <w:szCs w:val="21"/>
                    </w:rPr>
                    <w:t>主体工程</w:t>
                  </w:r>
                </w:p>
              </w:tc>
              <w:tc>
                <w:tcPr>
                  <w:tcW w:w="927" w:type="dxa"/>
                  <w:vAlign w:val="center"/>
                </w:tcPr>
                <w:p>
                  <w:pPr>
                    <w:tabs>
                      <w:tab w:val="left" w:pos="4602"/>
                    </w:tabs>
                    <w:jc w:val="center"/>
                    <w:rPr>
                      <w:bCs/>
                      <w:szCs w:val="21"/>
                    </w:rPr>
                  </w:pPr>
                  <w:r>
                    <w:rPr>
                      <w:rFonts w:hint="eastAsia"/>
                      <w:bCs/>
                      <w:szCs w:val="21"/>
                    </w:rPr>
                    <w:t>门诊楼</w:t>
                  </w:r>
                </w:p>
              </w:tc>
              <w:tc>
                <w:tcPr>
                  <w:tcW w:w="5355" w:type="dxa"/>
                  <w:vAlign w:val="center"/>
                </w:tcPr>
                <w:p>
                  <w:pPr>
                    <w:tabs>
                      <w:tab w:val="left" w:pos="4602"/>
                    </w:tabs>
                    <w:jc w:val="left"/>
                    <w:rPr>
                      <w:bCs/>
                      <w:szCs w:val="21"/>
                    </w:rPr>
                  </w:pPr>
                  <w:r>
                    <w:rPr>
                      <w:rFonts w:hint="eastAsia"/>
                      <w:bCs/>
                      <w:szCs w:val="21"/>
                    </w:rPr>
                    <w:t>建筑面积</w:t>
                  </w:r>
                  <w:r>
                    <w:rPr>
                      <w:rFonts w:hint="eastAsia"/>
                      <w:bCs/>
                      <w:szCs w:val="21"/>
                      <w:lang w:val="en-US" w:eastAsia="zh-CN"/>
                    </w:rPr>
                    <w:t>2250</w:t>
                  </w:r>
                  <w:r>
                    <w:rPr>
                      <w:rFonts w:hint="eastAsia"/>
                      <w:bCs/>
                      <w:szCs w:val="21"/>
                    </w:rPr>
                    <w:t>m</w:t>
                  </w:r>
                  <w:r>
                    <w:rPr>
                      <w:rFonts w:hint="eastAsia"/>
                      <w:bCs/>
                      <w:szCs w:val="21"/>
                      <w:vertAlign w:val="superscript"/>
                    </w:rPr>
                    <w:t>2</w:t>
                  </w:r>
                  <w:r>
                    <w:rPr>
                      <w:rFonts w:hint="eastAsia"/>
                      <w:bCs/>
                      <w:szCs w:val="21"/>
                    </w:rPr>
                    <w:t>，共</w:t>
                  </w:r>
                  <w:r>
                    <w:rPr>
                      <w:rFonts w:hint="eastAsia"/>
                      <w:bCs/>
                      <w:szCs w:val="21"/>
                      <w:lang w:val="en-US" w:eastAsia="zh-CN"/>
                    </w:rPr>
                    <w:t>4</w:t>
                  </w:r>
                  <w:r>
                    <w:rPr>
                      <w:rFonts w:hint="eastAsia"/>
                      <w:bCs/>
                      <w:szCs w:val="21"/>
                    </w:rPr>
                    <w:t>层。一层为门诊部，二层为</w:t>
                  </w:r>
                  <w:r>
                    <w:rPr>
                      <w:rFonts w:hint="eastAsia"/>
                      <w:bCs/>
                      <w:szCs w:val="21"/>
                      <w:lang w:eastAsia="zh-CN"/>
                    </w:rPr>
                    <w:t>治疗室、护士站</w:t>
                  </w:r>
                  <w:r>
                    <w:rPr>
                      <w:rFonts w:hint="eastAsia"/>
                      <w:bCs/>
                      <w:szCs w:val="21"/>
                    </w:rPr>
                    <w:t>，三层为办公室</w:t>
                  </w:r>
                  <w:r>
                    <w:rPr>
                      <w:rFonts w:hint="eastAsia"/>
                      <w:bCs/>
                      <w:szCs w:val="21"/>
                      <w:lang w:eastAsia="zh-CN"/>
                    </w:rPr>
                    <w:t>、</w:t>
                  </w:r>
                  <w:r>
                    <w:rPr>
                      <w:rFonts w:hint="eastAsia"/>
                      <w:bCs/>
                      <w:szCs w:val="21"/>
                    </w:rPr>
                    <w:t>会议室</w:t>
                  </w:r>
                  <w:r>
                    <w:rPr>
                      <w:rFonts w:hint="eastAsia"/>
                      <w:bCs/>
                      <w:szCs w:val="21"/>
                      <w:lang w:eastAsia="zh-CN"/>
                    </w:rPr>
                    <w:t>，</w:t>
                  </w:r>
                  <w:r>
                    <w:rPr>
                      <w:rFonts w:hint="eastAsia"/>
                      <w:bCs/>
                      <w:szCs w:val="21"/>
                      <w:lang w:val="en-US" w:eastAsia="zh-CN"/>
                    </w:rPr>
                    <w:t>4层为会议室、多功能厅</w:t>
                  </w:r>
                  <w:r>
                    <w:rPr>
                      <w:rFonts w:hint="eastAsia"/>
                      <w:bCs/>
                      <w:szCs w:val="21"/>
                    </w:rPr>
                    <w:t>。</w:t>
                  </w:r>
                </w:p>
              </w:tc>
              <w:tc>
                <w:tcPr>
                  <w:tcW w:w="949" w:type="dxa"/>
                  <w:vMerge w:val="restart"/>
                  <w:vAlign w:val="center"/>
                </w:tcPr>
                <w:p>
                  <w:pPr>
                    <w:tabs>
                      <w:tab w:val="left" w:pos="4602"/>
                    </w:tabs>
                    <w:jc w:val="center"/>
                    <w:rPr>
                      <w:bCs/>
                      <w:szCs w:val="21"/>
                    </w:rPr>
                  </w:pPr>
                  <w:r>
                    <w:rPr>
                      <w:rFonts w:hint="eastAsia"/>
                      <w:bCs/>
                      <w:szCs w:val="21"/>
                    </w:rPr>
                    <w:t>已建成待拆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tabs>
                      <w:tab w:val="left" w:pos="4602"/>
                    </w:tabs>
                    <w:jc w:val="center"/>
                    <w:rPr>
                      <w:bCs/>
                      <w:szCs w:val="21"/>
                    </w:rPr>
                  </w:pPr>
                </w:p>
              </w:tc>
              <w:tc>
                <w:tcPr>
                  <w:tcW w:w="927" w:type="dxa"/>
                  <w:vAlign w:val="center"/>
                </w:tcPr>
                <w:p>
                  <w:pPr>
                    <w:tabs>
                      <w:tab w:val="left" w:pos="4602"/>
                    </w:tabs>
                    <w:jc w:val="center"/>
                    <w:rPr>
                      <w:bCs/>
                      <w:szCs w:val="21"/>
                    </w:rPr>
                  </w:pPr>
                  <w:r>
                    <w:rPr>
                      <w:rFonts w:hint="eastAsia"/>
                      <w:bCs/>
                      <w:szCs w:val="21"/>
                      <w:lang w:eastAsia="zh-CN"/>
                    </w:rPr>
                    <w:t>公卫</w:t>
                  </w:r>
                  <w:r>
                    <w:rPr>
                      <w:rFonts w:hint="eastAsia"/>
                      <w:bCs/>
                      <w:szCs w:val="21"/>
                    </w:rPr>
                    <w:t>楼</w:t>
                  </w:r>
                </w:p>
              </w:tc>
              <w:tc>
                <w:tcPr>
                  <w:tcW w:w="5355" w:type="dxa"/>
                  <w:vAlign w:val="center"/>
                </w:tcPr>
                <w:p>
                  <w:pPr>
                    <w:tabs>
                      <w:tab w:val="left" w:pos="4602"/>
                    </w:tabs>
                    <w:jc w:val="left"/>
                    <w:rPr>
                      <w:bCs/>
                      <w:szCs w:val="21"/>
                    </w:rPr>
                  </w:pPr>
                  <w:r>
                    <w:rPr>
                      <w:rFonts w:hint="eastAsia"/>
                      <w:bCs/>
                      <w:szCs w:val="21"/>
                    </w:rPr>
                    <w:t>占地面积约320m</w:t>
                  </w:r>
                  <w:r>
                    <w:rPr>
                      <w:rFonts w:hint="eastAsia"/>
                      <w:bCs/>
                      <w:szCs w:val="21"/>
                      <w:vertAlign w:val="superscript"/>
                    </w:rPr>
                    <w:t>2</w:t>
                  </w:r>
                  <w:r>
                    <w:rPr>
                      <w:rFonts w:hint="eastAsia"/>
                      <w:bCs/>
                      <w:szCs w:val="21"/>
                    </w:rPr>
                    <w:t>，共</w:t>
                  </w:r>
                  <w:r>
                    <w:rPr>
                      <w:rFonts w:hint="eastAsia"/>
                      <w:bCs/>
                      <w:szCs w:val="21"/>
                      <w:lang w:val="en-US" w:eastAsia="zh-CN"/>
                    </w:rPr>
                    <w:t>3</w:t>
                  </w:r>
                  <w:r>
                    <w:rPr>
                      <w:rFonts w:hint="eastAsia"/>
                      <w:bCs/>
                      <w:szCs w:val="21"/>
                    </w:rPr>
                    <w:t>层，建筑面积约</w:t>
                  </w:r>
                  <w:r>
                    <w:rPr>
                      <w:rFonts w:hint="eastAsia"/>
                      <w:bCs/>
                      <w:szCs w:val="21"/>
                      <w:lang w:val="en-US" w:eastAsia="zh-CN"/>
                    </w:rPr>
                    <w:t>960</w:t>
                  </w:r>
                  <w:r>
                    <w:rPr>
                      <w:rFonts w:hint="eastAsia"/>
                      <w:bCs/>
                      <w:szCs w:val="21"/>
                    </w:rPr>
                    <w:t>m</w:t>
                  </w:r>
                  <w:r>
                    <w:rPr>
                      <w:rFonts w:hint="eastAsia"/>
                      <w:bCs/>
                      <w:szCs w:val="21"/>
                      <w:vertAlign w:val="superscript"/>
                    </w:rPr>
                    <w:t>2</w:t>
                  </w:r>
                  <w:r>
                    <w:rPr>
                      <w:rFonts w:hint="eastAsia"/>
                      <w:bCs/>
                      <w:szCs w:val="21"/>
                    </w:rPr>
                    <w:t>。一层为预防保育室、放射室，二层为妇幼保健室、档案室</w:t>
                  </w:r>
                  <w:r>
                    <w:rPr>
                      <w:rFonts w:hint="eastAsia"/>
                      <w:bCs/>
                      <w:szCs w:val="21"/>
                      <w:lang w:eastAsia="zh-CN"/>
                    </w:rPr>
                    <w:t>，三层设设备室、档案室</w:t>
                  </w:r>
                  <w:r>
                    <w:rPr>
                      <w:rFonts w:hint="eastAsia"/>
                      <w:bCs/>
                      <w:szCs w:val="21"/>
                    </w:rPr>
                    <w:t>。</w:t>
                  </w:r>
                </w:p>
              </w:tc>
              <w:tc>
                <w:tcPr>
                  <w:tcW w:w="949" w:type="dxa"/>
                  <w:vMerge w:val="continue"/>
                  <w:vAlign w:val="center"/>
                </w:tcPr>
                <w:p>
                  <w:pPr>
                    <w:tabs>
                      <w:tab w:val="left" w:pos="4602"/>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tabs>
                      <w:tab w:val="left" w:pos="4602"/>
                    </w:tabs>
                    <w:jc w:val="center"/>
                    <w:rPr>
                      <w:bCs/>
                      <w:szCs w:val="21"/>
                    </w:rPr>
                  </w:pPr>
                </w:p>
              </w:tc>
              <w:tc>
                <w:tcPr>
                  <w:tcW w:w="927" w:type="dxa"/>
                  <w:vAlign w:val="center"/>
                </w:tcPr>
                <w:p>
                  <w:pPr>
                    <w:tabs>
                      <w:tab w:val="left" w:pos="4602"/>
                    </w:tabs>
                    <w:jc w:val="center"/>
                    <w:rPr>
                      <w:bCs/>
                      <w:szCs w:val="21"/>
                    </w:rPr>
                  </w:pPr>
                  <w:r>
                    <w:rPr>
                      <w:rFonts w:hint="eastAsia"/>
                      <w:bCs/>
                      <w:szCs w:val="21"/>
                    </w:rPr>
                    <w:t>住院楼</w:t>
                  </w:r>
                </w:p>
              </w:tc>
              <w:tc>
                <w:tcPr>
                  <w:tcW w:w="5355" w:type="dxa"/>
                  <w:vAlign w:val="center"/>
                </w:tcPr>
                <w:p>
                  <w:pPr>
                    <w:tabs>
                      <w:tab w:val="left" w:pos="4602"/>
                    </w:tabs>
                    <w:jc w:val="left"/>
                    <w:rPr>
                      <w:bCs/>
                      <w:szCs w:val="21"/>
                    </w:rPr>
                  </w:pPr>
                  <w:r>
                    <w:rPr>
                      <w:rFonts w:hint="eastAsia"/>
                      <w:bCs/>
                      <w:szCs w:val="21"/>
                    </w:rPr>
                    <w:t>总建筑面积</w:t>
                  </w:r>
                  <w:r>
                    <w:rPr>
                      <w:rFonts w:hint="eastAsia"/>
                      <w:bCs/>
                      <w:szCs w:val="21"/>
                      <w:lang w:val="en-US" w:eastAsia="zh-CN"/>
                    </w:rPr>
                    <w:t>190</w:t>
                  </w:r>
                  <w:r>
                    <w:rPr>
                      <w:rFonts w:hint="eastAsia"/>
                      <w:bCs/>
                      <w:szCs w:val="21"/>
                    </w:rPr>
                    <w:t>0m</w:t>
                  </w:r>
                  <w:r>
                    <w:rPr>
                      <w:rFonts w:hint="eastAsia"/>
                      <w:bCs/>
                      <w:szCs w:val="21"/>
                      <w:vertAlign w:val="superscript"/>
                    </w:rPr>
                    <w:t>2</w:t>
                  </w:r>
                  <w:r>
                    <w:rPr>
                      <w:rFonts w:hint="eastAsia"/>
                      <w:bCs/>
                      <w:szCs w:val="21"/>
                    </w:rPr>
                    <w:t>，共</w:t>
                  </w:r>
                  <w:r>
                    <w:rPr>
                      <w:rFonts w:hint="eastAsia"/>
                      <w:bCs/>
                      <w:szCs w:val="21"/>
                      <w:lang w:val="en-US" w:eastAsia="zh-CN"/>
                    </w:rPr>
                    <w:t>3</w:t>
                  </w:r>
                  <w:r>
                    <w:rPr>
                      <w:rFonts w:hint="eastAsia"/>
                      <w:bCs/>
                      <w:szCs w:val="21"/>
                    </w:rPr>
                    <w:t>层。一层包括儿保、妇保、妇科、中西药房、抢救室、心电B超、透视摄片室等，二层为病房、值班室、护士站、治疗室</w:t>
                  </w:r>
                  <w:r>
                    <w:rPr>
                      <w:rFonts w:hint="eastAsia"/>
                      <w:bCs/>
                      <w:szCs w:val="21"/>
                      <w:lang w:eastAsia="zh-CN"/>
                    </w:rPr>
                    <w:t>等；三层设</w:t>
                  </w:r>
                  <w:r>
                    <w:rPr>
                      <w:rFonts w:hint="eastAsia"/>
                      <w:bCs/>
                      <w:szCs w:val="21"/>
                    </w:rPr>
                    <w:t>针灸、理疗、煎药、办公室、档案室等。</w:t>
                  </w:r>
                </w:p>
              </w:tc>
              <w:tc>
                <w:tcPr>
                  <w:tcW w:w="949" w:type="dxa"/>
                  <w:vMerge w:val="continue"/>
                  <w:vAlign w:val="center"/>
                </w:tcPr>
                <w:p>
                  <w:pPr>
                    <w:tabs>
                      <w:tab w:val="left" w:pos="4602"/>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tabs>
                      <w:tab w:val="left" w:pos="4602"/>
                    </w:tabs>
                    <w:jc w:val="center"/>
                    <w:rPr>
                      <w:bCs/>
                      <w:szCs w:val="21"/>
                    </w:rPr>
                  </w:pPr>
                </w:p>
              </w:tc>
              <w:tc>
                <w:tcPr>
                  <w:tcW w:w="927" w:type="dxa"/>
                  <w:vAlign w:val="center"/>
                </w:tcPr>
                <w:p>
                  <w:pPr>
                    <w:tabs>
                      <w:tab w:val="left" w:pos="4602"/>
                    </w:tabs>
                    <w:jc w:val="center"/>
                    <w:rPr>
                      <w:rFonts w:hint="eastAsia" w:eastAsia="宋体"/>
                      <w:bCs/>
                      <w:szCs w:val="21"/>
                      <w:lang w:eastAsia="zh-CN"/>
                    </w:rPr>
                  </w:pPr>
                  <w:r>
                    <w:rPr>
                      <w:rFonts w:hint="eastAsia"/>
                      <w:bCs/>
                      <w:szCs w:val="21"/>
                      <w:lang w:eastAsia="zh-CN"/>
                    </w:rPr>
                    <w:t>住院部</w:t>
                  </w:r>
                </w:p>
              </w:tc>
              <w:tc>
                <w:tcPr>
                  <w:tcW w:w="5355" w:type="dxa"/>
                  <w:vAlign w:val="center"/>
                </w:tcPr>
                <w:p>
                  <w:pPr>
                    <w:tabs>
                      <w:tab w:val="left" w:pos="4602"/>
                    </w:tabs>
                    <w:jc w:val="left"/>
                    <w:rPr>
                      <w:rFonts w:hint="eastAsia"/>
                      <w:bCs/>
                      <w:szCs w:val="21"/>
                    </w:rPr>
                  </w:pPr>
                  <w:r>
                    <w:rPr>
                      <w:rFonts w:hint="eastAsia"/>
                      <w:bCs/>
                      <w:szCs w:val="21"/>
                    </w:rPr>
                    <w:t>建筑面积</w:t>
                  </w:r>
                  <w:r>
                    <w:rPr>
                      <w:rFonts w:hint="eastAsia"/>
                      <w:bCs/>
                      <w:szCs w:val="21"/>
                      <w:lang w:val="en-US" w:eastAsia="zh-CN"/>
                    </w:rPr>
                    <w:t>约1600</w:t>
                  </w:r>
                  <w:r>
                    <w:rPr>
                      <w:rFonts w:hint="eastAsia"/>
                      <w:bCs/>
                      <w:szCs w:val="21"/>
                    </w:rPr>
                    <w:t>m</w:t>
                  </w:r>
                  <w:r>
                    <w:rPr>
                      <w:rFonts w:hint="eastAsia"/>
                      <w:bCs/>
                      <w:szCs w:val="21"/>
                      <w:vertAlign w:val="superscript"/>
                    </w:rPr>
                    <w:t>2</w:t>
                  </w:r>
                  <w:r>
                    <w:rPr>
                      <w:rFonts w:hint="eastAsia"/>
                      <w:bCs/>
                      <w:szCs w:val="21"/>
                    </w:rPr>
                    <w:t>，共</w:t>
                  </w:r>
                  <w:r>
                    <w:rPr>
                      <w:rFonts w:hint="eastAsia"/>
                      <w:bCs/>
                      <w:szCs w:val="21"/>
                      <w:lang w:val="en-US" w:eastAsia="zh-CN"/>
                    </w:rPr>
                    <w:t>2</w:t>
                  </w:r>
                  <w:r>
                    <w:rPr>
                      <w:rFonts w:hint="eastAsia"/>
                      <w:bCs/>
                      <w:szCs w:val="21"/>
                    </w:rPr>
                    <w:t>层。一层为</w:t>
                  </w:r>
                  <w:r>
                    <w:rPr>
                      <w:rFonts w:hint="eastAsia"/>
                      <w:bCs/>
                      <w:szCs w:val="21"/>
                      <w:lang w:eastAsia="zh-CN"/>
                    </w:rPr>
                    <w:t>病房、办公室</w:t>
                  </w:r>
                  <w:r>
                    <w:rPr>
                      <w:rFonts w:hint="eastAsia"/>
                      <w:bCs/>
                      <w:szCs w:val="21"/>
                    </w:rPr>
                    <w:t>，三层为办公室</w:t>
                  </w:r>
                  <w:r>
                    <w:rPr>
                      <w:rFonts w:hint="eastAsia"/>
                      <w:bCs/>
                      <w:szCs w:val="21"/>
                      <w:lang w:eastAsia="zh-CN"/>
                    </w:rPr>
                    <w:t>、病房、护士站</w:t>
                  </w:r>
                  <w:r>
                    <w:rPr>
                      <w:rFonts w:hint="eastAsia"/>
                      <w:bCs/>
                      <w:szCs w:val="21"/>
                    </w:rPr>
                    <w:t>。</w:t>
                  </w:r>
                </w:p>
              </w:tc>
              <w:tc>
                <w:tcPr>
                  <w:tcW w:w="949" w:type="dxa"/>
                  <w:vAlign w:val="center"/>
                </w:tcPr>
                <w:p>
                  <w:pPr>
                    <w:tabs>
                      <w:tab w:val="left" w:pos="4602"/>
                    </w:tabs>
                    <w:jc w:val="center"/>
                    <w:rPr>
                      <w:rFonts w:hint="eastAsia"/>
                      <w:bCs/>
                      <w:szCs w:val="21"/>
                    </w:rPr>
                  </w:pPr>
                  <w:r>
                    <w:rPr>
                      <w:rFonts w:hint="eastAsia"/>
                      <w:bCs/>
                      <w:szCs w:val="21"/>
                      <w:lang w:eastAsia="zh-CN"/>
                    </w:rPr>
                    <w:t>改扩建成公卫楼和职工宿舍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pPr>
                    <w:tabs>
                      <w:tab w:val="left" w:pos="4602"/>
                    </w:tabs>
                    <w:jc w:val="center"/>
                    <w:rPr>
                      <w:bCs/>
                      <w:szCs w:val="21"/>
                    </w:rPr>
                  </w:pPr>
                  <w:r>
                    <w:rPr>
                      <w:bCs/>
                      <w:szCs w:val="21"/>
                    </w:rPr>
                    <w:t>辅助工程</w:t>
                  </w:r>
                </w:p>
              </w:tc>
              <w:tc>
                <w:tcPr>
                  <w:tcW w:w="927" w:type="dxa"/>
                  <w:vAlign w:val="center"/>
                </w:tcPr>
                <w:p>
                  <w:pPr>
                    <w:tabs>
                      <w:tab w:val="left" w:pos="4602"/>
                    </w:tabs>
                    <w:jc w:val="center"/>
                    <w:rPr>
                      <w:bCs/>
                      <w:szCs w:val="21"/>
                    </w:rPr>
                  </w:pPr>
                  <w:r>
                    <w:rPr>
                      <w:rFonts w:hint="eastAsia"/>
                      <w:bCs/>
                      <w:szCs w:val="21"/>
                    </w:rPr>
                    <w:t>食堂</w:t>
                  </w:r>
                </w:p>
              </w:tc>
              <w:tc>
                <w:tcPr>
                  <w:tcW w:w="5355" w:type="dxa"/>
                  <w:vAlign w:val="center"/>
                </w:tcPr>
                <w:p>
                  <w:pPr>
                    <w:tabs>
                      <w:tab w:val="left" w:pos="4602"/>
                    </w:tabs>
                    <w:jc w:val="left"/>
                    <w:rPr>
                      <w:bCs/>
                      <w:szCs w:val="21"/>
                    </w:rPr>
                  </w:pPr>
                  <w:r>
                    <w:rPr>
                      <w:rFonts w:hint="eastAsia"/>
                      <w:bCs/>
                      <w:szCs w:val="21"/>
                    </w:rPr>
                    <w:t>建筑面积120m</w:t>
                  </w:r>
                  <w:r>
                    <w:rPr>
                      <w:rFonts w:hint="eastAsia"/>
                      <w:bCs/>
                      <w:szCs w:val="21"/>
                      <w:vertAlign w:val="superscript"/>
                    </w:rPr>
                    <w:t>2</w:t>
                  </w:r>
                  <w:r>
                    <w:rPr>
                      <w:rFonts w:hint="eastAsia"/>
                      <w:bCs/>
                      <w:szCs w:val="21"/>
                    </w:rPr>
                    <w:t>。</w:t>
                  </w:r>
                </w:p>
              </w:tc>
              <w:tc>
                <w:tcPr>
                  <w:tcW w:w="949" w:type="dxa"/>
                  <w:vMerge w:val="restart"/>
                  <w:vAlign w:val="center"/>
                </w:tcPr>
                <w:p>
                  <w:pPr>
                    <w:tabs>
                      <w:tab w:val="left" w:pos="4602"/>
                    </w:tabs>
                    <w:jc w:val="center"/>
                    <w:rPr>
                      <w:bCs/>
                      <w:szCs w:val="21"/>
                    </w:rPr>
                  </w:pPr>
                  <w:r>
                    <w:rPr>
                      <w:rFonts w:hint="eastAsia"/>
                      <w:bCs/>
                      <w:szCs w:val="21"/>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tabs>
                      <w:tab w:val="left" w:pos="4602"/>
                    </w:tabs>
                    <w:jc w:val="center"/>
                    <w:rPr>
                      <w:bCs/>
                      <w:szCs w:val="21"/>
                    </w:rPr>
                  </w:pPr>
                </w:p>
              </w:tc>
              <w:tc>
                <w:tcPr>
                  <w:tcW w:w="927" w:type="dxa"/>
                  <w:vAlign w:val="center"/>
                </w:tcPr>
                <w:p>
                  <w:pPr>
                    <w:tabs>
                      <w:tab w:val="left" w:pos="4602"/>
                    </w:tabs>
                    <w:jc w:val="center"/>
                    <w:rPr>
                      <w:bCs/>
                      <w:szCs w:val="21"/>
                    </w:rPr>
                  </w:pPr>
                  <w:r>
                    <w:rPr>
                      <w:rFonts w:hint="eastAsia"/>
                      <w:bCs/>
                      <w:szCs w:val="21"/>
                    </w:rPr>
                    <w:t>宿舍</w:t>
                  </w:r>
                </w:p>
              </w:tc>
              <w:tc>
                <w:tcPr>
                  <w:tcW w:w="5355" w:type="dxa"/>
                  <w:vAlign w:val="center"/>
                </w:tcPr>
                <w:p>
                  <w:pPr>
                    <w:tabs>
                      <w:tab w:val="left" w:pos="4602"/>
                    </w:tabs>
                    <w:jc w:val="left"/>
                    <w:rPr>
                      <w:bCs/>
                      <w:szCs w:val="21"/>
                    </w:rPr>
                  </w:pPr>
                  <w:r>
                    <w:rPr>
                      <w:rFonts w:hint="eastAsia"/>
                      <w:bCs/>
                      <w:szCs w:val="21"/>
                    </w:rPr>
                    <w:t>总建筑面积</w:t>
                  </w:r>
                  <w:r>
                    <w:rPr>
                      <w:rFonts w:hint="eastAsia"/>
                      <w:bCs/>
                      <w:szCs w:val="21"/>
                      <w:lang w:val="en-US" w:eastAsia="zh-CN"/>
                    </w:rPr>
                    <w:t>90</w:t>
                  </w:r>
                  <w:r>
                    <w:rPr>
                      <w:rFonts w:hint="eastAsia"/>
                      <w:bCs/>
                      <w:szCs w:val="21"/>
                    </w:rPr>
                    <w:t>00m</w:t>
                  </w:r>
                  <w:r>
                    <w:rPr>
                      <w:rFonts w:hint="eastAsia"/>
                      <w:bCs/>
                      <w:szCs w:val="21"/>
                      <w:vertAlign w:val="superscript"/>
                    </w:rPr>
                    <w:t>2</w:t>
                  </w:r>
                  <w:r>
                    <w:rPr>
                      <w:rFonts w:hint="eastAsia"/>
                      <w:bCs/>
                      <w:szCs w:val="21"/>
                    </w:rPr>
                    <w:t>，共</w:t>
                  </w:r>
                  <w:r>
                    <w:rPr>
                      <w:rFonts w:hint="eastAsia"/>
                      <w:bCs/>
                      <w:szCs w:val="21"/>
                      <w:lang w:val="en-US" w:eastAsia="zh-CN"/>
                    </w:rPr>
                    <w:t>2</w:t>
                  </w:r>
                  <w:r>
                    <w:rPr>
                      <w:rFonts w:hint="eastAsia"/>
                      <w:bCs/>
                      <w:szCs w:val="21"/>
                    </w:rPr>
                    <w:t>栋，每栋5层</w:t>
                  </w:r>
                </w:p>
              </w:tc>
              <w:tc>
                <w:tcPr>
                  <w:tcW w:w="949" w:type="dxa"/>
                  <w:vMerge w:val="continue"/>
                  <w:vAlign w:val="center"/>
                </w:tcPr>
                <w:p>
                  <w:pPr>
                    <w:tabs>
                      <w:tab w:val="left" w:pos="4602"/>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tabs>
                      <w:tab w:val="left" w:pos="4602"/>
                    </w:tabs>
                    <w:jc w:val="center"/>
                    <w:rPr>
                      <w:bCs/>
                      <w:szCs w:val="21"/>
                    </w:rPr>
                  </w:pPr>
                </w:p>
              </w:tc>
              <w:tc>
                <w:tcPr>
                  <w:tcW w:w="927" w:type="dxa"/>
                  <w:vAlign w:val="center"/>
                </w:tcPr>
                <w:p>
                  <w:pPr>
                    <w:tabs>
                      <w:tab w:val="left" w:pos="4602"/>
                    </w:tabs>
                    <w:jc w:val="center"/>
                    <w:rPr>
                      <w:bCs/>
                      <w:szCs w:val="21"/>
                    </w:rPr>
                  </w:pPr>
                  <w:r>
                    <w:rPr>
                      <w:rFonts w:hint="eastAsia"/>
                      <w:bCs/>
                      <w:szCs w:val="21"/>
                    </w:rPr>
                    <w:t>洗衣房</w:t>
                  </w:r>
                </w:p>
              </w:tc>
              <w:tc>
                <w:tcPr>
                  <w:tcW w:w="5355" w:type="dxa"/>
                  <w:vAlign w:val="center"/>
                </w:tcPr>
                <w:p>
                  <w:pPr>
                    <w:tabs>
                      <w:tab w:val="left" w:pos="4602"/>
                    </w:tabs>
                    <w:jc w:val="left"/>
                    <w:rPr>
                      <w:bCs/>
                      <w:szCs w:val="21"/>
                    </w:rPr>
                  </w:pPr>
                  <w:r>
                    <w:rPr>
                      <w:rFonts w:hint="eastAsia"/>
                      <w:bCs/>
                      <w:szCs w:val="21"/>
                    </w:rPr>
                    <w:t>建筑面积20m</w:t>
                  </w:r>
                  <w:r>
                    <w:rPr>
                      <w:rFonts w:hint="eastAsia"/>
                      <w:bCs/>
                      <w:szCs w:val="21"/>
                      <w:vertAlign w:val="superscript"/>
                    </w:rPr>
                    <w:t>2</w:t>
                  </w:r>
                  <w:r>
                    <w:rPr>
                      <w:rFonts w:hint="eastAsia"/>
                      <w:bCs/>
                      <w:szCs w:val="21"/>
                    </w:rPr>
                    <w:t>。</w:t>
                  </w:r>
                </w:p>
              </w:tc>
              <w:tc>
                <w:tcPr>
                  <w:tcW w:w="949" w:type="dxa"/>
                  <w:vMerge w:val="continue"/>
                  <w:vAlign w:val="center"/>
                </w:tcPr>
                <w:p>
                  <w:pPr>
                    <w:tabs>
                      <w:tab w:val="left" w:pos="4602"/>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tabs>
                      <w:tab w:val="left" w:pos="4602"/>
                    </w:tabs>
                    <w:jc w:val="center"/>
                    <w:rPr>
                      <w:bCs/>
                      <w:szCs w:val="21"/>
                    </w:rPr>
                  </w:pPr>
                </w:p>
              </w:tc>
              <w:tc>
                <w:tcPr>
                  <w:tcW w:w="927" w:type="dxa"/>
                  <w:vAlign w:val="center"/>
                </w:tcPr>
                <w:p>
                  <w:pPr>
                    <w:tabs>
                      <w:tab w:val="left" w:pos="4602"/>
                    </w:tabs>
                    <w:jc w:val="center"/>
                    <w:rPr>
                      <w:bCs/>
                      <w:szCs w:val="21"/>
                    </w:rPr>
                  </w:pPr>
                  <w:r>
                    <w:rPr>
                      <w:rFonts w:hint="eastAsia"/>
                      <w:bCs/>
                      <w:szCs w:val="21"/>
                    </w:rPr>
                    <w:t>门卫室</w:t>
                  </w:r>
                </w:p>
              </w:tc>
              <w:tc>
                <w:tcPr>
                  <w:tcW w:w="5355" w:type="dxa"/>
                  <w:vAlign w:val="center"/>
                </w:tcPr>
                <w:p>
                  <w:pPr>
                    <w:tabs>
                      <w:tab w:val="left" w:pos="4602"/>
                    </w:tabs>
                    <w:jc w:val="left"/>
                    <w:rPr>
                      <w:bCs/>
                      <w:szCs w:val="21"/>
                    </w:rPr>
                  </w:pPr>
                  <w:r>
                    <w:rPr>
                      <w:rFonts w:hint="eastAsia"/>
                      <w:bCs/>
                      <w:szCs w:val="21"/>
                    </w:rPr>
                    <w:t>建筑面积6m</w:t>
                  </w:r>
                  <w:r>
                    <w:rPr>
                      <w:rFonts w:hint="eastAsia"/>
                      <w:bCs/>
                      <w:szCs w:val="21"/>
                      <w:vertAlign w:val="superscript"/>
                    </w:rPr>
                    <w:t>2</w:t>
                  </w:r>
                  <w:r>
                    <w:rPr>
                      <w:rFonts w:hint="eastAsia"/>
                      <w:bCs/>
                      <w:szCs w:val="21"/>
                    </w:rPr>
                    <w:t>。</w:t>
                  </w:r>
                </w:p>
              </w:tc>
              <w:tc>
                <w:tcPr>
                  <w:tcW w:w="949" w:type="dxa"/>
                  <w:vMerge w:val="continue"/>
                  <w:vAlign w:val="center"/>
                </w:tcPr>
                <w:p>
                  <w:pPr>
                    <w:tabs>
                      <w:tab w:val="left" w:pos="4602"/>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14" w:type="dxa"/>
                  <w:vMerge w:val="restart"/>
                  <w:vAlign w:val="center"/>
                </w:tcPr>
                <w:p>
                  <w:pPr>
                    <w:tabs>
                      <w:tab w:val="left" w:pos="4602"/>
                    </w:tabs>
                    <w:jc w:val="center"/>
                    <w:rPr>
                      <w:bCs/>
                      <w:szCs w:val="21"/>
                    </w:rPr>
                  </w:pPr>
                  <w:r>
                    <w:rPr>
                      <w:bCs/>
                      <w:szCs w:val="21"/>
                    </w:rPr>
                    <w:t>公用工程</w:t>
                  </w:r>
                </w:p>
              </w:tc>
              <w:tc>
                <w:tcPr>
                  <w:tcW w:w="927" w:type="dxa"/>
                  <w:vAlign w:val="center"/>
                </w:tcPr>
                <w:p>
                  <w:pPr>
                    <w:jc w:val="center"/>
                    <w:rPr>
                      <w:szCs w:val="21"/>
                    </w:rPr>
                  </w:pPr>
                  <w:r>
                    <w:rPr>
                      <w:rFonts w:hint="eastAsia"/>
                      <w:szCs w:val="21"/>
                    </w:rPr>
                    <w:t>供水</w:t>
                  </w:r>
                </w:p>
              </w:tc>
              <w:tc>
                <w:tcPr>
                  <w:tcW w:w="5355" w:type="dxa"/>
                  <w:vAlign w:val="center"/>
                </w:tcPr>
                <w:p>
                  <w:pPr>
                    <w:tabs>
                      <w:tab w:val="left" w:pos="4602"/>
                    </w:tabs>
                    <w:jc w:val="left"/>
                    <w:rPr>
                      <w:bCs/>
                      <w:szCs w:val="21"/>
                    </w:rPr>
                  </w:pPr>
                  <w:r>
                    <w:rPr>
                      <w:bCs/>
                      <w:szCs w:val="21"/>
                    </w:rPr>
                    <w:t>市政管网供水</w:t>
                  </w:r>
                  <w:r>
                    <w:rPr>
                      <w:rFonts w:hint="eastAsia"/>
                      <w:bCs/>
                      <w:szCs w:val="21"/>
                    </w:rPr>
                    <w:t>。</w:t>
                  </w:r>
                </w:p>
              </w:tc>
              <w:tc>
                <w:tcPr>
                  <w:tcW w:w="949" w:type="dxa"/>
                  <w:vMerge w:val="continue"/>
                  <w:vAlign w:val="center"/>
                </w:tcPr>
                <w:p>
                  <w:pPr>
                    <w:tabs>
                      <w:tab w:val="left" w:pos="4602"/>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14" w:type="dxa"/>
                  <w:vMerge w:val="continue"/>
                  <w:vAlign w:val="center"/>
                </w:tcPr>
                <w:p>
                  <w:pPr>
                    <w:tabs>
                      <w:tab w:val="left" w:pos="4602"/>
                    </w:tabs>
                    <w:jc w:val="center"/>
                  </w:pPr>
                </w:p>
              </w:tc>
              <w:tc>
                <w:tcPr>
                  <w:tcW w:w="927" w:type="dxa"/>
                  <w:vAlign w:val="center"/>
                </w:tcPr>
                <w:p>
                  <w:pPr>
                    <w:adjustRightInd w:val="0"/>
                    <w:snapToGrid w:val="0"/>
                    <w:jc w:val="center"/>
                    <w:rPr>
                      <w:szCs w:val="21"/>
                    </w:rPr>
                  </w:pPr>
                  <w:r>
                    <w:rPr>
                      <w:szCs w:val="21"/>
                    </w:rPr>
                    <w:t>排水</w:t>
                  </w:r>
                </w:p>
              </w:tc>
              <w:tc>
                <w:tcPr>
                  <w:tcW w:w="5355" w:type="dxa"/>
                  <w:vAlign w:val="center"/>
                </w:tcPr>
                <w:p>
                  <w:pPr>
                    <w:tabs>
                      <w:tab w:val="left" w:pos="4602"/>
                    </w:tabs>
                    <w:jc w:val="left"/>
                    <w:rPr>
                      <w:bCs/>
                      <w:szCs w:val="21"/>
                    </w:rPr>
                  </w:pPr>
                  <w:r>
                    <w:rPr>
                      <w:rFonts w:hint="eastAsia"/>
                      <w:szCs w:val="21"/>
                    </w:rPr>
                    <w:t>生活污水和医疗废水进入卫生院门诊楼后面的污水处理站位处理，废水经一体化污水处理系统处理后排入桃源县</w:t>
                  </w:r>
                  <w:r>
                    <w:rPr>
                      <w:rFonts w:hint="eastAsia"/>
                      <w:szCs w:val="21"/>
                      <w:lang w:eastAsia="zh-CN"/>
                    </w:rPr>
                    <w:t>三阳港镇</w:t>
                  </w:r>
                  <w:r>
                    <w:rPr>
                      <w:rFonts w:hint="eastAsia"/>
                      <w:szCs w:val="21"/>
                    </w:rPr>
                    <w:t>污水处理厂，最终进入沅江。</w:t>
                  </w:r>
                </w:p>
              </w:tc>
              <w:tc>
                <w:tcPr>
                  <w:tcW w:w="949" w:type="dxa"/>
                  <w:vMerge w:val="continue"/>
                  <w:vAlign w:val="center"/>
                </w:tcPr>
                <w:p>
                  <w:pPr>
                    <w:tabs>
                      <w:tab w:val="left" w:pos="4602"/>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dxa"/>
                  <w:vMerge w:val="continue"/>
                  <w:vAlign w:val="center"/>
                </w:tcPr>
                <w:p>
                  <w:pPr>
                    <w:tabs>
                      <w:tab w:val="left" w:pos="4602"/>
                    </w:tabs>
                    <w:jc w:val="center"/>
                    <w:rPr>
                      <w:bCs/>
                      <w:szCs w:val="21"/>
                    </w:rPr>
                  </w:pPr>
                </w:p>
              </w:tc>
              <w:tc>
                <w:tcPr>
                  <w:tcW w:w="927" w:type="dxa"/>
                  <w:vAlign w:val="center"/>
                </w:tcPr>
                <w:p>
                  <w:pPr>
                    <w:jc w:val="center"/>
                    <w:rPr>
                      <w:szCs w:val="21"/>
                    </w:rPr>
                  </w:pPr>
                  <w:r>
                    <w:rPr>
                      <w:rFonts w:hint="eastAsia"/>
                      <w:szCs w:val="21"/>
                    </w:rPr>
                    <w:t>供电</w:t>
                  </w:r>
                </w:p>
              </w:tc>
              <w:tc>
                <w:tcPr>
                  <w:tcW w:w="5355" w:type="dxa"/>
                  <w:vAlign w:val="center"/>
                </w:tcPr>
                <w:p>
                  <w:pPr>
                    <w:tabs>
                      <w:tab w:val="left" w:pos="4602"/>
                    </w:tabs>
                    <w:jc w:val="left"/>
                    <w:rPr>
                      <w:bCs/>
                      <w:szCs w:val="21"/>
                    </w:rPr>
                  </w:pPr>
                  <w:r>
                    <w:rPr>
                      <w:rFonts w:hint="eastAsia"/>
                      <w:bCs/>
                      <w:szCs w:val="21"/>
                    </w:rPr>
                    <w:t>市</w:t>
                  </w:r>
                  <w:r>
                    <w:rPr>
                      <w:bCs/>
                      <w:szCs w:val="21"/>
                    </w:rPr>
                    <w:t>镇电网供电。</w:t>
                  </w:r>
                  <w:r>
                    <w:rPr>
                      <w:rFonts w:hint="eastAsia"/>
                      <w:bCs/>
                      <w:szCs w:val="21"/>
                    </w:rPr>
                    <w:t>院内断电时由柴油发电机进行临时供电。</w:t>
                  </w:r>
                </w:p>
              </w:tc>
              <w:tc>
                <w:tcPr>
                  <w:tcW w:w="949" w:type="dxa"/>
                  <w:vMerge w:val="continue"/>
                  <w:vAlign w:val="center"/>
                </w:tcPr>
                <w:p>
                  <w:pPr>
                    <w:tabs>
                      <w:tab w:val="left" w:pos="4602"/>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pPr>
                    <w:tabs>
                      <w:tab w:val="left" w:pos="4602"/>
                    </w:tabs>
                    <w:jc w:val="center"/>
                    <w:rPr>
                      <w:bCs/>
                      <w:szCs w:val="21"/>
                    </w:rPr>
                  </w:pPr>
                  <w:r>
                    <w:rPr>
                      <w:bCs/>
                      <w:szCs w:val="21"/>
                    </w:rPr>
                    <w:t>环保工程</w:t>
                  </w:r>
                </w:p>
              </w:tc>
              <w:tc>
                <w:tcPr>
                  <w:tcW w:w="927" w:type="dxa"/>
                  <w:vAlign w:val="center"/>
                </w:tcPr>
                <w:p>
                  <w:pPr>
                    <w:tabs>
                      <w:tab w:val="left" w:pos="4602"/>
                    </w:tabs>
                    <w:jc w:val="center"/>
                    <w:rPr>
                      <w:bCs/>
                      <w:szCs w:val="21"/>
                    </w:rPr>
                  </w:pPr>
                  <w:r>
                    <w:rPr>
                      <w:rFonts w:hint="eastAsia"/>
                      <w:bCs/>
                      <w:szCs w:val="21"/>
                    </w:rPr>
                    <w:t>废水</w:t>
                  </w:r>
                </w:p>
              </w:tc>
              <w:tc>
                <w:tcPr>
                  <w:tcW w:w="5355" w:type="dxa"/>
                  <w:vAlign w:val="center"/>
                </w:tcPr>
                <w:p>
                  <w:pPr>
                    <w:tabs>
                      <w:tab w:val="left" w:pos="4602"/>
                    </w:tabs>
                    <w:jc w:val="left"/>
                    <w:rPr>
                      <w:bCs/>
                      <w:szCs w:val="21"/>
                    </w:rPr>
                  </w:pPr>
                  <w:r>
                    <w:rPr>
                      <w:rFonts w:hint="eastAsia"/>
                      <w:szCs w:val="21"/>
                    </w:rPr>
                    <w:t>一体化污水处理系统</w:t>
                  </w:r>
                  <w:r>
                    <w:rPr>
                      <w:rFonts w:hint="eastAsia"/>
                    </w:rPr>
                    <w:t>，处理规模为</w:t>
                  </w:r>
                  <w:r>
                    <w:rPr>
                      <w:rFonts w:hint="eastAsia"/>
                      <w:lang w:eastAsia="zh-CN"/>
                    </w:rPr>
                    <w:t>20.71m</w:t>
                  </w:r>
                  <w:r>
                    <w:rPr>
                      <w:rFonts w:hint="eastAsia"/>
                      <w:vertAlign w:val="superscript"/>
                    </w:rPr>
                    <w:t>3</w:t>
                  </w:r>
                  <w:r>
                    <w:rPr>
                      <w:rFonts w:hint="eastAsia"/>
                    </w:rPr>
                    <w:t>/d</w:t>
                  </w:r>
                </w:p>
              </w:tc>
              <w:tc>
                <w:tcPr>
                  <w:tcW w:w="949" w:type="dxa"/>
                  <w:vMerge w:val="continue"/>
                  <w:vAlign w:val="center"/>
                </w:tcPr>
                <w:p>
                  <w:pPr>
                    <w:tabs>
                      <w:tab w:val="left" w:pos="4602"/>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tabs>
                      <w:tab w:val="left" w:pos="4602"/>
                    </w:tabs>
                    <w:jc w:val="center"/>
                    <w:rPr>
                      <w:bCs/>
                      <w:szCs w:val="21"/>
                    </w:rPr>
                  </w:pPr>
                </w:p>
              </w:tc>
              <w:tc>
                <w:tcPr>
                  <w:tcW w:w="927" w:type="dxa"/>
                  <w:vAlign w:val="center"/>
                </w:tcPr>
                <w:p>
                  <w:pPr>
                    <w:tabs>
                      <w:tab w:val="left" w:pos="4602"/>
                    </w:tabs>
                    <w:jc w:val="center"/>
                    <w:rPr>
                      <w:bCs/>
                      <w:szCs w:val="21"/>
                    </w:rPr>
                  </w:pPr>
                  <w:r>
                    <w:rPr>
                      <w:rFonts w:hint="eastAsia"/>
                      <w:bCs/>
                      <w:szCs w:val="21"/>
                    </w:rPr>
                    <w:t>废气</w:t>
                  </w:r>
                </w:p>
              </w:tc>
              <w:tc>
                <w:tcPr>
                  <w:tcW w:w="5355" w:type="dxa"/>
                  <w:vAlign w:val="center"/>
                </w:tcPr>
                <w:p>
                  <w:pPr>
                    <w:tabs>
                      <w:tab w:val="left" w:pos="4602"/>
                    </w:tabs>
                    <w:jc w:val="left"/>
                    <w:rPr>
                      <w:bCs/>
                      <w:szCs w:val="21"/>
                    </w:rPr>
                  </w:pPr>
                  <w:r>
                    <w:rPr>
                      <w:rFonts w:hint="eastAsia"/>
                      <w:bCs/>
                      <w:szCs w:val="21"/>
                    </w:rPr>
                    <w:t>厨房油烟安装有抽油烟机处理。</w:t>
                  </w:r>
                </w:p>
              </w:tc>
              <w:tc>
                <w:tcPr>
                  <w:tcW w:w="949" w:type="dxa"/>
                  <w:vMerge w:val="continue"/>
                  <w:vAlign w:val="center"/>
                </w:tcPr>
                <w:p>
                  <w:pPr>
                    <w:tabs>
                      <w:tab w:val="left" w:pos="4602"/>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tabs>
                      <w:tab w:val="left" w:pos="4602"/>
                    </w:tabs>
                    <w:jc w:val="center"/>
                    <w:rPr>
                      <w:bCs/>
                      <w:szCs w:val="21"/>
                    </w:rPr>
                  </w:pPr>
                </w:p>
              </w:tc>
              <w:tc>
                <w:tcPr>
                  <w:tcW w:w="927" w:type="dxa"/>
                  <w:vAlign w:val="center"/>
                </w:tcPr>
                <w:p>
                  <w:pPr>
                    <w:tabs>
                      <w:tab w:val="left" w:pos="4602"/>
                    </w:tabs>
                    <w:jc w:val="center"/>
                    <w:rPr>
                      <w:bCs/>
                      <w:szCs w:val="21"/>
                    </w:rPr>
                  </w:pPr>
                  <w:r>
                    <w:rPr>
                      <w:rFonts w:hint="eastAsia"/>
                      <w:bCs/>
                      <w:szCs w:val="21"/>
                    </w:rPr>
                    <w:t>噪声</w:t>
                  </w:r>
                </w:p>
              </w:tc>
              <w:tc>
                <w:tcPr>
                  <w:tcW w:w="5355" w:type="dxa"/>
                  <w:vAlign w:val="center"/>
                </w:tcPr>
                <w:p>
                  <w:pPr>
                    <w:tabs>
                      <w:tab w:val="left" w:pos="4602"/>
                    </w:tabs>
                    <w:jc w:val="left"/>
                    <w:rPr>
                      <w:bCs/>
                      <w:szCs w:val="21"/>
                    </w:rPr>
                  </w:pPr>
                  <w:r>
                    <w:rPr>
                      <w:bCs/>
                      <w:szCs w:val="21"/>
                    </w:rPr>
                    <w:t>设备安装减振基座</w:t>
                  </w:r>
                  <w:r>
                    <w:rPr>
                      <w:rFonts w:hint="eastAsia"/>
                      <w:bCs/>
                      <w:szCs w:val="21"/>
                    </w:rPr>
                    <w:t>。</w:t>
                  </w:r>
                </w:p>
              </w:tc>
              <w:tc>
                <w:tcPr>
                  <w:tcW w:w="949" w:type="dxa"/>
                  <w:vMerge w:val="continue"/>
                  <w:vAlign w:val="center"/>
                </w:tcPr>
                <w:p>
                  <w:pPr>
                    <w:tabs>
                      <w:tab w:val="left" w:pos="4602"/>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tabs>
                      <w:tab w:val="left" w:pos="4602"/>
                    </w:tabs>
                    <w:jc w:val="center"/>
                    <w:rPr>
                      <w:bCs/>
                      <w:szCs w:val="21"/>
                    </w:rPr>
                  </w:pPr>
                </w:p>
              </w:tc>
              <w:tc>
                <w:tcPr>
                  <w:tcW w:w="927" w:type="dxa"/>
                  <w:vMerge w:val="restart"/>
                  <w:vAlign w:val="center"/>
                </w:tcPr>
                <w:p>
                  <w:pPr>
                    <w:tabs>
                      <w:tab w:val="left" w:pos="4602"/>
                    </w:tabs>
                    <w:jc w:val="center"/>
                    <w:rPr>
                      <w:bCs/>
                      <w:szCs w:val="21"/>
                    </w:rPr>
                  </w:pPr>
                  <w:r>
                    <w:rPr>
                      <w:rFonts w:hint="eastAsia"/>
                      <w:bCs/>
                      <w:szCs w:val="21"/>
                    </w:rPr>
                    <w:t>固废</w:t>
                  </w:r>
                </w:p>
              </w:tc>
              <w:tc>
                <w:tcPr>
                  <w:tcW w:w="5355" w:type="dxa"/>
                  <w:vAlign w:val="center"/>
                </w:tcPr>
                <w:p>
                  <w:pPr>
                    <w:jc w:val="left"/>
                    <w:rPr>
                      <w:szCs w:val="21"/>
                    </w:rPr>
                  </w:pPr>
                  <w:r>
                    <w:rPr>
                      <w:szCs w:val="21"/>
                    </w:rPr>
                    <w:t>设置垃圾桶</w:t>
                  </w:r>
                  <w:r>
                    <w:rPr>
                      <w:rFonts w:hint="eastAsia"/>
                      <w:szCs w:val="21"/>
                    </w:rPr>
                    <w:t>，对项目内生活垃圾进行收集。</w:t>
                  </w:r>
                </w:p>
              </w:tc>
              <w:tc>
                <w:tcPr>
                  <w:tcW w:w="949" w:type="dxa"/>
                  <w:vMerge w:val="continue"/>
                  <w:vAlign w:val="center"/>
                </w:tcPr>
                <w:p>
                  <w:pPr>
                    <w:tabs>
                      <w:tab w:val="left" w:pos="4602"/>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tabs>
                      <w:tab w:val="left" w:pos="4602"/>
                    </w:tabs>
                    <w:jc w:val="center"/>
                    <w:rPr>
                      <w:bCs/>
                      <w:szCs w:val="21"/>
                    </w:rPr>
                  </w:pPr>
                </w:p>
              </w:tc>
              <w:tc>
                <w:tcPr>
                  <w:tcW w:w="927" w:type="dxa"/>
                  <w:vMerge w:val="continue"/>
                  <w:vAlign w:val="center"/>
                </w:tcPr>
                <w:p>
                  <w:pPr>
                    <w:tabs>
                      <w:tab w:val="left" w:pos="4602"/>
                    </w:tabs>
                    <w:jc w:val="center"/>
                    <w:rPr>
                      <w:bCs/>
                      <w:szCs w:val="21"/>
                    </w:rPr>
                  </w:pPr>
                </w:p>
              </w:tc>
              <w:tc>
                <w:tcPr>
                  <w:tcW w:w="5355" w:type="dxa"/>
                  <w:vAlign w:val="center"/>
                </w:tcPr>
                <w:p>
                  <w:pPr>
                    <w:jc w:val="left"/>
                    <w:rPr>
                      <w:szCs w:val="21"/>
                    </w:rPr>
                  </w:pPr>
                  <w:r>
                    <w:rPr>
                      <w:rFonts w:hint="eastAsia"/>
                      <w:szCs w:val="21"/>
                    </w:rPr>
                    <w:t>卫生院西侧建有一间医疗废物暂存间，面积约20m</w:t>
                  </w:r>
                  <w:r>
                    <w:rPr>
                      <w:rFonts w:hint="eastAsia"/>
                      <w:szCs w:val="21"/>
                      <w:vertAlign w:val="superscript"/>
                    </w:rPr>
                    <w:t>2</w:t>
                  </w:r>
                  <w:r>
                    <w:rPr>
                      <w:rFonts w:hint="eastAsia"/>
                      <w:szCs w:val="21"/>
                    </w:rPr>
                    <w:t>，医疗废物委托常德市安邦医疗废物处置有限公司处置。</w:t>
                  </w:r>
                </w:p>
              </w:tc>
              <w:tc>
                <w:tcPr>
                  <w:tcW w:w="949" w:type="dxa"/>
                  <w:vMerge w:val="continue"/>
                  <w:vAlign w:val="center"/>
                </w:tcPr>
                <w:p>
                  <w:pPr>
                    <w:tabs>
                      <w:tab w:val="left" w:pos="4602"/>
                    </w:tabs>
                    <w:jc w:val="center"/>
                    <w:rPr>
                      <w:bCs/>
                      <w:szCs w:val="21"/>
                    </w:rPr>
                  </w:pPr>
                </w:p>
              </w:tc>
            </w:tr>
          </w:tbl>
          <w:p>
            <w:pPr>
              <w:tabs>
                <w:tab w:val="left" w:pos="4602"/>
              </w:tabs>
              <w:jc w:val="center"/>
              <w:rPr>
                <w:rFonts w:eastAsia="新宋体"/>
                <w:b/>
                <w:szCs w:val="21"/>
              </w:rPr>
            </w:pPr>
            <w:r>
              <w:rPr>
                <w:rFonts w:eastAsia="新宋体"/>
                <w:b/>
                <w:szCs w:val="21"/>
              </w:rPr>
              <w:t>表2-</w:t>
            </w:r>
            <w:r>
              <w:rPr>
                <w:rFonts w:hint="eastAsia" w:eastAsia="新宋体"/>
                <w:b/>
                <w:szCs w:val="21"/>
              </w:rPr>
              <w:t>9</w:t>
            </w:r>
            <w:r>
              <w:rPr>
                <w:rFonts w:eastAsia="新宋体"/>
                <w:b/>
                <w:szCs w:val="21"/>
              </w:rPr>
              <w:t>主要设备一览表</w:t>
            </w:r>
          </w:p>
          <w:tbl>
            <w:tblPr>
              <w:tblStyle w:val="28"/>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593"/>
              <w:gridCol w:w="2480"/>
              <w:gridCol w:w="1050"/>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tabs>
                      <w:tab w:val="left" w:pos="4602"/>
                    </w:tabs>
                    <w:jc w:val="center"/>
                    <w:rPr>
                      <w:b/>
                      <w:szCs w:val="21"/>
                    </w:rPr>
                  </w:pPr>
                  <w:r>
                    <w:rPr>
                      <w:b/>
                      <w:szCs w:val="21"/>
                    </w:rPr>
                    <w:t>序号</w:t>
                  </w:r>
                </w:p>
              </w:tc>
              <w:tc>
                <w:tcPr>
                  <w:tcW w:w="2593" w:type="dxa"/>
                </w:tcPr>
                <w:p>
                  <w:pPr>
                    <w:tabs>
                      <w:tab w:val="left" w:pos="4602"/>
                    </w:tabs>
                    <w:jc w:val="center"/>
                    <w:rPr>
                      <w:b/>
                      <w:szCs w:val="21"/>
                    </w:rPr>
                  </w:pPr>
                  <w:r>
                    <w:rPr>
                      <w:b/>
                      <w:szCs w:val="21"/>
                    </w:rPr>
                    <w:t>设备名称</w:t>
                  </w:r>
                </w:p>
              </w:tc>
              <w:tc>
                <w:tcPr>
                  <w:tcW w:w="2480" w:type="dxa"/>
                </w:tcPr>
                <w:p>
                  <w:pPr>
                    <w:tabs>
                      <w:tab w:val="left" w:pos="4602"/>
                    </w:tabs>
                    <w:jc w:val="center"/>
                    <w:rPr>
                      <w:b/>
                      <w:szCs w:val="21"/>
                    </w:rPr>
                  </w:pPr>
                  <w:r>
                    <w:rPr>
                      <w:b/>
                      <w:szCs w:val="21"/>
                    </w:rPr>
                    <w:t>型号</w:t>
                  </w:r>
                </w:p>
              </w:tc>
              <w:tc>
                <w:tcPr>
                  <w:tcW w:w="1050" w:type="dxa"/>
                </w:tcPr>
                <w:p>
                  <w:pPr>
                    <w:tabs>
                      <w:tab w:val="left" w:pos="4602"/>
                    </w:tabs>
                    <w:jc w:val="center"/>
                    <w:rPr>
                      <w:b/>
                      <w:szCs w:val="21"/>
                    </w:rPr>
                  </w:pPr>
                  <w:r>
                    <w:rPr>
                      <w:b/>
                      <w:szCs w:val="21"/>
                    </w:rPr>
                    <w:t>数量</w:t>
                  </w:r>
                </w:p>
              </w:tc>
              <w:tc>
                <w:tcPr>
                  <w:tcW w:w="1122" w:type="dxa"/>
                </w:tcPr>
                <w:p>
                  <w:pPr>
                    <w:tabs>
                      <w:tab w:val="left" w:pos="4602"/>
                    </w:tabs>
                    <w:jc w:val="center"/>
                    <w:rPr>
                      <w:b/>
                      <w:szCs w:val="21"/>
                    </w:rPr>
                  </w:pPr>
                  <w:r>
                    <w:rPr>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tabs>
                      <w:tab w:val="left" w:pos="4602"/>
                    </w:tabs>
                    <w:jc w:val="center"/>
                    <w:rPr>
                      <w:bCs/>
                      <w:szCs w:val="21"/>
                    </w:rPr>
                  </w:pPr>
                  <w:r>
                    <w:rPr>
                      <w:rFonts w:hint="eastAsia"/>
                      <w:bCs/>
                      <w:szCs w:val="21"/>
                    </w:rPr>
                    <w:t>1</w:t>
                  </w:r>
                </w:p>
              </w:tc>
              <w:tc>
                <w:tcPr>
                  <w:tcW w:w="2593" w:type="dxa"/>
                  <w:vAlign w:val="bottom"/>
                </w:tcPr>
                <w:p>
                  <w:pPr>
                    <w:tabs>
                      <w:tab w:val="left" w:pos="4602"/>
                    </w:tabs>
                    <w:jc w:val="center"/>
                    <w:rPr>
                      <w:bCs/>
                      <w:szCs w:val="21"/>
                    </w:rPr>
                  </w:pPr>
                  <w:r>
                    <w:rPr>
                      <w:bCs/>
                      <w:szCs w:val="21"/>
                    </w:rPr>
                    <w:t>DR</w:t>
                  </w:r>
                </w:p>
              </w:tc>
              <w:tc>
                <w:tcPr>
                  <w:tcW w:w="2480" w:type="dxa"/>
                  <w:vAlign w:val="bottom"/>
                </w:tcPr>
                <w:p>
                  <w:pPr>
                    <w:tabs>
                      <w:tab w:val="left" w:pos="4602"/>
                    </w:tabs>
                    <w:jc w:val="center"/>
                    <w:rPr>
                      <w:bCs/>
                      <w:szCs w:val="21"/>
                    </w:rPr>
                  </w:pPr>
                  <w:r>
                    <w:rPr>
                      <w:bCs/>
                      <w:szCs w:val="21"/>
                    </w:rPr>
                    <w:t>FPDIM</w:t>
                  </w:r>
                </w:p>
              </w:tc>
              <w:tc>
                <w:tcPr>
                  <w:tcW w:w="1050" w:type="dxa"/>
                </w:tcPr>
                <w:p>
                  <w:pPr>
                    <w:tabs>
                      <w:tab w:val="left" w:pos="4602"/>
                    </w:tabs>
                    <w:jc w:val="center"/>
                    <w:rPr>
                      <w:bCs/>
                      <w:szCs w:val="21"/>
                    </w:rPr>
                  </w:pPr>
                  <w:r>
                    <w:rPr>
                      <w:rFonts w:hint="eastAsia"/>
                      <w:bCs/>
                      <w:szCs w:val="21"/>
                    </w:rPr>
                    <w:t>1台</w:t>
                  </w:r>
                </w:p>
              </w:tc>
              <w:tc>
                <w:tcPr>
                  <w:tcW w:w="1122" w:type="dxa"/>
                </w:tcPr>
                <w:p>
                  <w:pPr>
                    <w:tabs>
                      <w:tab w:val="left" w:pos="4602"/>
                    </w:tabs>
                    <w:jc w:val="center"/>
                    <w:rPr>
                      <w:bCs/>
                      <w:szCs w:val="21"/>
                    </w:rPr>
                  </w:pPr>
                  <w:r>
                    <w:rPr>
                      <w:bCs/>
                      <w:szCs w:val="21"/>
                    </w:rP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tabs>
                      <w:tab w:val="left" w:pos="4602"/>
                    </w:tabs>
                    <w:jc w:val="center"/>
                    <w:rPr>
                      <w:bCs/>
                      <w:szCs w:val="21"/>
                    </w:rPr>
                  </w:pPr>
                  <w:r>
                    <w:rPr>
                      <w:rFonts w:hint="eastAsia"/>
                      <w:bCs/>
                      <w:szCs w:val="21"/>
                    </w:rPr>
                    <w:t>2</w:t>
                  </w:r>
                </w:p>
              </w:tc>
              <w:tc>
                <w:tcPr>
                  <w:tcW w:w="2593" w:type="dxa"/>
                  <w:vAlign w:val="bottom"/>
                </w:tcPr>
                <w:p>
                  <w:pPr>
                    <w:tabs>
                      <w:tab w:val="left" w:pos="4602"/>
                    </w:tabs>
                    <w:jc w:val="center"/>
                    <w:rPr>
                      <w:bCs/>
                      <w:szCs w:val="21"/>
                    </w:rPr>
                  </w:pPr>
                  <w:r>
                    <w:rPr>
                      <w:rFonts w:hint="eastAsia"/>
                      <w:bCs/>
                      <w:szCs w:val="21"/>
                    </w:rPr>
                    <w:t>彩色多普勒超声诊断仪</w:t>
                  </w:r>
                </w:p>
              </w:tc>
              <w:tc>
                <w:tcPr>
                  <w:tcW w:w="2480" w:type="dxa"/>
                  <w:vAlign w:val="bottom"/>
                </w:tcPr>
                <w:p>
                  <w:pPr>
                    <w:tabs>
                      <w:tab w:val="left" w:pos="4602"/>
                    </w:tabs>
                    <w:jc w:val="center"/>
                    <w:rPr>
                      <w:bCs/>
                      <w:szCs w:val="21"/>
                    </w:rPr>
                  </w:pPr>
                  <w:r>
                    <w:rPr>
                      <w:bCs/>
                      <w:szCs w:val="21"/>
                    </w:rPr>
                    <w:t>S30</w:t>
                  </w:r>
                </w:p>
              </w:tc>
              <w:tc>
                <w:tcPr>
                  <w:tcW w:w="1050" w:type="dxa"/>
                </w:tcPr>
                <w:p>
                  <w:pPr>
                    <w:jc w:val="center"/>
                    <w:rPr>
                      <w:bCs/>
                      <w:szCs w:val="21"/>
                    </w:rPr>
                  </w:pPr>
                  <w:r>
                    <w:rPr>
                      <w:rFonts w:hint="eastAsia"/>
                      <w:bCs/>
                      <w:szCs w:val="21"/>
                    </w:rPr>
                    <w:t>1台</w:t>
                  </w:r>
                </w:p>
              </w:tc>
              <w:tc>
                <w:tcPr>
                  <w:tcW w:w="1122" w:type="dxa"/>
                </w:tcPr>
                <w:p>
                  <w:pPr>
                    <w:jc w:val="center"/>
                    <w:rPr>
                      <w:bCs/>
                      <w:szCs w:val="21"/>
                    </w:rPr>
                  </w:pPr>
                  <w:r>
                    <w:rPr>
                      <w:bCs/>
                      <w:szCs w:val="21"/>
                    </w:rP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tabs>
                      <w:tab w:val="left" w:pos="4602"/>
                    </w:tabs>
                    <w:jc w:val="center"/>
                    <w:rPr>
                      <w:bCs/>
                      <w:szCs w:val="21"/>
                    </w:rPr>
                  </w:pPr>
                  <w:r>
                    <w:rPr>
                      <w:rFonts w:hint="eastAsia"/>
                      <w:bCs/>
                      <w:szCs w:val="21"/>
                    </w:rPr>
                    <w:t>3</w:t>
                  </w:r>
                </w:p>
              </w:tc>
              <w:tc>
                <w:tcPr>
                  <w:tcW w:w="2593" w:type="dxa"/>
                  <w:vAlign w:val="bottom"/>
                </w:tcPr>
                <w:p>
                  <w:pPr>
                    <w:tabs>
                      <w:tab w:val="left" w:pos="4602"/>
                    </w:tabs>
                    <w:jc w:val="center"/>
                    <w:rPr>
                      <w:bCs/>
                      <w:szCs w:val="21"/>
                    </w:rPr>
                  </w:pPr>
                  <w:r>
                    <w:rPr>
                      <w:rFonts w:hint="eastAsia"/>
                      <w:bCs/>
                      <w:szCs w:val="21"/>
                    </w:rPr>
                    <w:t>全自动生化分析仪</w:t>
                  </w:r>
                </w:p>
              </w:tc>
              <w:tc>
                <w:tcPr>
                  <w:tcW w:w="2480" w:type="dxa"/>
                  <w:vAlign w:val="bottom"/>
                </w:tcPr>
                <w:p>
                  <w:pPr>
                    <w:tabs>
                      <w:tab w:val="left" w:pos="4602"/>
                    </w:tabs>
                    <w:jc w:val="center"/>
                    <w:rPr>
                      <w:bCs/>
                      <w:szCs w:val="21"/>
                    </w:rPr>
                  </w:pPr>
                  <w:r>
                    <w:rPr>
                      <w:bCs/>
                      <w:szCs w:val="21"/>
                    </w:rPr>
                    <w:t>LWC480</w:t>
                  </w:r>
                </w:p>
              </w:tc>
              <w:tc>
                <w:tcPr>
                  <w:tcW w:w="1050" w:type="dxa"/>
                </w:tcPr>
                <w:p>
                  <w:pPr>
                    <w:jc w:val="center"/>
                    <w:rPr>
                      <w:bCs/>
                      <w:szCs w:val="21"/>
                    </w:rPr>
                  </w:pPr>
                  <w:r>
                    <w:rPr>
                      <w:rFonts w:hint="eastAsia"/>
                      <w:bCs/>
                      <w:szCs w:val="21"/>
                    </w:rPr>
                    <w:t>1台</w:t>
                  </w:r>
                </w:p>
              </w:tc>
              <w:tc>
                <w:tcPr>
                  <w:tcW w:w="1122" w:type="dxa"/>
                </w:tcPr>
                <w:p>
                  <w:pPr>
                    <w:jc w:val="center"/>
                    <w:rPr>
                      <w:bCs/>
                      <w:szCs w:val="21"/>
                    </w:rPr>
                  </w:pPr>
                  <w:r>
                    <w:rPr>
                      <w:bCs/>
                      <w:szCs w:val="21"/>
                    </w:rP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tabs>
                      <w:tab w:val="left" w:pos="4602"/>
                    </w:tabs>
                    <w:jc w:val="center"/>
                    <w:rPr>
                      <w:bCs/>
                      <w:szCs w:val="21"/>
                    </w:rPr>
                  </w:pPr>
                  <w:r>
                    <w:rPr>
                      <w:rFonts w:hint="eastAsia"/>
                      <w:bCs/>
                      <w:szCs w:val="21"/>
                    </w:rPr>
                    <w:t>4</w:t>
                  </w:r>
                </w:p>
              </w:tc>
              <w:tc>
                <w:tcPr>
                  <w:tcW w:w="2593" w:type="dxa"/>
                  <w:vAlign w:val="bottom"/>
                </w:tcPr>
                <w:p>
                  <w:pPr>
                    <w:tabs>
                      <w:tab w:val="left" w:pos="4602"/>
                    </w:tabs>
                    <w:jc w:val="center"/>
                    <w:rPr>
                      <w:bCs/>
                      <w:szCs w:val="21"/>
                    </w:rPr>
                  </w:pPr>
                  <w:r>
                    <w:rPr>
                      <w:rFonts w:hint="eastAsia"/>
                      <w:bCs/>
                      <w:szCs w:val="21"/>
                    </w:rPr>
                    <w:t>尿液分析仪</w:t>
                  </w:r>
                </w:p>
              </w:tc>
              <w:tc>
                <w:tcPr>
                  <w:tcW w:w="2480" w:type="dxa"/>
                  <w:vAlign w:val="bottom"/>
                </w:tcPr>
                <w:p>
                  <w:pPr>
                    <w:tabs>
                      <w:tab w:val="left" w:pos="4602"/>
                    </w:tabs>
                    <w:jc w:val="center"/>
                    <w:rPr>
                      <w:bCs/>
                      <w:szCs w:val="21"/>
                    </w:rPr>
                  </w:pPr>
                  <w:r>
                    <w:rPr>
                      <w:bCs/>
                      <w:szCs w:val="21"/>
                    </w:rPr>
                    <w:t>U120</w:t>
                  </w:r>
                </w:p>
              </w:tc>
              <w:tc>
                <w:tcPr>
                  <w:tcW w:w="1050" w:type="dxa"/>
                </w:tcPr>
                <w:p>
                  <w:pPr>
                    <w:jc w:val="center"/>
                    <w:rPr>
                      <w:bCs/>
                      <w:szCs w:val="21"/>
                    </w:rPr>
                  </w:pPr>
                  <w:r>
                    <w:rPr>
                      <w:rFonts w:hint="eastAsia"/>
                      <w:bCs/>
                      <w:szCs w:val="21"/>
                    </w:rPr>
                    <w:t>1台</w:t>
                  </w:r>
                </w:p>
              </w:tc>
              <w:tc>
                <w:tcPr>
                  <w:tcW w:w="1122" w:type="dxa"/>
                </w:tcPr>
                <w:p>
                  <w:pPr>
                    <w:jc w:val="center"/>
                    <w:rPr>
                      <w:bCs/>
                      <w:szCs w:val="21"/>
                    </w:rPr>
                  </w:pPr>
                  <w:r>
                    <w:rPr>
                      <w:bCs/>
                      <w:szCs w:val="21"/>
                    </w:rP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tabs>
                      <w:tab w:val="left" w:pos="4602"/>
                    </w:tabs>
                    <w:jc w:val="center"/>
                    <w:rPr>
                      <w:bCs/>
                      <w:szCs w:val="21"/>
                    </w:rPr>
                  </w:pPr>
                  <w:r>
                    <w:rPr>
                      <w:rFonts w:hint="eastAsia"/>
                      <w:bCs/>
                      <w:szCs w:val="21"/>
                    </w:rPr>
                    <w:t>5</w:t>
                  </w:r>
                </w:p>
              </w:tc>
              <w:tc>
                <w:tcPr>
                  <w:tcW w:w="2593" w:type="dxa"/>
                  <w:vAlign w:val="bottom"/>
                </w:tcPr>
                <w:p>
                  <w:pPr>
                    <w:tabs>
                      <w:tab w:val="left" w:pos="4602"/>
                    </w:tabs>
                    <w:jc w:val="center"/>
                    <w:rPr>
                      <w:bCs/>
                      <w:szCs w:val="21"/>
                    </w:rPr>
                  </w:pPr>
                  <w:r>
                    <w:rPr>
                      <w:rFonts w:hint="eastAsia"/>
                      <w:bCs/>
                      <w:szCs w:val="21"/>
                    </w:rPr>
                    <w:t>心电图机</w:t>
                  </w:r>
                </w:p>
              </w:tc>
              <w:tc>
                <w:tcPr>
                  <w:tcW w:w="2480" w:type="dxa"/>
                  <w:vAlign w:val="bottom"/>
                </w:tcPr>
                <w:p>
                  <w:pPr>
                    <w:tabs>
                      <w:tab w:val="left" w:pos="4602"/>
                    </w:tabs>
                    <w:jc w:val="center"/>
                    <w:rPr>
                      <w:bCs/>
                      <w:szCs w:val="21"/>
                    </w:rPr>
                  </w:pPr>
                  <w:r>
                    <w:rPr>
                      <w:bCs/>
                      <w:szCs w:val="21"/>
                    </w:rPr>
                    <w:t>ECG-9012</w:t>
                  </w:r>
                </w:p>
              </w:tc>
              <w:tc>
                <w:tcPr>
                  <w:tcW w:w="1050" w:type="dxa"/>
                </w:tcPr>
                <w:p>
                  <w:pPr>
                    <w:jc w:val="center"/>
                    <w:rPr>
                      <w:bCs/>
                      <w:szCs w:val="21"/>
                    </w:rPr>
                  </w:pPr>
                  <w:r>
                    <w:rPr>
                      <w:rFonts w:hint="eastAsia"/>
                      <w:bCs/>
                      <w:szCs w:val="21"/>
                    </w:rPr>
                    <w:t>1台</w:t>
                  </w:r>
                </w:p>
              </w:tc>
              <w:tc>
                <w:tcPr>
                  <w:tcW w:w="1122" w:type="dxa"/>
                </w:tcPr>
                <w:p>
                  <w:pPr>
                    <w:jc w:val="center"/>
                    <w:rPr>
                      <w:bCs/>
                      <w:szCs w:val="21"/>
                    </w:rPr>
                  </w:pPr>
                  <w:r>
                    <w:rPr>
                      <w:bCs/>
                      <w:szCs w:val="21"/>
                    </w:rP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tabs>
                      <w:tab w:val="left" w:pos="4602"/>
                    </w:tabs>
                    <w:jc w:val="center"/>
                    <w:rPr>
                      <w:bCs/>
                      <w:szCs w:val="21"/>
                    </w:rPr>
                  </w:pPr>
                  <w:r>
                    <w:rPr>
                      <w:rFonts w:hint="eastAsia"/>
                      <w:bCs/>
                      <w:szCs w:val="21"/>
                    </w:rPr>
                    <w:t>6</w:t>
                  </w:r>
                </w:p>
              </w:tc>
              <w:tc>
                <w:tcPr>
                  <w:tcW w:w="2593" w:type="dxa"/>
                  <w:vAlign w:val="bottom"/>
                </w:tcPr>
                <w:p>
                  <w:pPr>
                    <w:tabs>
                      <w:tab w:val="left" w:pos="4602"/>
                    </w:tabs>
                    <w:jc w:val="center"/>
                    <w:rPr>
                      <w:bCs/>
                      <w:szCs w:val="21"/>
                    </w:rPr>
                  </w:pPr>
                  <w:r>
                    <w:rPr>
                      <w:rFonts w:hint="eastAsia"/>
                      <w:bCs/>
                      <w:szCs w:val="21"/>
                    </w:rPr>
                    <w:t>柴油发电机</w:t>
                  </w:r>
                </w:p>
              </w:tc>
              <w:tc>
                <w:tcPr>
                  <w:tcW w:w="2480" w:type="dxa"/>
                  <w:vAlign w:val="bottom"/>
                </w:tcPr>
                <w:p>
                  <w:pPr>
                    <w:tabs>
                      <w:tab w:val="left" w:pos="4602"/>
                    </w:tabs>
                    <w:jc w:val="center"/>
                    <w:rPr>
                      <w:bCs/>
                      <w:szCs w:val="21"/>
                    </w:rPr>
                  </w:pPr>
                  <w:r>
                    <w:rPr>
                      <w:rFonts w:hint="eastAsia"/>
                      <w:bCs/>
                      <w:szCs w:val="21"/>
                    </w:rPr>
                    <w:t>功率58.5kw</w:t>
                  </w:r>
                </w:p>
              </w:tc>
              <w:tc>
                <w:tcPr>
                  <w:tcW w:w="1050" w:type="dxa"/>
                </w:tcPr>
                <w:p>
                  <w:pPr>
                    <w:jc w:val="center"/>
                    <w:rPr>
                      <w:bCs/>
                      <w:szCs w:val="21"/>
                    </w:rPr>
                  </w:pPr>
                  <w:r>
                    <w:rPr>
                      <w:rFonts w:hint="eastAsia"/>
                      <w:bCs/>
                      <w:szCs w:val="21"/>
                    </w:rPr>
                    <w:t>1台</w:t>
                  </w:r>
                </w:p>
              </w:tc>
              <w:tc>
                <w:tcPr>
                  <w:tcW w:w="1122" w:type="dxa"/>
                </w:tcPr>
                <w:p>
                  <w:pPr>
                    <w:jc w:val="center"/>
                    <w:rPr>
                      <w:bCs/>
                      <w:szCs w:val="21"/>
                    </w:rPr>
                  </w:pPr>
                  <w:r>
                    <w:rPr>
                      <w:bCs/>
                      <w:szCs w:val="21"/>
                    </w:rP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tabs>
                      <w:tab w:val="left" w:pos="4602"/>
                    </w:tabs>
                    <w:jc w:val="center"/>
                    <w:rPr>
                      <w:bCs/>
                      <w:szCs w:val="21"/>
                    </w:rPr>
                  </w:pPr>
                  <w:r>
                    <w:rPr>
                      <w:rFonts w:hint="eastAsia"/>
                      <w:bCs/>
                      <w:szCs w:val="21"/>
                    </w:rPr>
                    <w:t>7</w:t>
                  </w:r>
                </w:p>
              </w:tc>
              <w:tc>
                <w:tcPr>
                  <w:tcW w:w="2593" w:type="dxa"/>
                  <w:vAlign w:val="bottom"/>
                </w:tcPr>
                <w:p>
                  <w:pPr>
                    <w:tabs>
                      <w:tab w:val="left" w:pos="4602"/>
                    </w:tabs>
                    <w:jc w:val="center"/>
                    <w:rPr>
                      <w:bCs/>
                      <w:szCs w:val="21"/>
                    </w:rPr>
                  </w:pPr>
                  <w:r>
                    <w:rPr>
                      <w:rFonts w:hint="eastAsia"/>
                      <w:bCs/>
                      <w:szCs w:val="21"/>
                    </w:rPr>
                    <w:t>煎药机</w:t>
                  </w:r>
                </w:p>
              </w:tc>
              <w:tc>
                <w:tcPr>
                  <w:tcW w:w="2480" w:type="dxa"/>
                  <w:vAlign w:val="bottom"/>
                </w:tcPr>
                <w:p>
                  <w:pPr>
                    <w:tabs>
                      <w:tab w:val="left" w:pos="4602"/>
                    </w:tabs>
                    <w:jc w:val="center"/>
                    <w:rPr>
                      <w:bCs/>
                      <w:szCs w:val="21"/>
                    </w:rPr>
                  </w:pPr>
                  <w:r>
                    <w:rPr>
                      <w:bCs/>
                      <w:szCs w:val="21"/>
                    </w:rPr>
                    <w:t>YJ20/3+1(150)</w:t>
                  </w:r>
                </w:p>
              </w:tc>
              <w:tc>
                <w:tcPr>
                  <w:tcW w:w="1050" w:type="dxa"/>
                </w:tcPr>
                <w:p>
                  <w:pPr>
                    <w:jc w:val="center"/>
                    <w:rPr>
                      <w:bCs/>
                      <w:szCs w:val="21"/>
                    </w:rPr>
                  </w:pPr>
                  <w:r>
                    <w:rPr>
                      <w:rFonts w:hint="eastAsia"/>
                      <w:bCs/>
                      <w:szCs w:val="21"/>
                    </w:rPr>
                    <w:t>1台</w:t>
                  </w:r>
                </w:p>
              </w:tc>
              <w:tc>
                <w:tcPr>
                  <w:tcW w:w="1122" w:type="dxa"/>
                </w:tcPr>
                <w:p>
                  <w:pPr>
                    <w:jc w:val="center"/>
                    <w:rPr>
                      <w:bCs/>
                      <w:szCs w:val="21"/>
                    </w:rPr>
                  </w:pPr>
                  <w:r>
                    <w:rPr>
                      <w:bCs/>
                      <w:szCs w:val="21"/>
                    </w:rP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tabs>
                      <w:tab w:val="left" w:pos="4602"/>
                    </w:tabs>
                    <w:jc w:val="center"/>
                    <w:rPr>
                      <w:bCs/>
                      <w:szCs w:val="21"/>
                    </w:rPr>
                  </w:pPr>
                  <w:r>
                    <w:rPr>
                      <w:rFonts w:hint="eastAsia"/>
                      <w:bCs/>
                      <w:szCs w:val="21"/>
                    </w:rPr>
                    <w:t>8</w:t>
                  </w:r>
                </w:p>
              </w:tc>
              <w:tc>
                <w:tcPr>
                  <w:tcW w:w="2593" w:type="dxa"/>
                  <w:vAlign w:val="bottom"/>
                </w:tcPr>
                <w:p>
                  <w:pPr>
                    <w:tabs>
                      <w:tab w:val="left" w:pos="4602"/>
                    </w:tabs>
                    <w:jc w:val="center"/>
                    <w:rPr>
                      <w:bCs/>
                      <w:szCs w:val="21"/>
                    </w:rPr>
                  </w:pPr>
                  <w:r>
                    <w:rPr>
                      <w:rFonts w:hint="eastAsia"/>
                      <w:bCs/>
                      <w:szCs w:val="21"/>
                    </w:rPr>
                    <w:t>电解质分析仪</w:t>
                  </w:r>
                </w:p>
              </w:tc>
              <w:tc>
                <w:tcPr>
                  <w:tcW w:w="2480" w:type="dxa"/>
                  <w:vAlign w:val="bottom"/>
                </w:tcPr>
                <w:p>
                  <w:pPr>
                    <w:tabs>
                      <w:tab w:val="left" w:pos="4602"/>
                    </w:tabs>
                    <w:jc w:val="center"/>
                    <w:rPr>
                      <w:bCs/>
                      <w:szCs w:val="21"/>
                    </w:rPr>
                  </w:pPr>
                  <w:r>
                    <w:rPr>
                      <w:bCs/>
                      <w:szCs w:val="21"/>
                    </w:rPr>
                    <w:t>IMS-972</w:t>
                  </w:r>
                </w:p>
              </w:tc>
              <w:tc>
                <w:tcPr>
                  <w:tcW w:w="1050" w:type="dxa"/>
                </w:tcPr>
                <w:p>
                  <w:pPr>
                    <w:jc w:val="center"/>
                    <w:rPr>
                      <w:bCs/>
                      <w:szCs w:val="21"/>
                    </w:rPr>
                  </w:pPr>
                  <w:r>
                    <w:rPr>
                      <w:rFonts w:hint="eastAsia"/>
                      <w:bCs/>
                      <w:szCs w:val="21"/>
                    </w:rPr>
                    <w:t>1台</w:t>
                  </w:r>
                </w:p>
              </w:tc>
              <w:tc>
                <w:tcPr>
                  <w:tcW w:w="1122" w:type="dxa"/>
                </w:tcPr>
                <w:p>
                  <w:pPr>
                    <w:jc w:val="center"/>
                    <w:rPr>
                      <w:bCs/>
                      <w:szCs w:val="21"/>
                    </w:rPr>
                  </w:pPr>
                  <w:r>
                    <w:rPr>
                      <w:bCs/>
                      <w:szCs w:val="21"/>
                    </w:rP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tabs>
                      <w:tab w:val="left" w:pos="4602"/>
                    </w:tabs>
                    <w:jc w:val="center"/>
                    <w:rPr>
                      <w:bCs/>
                      <w:szCs w:val="21"/>
                    </w:rPr>
                  </w:pPr>
                  <w:r>
                    <w:rPr>
                      <w:rFonts w:hint="eastAsia"/>
                      <w:bCs/>
                      <w:szCs w:val="21"/>
                    </w:rPr>
                    <w:t>9</w:t>
                  </w:r>
                </w:p>
              </w:tc>
              <w:tc>
                <w:tcPr>
                  <w:tcW w:w="2593" w:type="dxa"/>
                  <w:vAlign w:val="bottom"/>
                </w:tcPr>
                <w:p>
                  <w:pPr>
                    <w:tabs>
                      <w:tab w:val="left" w:pos="4602"/>
                    </w:tabs>
                    <w:jc w:val="center"/>
                    <w:rPr>
                      <w:bCs/>
                      <w:szCs w:val="21"/>
                    </w:rPr>
                  </w:pPr>
                  <w:r>
                    <w:rPr>
                      <w:rFonts w:hint="eastAsia"/>
                      <w:bCs/>
                      <w:szCs w:val="21"/>
                    </w:rPr>
                    <w:t>血常规分析仪</w:t>
                  </w:r>
                </w:p>
              </w:tc>
              <w:tc>
                <w:tcPr>
                  <w:tcW w:w="2480" w:type="dxa"/>
                  <w:vAlign w:val="bottom"/>
                </w:tcPr>
                <w:p>
                  <w:pPr>
                    <w:tabs>
                      <w:tab w:val="left" w:pos="4602"/>
                    </w:tabs>
                    <w:jc w:val="center"/>
                    <w:rPr>
                      <w:bCs/>
                      <w:szCs w:val="21"/>
                    </w:rPr>
                  </w:pPr>
                  <w:r>
                    <w:rPr>
                      <w:bCs/>
                      <w:szCs w:val="21"/>
                    </w:rPr>
                    <w:t>BC-2800</w:t>
                  </w:r>
                </w:p>
              </w:tc>
              <w:tc>
                <w:tcPr>
                  <w:tcW w:w="1050" w:type="dxa"/>
                </w:tcPr>
                <w:p>
                  <w:pPr>
                    <w:jc w:val="center"/>
                    <w:rPr>
                      <w:bCs/>
                      <w:szCs w:val="21"/>
                    </w:rPr>
                  </w:pPr>
                  <w:r>
                    <w:rPr>
                      <w:rFonts w:hint="eastAsia"/>
                      <w:bCs/>
                      <w:szCs w:val="21"/>
                    </w:rPr>
                    <w:t>1台</w:t>
                  </w:r>
                </w:p>
              </w:tc>
              <w:tc>
                <w:tcPr>
                  <w:tcW w:w="1122" w:type="dxa"/>
                </w:tcPr>
                <w:p>
                  <w:pPr>
                    <w:jc w:val="center"/>
                    <w:rPr>
                      <w:bCs/>
                      <w:szCs w:val="21"/>
                    </w:rPr>
                  </w:pPr>
                  <w:r>
                    <w:rPr>
                      <w:bCs/>
                      <w:szCs w:val="21"/>
                    </w:rP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tabs>
                      <w:tab w:val="left" w:pos="4602"/>
                    </w:tabs>
                    <w:jc w:val="center"/>
                    <w:rPr>
                      <w:bCs/>
                      <w:szCs w:val="21"/>
                    </w:rPr>
                  </w:pPr>
                  <w:r>
                    <w:rPr>
                      <w:rFonts w:hint="eastAsia"/>
                      <w:bCs/>
                      <w:szCs w:val="21"/>
                    </w:rPr>
                    <w:t>10</w:t>
                  </w:r>
                </w:p>
              </w:tc>
              <w:tc>
                <w:tcPr>
                  <w:tcW w:w="2593" w:type="dxa"/>
                  <w:vAlign w:val="bottom"/>
                </w:tcPr>
                <w:p>
                  <w:pPr>
                    <w:tabs>
                      <w:tab w:val="left" w:pos="4602"/>
                    </w:tabs>
                    <w:jc w:val="center"/>
                    <w:rPr>
                      <w:bCs/>
                      <w:szCs w:val="21"/>
                    </w:rPr>
                  </w:pPr>
                  <w:r>
                    <w:rPr>
                      <w:rFonts w:hint="eastAsia"/>
                      <w:bCs/>
                      <w:szCs w:val="21"/>
                    </w:rPr>
                    <w:t>微量元素分析仪</w:t>
                  </w:r>
                </w:p>
              </w:tc>
              <w:tc>
                <w:tcPr>
                  <w:tcW w:w="2480" w:type="dxa"/>
                  <w:vAlign w:val="bottom"/>
                </w:tcPr>
                <w:p>
                  <w:pPr>
                    <w:tabs>
                      <w:tab w:val="left" w:pos="4602"/>
                    </w:tabs>
                    <w:jc w:val="center"/>
                    <w:rPr>
                      <w:bCs/>
                      <w:szCs w:val="21"/>
                    </w:rPr>
                  </w:pPr>
                  <w:r>
                    <w:rPr>
                      <w:bCs/>
                      <w:szCs w:val="21"/>
                    </w:rPr>
                    <w:t>DS-3A</w:t>
                  </w:r>
                </w:p>
              </w:tc>
              <w:tc>
                <w:tcPr>
                  <w:tcW w:w="1050" w:type="dxa"/>
                </w:tcPr>
                <w:p>
                  <w:pPr>
                    <w:jc w:val="center"/>
                    <w:rPr>
                      <w:bCs/>
                      <w:szCs w:val="21"/>
                    </w:rPr>
                  </w:pPr>
                  <w:r>
                    <w:rPr>
                      <w:rFonts w:hint="eastAsia"/>
                      <w:bCs/>
                      <w:szCs w:val="21"/>
                    </w:rPr>
                    <w:t>1台</w:t>
                  </w:r>
                </w:p>
              </w:tc>
              <w:tc>
                <w:tcPr>
                  <w:tcW w:w="1122" w:type="dxa"/>
                </w:tcPr>
                <w:p>
                  <w:pPr>
                    <w:jc w:val="center"/>
                    <w:rPr>
                      <w:bCs/>
                      <w:szCs w:val="21"/>
                    </w:rPr>
                  </w:pPr>
                  <w:r>
                    <w:rPr>
                      <w:bCs/>
                      <w:szCs w:val="21"/>
                    </w:rPr>
                    <w:t>现有</w:t>
                  </w:r>
                </w:p>
              </w:tc>
            </w:tr>
          </w:tbl>
          <w:p>
            <w:pPr>
              <w:tabs>
                <w:tab w:val="left" w:pos="4602"/>
              </w:tabs>
              <w:jc w:val="center"/>
              <w:rPr>
                <w:rFonts w:eastAsia="新宋体"/>
                <w:b/>
                <w:szCs w:val="21"/>
              </w:rPr>
            </w:pPr>
            <w:r>
              <w:rPr>
                <w:rFonts w:eastAsia="新宋体"/>
                <w:b/>
                <w:szCs w:val="21"/>
              </w:rPr>
              <w:t>表2-</w:t>
            </w:r>
            <w:r>
              <w:rPr>
                <w:rFonts w:hint="eastAsia" w:eastAsia="新宋体"/>
                <w:b/>
                <w:szCs w:val="21"/>
              </w:rPr>
              <w:t>10</w:t>
            </w:r>
            <w:r>
              <w:rPr>
                <w:rFonts w:eastAsia="新宋体"/>
                <w:b/>
                <w:szCs w:val="21"/>
              </w:rPr>
              <w:t>原辅材料及能源消耗情况一览表</w:t>
            </w:r>
          </w:p>
          <w:tbl>
            <w:tblPr>
              <w:tblStyle w:val="28"/>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1527"/>
              <w:gridCol w:w="1841"/>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tcPr>
                <w:p>
                  <w:pPr>
                    <w:tabs>
                      <w:tab w:val="left" w:pos="4602"/>
                    </w:tabs>
                    <w:jc w:val="center"/>
                    <w:rPr>
                      <w:b/>
                      <w:szCs w:val="21"/>
                    </w:rPr>
                  </w:pPr>
                  <w:r>
                    <w:rPr>
                      <w:b/>
                      <w:szCs w:val="21"/>
                    </w:rPr>
                    <w:t>类别</w:t>
                  </w:r>
                </w:p>
              </w:tc>
              <w:tc>
                <w:tcPr>
                  <w:tcW w:w="3368" w:type="dxa"/>
                  <w:gridSpan w:val="2"/>
                </w:tcPr>
                <w:p>
                  <w:pPr>
                    <w:tabs>
                      <w:tab w:val="left" w:pos="4602"/>
                    </w:tabs>
                    <w:jc w:val="center"/>
                    <w:rPr>
                      <w:b/>
                      <w:szCs w:val="21"/>
                    </w:rPr>
                  </w:pPr>
                  <w:r>
                    <w:rPr>
                      <w:b/>
                      <w:szCs w:val="21"/>
                    </w:rPr>
                    <w:t>名称</w:t>
                  </w:r>
                </w:p>
              </w:tc>
              <w:tc>
                <w:tcPr>
                  <w:tcW w:w="1844" w:type="dxa"/>
                </w:tcPr>
                <w:p>
                  <w:pPr>
                    <w:tabs>
                      <w:tab w:val="left" w:pos="4602"/>
                    </w:tabs>
                    <w:jc w:val="center"/>
                    <w:rPr>
                      <w:b/>
                      <w:szCs w:val="21"/>
                    </w:rPr>
                  </w:pPr>
                  <w:r>
                    <w:rPr>
                      <w:b/>
                      <w:szCs w:val="21"/>
                    </w:rPr>
                    <w:t>年消耗量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vMerge w:val="restart"/>
                  <w:vAlign w:val="center"/>
                </w:tcPr>
                <w:p>
                  <w:pPr>
                    <w:tabs>
                      <w:tab w:val="left" w:pos="4602"/>
                    </w:tabs>
                    <w:jc w:val="center"/>
                    <w:rPr>
                      <w:bCs/>
                      <w:szCs w:val="21"/>
                    </w:rPr>
                  </w:pPr>
                  <w:r>
                    <w:rPr>
                      <w:bCs/>
                      <w:szCs w:val="21"/>
                    </w:rPr>
                    <w:t>医疗</w:t>
                  </w:r>
                </w:p>
              </w:tc>
              <w:tc>
                <w:tcPr>
                  <w:tcW w:w="1527" w:type="dxa"/>
                  <w:vMerge w:val="restart"/>
                  <w:vAlign w:val="center"/>
                </w:tcPr>
                <w:p>
                  <w:pPr>
                    <w:tabs>
                      <w:tab w:val="left" w:pos="4602"/>
                    </w:tabs>
                    <w:jc w:val="center"/>
                    <w:rPr>
                      <w:bCs/>
                      <w:szCs w:val="21"/>
                    </w:rPr>
                  </w:pPr>
                  <w:r>
                    <w:rPr>
                      <w:bCs/>
                      <w:szCs w:val="21"/>
                    </w:rPr>
                    <w:t>各类药品</w:t>
                  </w:r>
                </w:p>
              </w:tc>
              <w:tc>
                <w:tcPr>
                  <w:tcW w:w="1841" w:type="dxa"/>
                  <w:vAlign w:val="center"/>
                </w:tcPr>
                <w:p>
                  <w:pPr>
                    <w:tabs>
                      <w:tab w:val="left" w:pos="4602"/>
                    </w:tabs>
                    <w:jc w:val="center"/>
                    <w:rPr>
                      <w:bCs/>
                      <w:szCs w:val="21"/>
                    </w:rPr>
                  </w:pPr>
                  <w:r>
                    <w:rPr>
                      <w:rFonts w:hint="eastAsia"/>
                      <w:bCs/>
                      <w:szCs w:val="21"/>
                    </w:rPr>
                    <w:t>西药</w:t>
                  </w:r>
                </w:p>
              </w:tc>
              <w:tc>
                <w:tcPr>
                  <w:tcW w:w="1844" w:type="dxa"/>
                  <w:vAlign w:val="top"/>
                </w:tcPr>
                <w:p>
                  <w:pPr>
                    <w:tabs>
                      <w:tab w:val="left" w:pos="4602"/>
                    </w:tabs>
                    <w:jc w:val="center"/>
                    <w:rPr>
                      <w:bCs/>
                      <w:szCs w:val="21"/>
                    </w:rPr>
                  </w:pPr>
                  <w:r>
                    <w:rPr>
                      <w:rFonts w:hint="eastAsia"/>
                      <w:bCs/>
                      <w:szCs w:val="21"/>
                      <w:lang w:val="en-US" w:eastAsia="zh-CN"/>
                    </w:rPr>
                    <w:t>360</w:t>
                  </w:r>
                  <w:r>
                    <w:rPr>
                      <w:rFonts w:hint="eastAsia"/>
                      <w:bCs/>
                      <w:szCs w:val="21"/>
                    </w:rPr>
                    <w:t>万盒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33" w:type="dxa"/>
                  <w:vMerge w:val="continue"/>
                  <w:vAlign w:val="center"/>
                </w:tcPr>
                <w:p>
                  <w:pPr>
                    <w:tabs>
                      <w:tab w:val="left" w:pos="4602"/>
                    </w:tabs>
                    <w:jc w:val="center"/>
                    <w:rPr>
                      <w:bCs/>
                      <w:szCs w:val="21"/>
                    </w:rPr>
                  </w:pPr>
                </w:p>
              </w:tc>
              <w:tc>
                <w:tcPr>
                  <w:tcW w:w="1527" w:type="dxa"/>
                  <w:vMerge w:val="continue"/>
                  <w:vAlign w:val="center"/>
                </w:tcPr>
                <w:p>
                  <w:pPr>
                    <w:tabs>
                      <w:tab w:val="left" w:pos="4602"/>
                    </w:tabs>
                    <w:jc w:val="center"/>
                    <w:rPr>
                      <w:bCs/>
                      <w:szCs w:val="21"/>
                    </w:rPr>
                  </w:pPr>
                </w:p>
              </w:tc>
              <w:tc>
                <w:tcPr>
                  <w:tcW w:w="1841" w:type="dxa"/>
                  <w:vAlign w:val="center"/>
                </w:tcPr>
                <w:p>
                  <w:pPr>
                    <w:tabs>
                      <w:tab w:val="left" w:pos="4602"/>
                    </w:tabs>
                    <w:jc w:val="center"/>
                    <w:rPr>
                      <w:bCs/>
                      <w:szCs w:val="21"/>
                    </w:rPr>
                  </w:pPr>
                  <w:r>
                    <w:rPr>
                      <w:rFonts w:hint="eastAsia"/>
                      <w:bCs/>
                      <w:szCs w:val="21"/>
                    </w:rPr>
                    <w:t>中草药</w:t>
                  </w:r>
                </w:p>
              </w:tc>
              <w:tc>
                <w:tcPr>
                  <w:tcW w:w="1844" w:type="dxa"/>
                  <w:vAlign w:val="top"/>
                </w:tcPr>
                <w:p>
                  <w:pPr>
                    <w:tabs>
                      <w:tab w:val="left" w:pos="4602"/>
                    </w:tabs>
                    <w:jc w:val="center"/>
                    <w:rPr>
                      <w:bCs/>
                      <w:szCs w:val="21"/>
                    </w:rPr>
                  </w:pPr>
                  <w:r>
                    <w:rPr>
                      <w:rFonts w:hint="eastAsia"/>
                      <w:bCs/>
                      <w:szCs w:val="21"/>
                      <w:lang w:val="en-US" w:eastAsia="zh-CN"/>
                    </w:rPr>
                    <w:t>3200</w:t>
                  </w:r>
                  <w:r>
                    <w:rPr>
                      <w:rFonts w:hint="eastAsia"/>
                      <w:bCs/>
                      <w:szCs w:val="21"/>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vMerge w:val="continue"/>
                  <w:vAlign w:val="center"/>
                </w:tcPr>
                <w:p>
                  <w:pPr>
                    <w:tabs>
                      <w:tab w:val="left" w:pos="4602"/>
                    </w:tabs>
                    <w:jc w:val="center"/>
                    <w:rPr>
                      <w:bCs/>
                      <w:szCs w:val="21"/>
                    </w:rPr>
                  </w:pPr>
                </w:p>
              </w:tc>
              <w:tc>
                <w:tcPr>
                  <w:tcW w:w="1527" w:type="dxa"/>
                  <w:vMerge w:val="continue"/>
                  <w:vAlign w:val="center"/>
                </w:tcPr>
                <w:p>
                  <w:pPr>
                    <w:tabs>
                      <w:tab w:val="left" w:pos="4602"/>
                    </w:tabs>
                    <w:jc w:val="center"/>
                    <w:rPr>
                      <w:bCs/>
                      <w:szCs w:val="21"/>
                    </w:rPr>
                  </w:pPr>
                </w:p>
              </w:tc>
              <w:tc>
                <w:tcPr>
                  <w:tcW w:w="1841" w:type="dxa"/>
                  <w:vAlign w:val="center"/>
                </w:tcPr>
                <w:p>
                  <w:pPr>
                    <w:tabs>
                      <w:tab w:val="left" w:pos="4602"/>
                    </w:tabs>
                    <w:jc w:val="center"/>
                    <w:rPr>
                      <w:bCs/>
                      <w:szCs w:val="21"/>
                    </w:rPr>
                  </w:pPr>
                  <w:r>
                    <w:rPr>
                      <w:rFonts w:hint="eastAsia"/>
                      <w:bCs/>
                      <w:szCs w:val="21"/>
                    </w:rPr>
                    <w:t>疫苗</w:t>
                  </w:r>
                </w:p>
              </w:tc>
              <w:tc>
                <w:tcPr>
                  <w:tcW w:w="1844" w:type="dxa"/>
                  <w:vAlign w:val="top"/>
                </w:tcPr>
                <w:p>
                  <w:pPr>
                    <w:tabs>
                      <w:tab w:val="left" w:pos="4602"/>
                    </w:tabs>
                    <w:jc w:val="center"/>
                    <w:rPr>
                      <w:bCs/>
                      <w:szCs w:val="21"/>
                    </w:rPr>
                  </w:pPr>
                  <w:r>
                    <w:rPr>
                      <w:rFonts w:hint="eastAsia"/>
                      <w:bCs/>
                      <w:szCs w:val="21"/>
                      <w:lang w:val="en-US" w:eastAsia="zh-CN"/>
                    </w:rPr>
                    <w:t>16</w:t>
                  </w:r>
                  <w:r>
                    <w:rPr>
                      <w:rFonts w:hint="eastAsia"/>
                      <w:bCs/>
                      <w:szCs w:val="21"/>
                    </w:rPr>
                    <w:t>00支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vMerge w:val="continue"/>
                  <w:vAlign w:val="center"/>
                </w:tcPr>
                <w:p>
                  <w:pPr>
                    <w:tabs>
                      <w:tab w:val="left" w:pos="4602"/>
                    </w:tabs>
                    <w:jc w:val="center"/>
                    <w:rPr>
                      <w:bCs/>
                      <w:szCs w:val="21"/>
                    </w:rPr>
                  </w:pPr>
                </w:p>
              </w:tc>
              <w:tc>
                <w:tcPr>
                  <w:tcW w:w="3368" w:type="dxa"/>
                  <w:gridSpan w:val="2"/>
                  <w:vAlign w:val="center"/>
                </w:tcPr>
                <w:p>
                  <w:pPr>
                    <w:tabs>
                      <w:tab w:val="left" w:pos="4602"/>
                    </w:tabs>
                    <w:jc w:val="center"/>
                    <w:rPr>
                      <w:bCs/>
                      <w:szCs w:val="21"/>
                    </w:rPr>
                  </w:pPr>
                  <w:r>
                    <w:rPr>
                      <w:rFonts w:hint="eastAsia"/>
                      <w:bCs/>
                      <w:szCs w:val="21"/>
                    </w:rPr>
                    <w:t>输液器</w:t>
                  </w:r>
                </w:p>
              </w:tc>
              <w:tc>
                <w:tcPr>
                  <w:tcW w:w="1844" w:type="dxa"/>
                  <w:vAlign w:val="center"/>
                </w:tcPr>
                <w:p>
                  <w:pPr>
                    <w:tabs>
                      <w:tab w:val="left" w:pos="4602"/>
                    </w:tabs>
                    <w:jc w:val="center"/>
                    <w:rPr>
                      <w:bCs/>
                      <w:szCs w:val="21"/>
                    </w:rPr>
                  </w:pPr>
                  <w:r>
                    <w:rPr>
                      <w:rFonts w:hint="eastAsia"/>
                      <w:bCs/>
                      <w:szCs w:val="21"/>
                      <w:lang w:val="en-US" w:eastAsia="zh-CN"/>
                    </w:rPr>
                    <w:t>115</w:t>
                  </w:r>
                  <w:r>
                    <w:rPr>
                      <w:rFonts w:hint="eastAsia"/>
                      <w:bCs/>
                      <w:szCs w:val="21"/>
                    </w:rPr>
                    <w:t>00付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vMerge w:val="continue"/>
                  <w:vAlign w:val="center"/>
                </w:tcPr>
                <w:p>
                  <w:pPr>
                    <w:tabs>
                      <w:tab w:val="left" w:pos="4602"/>
                    </w:tabs>
                    <w:jc w:val="center"/>
                    <w:rPr>
                      <w:bCs/>
                      <w:szCs w:val="21"/>
                    </w:rPr>
                  </w:pPr>
                </w:p>
              </w:tc>
              <w:tc>
                <w:tcPr>
                  <w:tcW w:w="3368" w:type="dxa"/>
                  <w:gridSpan w:val="2"/>
                  <w:vAlign w:val="center"/>
                </w:tcPr>
                <w:p>
                  <w:pPr>
                    <w:tabs>
                      <w:tab w:val="left" w:pos="4602"/>
                    </w:tabs>
                    <w:jc w:val="center"/>
                    <w:rPr>
                      <w:bCs/>
                      <w:szCs w:val="21"/>
                    </w:rPr>
                  </w:pPr>
                  <w:r>
                    <w:rPr>
                      <w:rFonts w:hint="eastAsia"/>
                      <w:bCs/>
                      <w:szCs w:val="21"/>
                    </w:rPr>
                    <w:t>一次性注射器</w:t>
                  </w:r>
                </w:p>
              </w:tc>
              <w:tc>
                <w:tcPr>
                  <w:tcW w:w="1844" w:type="dxa"/>
                  <w:vAlign w:val="center"/>
                </w:tcPr>
                <w:p>
                  <w:pPr>
                    <w:tabs>
                      <w:tab w:val="left" w:pos="4602"/>
                    </w:tabs>
                    <w:jc w:val="center"/>
                    <w:rPr>
                      <w:bCs/>
                      <w:szCs w:val="21"/>
                    </w:rPr>
                  </w:pPr>
                  <w:r>
                    <w:rPr>
                      <w:rFonts w:hint="eastAsia"/>
                      <w:bCs/>
                      <w:szCs w:val="21"/>
                      <w:lang w:val="en-US" w:eastAsia="zh-CN"/>
                    </w:rPr>
                    <w:t>8</w:t>
                  </w:r>
                  <w:r>
                    <w:rPr>
                      <w:rFonts w:hint="eastAsia"/>
                      <w:bCs/>
                      <w:szCs w:val="21"/>
                    </w:rPr>
                    <w:t>000支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vMerge w:val="continue"/>
                </w:tcPr>
                <w:p>
                  <w:pPr>
                    <w:tabs>
                      <w:tab w:val="left" w:pos="4602"/>
                    </w:tabs>
                    <w:jc w:val="center"/>
                    <w:rPr>
                      <w:bCs/>
                      <w:szCs w:val="21"/>
                    </w:rPr>
                  </w:pPr>
                </w:p>
              </w:tc>
              <w:tc>
                <w:tcPr>
                  <w:tcW w:w="3368" w:type="dxa"/>
                  <w:gridSpan w:val="2"/>
                  <w:vAlign w:val="center"/>
                </w:tcPr>
                <w:p>
                  <w:pPr>
                    <w:tabs>
                      <w:tab w:val="left" w:pos="4602"/>
                    </w:tabs>
                    <w:jc w:val="center"/>
                    <w:rPr>
                      <w:bCs/>
                      <w:szCs w:val="21"/>
                    </w:rPr>
                  </w:pPr>
                  <w:r>
                    <w:rPr>
                      <w:rFonts w:hint="eastAsia"/>
                      <w:bCs/>
                      <w:szCs w:val="21"/>
                    </w:rPr>
                    <w:t>消毒液</w:t>
                  </w:r>
                </w:p>
              </w:tc>
              <w:tc>
                <w:tcPr>
                  <w:tcW w:w="1844" w:type="dxa"/>
                  <w:vAlign w:val="center"/>
                </w:tcPr>
                <w:p>
                  <w:pPr>
                    <w:tabs>
                      <w:tab w:val="left" w:pos="4602"/>
                    </w:tabs>
                    <w:jc w:val="center"/>
                    <w:rPr>
                      <w:bCs/>
                      <w:szCs w:val="21"/>
                    </w:rPr>
                  </w:pPr>
                  <w:r>
                    <w:rPr>
                      <w:rFonts w:hint="eastAsia"/>
                      <w:bCs/>
                      <w:szCs w:val="21"/>
                      <w:lang w:val="en-US" w:eastAsia="zh-CN"/>
                    </w:rPr>
                    <w:t>1</w:t>
                  </w:r>
                  <w:r>
                    <w:rPr>
                      <w:rFonts w:hint="eastAsia"/>
                      <w:bCs/>
                      <w:szCs w:val="21"/>
                    </w:rPr>
                    <w:t>50升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tcPr>
                <w:p>
                  <w:pPr>
                    <w:tabs>
                      <w:tab w:val="left" w:pos="4602"/>
                    </w:tabs>
                    <w:jc w:val="center"/>
                    <w:rPr>
                      <w:bCs/>
                      <w:szCs w:val="21"/>
                    </w:rPr>
                  </w:pPr>
                  <w:r>
                    <w:rPr>
                      <w:bCs/>
                      <w:szCs w:val="21"/>
                    </w:rPr>
                    <w:t>能耗</w:t>
                  </w:r>
                </w:p>
              </w:tc>
              <w:tc>
                <w:tcPr>
                  <w:tcW w:w="3368" w:type="dxa"/>
                  <w:gridSpan w:val="2"/>
                  <w:vAlign w:val="center"/>
                </w:tcPr>
                <w:p>
                  <w:pPr>
                    <w:tabs>
                      <w:tab w:val="left" w:pos="4602"/>
                    </w:tabs>
                    <w:jc w:val="center"/>
                    <w:rPr>
                      <w:bCs/>
                      <w:szCs w:val="21"/>
                    </w:rPr>
                  </w:pPr>
                  <w:r>
                    <w:rPr>
                      <w:bCs/>
                      <w:szCs w:val="21"/>
                    </w:rPr>
                    <w:t>电</w:t>
                  </w:r>
                </w:p>
              </w:tc>
              <w:tc>
                <w:tcPr>
                  <w:tcW w:w="1844" w:type="dxa"/>
                </w:tcPr>
                <w:p>
                  <w:pPr>
                    <w:tabs>
                      <w:tab w:val="left" w:pos="4602"/>
                    </w:tabs>
                    <w:jc w:val="center"/>
                    <w:rPr>
                      <w:bCs/>
                      <w:szCs w:val="21"/>
                    </w:rPr>
                  </w:pPr>
                  <w:r>
                    <w:rPr>
                      <w:rFonts w:hint="eastAsia"/>
                      <w:bCs/>
                      <w:szCs w:val="21"/>
                    </w:rPr>
                    <w:t>市政电网供电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tcPr>
                <w:p>
                  <w:pPr>
                    <w:tabs>
                      <w:tab w:val="left" w:pos="4602"/>
                    </w:tabs>
                    <w:jc w:val="center"/>
                    <w:rPr>
                      <w:bCs/>
                      <w:szCs w:val="21"/>
                    </w:rPr>
                  </w:pPr>
                  <w:r>
                    <w:rPr>
                      <w:bCs/>
                      <w:szCs w:val="21"/>
                    </w:rPr>
                    <w:t>水耗</w:t>
                  </w:r>
                </w:p>
              </w:tc>
              <w:tc>
                <w:tcPr>
                  <w:tcW w:w="3368" w:type="dxa"/>
                  <w:gridSpan w:val="2"/>
                  <w:vAlign w:val="center"/>
                </w:tcPr>
                <w:p>
                  <w:pPr>
                    <w:tabs>
                      <w:tab w:val="left" w:pos="4602"/>
                    </w:tabs>
                    <w:jc w:val="center"/>
                    <w:rPr>
                      <w:bCs/>
                      <w:szCs w:val="21"/>
                    </w:rPr>
                  </w:pPr>
                  <w:r>
                    <w:rPr>
                      <w:bCs/>
                      <w:szCs w:val="21"/>
                    </w:rPr>
                    <w:t>水</w:t>
                  </w:r>
                </w:p>
              </w:tc>
              <w:tc>
                <w:tcPr>
                  <w:tcW w:w="1844" w:type="dxa"/>
                </w:tcPr>
                <w:p>
                  <w:pPr>
                    <w:tabs>
                      <w:tab w:val="left" w:pos="4602"/>
                    </w:tabs>
                    <w:jc w:val="center"/>
                    <w:rPr>
                      <w:rFonts w:hint="eastAsia" w:eastAsia="宋体"/>
                      <w:bCs/>
                      <w:szCs w:val="21"/>
                      <w:lang w:eastAsia="zh-CN"/>
                    </w:rPr>
                  </w:pPr>
                  <w:r>
                    <w:rPr>
                      <w:rFonts w:hint="eastAsia"/>
                      <w:bCs/>
                      <w:szCs w:val="21"/>
                      <w:lang w:eastAsia="zh-CN"/>
                    </w:rPr>
                    <w:t>8101.75m3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vAlign w:val="center"/>
                </w:tcPr>
                <w:p>
                  <w:pPr>
                    <w:tabs>
                      <w:tab w:val="left" w:pos="4602"/>
                    </w:tabs>
                    <w:jc w:val="center"/>
                    <w:rPr>
                      <w:bCs/>
                      <w:szCs w:val="21"/>
                    </w:rPr>
                  </w:pPr>
                  <w:r>
                    <w:rPr>
                      <w:bCs/>
                      <w:szCs w:val="21"/>
                    </w:rPr>
                    <w:t>医疗废水消毒工艺试剂</w:t>
                  </w:r>
                </w:p>
              </w:tc>
              <w:tc>
                <w:tcPr>
                  <w:tcW w:w="3368" w:type="dxa"/>
                  <w:gridSpan w:val="2"/>
                  <w:vAlign w:val="center"/>
                </w:tcPr>
                <w:p>
                  <w:pPr>
                    <w:tabs>
                      <w:tab w:val="left" w:pos="4602"/>
                    </w:tabs>
                    <w:jc w:val="center"/>
                    <w:rPr>
                      <w:bCs/>
                      <w:szCs w:val="21"/>
                    </w:rPr>
                  </w:pPr>
                  <w:r>
                    <w:rPr>
                      <w:bCs/>
                      <w:szCs w:val="21"/>
                    </w:rPr>
                    <w:t>消毒</w:t>
                  </w:r>
                  <w:r>
                    <w:rPr>
                      <w:rFonts w:hint="eastAsia"/>
                      <w:bCs/>
                      <w:szCs w:val="21"/>
                    </w:rPr>
                    <w:t>杀菌</w:t>
                  </w:r>
                  <w:r>
                    <w:rPr>
                      <w:bCs/>
                      <w:szCs w:val="21"/>
                    </w:rPr>
                    <w:t>剂</w:t>
                  </w:r>
                </w:p>
              </w:tc>
              <w:tc>
                <w:tcPr>
                  <w:tcW w:w="1844" w:type="dxa"/>
                  <w:vAlign w:val="center"/>
                </w:tcPr>
                <w:p>
                  <w:pPr>
                    <w:tabs>
                      <w:tab w:val="left" w:pos="4602"/>
                    </w:tabs>
                    <w:jc w:val="center"/>
                    <w:rPr>
                      <w:bCs/>
                      <w:szCs w:val="21"/>
                    </w:rPr>
                  </w:pPr>
                  <w:r>
                    <w:rPr>
                      <w:rFonts w:hint="eastAsia"/>
                      <w:bCs/>
                      <w:szCs w:val="21"/>
                      <w:lang w:val="en-US" w:eastAsia="zh-CN"/>
                    </w:rPr>
                    <w:t>80</w:t>
                  </w:r>
                  <w:r>
                    <w:rPr>
                      <w:rFonts w:hint="eastAsia"/>
                      <w:bCs/>
                      <w:szCs w:val="21"/>
                    </w:rPr>
                    <w:t>L</w:t>
                  </w:r>
                </w:p>
              </w:tc>
            </w:tr>
          </w:tbl>
          <w:p>
            <w:pPr>
              <w:spacing w:line="360" w:lineRule="auto"/>
              <w:ind w:firstLine="482" w:firstLineChars="200"/>
              <w:rPr>
                <w:rFonts w:cs="宋体"/>
                <w:b/>
                <w:sz w:val="24"/>
              </w:rPr>
            </w:pPr>
            <w:r>
              <w:rPr>
                <w:rFonts w:hint="eastAsia" w:cs="宋体"/>
                <w:b/>
                <w:sz w:val="24"/>
              </w:rPr>
              <w:t>三、现有工程主要污染及排放情况</w:t>
            </w:r>
          </w:p>
          <w:p>
            <w:pPr>
              <w:spacing w:line="360" w:lineRule="auto"/>
              <w:ind w:firstLine="480" w:firstLineChars="200"/>
              <w:rPr>
                <w:rFonts w:cs="宋体"/>
                <w:bCs/>
                <w:sz w:val="24"/>
              </w:rPr>
            </w:pPr>
            <w:r>
              <w:rPr>
                <w:rFonts w:hint="eastAsia" w:cs="宋体"/>
                <w:bCs/>
                <w:sz w:val="24"/>
              </w:rPr>
              <w:t>1、废气</w:t>
            </w:r>
          </w:p>
          <w:p>
            <w:pPr>
              <w:spacing w:line="360" w:lineRule="auto"/>
              <w:ind w:firstLine="480" w:firstLineChars="200"/>
              <w:rPr>
                <w:rFonts w:cs="宋体"/>
                <w:bCs/>
                <w:sz w:val="24"/>
              </w:rPr>
            </w:pPr>
            <w:r>
              <w:rPr>
                <w:rFonts w:cs="宋体"/>
                <w:bCs/>
                <w:sz w:val="24"/>
              </w:rPr>
              <w:t>本项目</w:t>
            </w:r>
            <w:r>
              <w:rPr>
                <w:rFonts w:hint="eastAsia" w:cs="宋体"/>
                <w:bCs/>
                <w:sz w:val="24"/>
              </w:rPr>
              <w:t>建有一套污水一体化处理设备，故</w:t>
            </w:r>
            <w:r>
              <w:rPr>
                <w:rFonts w:cs="宋体"/>
                <w:bCs/>
                <w:sz w:val="24"/>
              </w:rPr>
              <w:t>本项目产生的废气主要来源于</w:t>
            </w:r>
            <w:r>
              <w:rPr>
                <w:rFonts w:hint="eastAsia" w:cs="宋体"/>
                <w:bCs/>
                <w:sz w:val="24"/>
              </w:rPr>
              <w:t>一体化污水处理系统产生的恶臭、食堂油烟和发电机烟气。</w:t>
            </w:r>
          </w:p>
          <w:p>
            <w:pPr>
              <w:spacing w:line="360" w:lineRule="auto"/>
              <w:ind w:firstLine="480" w:firstLineChars="200"/>
              <w:rPr>
                <w:rFonts w:cs="宋体"/>
                <w:sz w:val="24"/>
              </w:rPr>
            </w:pPr>
            <w:r>
              <w:rPr>
                <w:rFonts w:hint="eastAsia" w:cs="宋体"/>
                <w:sz w:val="24"/>
              </w:rPr>
              <w:t>①食堂油烟</w:t>
            </w:r>
          </w:p>
          <w:p>
            <w:pPr>
              <w:spacing w:line="360" w:lineRule="auto"/>
              <w:ind w:firstLine="480" w:firstLineChars="200"/>
              <w:rPr>
                <w:rFonts w:cs="宋体"/>
                <w:bCs/>
                <w:sz w:val="24"/>
              </w:rPr>
            </w:pPr>
            <w:r>
              <w:rPr>
                <w:rFonts w:cs="宋体"/>
                <w:bCs/>
                <w:sz w:val="24"/>
              </w:rPr>
              <w:t>食堂营业时间约</w:t>
            </w:r>
            <w:r>
              <w:rPr>
                <w:rFonts w:hint="eastAsia" w:cs="宋体"/>
                <w:bCs/>
                <w:sz w:val="24"/>
              </w:rPr>
              <w:t>6小时/d，年营运365天，以液化石油气为燃料，提供卫生院</w:t>
            </w:r>
            <w:r>
              <w:rPr>
                <w:rFonts w:hint="eastAsia" w:cs="宋体"/>
                <w:bCs/>
                <w:sz w:val="24"/>
                <w:u w:val="single"/>
              </w:rPr>
              <w:t>职工</w:t>
            </w:r>
            <w:r>
              <w:rPr>
                <w:rFonts w:hint="eastAsia" w:cs="宋体"/>
                <w:bCs/>
                <w:sz w:val="24"/>
                <w:u w:val="single"/>
                <w:lang w:val="en-US" w:eastAsia="zh-CN"/>
              </w:rPr>
              <w:t>3</w:t>
            </w:r>
            <w:r>
              <w:rPr>
                <w:rFonts w:hint="eastAsia" w:cs="宋体"/>
                <w:bCs/>
                <w:sz w:val="24"/>
                <w:u w:val="single"/>
                <w:lang w:eastAsia="zh-CN"/>
              </w:rPr>
              <w:t>0人</w:t>
            </w:r>
            <w:r>
              <w:rPr>
                <w:rFonts w:hint="eastAsia" w:cs="宋体"/>
                <w:bCs/>
                <w:sz w:val="24"/>
              </w:rPr>
              <w:t>的餐饮，参照《饮食业油烟排放标准（试行）》GB18483-</w:t>
            </w:r>
            <w:r>
              <w:rPr>
                <w:rFonts w:cs="宋体"/>
                <w:bCs/>
                <w:sz w:val="24"/>
              </w:rPr>
              <w:t>2001划定其规模</w:t>
            </w:r>
            <w:r>
              <w:rPr>
                <w:rFonts w:hint="eastAsia" w:cs="宋体"/>
                <w:bCs/>
                <w:sz w:val="24"/>
              </w:rPr>
              <w:t>，</w:t>
            </w:r>
            <w:r>
              <w:rPr>
                <w:rFonts w:cs="宋体"/>
                <w:bCs/>
                <w:sz w:val="24"/>
              </w:rPr>
              <w:t>设置1个灶头</w:t>
            </w:r>
            <w:r>
              <w:rPr>
                <w:rFonts w:hint="eastAsia" w:cs="宋体"/>
                <w:bCs/>
                <w:sz w:val="24"/>
              </w:rPr>
              <w:t>。根据对居民用油情况的类比调查，目前居民人均食用油用量约为30g</w:t>
            </w:r>
            <w:r>
              <w:rPr>
                <w:rFonts w:cs="宋体"/>
                <w:bCs/>
                <w:sz w:val="24"/>
              </w:rPr>
              <w:t>/人</w:t>
            </w:r>
            <w:r>
              <w:rPr>
                <w:rFonts w:hint="eastAsia" w:cs="宋体"/>
                <w:bCs/>
                <w:sz w:val="24"/>
              </w:rPr>
              <w:t>·</w:t>
            </w:r>
            <w:r>
              <w:rPr>
                <w:rFonts w:cs="宋体"/>
                <w:bCs/>
                <w:sz w:val="24"/>
              </w:rPr>
              <w:t>d</w:t>
            </w:r>
            <w:r>
              <w:rPr>
                <w:rFonts w:hint="eastAsia" w:cs="宋体"/>
                <w:bCs/>
                <w:sz w:val="24"/>
              </w:rPr>
              <w:t>，则项目年耗油量为</w:t>
            </w:r>
            <w:r>
              <w:rPr>
                <w:rFonts w:hint="eastAsia" w:cs="宋体"/>
                <w:bCs/>
                <w:sz w:val="24"/>
                <w:u w:val="single"/>
                <w:lang w:val="en-US" w:eastAsia="zh-CN"/>
              </w:rPr>
              <w:t>328.5</w:t>
            </w:r>
            <w:r>
              <w:rPr>
                <w:rFonts w:hint="eastAsia" w:cs="宋体"/>
                <w:bCs/>
                <w:sz w:val="24"/>
                <w:u w:val="single"/>
              </w:rPr>
              <w:t>kg/a</w:t>
            </w:r>
            <w:r>
              <w:rPr>
                <w:rFonts w:hint="eastAsia" w:cs="宋体"/>
                <w:bCs/>
                <w:sz w:val="24"/>
              </w:rPr>
              <w:t>。油烟产生系数按照4%计，则食堂油烟产生量</w:t>
            </w:r>
            <w:r>
              <w:rPr>
                <w:rFonts w:hint="eastAsia" w:cs="宋体"/>
                <w:bCs/>
                <w:sz w:val="24"/>
                <w:u w:val="single"/>
              </w:rPr>
              <w:t>为</w:t>
            </w:r>
            <w:r>
              <w:rPr>
                <w:rFonts w:hint="eastAsia" w:cs="宋体"/>
                <w:bCs/>
                <w:sz w:val="24"/>
                <w:u w:val="single"/>
                <w:lang w:val="en-US" w:eastAsia="zh-CN"/>
              </w:rPr>
              <w:t>13.14</w:t>
            </w:r>
            <w:r>
              <w:rPr>
                <w:rFonts w:hint="eastAsia" w:cs="宋体"/>
                <w:bCs/>
                <w:sz w:val="24"/>
                <w:u w:val="single"/>
              </w:rPr>
              <w:t>kg</w:t>
            </w:r>
            <w:r>
              <w:rPr>
                <w:rFonts w:cs="宋体"/>
                <w:bCs/>
                <w:sz w:val="24"/>
                <w:u w:val="single"/>
              </w:rPr>
              <w:t>/a</w:t>
            </w:r>
            <w:r>
              <w:rPr>
                <w:rFonts w:hint="eastAsia" w:cs="宋体"/>
                <w:bCs/>
                <w:sz w:val="24"/>
                <w:u w:val="single"/>
              </w:rPr>
              <w:t>，</w:t>
            </w:r>
            <w:r>
              <w:rPr>
                <w:rFonts w:hint="eastAsia" w:cs="宋体"/>
                <w:bCs/>
                <w:sz w:val="24"/>
              </w:rPr>
              <w:t>项目</w:t>
            </w:r>
            <w:r>
              <w:rPr>
                <w:rFonts w:cs="宋体"/>
                <w:bCs/>
                <w:sz w:val="24"/>
              </w:rPr>
              <w:t>灶头基准排风量为</w:t>
            </w:r>
            <w:r>
              <w:rPr>
                <w:rFonts w:hint="eastAsia" w:cs="宋体"/>
                <w:bCs/>
                <w:sz w:val="24"/>
              </w:rPr>
              <w:t>2000m</w:t>
            </w:r>
            <w:r>
              <w:rPr>
                <w:rFonts w:cs="宋体"/>
                <w:bCs/>
                <w:sz w:val="24"/>
                <w:vertAlign w:val="superscript"/>
              </w:rPr>
              <w:t>3</w:t>
            </w:r>
            <w:r>
              <w:rPr>
                <w:rFonts w:cs="宋体"/>
                <w:bCs/>
                <w:sz w:val="24"/>
              </w:rPr>
              <w:t>/h</w:t>
            </w:r>
            <w:r>
              <w:rPr>
                <w:rFonts w:hint="eastAsia" w:cs="宋体"/>
                <w:bCs/>
                <w:sz w:val="24"/>
              </w:rPr>
              <w:t>。油烟经抽油烟机处理，最后引至屋顶排放。抽油烟机净化效率按</w:t>
            </w:r>
            <w:r>
              <w:rPr>
                <w:rFonts w:cs="宋体"/>
                <w:bCs/>
                <w:sz w:val="24"/>
              </w:rPr>
              <w:t>6</w:t>
            </w:r>
            <w:r>
              <w:rPr>
                <w:rFonts w:hint="eastAsia" w:cs="宋体"/>
                <w:bCs/>
                <w:sz w:val="24"/>
              </w:rPr>
              <w:t>0</w:t>
            </w:r>
            <w:r>
              <w:rPr>
                <w:rFonts w:cs="宋体"/>
                <w:bCs/>
                <w:sz w:val="24"/>
              </w:rPr>
              <w:t>%</w:t>
            </w:r>
            <w:r>
              <w:rPr>
                <w:rFonts w:hint="eastAsia" w:cs="宋体"/>
                <w:bCs/>
                <w:sz w:val="24"/>
              </w:rPr>
              <w:t>计算，油烟排放浓度分别为</w:t>
            </w:r>
            <w:r>
              <w:rPr>
                <w:rFonts w:hint="eastAsia" w:cs="宋体"/>
                <w:bCs/>
                <w:sz w:val="24"/>
                <w:u w:val="single"/>
                <w:lang w:val="en-US" w:eastAsia="zh-CN"/>
              </w:rPr>
              <w:t>1.2</w:t>
            </w:r>
            <w:r>
              <w:rPr>
                <w:rFonts w:cs="宋体"/>
                <w:bCs/>
                <w:sz w:val="24"/>
                <w:u w:val="single"/>
              </w:rPr>
              <w:t>mg/m</w:t>
            </w:r>
            <w:r>
              <w:rPr>
                <w:rFonts w:cs="宋体"/>
                <w:bCs/>
                <w:sz w:val="24"/>
                <w:u w:val="single"/>
                <w:vertAlign w:val="superscript"/>
              </w:rPr>
              <w:t>3</w:t>
            </w:r>
            <w:r>
              <w:rPr>
                <w:rFonts w:cs="宋体"/>
                <w:bCs/>
                <w:sz w:val="24"/>
              </w:rPr>
              <w:t>油烟排放符合</w:t>
            </w:r>
            <w:r>
              <w:rPr>
                <w:rFonts w:hint="eastAsia" w:cs="宋体"/>
                <w:bCs/>
                <w:sz w:val="24"/>
              </w:rPr>
              <w:t>《饮食业油烟排放标准（试行）》GB18483-</w:t>
            </w:r>
            <w:r>
              <w:rPr>
                <w:rFonts w:cs="宋体"/>
                <w:bCs/>
                <w:sz w:val="24"/>
              </w:rPr>
              <w:t>2001</w:t>
            </w:r>
            <w:r>
              <w:rPr>
                <w:rFonts w:hint="eastAsia" w:cs="宋体"/>
                <w:bCs/>
                <w:sz w:val="24"/>
              </w:rPr>
              <w:t>要求（2mg</w:t>
            </w:r>
            <w:r>
              <w:rPr>
                <w:rFonts w:cs="宋体"/>
                <w:bCs/>
                <w:sz w:val="24"/>
              </w:rPr>
              <w:t>/m</w:t>
            </w:r>
            <w:r>
              <w:rPr>
                <w:rFonts w:cs="宋体"/>
                <w:bCs/>
                <w:sz w:val="24"/>
                <w:vertAlign w:val="superscript"/>
              </w:rPr>
              <w:t>3</w:t>
            </w:r>
            <w:r>
              <w:rPr>
                <w:rFonts w:hint="eastAsia" w:cs="宋体"/>
                <w:bCs/>
                <w:sz w:val="24"/>
              </w:rPr>
              <w:t>）。</w:t>
            </w:r>
          </w:p>
          <w:p>
            <w:pPr>
              <w:spacing w:line="360" w:lineRule="auto"/>
              <w:ind w:firstLine="480" w:firstLineChars="200"/>
              <w:rPr>
                <w:rFonts w:cs="宋体"/>
                <w:sz w:val="24"/>
              </w:rPr>
            </w:pPr>
            <w:r>
              <w:rPr>
                <w:rFonts w:hint="eastAsia" w:cs="宋体"/>
                <w:sz w:val="24"/>
              </w:rPr>
              <w:t>②备用发电机废气</w:t>
            </w:r>
          </w:p>
          <w:p>
            <w:pPr>
              <w:tabs>
                <w:tab w:val="left" w:pos="0"/>
              </w:tabs>
              <w:spacing w:line="360" w:lineRule="auto"/>
              <w:ind w:firstLine="496" w:firstLineChars="207"/>
              <w:rPr>
                <w:sz w:val="24"/>
              </w:rPr>
            </w:pPr>
            <w:r>
              <w:rPr>
                <w:sz w:val="24"/>
              </w:rPr>
              <w:t>本项目设置了1台5</w:t>
            </w:r>
            <w:r>
              <w:rPr>
                <w:rFonts w:hint="eastAsia"/>
                <w:sz w:val="24"/>
              </w:rPr>
              <w:t>8.5</w:t>
            </w:r>
            <w:r>
              <w:rPr>
                <w:sz w:val="24"/>
              </w:rPr>
              <w:t>KW备用</w:t>
            </w:r>
            <w:r>
              <w:rPr>
                <w:rFonts w:hint="eastAsia"/>
                <w:sz w:val="24"/>
              </w:rPr>
              <w:t>柴油</w:t>
            </w:r>
            <w:r>
              <w:rPr>
                <w:sz w:val="24"/>
              </w:rPr>
              <w:t>发电机，</w:t>
            </w:r>
            <w:r>
              <w:rPr>
                <w:rFonts w:hint="eastAsia"/>
                <w:sz w:val="24"/>
              </w:rPr>
              <w:t>其使用频率较低，废气经发电机自带的净化装置净化后排放，不会对周边环境造成较大影响。</w:t>
            </w:r>
          </w:p>
          <w:p>
            <w:pPr>
              <w:spacing w:line="360" w:lineRule="auto"/>
              <w:ind w:firstLine="480" w:firstLineChars="200"/>
              <w:rPr>
                <w:rFonts w:cs="宋体"/>
                <w:sz w:val="24"/>
              </w:rPr>
            </w:pPr>
            <w:r>
              <w:rPr>
                <w:rFonts w:hint="eastAsia" w:cs="宋体"/>
                <w:sz w:val="24"/>
              </w:rPr>
              <w:t>③一体化污水处理系统恶臭</w:t>
            </w:r>
          </w:p>
          <w:p>
            <w:pPr>
              <w:spacing w:line="360" w:lineRule="auto"/>
              <w:ind w:firstLine="480" w:firstLineChars="200"/>
              <w:rPr>
                <w:rFonts w:cs="宋体"/>
                <w:bCs/>
                <w:sz w:val="24"/>
              </w:rPr>
            </w:pPr>
            <w:r>
              <w:rPr>
                <w:rFonts w:hint="eastAsia" w:cs="宋体"/>
                <w:bCs/>
                <w:sz w:val="24"/>
              </w:rPr>
              <w:t>本项目污水处理系统为一体化设施，处理过程及反应过程封闭化、自动化，设置有废水消毒处理间，医疗废水消毒采用缓释消毒器。（</w:t>
            </w:r>
            <w:r>
              <w:rPr>
                <w:bCs/>
                <w:sz w:val="24"/>
              </w:rPr>
              <w:t>缓释消毒器工作原理</w:t>
            </w:r>
            <w:r>
              <w:rPr>
                <w:rFonts w:hint="eastAsia"/>
                <w:bCs/>
                <w:sz w:val="24"/>
              </w:rPr>
              <w:t>：</w:t>
            </w:r>
            <w:r>
              <w:rPr>
                <w:bCs/>
                <w:sz w:val="24"/>
              </w:rPr>
              <w:t>采用溶解法，自动缓释，压力加氯工艺设计，以含80%以上的CL固体药剂为主要原料，经水与药剂合理混合缓释所产生的消毒液，投入到所需水池(水井)与水充分接触杀菌消毒。</w:t>
            </w:r>
            <w:r>
              <w:rPr>
                <w:rFonts w:hint="eastAsia" w:cs="宋体"/>
                <w:bCs/>
                <w:sz w:val="24"/>
              </w:rPr>
              <w:t>）</w:t>
            </w:r>
            <w:r>
              <w:rPr>
                <w:bCs/>
                <w:sz w:val="24"/>
              </w:rPr>
              <w:t>为了解卫生院</w:t>
            </w:r>
            <w:r>
              <w:rPr>
                <w:rFonts w:hint="eastAsia" w:cs="宋体"/>
                <w:sz w:val="24"/>
              </w:rPr>
              <w:t>一体化污水处理系统恶臭排放</w:t>
            </w:r>
            <w:r>
              <w:rPr>
                <w:bCs/>
                <w:sz w:val="24"/>
              </w:rPr>
              <w:t>现状，</w:t>
            </w:r>
            <w:r>
              <w:rPr>
                <w:sz w:val="24"/>
              </w:rPr>
              <w:t>本环评委托湖南</w:t>
            </w:r>
            <w:r>
              <w:rPr>
                <w:rFonts w:hint="eastAsia"/>
                <w:sz w:val="24"/>
              </w:rPr>
              <w:t>德环</w:t>
            </w:r>
            <w:r>
              <w:rPr>
                <w:sz w:val="24"/>
              </w:rPr>
              <w:t>检测</w:t>
            </w:r>
            <w:r>
              <w:rPr>
                <w:rFonts w:hint="eastAsia"/>
                <w:sz w:val="24"/>
              </w:rPr>
              <w:t>中心</w:t>
            </w:r>
            <w:r>
              <w:rPr>
                <w:sz w:val="24"/>
              </w:rPr>
              <w:t>对</w:t>
            </w:r>
            <w:r>
              <w:rPr>
                <w:rFonts w:hint="eastAsia"/>
                <w:sz w:val="24"/>
              </w:rPr>
              <w:t>本</w:t>
            </w:r>
            <w:r>
              <w:rPr>
                <w:sz w:val="24"/>
              </w:rPr>
              <w:t>卫生院</w:t>
            </w:r>
            <w:r>
              <w:rPr>
                <w:rFonts w:hint="eastAsia" w:cs="宋体"/>
                <w:sz w:val="24"/>
              </w:rPr>
              <w:t>一体化污水处理系统恶臭</w:t>
            </w:r>
            <w:r>
              <w:rPr>
                <w:sz w:val="24"/>
              </w:rPr>
              <w:t>进行了现状监测，监测时间为20</w:t>
            </w:r>
            <w:r>
              <w:rPr>
                <w:rFonts w:hint="eastAsia"/>
                <w:sz w:val="24"/>
              </w:rPr>
              <w:t>21</w:t>
            </w:r>
            <w:r>
              <w:rPr>
                <w:sz w:val="24"/>
              </w:rPr>
              <w:t>年1月</w:t>
            </w:r>
            <w:r>
              <w:rPr>
                <w:rFonts w:hint="eastAsia"/>
                <w:sz w:val="24"/>
              </w:rPr>
              <w:t>22</w:t>
            </w:r>
            <w:r>
              <w:rPr>
                <w:sz w:val="24"/>
              </w:rPr>
              <w:t>日</w:t>
            </w:r>
            <w:r>
              <w:rPr>
                <w:rFonts w:hint="eastAsia"/>
                <w:sz w:val="24"/>
              </w:rPr>
              <w:t>-23日</w:t>
            </w:r>
            <w:r>
              <w:rPr>
                <w:sz w:val="24"/>
              </w:rPr>
              <w:t>，监测因子为：</w:t>
            </w:r>
            <w:r>
              <w:rPr>
                <w:rFonts w:hint="eastAsia"/>
                <w:sz w:val="24"/>
              </w:rPr>
              <w:t>氯气、氨、硫化氢</w:t>
            </w:r>
            <w:r>
              <w:rPr>
                <w:sz w:val="24"/>
              </w:rPr>
              <w:t>，监测结果见表2-</w:t>
            </w:r>
            <w:r>
              <w:rPr>
                <w:rFonts w:hint="eastAsia"/>
                <w:sz w:val="24"/>
              </w:rPr>
              <w:t>1</w:t>
            </w:r>
            <w:r>
              <w:rPr>
                <w:rFonts w:hint="eastAsia"/>
                <w:sz w:val="24"/>
                <w:lang w:val="en-US" w:eastAsia="zh-CN"/>
              </w:rPr>
              <w:t>1</w:t>
            </w:r>
            <w:r>
              <w:rPr>
                <w:sz w:val="24"/>
              </w:rPr>
              <w:t>。</w:t>
            </w:r>
          </w:p>
          <w:p>
            <w:pPr>
              <w:adjustRightInd w:val="0"/>
              <w:snapToGrid w:val="0"/>
              <w:jc w:val="center"/>
              <w:rPr>
                <w:b/>
                <w:szCs w:val="21"/>
              </w:rPr>
            </w:pPr>
            <w:r>
              <w:rPr>
                <w:rFonts w:hint="eastAsia"/>
                <w:b/>
                <w:szCs w:val="21"/>
              </w:rPr>
              <w:t>表2-</w:t>
            </w:r>
            <w:r>
              <w:rPr>
                <w:rFonts w:hint="eastAsia"/>
                <w:b/>
                <w:szCs w:val="21"/>
                <w:lang w:val="en-US" w:eastAsia="zh-CN"/>
              </w:rPr>
              <w:t>11</w:t>
            </w:r>
            <w:r>
              <w:rPr>
                <w:rFonts w:hint="eastAsia"/>
                <w:b/>
                <w:szCs w:val="21"/>
              </w:rPr>
              <w:t>一体化污水处理系统恶臭排放现状单位：mg/m</w:t>
            </w:r>
            <w:r>
              <w:rPr>
                <w:rFonts w:hint="eastAsia"/>
                <w:b/>
                <w:szCs w:val="21"/>
                <w:vertAlign w:val="superscript"/>
              </w:rPr>
              <w:t>3</w:t>
            </w:r>
          </w:p>
          <w:tbl>
            <w:tblPr>
              <w:tblStyle w:val="27"/>
              <w:tblW w:w="7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5"/>
              <w:gridCol w:w="1021"/>
              <w:gridCol w:w="687"/>
              <w:gridCol w:w="687"/>
              <w:gridCol w:w="687"/>
              <w:gridCol w:w="687"/>
              <w:gridCol w:w="687"/>
              <w:gridCol w:w="687"/>
              <w:gridCol w:w="687"/>
              <w:gridCol w:w="688"/>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1906" w:type="dxa"/>
                  <w:gridSpan w:val="2"/>
                  <w:vMerge w:val="restart"/>
                  <w:tcMar>
                    <w:top w:w="15" w:type="dxa"/>
                    <w:left w:w="15" w:type="dxa"/>
                    <w:right w:w="15" w:type="dxa"/>
                  </w:tcMar>
                  <w:vAlign w:val="center"/>
                </w:tcPr>
                <w:p>
                  <w:pPr>
                    <w:widowControl/>
                    <w:snapToGrid w:val="0"/>
                    <w:jc w:val="center"/>
                    <w:textAlignment w:val="top"/>
                    <w:rPr>
                      <w:color w:val="000000"/>
                      <w:szCs w:val="21"/>
                    </w:rPr>
                  </w:pPr>
                  <w:r>
                    <w:rPr>
                      <w:color w:val="000000"/>
                      <w:kern w:val="0"/>
                      <w:szCs w:val="21"/>
                      <w:lang w:bidi="ar"/>
                    </w:rPr>
                    <w:t>项目</w:t>
                  </w:r>
                </w:p>
                <w:p>
                  <w:pPr>
                    <w:widowControl/>
                    <w:snapToGrid w:val="0"/>
                    <w:jc w:val="center"/>
                    <w:textAlignment w:val="top"/>
                    <w:rPr>
                      <w:color w:val="000000"/>
                      <w:szCs w:val="21"/>
                    </w:rPr>
                  </w:pPr>
                  <w:r>
                    <w:rPr>
                      <w:color w:val="000000"/>
                      <w:szCs w:val="21"/>
                    </w:rPr>
                    <w:t>数据</w:t>
                  </w:r>
                </w:p>
                <w:p>
                  <w:pPr>
                    <w:widowControl/>
                    <w:jc w:val="center"/>
                    <w:textAlignment w:val="top"/>
                    <w:rPr>
                      <w:color w:val="000000"/>
                      <w:szCs w:val="21"/>
                    </w:rPr>
                  </w:pPr>
                  <w:r>
                    <w:rPr>
                      <w:color w:val="000000"/>
                      <w:szCs w:val="21"/>
                    </w:rPr>
                    <w:t>时间</w:t>
                  </w:r>
                </w:p>
              </w:tc>
              <w:tc>
                <w:tcPr>
                  <w:tcW w:w="2748" w:type="dxa"/>
                  <w:gridSpan w:val="4"/>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2021年1月2</w:t>
                  </w:r>
                  <w:r>
                    <w:rPr>
                      <w:rFonts w:hint="eastAsia"/>
                      <w:color w:val="000000"/>
                      <w:kern w:val="0"/>
                      <w:szCs w:val="21"/>
                      <w:lang w:bidi="ar"/>
                    </w:rPr>
                    <w:t>2</w:t>
                  </w:r>
                  <w:r>
                    <w:rPr>
                      <w:color w:val="000000"/>
                      <w:kern w:val="0"/>
                      <w:szCs w:val="21"/>
                      <w:lang w:bidi="ar"/>
                    </w:rPr>
                    <w:t>日</w:t>
                  </w:r>
                </w:p>
              </w:tc>
              <w:tc>
                <w:tcPr>
                  <w:tcW w:w="2749" w:type="dxa"/>
                  <w:gridSpan w:val="4"/>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2021年1月2</w:t>
                  </w:r>
                  <w:r>
                    <w:rPr>
                      <w:rFonts w:hint="eastAsia"/>
                      <w:color w:val="000000"/>
                      <w:kern w:val="0"/>
                      <w:szCs w:val="21"/>
                      <w:lang w:bidi="ar"/>
                    </w:rPr>
                    <w:t>3</w:t>
                  </w:r>
                  <w:r>
                    <w:rPr>
                      <w:color w:val="000000"/>
                      <w:kern w:val="0"/>
                      <w:szCs w:val="21"/>
                      <w:lang w:bidi="ar"/>
                    </w:rPr>
                    <w:t>日</w:t>
                  </w:r>
                </w:p>
              </w:tc>
              <w:tc>
                <w:tcPr>
                  <w:tcW w:w="584" w:type="dxa"/>
                  <w:vMerge w:val="restart"/>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1906" w:type="dxa"/>
                  <w:gridSpan w:val="2"/>
                  <w:vMerge w:val="continue"/>
                  <w:tcMar>
                    <w:top w:w="15" w:type="dxa"/>
                    <w:left w:w="15" w:type="dxa"/>
                    <w:right w:w="15" w:type="dxa"/>
                  </w:tcMar>
                  <w:vAlign w:val="center"/>
                </w:tcPr>
                <w:p>
                  <w:pPr>
                    <w:jc w:val="center"/>
                    <w:rPr>
                      <w:color w:val="000000"/>
                      <w:szCs w:val="21"/>
                    </w:rPr>
                  </w:pPr>
                </w:p>
              </w:tc>
              <w:tc>
                <w:tcPr>
                  <w:tcW w:w="687" w:type="dxa"/>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第1次</w:t>
                  </w:r>
                </w:p>
              </w:tc>
              <w:tc>
                <w:tcPr>
                  <w:tcW w:w="687" w:type="dxa"/>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第2次</w:t>
                  </w:r>
                </w:p>
              </w:tc>
              <w:tc>
                <w:tcPr>
                  <w:tcW w:w="687" w:type="dxa"/>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第3次</w:t>
                  </w:r>
                </w:p>
              </w:tc>
              <w:tc>
                <w:tcPr>
                  <w:tcW w:w="687" w:type="dxa"/>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均值或范围值</w:t>
                  </w:r>
                </w:p>
              </w:tc>
              <w:tc>
                <w:tcPr>
                  <w:tcW w:w="687" w:type="dxa"/>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第1次</w:t>
                  </w:r>
                </w:p>
              </w:tc>
              <w:tc>
                <w:tcPr>
                  <w:tcW w:w="687" w:type="dxa"/>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第2次</w:t>
                  </w:r>
                </w:p>
              </w:tc>
              <w:tc>
                <w:tcPr>
                  <w:tcW w:w="687" w:type="dxa"/>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第3次</w:t>
                  </w:r>
                </w:p>
              </w:tc>
              <w:tc>
                <w:tcPr>
                  <w:tcW w:w="688" w:type="dxa"/>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均值或范围值</w:t>
                  </w:r>
                </w:p>
              </w:tc>
              <w:tc>
                <w:tcPr>
                  <w:tcW w:w="584" w:type="dxa"/>
                  <w:vMerge w:val="continue"/>
                  <w:tcMar>
                    <w:top w:w="15" w:type="dxa"/>
                    <w:left w:w="15" w:type="dxa"/>
                    <w:right w:w="15" w:type="dxa"/>
                  </w:tcMar>
                  <w:vAlign w:val="center"/>
                </w:tcPr>
                <w:p>
                  <w:pPr>
                    <w:widowControl/>
                    <w:jc w:val="center"/>
                    <w:textAlignment w:val="center"/>
                    <w:rPr>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885" w:type="dxa"/>
                  <w:vMerge w:val="restart"/>
                  <w:shd w:val="clear" w:color="auto" w:fill="auto"/>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污水处理站上风向北1#</w:t>
                  </w:r>
                </w:p>
              </w:tc>
              <w:tc>
                <w:tcPr>
                  <w:tcW w:w="1021" w:type="dxa"/>
                  <w:shd w:val="clear" w:color="auto" w:fill="auto"/>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氯气</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＜0.03</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＜0.03</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＜0.03</w:t>
                  </w:r>
                </w:p>
              </w:tc>
              <w:tc>
                <w:tcPr>
                  <w:tcW w:w="687" w:type="dxa"/>
                  <w:shd w:val="clear" w:color="auto" w:fill="FFFFFF"/>
                  <w:tcMar>
                    <w:top w:w="15" w:type="dxa"/>
                    <w:left w:w="15" w:type="dxa"/>
                    <w:right w:w="15" w:type="dxa"/>
                  </w:tcMar>
                  <w:vAlign w:val="center"/>
                </w:tcPr>
                <w:p>
                  <w:pPr>
                    <w:pStyle w:val="36"/>
                    <w:bidi w:val="0"/>
                  </w:pPr>
                  <w:r>
                    <w:rPr>
                      <w:rFonts w:hint="eastAsia"/>
                      <w:lang w:val="en-US" w:eastAsia="zh-CN"/>
                    </w:rPr>
                    <w:t>/</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＜0.03</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＜0.03</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＜0.03</w:t>
                  </w:r>
                </w:p>
              </w:tc>
              <w:tc>
                <w:tcPr>
                  <w:tcW w:w="688" w:type="dxa"/>
                  <w:shd w:val="clear" w:color="auto" w:fill="FFFFFF"/>
                  <w:tcMar>
                    <w:top w:w="15" w:type="dxa"/>
                    <w:left w:w="15" w:type="dxa"/>
                    <w:right w:w="15" w:type="dxa"/>
                  </w:tcMar>
                  <w:vAlign w:val="center"/>
                </w:tcPr>
                <w:p>
                  <w:pPr>
                    <w:pStyle w:val="36"/>
                    <w:bidi w:val="0"/>
                  </w:pPr>
                  <w:r>
                    <w:rPr>
                      <w:rFonts w:hint="eastAsia"/>
                      <w:lang w:val="en-US" w:eastAsia="zh-CN"/>
                    </w:rPr>
                    <w:t>/</w:t>
                  </w:r>
                </w:p>
              </w:tc>
              <w:tc>
                <w:tcPr>
                  <w:tcW w:w="584" w:type="dxa"/>
                  <w:shd w:val="clear" w:color="auto" w:fill="FFFFFF"/>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885" w:type="dxa"/>
                  <w:vMerge w:val="continue"/>
                  <w:shd w:val="clear" w:color="auto" w:fill="auto"/>
                  <w:tcMar>
                    <w:top w:w="15" w:type="dxa"/>
                    <w:left w:w="15" w:type="dxa"/>
                    <w:right w:w="15" w:type="dxa"/>
                  </w:tcMar>
                  <w:vAlign w:val="center"/>
                </w:tcPr>
                <w:p>
                  <w:pPr>
                    <w:widowControl/>
                    <w:jc w:val="center"/>
                    <w:textAlignment w:val="center"/>
                    <w:rPr>
                      <w:color w:val="000000"/>
                      <w:kern w:val="0"/>
                      <w:szCs w:val="21"/>
                      <w:lang w:bidi="ar"/>
                    </w:rPr>
                  </w:pPr>
                </w:p>
              </w:tc>
              <w:tc>
                <w:tcPr>
                  <w:tcW w:w="1021" w:type="dxa"/>
                  <w:shd w:val="clear" w:color="auto" w:fill="auto"/>
                  <w:noWrap/>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氨</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0.05</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0.04</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0.05</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0.05</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0.05</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0.04</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0.04</w:t>
                  </w:r>
                </w:p>
              </w:tc>
              <w:tc>
                <w:tcPr>
                  <w:tcW w:w="688" w:type="dxa"/>
                  <w:shd w:val="clear" w:color="auto" w:fill="FFFFFF"/>
                  <w:tcMar>
                    <w:top w:w="15" w:type="dxa"/>
                    <w:left w:w="15" w:type="dxa"/>
                    <w:right w:w="15" w:type="dxa"/>
                  </w:tcMar>
                  <w:vAlign w:val="center"/>
                </w:tcPr>
                <w:p>
                  <w:pPr>
                    <w:pStyle w:val="36"/>
                    <w:bidi w:val="0"/>
                  </w:pPr>
                  <w:r>
                    <w:rPr>
                      <w:rFonts w:hint="eastAsia"/>
                      <w:lang w:val="en-US" w:eastAsia="zh-CN"/>
                    </w:rPr>
                    <w:t>0.04</w:t>
                  </w:r>
                </w:p>
              </w:tc>
              <w:tc>
                <w:tcPr>
                  <w:tcW w:w="584" w:type="dxa"/>
                  <w:shd w:val="clear" w:color="auto" w:fill="FFFFFF"/>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885" w:type="dxa"/>
                  <w:vMerge w:val="continue"/>
                  <w:shd w:val="clear" w:color="auto" w:fill="auto"/>
                  <w:tcMar>
                    <w:top w:w="15" w:type="dxa"/>
                    <w:left w:w="15" w:type="dxa"/>
                    <w:right w:w="15" w:type="dxa"/>
                  </w:tcMar>
                  <w:vAlign w:val="center"/>
                </w:tcPr>
                <w:p>
                  <w:pPr>
                    <w:widowControl/>
                    <w:jc w:val="center"/>
                    <w:textAlignment w:val="center"/>
                    <w:rPr>
                      <w:color w:val="000000"/>
                      <w:kern w:val="0"/>
                      <w:szCs w:val="21"/>
                      <w:lang w:bidi="ar"/>
                    </w:rPr>
                  </w:pPr>
                </w:p>
              </w:tc>
              <w:tc>
                <w:tcPr>
                  <w:tcW w:w="1021" w:type="dxa"/>
                  <w:shd w:val="clear" w:color="auto" w:fill="auto"/>
                  <w:noWrap/>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硫化氢</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＜0.001</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＜0.001</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＜0.001</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＜0.001</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＜0.001</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＜0.001</w:t>
                  </w:r>
                </w:p>
              </w:tc>
              <w:tc>
                <w:tcPr>
                  <w:tcW w:w="688" w:type="dxa"/>
                  <w:shd w:val="clear" w:color="auto" w:fill="FFFFFF"/>
                  <w:tcMar>
                    <w:top w:w="15" w:type="dxa"/>
                    <w:left w:w="15" w:type="dxa"/>
                    <w:right w:w="15" w:type="dxa"/>
                  </w:tcMar>
                  <w:vAlign w:val="center"/>
                </w:tcPr>
                <w:p>
                  <w:pPr>
                    <w:pStyle w:val="36"/>
                    <w:bidi w:val="0"/>
                  </w:pPr>
                  <w:r>
                    <w:rPr>
                      <w:rFonts w:hint="eastAsia"/>
                      <w:lang w:val="en-US" w:eastAsia="zh-CN"/>
                    </w:rPr>
                    <w:t>/</w:t>
                  </w:r>
                </w:p>
              </w:tc>
              <w:tc>
                <w:tcPr>
                  <w:tcW w:w="584" w:type="dxa"/>
                  <w:shd w:val="clear" w:color="auto" w:fill="FFFFFF"/>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jc w:val="center"/>
              </w:trPr>
              <w:tc>
                <w:tcPr>
                  <w:tcW w:w="885" w:type="dxa"/>
                  <w:vMerge w:val="restart"/>
                  <w:shd w:val="clear" w:color="auto" w:fill="auto"/>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污水处理站下风向南2#</w:t>
                  </w:r>
                </w:p>
              </w:tc>
              <w:tc>
                <w:tcPr>
                  <w:tcW w:w="1021" w:type="dxa"/>
                  <w:shd w:val="clear" w:color="auto" w:fill="auto"/>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氯气</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＜0.03</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＜0.03</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＜0.03</w:t>
                  </w:r>
                </w:p>
              </w:tc>
              <w:tc>
                <w:tcPr>
                  <w:tcW w:w="687" w:type="dxa"/>
                  <w:shd w:val="clear" w:color="auto" w:fill="FFFFFF"/>
                  <w:tcMar>
                    <w:top w:w="15" w:type="dxa"/>
                    <w:left w:w="15" w:type="dxa"/>
                    <w:right w:w="15" w:type="dxa"/>
                  </w:tcMar>
                  <w:vAlign w:val="center"/>
                </w:tcPr>
                <w:p>
                  <w:pPr>
                    <w:pStyle w:val="36"/>
                    <w:bidi w:val="0"/>
                  </w:pPr>
                  <w:r>
                    <w:rPr>
                      <w:rFonts w:hint="eastAsia"/>
                      <w:lang w:val="en-US" w:eastAsia="zh-CN"/>
                    </w:rPr>
                    <w:t>/</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＜0.03</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＜0.03</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＜0.03</w:t>
                  </w:r>
                </w:p>
              </w:tc>
              <w:tc>
                <w:tcPr>
                  <w:tcW w:w="688" w:type="dxa"/>
                  <w:shd w:val="clear" w:color="auto" w:fill="FFFFFF"/>
                  <w:tcMar>
                    <w:top w:w="15" w:type="dxa"/>
                    <w:left w:w="15" w:type="dxa"/>
                    <w:right w:w="15" w:type="dxa"/>
                  </w:tcMar>
                  <w:vAlign w:val="center"/>
                </w:tcPr>
                <w:p>
                  <w:pPr>
                    <w:pStyle w:val="36"/>
                    <w:bidi w:val="0"/>
                  </w:pPr>
                  <w:r>
                    <w:rPr>
                      <w:rFonts w:hint="eastAsia"/>
                      <w:lang w:val="en-US" w:eastAsia="zh-CN"/>
                    </w:rPr>
                    <w:t>/</w:t>
                  </w:r>
                </w:p>
              </w:tc>
              <w:tc>
                <w:tcPr>
                  <w:tcW w:w="584" w:type="dxa"/>
                  <w:shd w:val="clear" w:color="auto" w:fill="FFFFFF"/>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85" w:type="dxa"/>
                  <w:vMerge w:val="continue"/>
                  <w:shd w:val="clear" w:color="auto" w:fill="auto"/>
                  <w:tcMar>
                    <w:top w:w="15" w:type="dxa"/>
                    <w:left w:w="15" w:type="dxa"/>
                    <w:right w:w="15" w:type="dxa"/>
                  </w:tcMar>
                  <w:vAlign w:val="center"/>
                </w:tcPr>
                <w:p>
                  <w:pPr>
                    <w:widowControl/>
                    <w:jc w:val="center"/>
                    <w:textAlignment w:val="center"/>
                    <w:rPr>
                      <w:color w:val="000000"/>
                      <w:kern w:val="0"/>
                      <w:szCs w:val="21"/>
                      <w:lang w:bidi="ar"/>
                    </w:rPr>
                  </w:pPr>
                </w:p>
              </w:tc>
              <w:tc>
                <w:tcPr>
                  <w:tcW w:w="1021" w:type="dxa"/>
                  <w:shd w:val="clear" w:color="auto" w:fill="auto"/>
                  <w:noWrap/>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氨</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0.06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0.06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0.07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0.06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0.06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0.07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0.06 </w:t>
                  </w:r>
                </w:p>
              </w:tc>
              <w:tc>
                <w:tcPr>
                  <w:tcW w:w="688" w:type="dxa"/>
                  <w:shd w:val="clear" w:color="auto" w:fill="FFFFFF"/>
                  <w:tcMar>
                    <w:top w:w="15" w:type="dxa"/>
                    <w:left w:w="15" w:type="dxa"/>
                    <w:right w:w="15" w:type="dxa"/>
                  </w:tcMar>
                  <w:vAlign w:val="center"/>
                </w:tcPr>
                <w:p>
                  <w:pPr>
                    <w:pStyle w:val="36"/>
                    <w:bidi w:val="0"/>
                  </w:pPr>
                  <w:r>
                    <w:rPr>
                      <w:rFonts w:hint="eastAsia"/>
                      <w:lang w:val="en-US" w:eastAsia="zh-CN"/>
                    </w:rPr>
                    <w:t xml:space="preserve">0.06 </w:t>
                  </w:r>
                </w:p>
              </w:tc>
              <w:tc>
                <w:tcPr>
                  <w:tcW w:w="584" w:type="dxa"/>
                  <w:shd w:val="clear" w:color="auto" w:fill="FFFFFF"/>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85" w:type="dxa"/>
                  <w:vMerge w:val="continue"/>
                  <w:shd w:val="clear" w:color="auto" w:fill="auto"/>
                  <w:tcMar>
                    <w:top w:w="15" w:type="dxa"/>
                    <w:left w:w="15" w:type="dxa"/>
                    <w:right w:w="15" w:type="dxa"/>
                  </w:tcMar>
                  <w:vAlign w:val="center"/>
                </w:tcPr>
                <w:p>
                  <w:pPr>
                    <w:widowControl/>
                    <w:jc w:val="center"/>
                    <w:textAlignment w:val="center"/>
                    <w:rPr>
                      <w:color w:val="000000"/>
                      <w:kern w:val="0"/>
                      <w:szCs w:val="21"/>
                      <w:lang w:bidi="ar"/>
                    </w:rPr>
                  </w:pPr>
                </w:p>
              </w:tc>
              <w:tc>
                <w:tcPr>
                  <w:tcW w:w="1021" w:type="dxa"/>
                  <w:shd w:val="clear" w:color="auto" w:fill="auto"/>
                  <w:noWrap/>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硫化氢</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＜0.001</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＜0.001</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＜0.001</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＜0.001</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＜0.001</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＜0.001</w:t>
                  </w:r>
                </w:p>
              </w:tc>
              <w:tc>
                <w:tcPr>
                  <w:tcW w:w="688" w:type="dxa"/>
                  <w:shd w:val="clear" w:color="auto" w:fill="FFFFFF"/>
                  <w:tcMar>
                    <w:top w:w="15" w:type="dxa"/>
                    <w:left w:w="15" w:type="dxa"/>
                    <w:right w:w="15" w:type="dxa"/>
                  </w:tcMar>
                  <w:vAlign w:val="center"/>
                </w:tcPr>
                <w:p>
                  <w:pPr>
                    <w:pStyle w:val="36"/>
                    <w:bidi w:val="0"/>
                  </w:pPr>
                  <w:r>
                    <w:rPr>
                      <w:rFonts w:hint="eastAsia"/>
                      <w:lang w:val="en-US" w:eastAsia="zh-CN"/>
                    </w:rPr>
                    <w:t>/</w:t>
                  </w:r>
                </w:p>
              </w:tc>
              <w:tc>
                <w:tcPr>
                  <w:tcW w:w="584" w:type="dxa"/>
                  <w:shd w:val="clear" w:color="auto" w:fill="FFFFFF"/>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906" w:type="dxa"/>
                  <w:gridSpan w:val="2"/>
                  <w:noWrap/>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备注</w:t>
                  </w:r>
                </w:p>
              </w:tc>
              <w:tc>
                <w:tcPr>
                  <w:tcW w:w="6081" w:type="dxa"/>
                  <w:gridSpan w:val="9"/>
                  <w:tcMar>
                    <w:top w:w="15" w:type="dxa"/>
                    <w:left w:w="15" w:type="dxa"/>
                    <w:right w:w="15" w:type="dxa"/>
                  </w:tcMar>
                  <w:vAlign w:val="center"/>
                </w:tcPr>
                <w:p>
                  <w:pPr>
                    <w:widowControl/>
                    <w:jc w:val="left"/>
                    <w:textAlignment w:val="center"/>
                    <w:rPr>
                      <w:rFonts w:hint="eastAsia"/>
                      <w:color w:val="000000"/>
                      <w:kern w:val="0"/>
                      <w:szCs w:val="21"/>
                      <w:lang w:bidi="ar"/>
                    </w:rPr>
                  </w:pPr>
                  <w:r>
                    <w:rPr>
                      <w:rFonts w:hint="eastAsia"/>
                      <w:color w:val="000000"/>
                      <w:kern w:val="0"/>
                      <w:szCs w:val="21"/>
                      <w:lang w:bidi="ar"/>
                    </w:rPr>
                    <w:t>1、“＜”表示未检出，即检测结果低于方法检出限；</w:t>
                  </w:r>
                </w:p>
                <w:p>
                  <w:pPr>
                    <w:widowControl/>
                    <w:jc w:val="left"/>
                    <w:textAlignment w:val="center"/>
                    <w:rPr>
                      <w:rFonts w:hint="eastAsia"/>
                      <w:color w:val="000000"/>
                      <w:kern w:val="0"/>
                      <w:szCs w:val="21"/>
                      <w:lang w:bidi="ar"/>
                    </w:rPr>
                  </w:pPr>
                  <w:r>
                    <w:rPr>
                      <w:rFonts w:hint="eastAsia"/>
                      <w:color w:val="000000"/>
                      <w:kern w:val="0"/>
                      <w:szCs w:val="21"/>
                      <w:lang w:bidi="ar"/>
                    </w:rPr>
                    <w:t>2、1月22日：环境温度（8.5-9.2℃）、环境气压(1015-1016hpa)、风向（北）、风速（2.0m/s）；</w:t>
                  </w:r>
                </w:p>
                <w:p>
                  <w:pPr>
                    <w:widowControl/>
                    <w:jc w:val="left"/>
                    <w:textAlignment w:val="center"/>
                    <w:rPr>
                      <w:color w:val="000000"/>
                      <w:kern w:val="0"/>
                      <w:szCs w:val="21"/>
                      <w:lang w:bidi="ar"/>
                    </w:rPr>
                  </w:pPr>
                  <w:r>
                    <w:rPr>
                      <w:rFonts w:hint="eastAsia"/>
                      <w:color w:val="000000"/>
                      <w:kern w:val="0"/>
                      <w:szCs w:val="21"/>
                      <w:lang w:bidi="ar"/>
                    </w:rPr>
                    <w:t>1月23日：环境温度（8.8-9.5℃）、环境气压(1015-1016hpa)、风向（北）、风速（2.0m/s）。</w:t>
                  </w:r>
                </w:p>
              </w:tc>
            </w:tr>
          </w:tbl>
          <w:p>
            <w:pPr>
              <w:spacing w:line="360" w:lineRule="auto"/>
              <w:ind w:firstLine="480" w:firstLineChars="200"/>
              <w:rPr>
                <w:rFonts w:cs="宋体"/>
                <w:bCs/>
                <w:sz w:val="24"/>
              </w:rPr>
            </w:pPr>
            <w:r>
              <w:rPr>
                <w:rFonts w:hint="eastAsia" w:cs="宋体"/>
                <w:bCs/>
                <w:sz w:val="24"/>
              </w:rPr>
              <w:t>由上表可知，本项目一体化污水处理系统恶臭满足《医疗机构水污染物排放标准》（GB18466-2005）表3污水处理站周边大气污染物最高允许浓度。</w:t>
            </w:r>
          </w:p>
          <w:p>
            <w:pPr>
              <w:spacing w:line="360" w:lineRule="auto"/>
              <w:ind w:firstLine="480" w:firstLineChars="200"/>
              <w:rPr>
                <w:rFonts w:hAnsi="宋体"/>
                <w:sz w:val="24"/>
              </w:rPr>
            </w:pPr>
            <w:r>
              <w:rPr>
                <w:rFonts w:hint="eastAsia" w:hAnsi="宋体"/>
                <w:sz w:val="24"/>
              </w:rPr>
              <w:t>2、废水</w:t>
            </w:r>
          </w:p>
          <w:p>
            <w:pPr>
              <w:spacing w:line="360" w:lineRule="auto"/>
              <w:ind w:firstLine="480" w:firstLineChars="200"/>
              <w:rPr>
                <w:rFonts w:cs="宋体"/>
                <w:bCs/>
                <w:sz w:val="24"/>
              </w:rPr>
            </w:pPr>
            <w:r>
              <w:rPr>
                <w:rFonts w:hint="eastAsia" w:cs="宋体"/>
                <w:bCs/>
                <w:sz w:val="24"/>
              </w:rPr>
              <w:t>本项目设放射科，使用DR摄像系统</w:t>
            </w:r>
            <w:r>
              <w:rPr>
                <w:rFonts w:hint="eastAsia" w:cs="宋体"/>
                <w:bCs/>
                <w:sz w:val="24"/>
                <w:lang w:eastAsia="zh-CN"/>
              </w:rPr>
              <w:t>，此部分内容另行委托第三方单位做环评</w:t>
            </w:r>
            <w:r>
              <w:rPr>
                <w:rFonts w:hint="eastAsia" w:cs="宋体"/>
                <w:bCs/>
                <w:sz w:val="24"/>
              </w:rPr>
              <w:t>；检验科使用生化剂，未使用酸碱类腐蚀性或含重金属、氰化物等有毒有害物质。故项目产生的医疗废水均为一般医疗废水，无特殊医疗废水。</w:t>
            </w:r>
          </w:p>
          <w:p>
            <w:pPr>
              <w:spacing w:line="360" w:lineRule="auto"/>
              <w:ind w:firstLine="480" w:firstLineChars="200"/>
              <w:rPr>
                <w:rFonts w:cs="宋体"/>
                <w:bCs/>
                <w:sz w:val="24"/>
              </w:rPr>
            </w:pPr>
            <w:r>
              <w:rPr>
                <w:rFonts w:hint="eastAsia" w:cs="宋体"/>
                <w:bCs/>
                <w:sz w:val="24"/>
              </w:rPr>
              <w:t>现有工程</w:t>
            </w:r>
            <w:r>
              <w:rPr>
                <w:rFonts w:cs="宋体"/>
                <w:bCs/>
                <w:sz w:val="24"/>
              </w:rPr>
              <w:t>废水主要为职工办公生活废水</w:t>
            </w:r>
            <w:r>
              <w:rPr>
                <w:rFonts w:hint="eastAsia" w:cs="宋体"/>
                <w:bCs/>
                <w:sz w:val="24"/>
              </w:rPr>
              <w:t>、</w:t>
            </w:r>
            <w:r>
              <w:rPr>
                <w:rFonts w:cs="宋体"/>
                <w:bCs/>
                <w:sz w:val="24"/>
              </w:rPr>
              <w:t>医疗废水</w:t>
            </w:r>
            <w:r>
              <w:rPr>
                <w:rFonts w:hint="eastAsia" w:cs="宋体"/>
                <w:bCs/>
                <w:sz w:val="24"/>
              </w:rPr>
              <w:t>等。具体情况如下表表2-10所示。</w:t>
            </w:r>
          </w:p>
          <w:p>
            <w:pPr>
              <w:pStyle w:val="34"/>
              <w:spacing w:before="120"/>
              <w:ind w:firstLine="422"/>
              <w:rPr>
                <w:sz w:val="21"/>
                <w:szCs w:val="16"/>
              </w:rPr>
            </w:pPr>
            <w:r>
              <w:rPr>
                <w:rFonts w:hint="eastAsia"/>
                <w:sz w:val="21"/>
                <w:szCs w:val="16"/>
              </w:rPr>
              <w:t>表2-10现有项目项目用排水量汇总一览表</w:t>
            </w:r>
          </w:p>
          <w:tbl>
            <w:tblPr>
              <w:tblStyle w:val="27"/>
              <w:tblW w:w="8056" w:type="dxa"/>
              <w:tblInd w:w="0" w:type="dxa"/>
              <w:tblLayout w:type="fixed"/>
              <w:tblCellMar>
                <w:top w:w="0" w:type="dxa"/>
                <w:left w:w="108" w:type="dxa"/>
                <w:bottom w:w="0" w:type="dxa"/>
                <w:right w:w="108" w:type="dxa"/>
              </w:tblCellMar>
            </w:tblPr>
            <w:tblGrid>
              <w:gridCol w:w="463"/>
              <w:gridCol w:w="1139"/>
              <w:gridCol w:w="731"/>
              <w:gridCol w:w="643"/>
              <w:gridCol w:w="744"/>
              <w:gridCol w:w="744"/>
              <w:gridCol w:w="744"/>
              <w:gridCol w:w="744"/>
              <w:gridCol w:w="918"/>
              <w:gridCol w:w="1186"/>
            </w:tblGrid>
            <w:tr>
              <w:tblPrEx>
                <w:tblCellMar>
                  <w:top w:w="0" w:type="dxa"/>
                  <w:left w:w="108" w:type="dxa"/>
                  <w:bottom w:w="0" w:type="dxa"/>
                  <w:right w:w="108"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用水项目</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用水单耗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规模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日用水量（m</w:t>
                  </w:r>
                  <w:r>
                    <w:rPr>
                      <w:color w:val="000000"/>
                      <w:kern w:val="0"/>
                      <w:szCs w:val="21"/>
                      <w:vertAlign w:val="superscript"/>
                      <w:lang w:bidi="ar"/>
                    </w:rPr>
                    <w:t>3</w:t>
                  </w:r>
                  <w:r>
                    <w:rPr>
                      <w:color w:val="000000"/>
                      <w:kern w:val="0"/>
                      <w:szCs w:val="21"/>
                      <w:lang w:bidi="ar"/>
                    </w:rPr>
                    <w:t>/d）</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年用水量（m</w:t>
                  </w:r>
                  <w:r>
                    <w:rPr>
                      <w:color w:val="000000"/>
                      <w:kern w:val="0"/>
                      <w:szCs w:val="21"/>
                      <w:vertAlign w:val="superscript"/>
                      <w:lang w:bidi="ar"/>
                    </w:rPr>
                    <w:t>3</w:t>
                  </w:r>
                  <w:r>
                    <w:rPr>
                      <w:color w:val="000000"/>
                      <w:kern w:val="0"/>
                      <w:szCs w:val="21"/>
                      <w:lang w:bidi="ar"/>
                    </w:rPr>
                    <w:t>/a）</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污水产生系数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日排水量（m</w:t>
                  </w:r>
                  <w:r>
                    <w:rPr>
                      <w:color w:val="000000"/>
                      <w:kern w:val="0"/>
                      <w:szCs w:val="21"/>
                      <w:vertAlign w:val="superscript"/>
                      <w:lang w:bidi="ar"/>
                    </w:rPr>
                    <w:t>3</w:t>
                  </w:r>
                  <w:r>
                    <w:rPr>
                      <w:color w:val="000000"/>
                      <w:kern w:val="0"/>
                      <w:szCs w:val="21"/>
                      <w:lang w:bidi="ar"/>
                    </w:rPr>
                    <w:t>/d）</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年排水量（m</w:t>
                  </w:r>
                  <w:r>
                    <w:rPr>
                      <w:color w:val="000000"/>
                      <w:kern w:val="0"/>
                      <w:szCs w:val="21"/>
                      <w:vertAlign w:val="superscript"/>
                      <w:lang w:bidi="ar"/>
                    </w:rPr>
                    <w:t>3</w:t>
                  </w:r>
                  <w:r>
                    <w:rPr>
                      <w:color w:val="000000"/>
                      <w:kern w:val="0"/>
                      <w:szCs w:val="21"/>
                      <w:lang w:bidi="ar"/>
                    </w:rPr>
                    <w:t>/a）</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备注</w:t>
                  </w:r>
                </w:p>
              </w:tc>
            </w:tr>
            <w:tr>
              <w:tblPrEx>
                <w:tblCellMar>
                  <w:top w:w="0" w:type="dxa"/>
                  <w:left w:w="108" w:type="dxa"/>
                  <w:bottom w:w="0" w:type="dxa"/>
                  <w:right w:w="108" w:type="dxa"/>
                </w:tblCellMar>
              </w:tblPrEx>
              <w:trPr>
                <w:trHeight w:val="765"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医务人员办公生活污水</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38</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30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1.14</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416.1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0.912</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332.88</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单耗单位L/人·天</w:t>
                  </w:r>
                </w:p>
              </w:tc>
            </w:tr>
            <w:tr>
              <w:tblPrEx>
                <w:tblCellMar>
                  <w:top w:w="0" w:type="dxa"/>
                  <w:left w:w="108" w:type="dxa"/>
                  <w:bottom w:w="0" w:type="dxa"/>
                  <w:right w:w="108" w:type="dxa"/>
                </w:tblCellMar>
              </w:tblPrEx>
              <w:trPr>
                <w:trHeight w:val="525"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门诊医疗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15</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30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0.45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164.25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0.36</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131.4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单耗单位</w:t>
                  </w:r>
                  <w:r>
                    <w:rPr>
                      <w:rFonts w:hint="default"/>
                      <w:u w:val="single"/>
                      <w:lang w:val="en-US" w:eastAsia="zh-CN"/>
                    </w:rPr>
                    <w:t>L/</w:t>
                  </w:r>
                  <w:r>
                    <w:rPr>
                      <w:rFonts w:hint="eastAsia"/>
                      <w:u w:val="single"/>
                      <w:lang w:val="en-US" w:eastAsia="zh-CN"/>
                    </w:rPr>
                    <w:t>人</w:t>
                  </w:r>
                  <w:r>
                    <w:rPr>
                      <w:rFonts w:hint="default"/>
                      <w:u w:val="single"/>
                      <w:lang w:val="en-US" w:eastAsia="zh-CN"/>
                    </w:rPr>
                    <w:t>•</w:t>
                  </w:r>
                  <w:r>
                    <w:rPr>
                      <w:rFonts w:hint="eastAsia"/>
                      <w:u w:val="single"/>
                      <w:lang w:val="en-US" w:eastAsia="zh-CN"/>
                    </w:rPr>
                    <w:t>次</w:t>
                  </w:r>
                </w:p>
              </w:tc>
            </w:tr>
            <w:tr>
              <w:tblPrEx>
                <w:tblCellMar>
                  <w:top w:w="0" w:type="dxa"/>
                  <w:left w:w="108" w:type="dxa"/>
                  <w:bottom w:w="0" w:type="dxa"/>
                  <w:right w:w="108" w:type="dxa"/>
                </w:tblCellMar>
              </w:tblPrEx>
              <w:trPr>
                <w:trHeight w:val="525"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住院病房</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375</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50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18.75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6843.75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15</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5475</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单耗单位</w:t>
                  </w:r>
                  <w:r>
                    <w:rPr>
                      <w:rFonts w:hint="default"/>
                      <w:u w:val="single"/>
                      <w:lang w:val="en-US" w:eastAsia="zh-CN"/>
                    </w:rPr>
                    <w:t>L/</w:t>
                  </w:r>
                  <w:r>
                    <w:rPr>
                      <w:rFonts w:hint="eastAsia"/>
                      <w:u w:val="single"/>
                      <w:lang w:val="en-US" w:eastAsia="zh-CN"/>
                    </w:rPr>
                    <w:t>床</w:t>
                  </w:r>
                  <w:r>
                    <w:rPr>
                      <w:rFonts w:hint="default"/>
                      <w:u w:val="single"/>
                      <w:lang w:val="en-US" w:eastAsia="zh-CN"/>
                    </w:rPr>
                    <w:t>·d</w:t>
                  </w:r>
                </w:p>
              </w:tc>
            </w:tr>
            <w:tr>
              <w:tblPrEx>
                <w:tblCellMar>
                  <w:top w:w="0" w:type="dxa"/>
                  <w:left w:w="108" w:type="dxa"/>
                  <w:bottom w:w="0" w:type="dxa"/>
                  <w:right w:w="108" w:type="dxa"/>
                </w:tblCellMar>
              </w:tblPrEx>
              <w:trPr>
                <w:trHeight w:val="525"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食堂废水</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25</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30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0.75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273.75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0.6</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219</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单耗单位</w:t>
                  </w:r>
                  <w:r>
                    <w:rPr>
                      <w:rFonts w:hint="default"/>
                      <w:u w:val="single"/>
                      <w:lang w:val="en-US" w:eastAsia="zh-CN"/>
                    </w:rPr>
                    <w:t>L/</w:t>
                  </w:r>
                  <w:r>
                    <w:rPr>
                      <w:rFonts w:hint="eastAsia"/>
                      <w:u w:val="single"/>
                      <w:lang w:val="en-US" w:eastAsia="zh-CN"/>
                    </w:rPr>
                    <w:t>人</w:t>
                  </w:r>
                  <w:r>
                    <w:rPr>
                      <w:rFonts w:hint="default"/>
                      <w:u w:val="single"/>
                      <w:lang w:val="en-US" w:eastAsia="zh-CN"/>
                    </w:rPr>
                    <w:t>·d</w:t>
                  </w:r>
                </w:p>
              </w:tc>
            </w:tr>
            <w:tr>
              <w:tblPrEx>
                <w:tblCellMar>
                  <w:top w:w="0" w:type="dxa"/>
                  <w:left w:w="108" w:type="dxa"/>
                  <w:bottom w:w="0" w:type="dxa"/>
                  <w:right w:w="108"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pPr>
                  <w: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洗衣房废水</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rFonts w:hint="eastAsia"/>
                      <w:u w:val="single"/>
                      <w:lang w:eastAsia="zh-CN"/>
                    </w:rPr>
                  </w:pPr>
                  <w:r>
                    <w:rPr>
                      <w:rFonts w:hint="default"/>
                      <w:u w:val="single"/>
                      <w:lang w:val="en-US" w:eastAsia="zh-CN"/>
                    </w:rPr>
                    <w:t>73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0.16</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58.4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本项目病人被服外委给第三方洗涤</w:t>
                  </w:r>
                </w:p>
              </w:tc>
            </w:tr>
            <w:tr>
              <w:tblPrEx>
                <w:tblCellMar>
                  <w:top w:w="0" w:type="dxa"/>
                  <w:left w:w="108" w:type="dxa"/>
                  <w:bottom w:w="0" w:type="dxa"/>
                  <w:right w:w="108" w:type="dxa"/>
                </w:tblCellMar>
              </w:tblPrEx>
              <w:trPr>
                <w:trHeight w:val="5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pPr>
                  <w: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绿化</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60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500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30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90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单耗单位L/m</w:t>
                  </w:r>
                  <w:r>
                    <w:rPr>
                      <w:rFonts w:hint="eastAsia"/>
                      <w:u w:val="single"/>
                      <w:vertAlign w:val="superscript"/>
                      <w:lang w:val="en-US" w:eastAsia="zh-CN"/>
                    </w:rPr>
                    <w:t>2</w:t>
                  </w:r>
                  <w:r>
                    <w:rPr>
                      <w:rFonts w:hint="eastAsia"/>
                      <w:u w:val="single"/>
                      <w:lang w:val="en-US" w:eastAsia="zh-CN"/>
                    </w:rPr>
                    <w:t>·月</w:t>
                  </w:r>
                </w:p>
              </w:tc>
            </w:tr>
            <w:tr>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pPr>
                  <w:r>
                    <w:t>7</w:t>
                  </w:r>
                </w:p>
              </w:tc>
              <w:tc>
                <w:tcPr>
                  <w:tcW w:w="25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合计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51.29</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7860.85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17.032</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6216.68</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p>
              </w:tc>
            </w:tr>
          </w:tbl>
          <w:p>
            <w:pPr>
              <w:spacing w:line="360" w:lineRule="auto"/>
              <w:ind w:firstLine="480" w:firstLineChars="200"/>
              <w:rPr>
                <w:rFonts w:cs="宋体"/>
                <w:bCs/>
                <w:sz w:val="24"/>
              </w:rPr>
            </w:pPr>
            <w:r>
              <w:rPr>
                <w:rFonts w:hint="eastAsia" w:cs="宋体"/>
                <w:bCs/>
                <w:sz w:val="24"/>
              </w:rPr>
              <w:t>根据表2-10，现有工程污水排放量为</w:t>
            </w:r>
            <w:r>
              <w:rPr>
                <w:rFonts w:hint="eastAsia" w:cs="宋体"/>
                <w:bCs/>
                <w:sz w:val="24"/>
                <w:lang w:val="en-US" w:eastAsia="zh-CN"/>
              </w:rPr>
              <w:t>17.03</w:t>
            </w:r>
            <w:r>
              <w:rPr>
                <w:rFonts w:hint="eastAsia" w:cs="宋体"/>
                <w:bCs/>
                <w:sz w:val="24"/>
              </w:rPr>
              <w:t>m</w:t>
            </w:r>
            <w:r>
              <w:rPr>
                <w:rFonts w:hint="eastAsia" w:cs="宋体"/>
                <w:bCs/>
                <w:sz w:val="24"/>
                <w:vertAlign w:val="superscript"/>
              </w:rPr>
              <w:t>3</w:t>
            </w:r>
            <w:r>
              <w:rPr>
                <w:rFonts w:hint="eastAsia" w:cs="宋体"/>
                <w:bCs/>
                <w:sz w:val="24"/>
              </w:rPr>
              <w:t>/d，</w:t>
            </w:r>
            <w:r>
              <w:rPr>
                <w:rFonts w:hint="eastAsia" w:cs="宋体"/>
                <w:bCs/>
                <w:sz w:val="24"/>
                <w:lang w:eastAsia="zh-CN"/>
              </w:rPr>
              <w:t>6216.68</w:t>
            </w:r>
            <w:r>
              <w:rPr>
                <w:rFonts w:hint="eastAsia" w:cs="宋体"/>
                <w:bCs/>
                <w:sz w:val="24"/>
              </w:rPr>
              <w:t>m</w:t>
            </w:r>
            <w:r>
              <w:rPr>
                <w:rFonts w:hint="eastAsia" w:cs="宋体"/>
                <w:bCs/>
                <w:sz w:val="24"/>
                <w:vertAlign w:val="superscript"/>
              </w:rPr>
              <w:t>3</w:t>
            </w:r>
            <w:r>
              <w:rPr>
                <w:rFonts w:hint="eastAsia" w:cs="宋体"/>
                <w:bCs/>
                <w:sz w:val="24"/>
              </w:rPr>
              <w:t>/a。废水经处理规模为</w:t>
            </w:r>
            <w:r>
              <w:rPr>
                <w:rFonts w:hint="eastAsia" w:cs="宋体"/>
                <w:bCs/>
                <w:sz w:val="24"/>
                <w:lang w:eastAsia="zh-CN"/>
              </w:rPr>
              <w:t>20.71m</w:t>
            </w:r>
            <w:r>
              <w:rPr>
                <w:rFonts w:hint="eastAsia" w:cs="宋体"/>
                <w:bCs/>
                <w:sz w:val="24"/>
                <w:vertAlign w:val="superscript"/>
              </w:rPr>
              <w:t>3</w:t>
            </w:r>
            <w:r>
              <w:rPr>
                <w:rFonts w:hint="eastAsia" w:cs="宋体"/>
                <w:bCs/>
                <w:sz w:val="24"/>
              </w:rPr>
              <w:t>/d的一体化污水处理设备处理后排入</w:t>
            </w:r>
            <w:r>
              <w:rPr>
                <w:rFonts w:hint="eastAsia" w:cs="宋体"/>
                <w:bCs/>
                <w:sz w:val="24"/>
                <w:lang w:eastAsia="zh-CN"/>
              </w:rPr>
              <w:t>三阳港镇</w:t>
            </w:r>
            <w:r>
              <w:rPr>
                <w:rFonts w:hint="eastAsia" w:cs="宋体"/>
                <w:bCs/>
                <w:sz w:val="24"/>
              </w:rPr>
              <w:t>污水处理厂。一体化污水处理设备处理工艺为：</w:t>
            </w:r>
            <w:r>
              <w:rPr>
                <w:rFonts w:hint="eastAsia" w:ascii="宋体" w:hAnsi="宋体" w:cs="宋体"/>
                <w:bCs/>
                <w:sz w:val="24"/>
              </w:rPr>
              <w:t>机械格栅→调节池→水解池→氧化池→沉淀池→消毒池</w:t>
            </w:r>
            <w:r>
              <w:rPr>
                <w:rFonts w:hint="eastAsia" w:ascii="宋体" w:hAnsi="宋体" w:cs="宋体"/>
                <w:bCs/>
                <w:sz w:val="24"/>
                <w:lang w:eastAsia="zh-CN"/>
              </w:rPr>
              <w:t>（</w:t>
            </w:r>
            <w:r>
              <w:rPr>
                <w:rFonts w:hint="eastAsia" w:ascii="宋体" w:hAnsi="宋体" w:cs="宋体"/>
                <w:bCs/>
                <w:sz w:val="24"/>
                <w:u w:val="single"/>
                <w:lang w:eastAsia="zh-CN"/>
              </w:rPr>
              <w:t>二氧化氯消毒</w:t>
            </w:r>
            <w:r>
              <w:rPr>
                <w:rFonts w:hint="eastAsia" w:ascii="宋体" w:hAnsi="宋体" w:cs="宋体"/>
                <w:bCs/>
                <w:sz w:val="24"/>
                <w:lang w:eastAsia="zh-CN"/>
              </w:rPr>
              <w:t>）</w:t>
            </w:r>
            <w:r>
              <w:rPr>
                <w:rFonts w:hint="eastAsia" w:ascii="宋体" w:hAnsi="宋体" w:cs="宋体"/>
                <w:bCs/>
                <w:sz w:val="24"/>
              </w:rPr>
              <w:t>→达标排放。</w:t>
            </w:r>
          </w:p>
          <w:p>
            <w:pPr>
              <w:spacing w:line="360" w:lineRule="auto"/>
              <w:ind w:firstLine="480" w:firstLineChars="200"/>
              <w:rPr>
                <w:sz w:val="24"/>
              </w:rPr>
            </w:pPr>
            <w:r>
              <w:rPr>
                <w:bCs/>
                <w:sz w:val="24"/>
              </w:rPr>
              <w:t>为了解卫生院污水水质现状，</w:t>
            </w:r>
            <w:r>
              <w:rPr>
                <w:sz w:val="24"/>
              </w:rPr>
              <w:t>本环评委托湖南</w:t>
            </w:r>
            <w:r>
              <w:rPr>
                <w:rFonts w:hint="eastAsia"/>
                <w:sz w:val="24"/>
              </w:rPr>
              <w:t>德环</w:t>
            </w:r>
            <w:r>
              <w:rPr>
                <w:sz w:val="24"/>
              </w:rPr>
              <w:t>检测</w:t>
            </w:r>
            <w:r>
              <w:rPr>
                <w:rFonts w:hint="eastAsia"/>
                <w:sz w:val="24"/>
              </w:rPr>
              <w:t>中心</w:t>
            </w:r>
            <w:r>
              <w:rPr>
                <w:sz w:val="24"/>
              </w:rPr>
              <w:t>对</w:t>
            </w:r>
            <w:r>
              <w:rPr>
                <w:rFonts w:hint="eastAsia"/>
                <w:sz w:val="24"/>
              </w:rPr>
              <w:t>本</w:t>
            </w:r>
            <w:r>
              <w:rPr>
                <w:sz w:val="24"/>
              </w:rPr>
              <w:t>卫生院总排口的废水水质进行了现状监测，监测时间为20</w:t>
            </w:r>
            <w:r>
              <w:rPr>
                <w:rFonts w:hint="eastAsia"/>
                <w:sz w:val="24"/>
              </w:rPr>
              <w:t>21</w:t>
            </w:r>
            <w:r>
              <w:rPr>
                <w:sz w:val="24"/>
              </w:rPr>
              <w:t>年1月</w:t>
            </w:r>
            <w:r>
              <w:rPr>
                <w:rFonts w:hint="eastAsia"/>
                <w:sz w:val="24"/>
              </w:rPr>
              <w:t>22</w:t>
            </w:r>
            <w:r>
              <w:rPr>
                <w:sz w:val="24"/>
              </w:rPr>
              <w:t>日</w:t>
            </w:r>
            <w:r>
              <w:rPr>
                <w:rFonts w:hint="eastAsia"/>
                <w:sz w:val="24"/>
              </w:rPr>
              <w:t>-23日</w:t>
            </w:r>
            <w:r>
              <w:rPr>
                <w:sz w:val="24"/>
              </w:rPr>
              <w:t>，监测因子为：pH、COD、BOD</w:t>
            </w:r>
            <w:r>
              <w:rPr>
                <w:sz w:val="24"/>
                <w:vertAlign w:val="subscript"/>
              </w:rPr>
              <w:t>5</w:t>
            </w:r>
            <w:r>
              <w:rPr>
                <w:sz w:val="24"/>
              </w:rPr>
              <w:t>、氨氮、</w:t>
            </w:r>
            <w:r>
              <w:rPr>
                <w:rFonts w:hint="eastAsia"/>
                <w:sz w:val="24"/>
              </w:rPr>
              <w:t>余氯、</w:t>
            </w:r>
            <w:r>
              <w:rPr>
                <w:sz w:val="24"/>
              </w:rPr>
              <w:t>总磷、石油类、粪大肠菌群，监测结果见表2-</w:t>
            </w:r>
            <w:r>
              <w:rPr>
                <w:rFonts w:hint="eastAsia"/>
                <w:sz w:val="24"/>
              </w:rPr>
              <w:t>11</w:t>
            </w:r>
            <w:r>
              <w:rPr>
                <w:sz w:val="24"/>
              </w:rPr>
              <w:t>。</w:t>
            </w:r>
          </w:p>
          <w:p>
            <w:pPr>
              <w:tabs>
                <w:tab w:val="left" w:pos="4602"/>
              </w:tabs>
              <w:jc w:val="center"/>
              <w:rPr>
                <w:rFonts w:eastAsia="新宋体"/>
                <w:b/>
                <w:szCs w:val="21"/>
              </w:rPr>
            </w:pPr>
            <w:r>
              <w:rPr>
                <w:rFonts w:eastAsia="新宋体"/>
                <w:b/>
                <w:szCs w:val="21"/>
              </w:rPr>
              <w:t>表2-</w:t>
            </w:r>
            <w:r>
              <w:rPr>
                <w:rFonts w:hint="eastAsia" w:eastAsia="新宋体"/>
                <w:b/>
                <w:szCs w:val="21"/>
              </w:rPr>
              <w:t>11</w:t>
            </w:r>
            <w:r>
              <w:rPr>
                <w:b/>
                <w:bCs/>
                <w:szCs w:val="21"/>
              </w:rPr>
              <w:t>废水水质检测结果</w:t>
            </w:r>
          </w:p>
          <w:tbl>
            <w:tblPr>
              <w:tblStyle w:val="27"/>
              <w:tblW w:w="7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4"/>
              <w:gridCol w:w="1442"/>
              <w:gridCol w:w="687"/>
              <w:gridCol w:w="687"/>
              <w:gridCol w:w="687"/>
              <w:gridCol w:w="687"/>
              <w:gridCol w:w="687"/>
              <w:gridCol w:w="687"/>
              <w:gridCol w:w="687"/>
              <w:gridCol w:w="688"/>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1906" w:type="dxa"/>
                  <w:gridSpan w:val="2"/>
                  <w:vMerge w:val="restart"/>
                  <w:tcMar>
                    <w:top w:w="15" w:type="dxa"/>
                    <w:left w:w="15" w:type="dxa"/>
                    <w:right w:w="15" w:type="dxa"/>
                  </w:tcMar>
                  <w:vAlign w:val="center"/>
                </w:tcPr>
                <w:p>
                  <w:pPr>
                    <w:widowControl/>
                    <w:snapToGrid w:val="0"/>
                    <w:jc w:val="center"/>
                    <w:textAlignment w:val="top"/>
                    <w:rPr>
                      <w:color w:val="000000"/>
                      <w:szCs w:val="21"/>
                    </w:rPr>
                  </w:pPr>
                  <w:r>
                    <w:rPr>
                      <w:color w:val="000000"/>
                      <w:kern w:val="0"/>
                      <w:szCs w:val="21"/>
                      <w:lang w:bidi="ar"/>
                    </w:rPr>
                    <w:t>项目</w:t>
                  </w:r>
                </w:p>
                <w:p>
                  <w:pPr>
                    <w:widowControl/>
                    <w:snapToGrid w:val="0"/>
                    <w:jc w:val="center"/>
                    <w:textAlignment w:val="top"/>
                    <w:rPr>
                      <w:color w:val="000000"/>
                      <w:szCs w:val="21"/>
                    </w:rPr>
                  </w:pPr>
                  <w:r>
                    <w:rPr>
                      <w:color w:val="000000"/>
                      <w:szCs w:val="21"/>
                    </w:rPr>
                    <w:t>数据</w:t>
                  </w:r>
                </w:p>
                <w:p>
                  <w:pPr>
                    <w:widowControl/>
                    <w:jc w:val="center"/>
                    <w:textAlignment w:val="top"/>
                    <w:rPr>
                      <w:color w:val="000000"/>
                      <w:szCs w:val="21"/>
                    </w:rPr>
                  </w:pPr>
                  <w:r>
                    <w:rPr>
                      <w:color w:val="000000"/>
                      <w:szCs w:val="21"/>
                    </w:rPr>
                    <w:t>时间</w:t>
                  </w:r>
                </w:p>
              </w:tc>
              <w:tc>
                <w:tcPr>
                  <w:tcW w:w="2748" w:type="dxa"/>
                  <w:gridSpan w:val="4"/>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2021年1月2</w:t>
                  </w:r>
                  <w:r>
                    <w:rPr>
                      <w:rFonts w:hint="eastAsia"/>
                      <w:color w:val="000000"/>
                      <w:kern w:val="0"/>
                      <w:szCs w:val="21"/>
                      <w:lang w:bidi="ar"/>
                    </w:rPr>
                    <w:t>2</w:t>
                  </w:r>
                  <w:r>
                    <w:rPr>
                      <w:color w:val="000000"/>
                      <w:kern w:val="0"/>
                      <w:szCs w:val="21"/>
                      <w:lang w:bidi="ar"/>
                    </w:rPr>
                    <w:t>日</w:t>
                  </w:r>
                </w:p>
              </w:tc>
              <w:tc>
                <w:tcPr>
                  <w:tcW w:w="2749" w:type="dxa"/>
                  <w:gridSpan w:val="4"/>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2021年1月2</w:t>
                  </w:r>
                  <w:r>
                    <w:rPr>
                      <w:rFonts w:hint="eastAsia"/>
                      <w:color w:val="000000"/>
                      <w:kern w:val="0"/>
                      <w:szCs w:val="21"/>
                      <w:lang w:bidi="ar"/>
                    </w:rPr>
                    <w:t>3</w:t>
                  </w:r>
                  <w:r>
                    <w:rPr>
                      <w:color w:val="000000"/>
                      <w:kern w:val="0"/>
                      <w:szCs w:val="21"/>
                      <w:lang w:bidi="ar"/>
                    </w:rPr>
                    <w:t>日</w:t>
                  </w:r>
                </w:p>
              </w:tc>
              <w:tc>
                <w:tcPr>
                  <w:tcW w:w="584" w:type="dxa"/>
                  <w:vMerge w:val="restart"/>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1906" w:type="dxa"/>
                  <w:gridSpan w:val="2"/>
                  <w:vMerge w:val="continue"/>
                  <w:tcMar>
                    <w:top w:w="15" w:type="dxa"/>
                    <w:left w:w="15" w:type="dxa"/>
                    <w:right w:w="15" w:type="dxa"/>
                  </w:tcMar>
                  <w:vAlign w:val="center"/>
                </w:tcPr>
                <w:p>
                  <w:pPr>
                    <w:jc w:val="center"/>
                    <w:rPr>
                      <w:color w:val="000000"/>
                      <w:szCs w:val="21"/>
                    </w:rPr>
                  </w:pPr>
                </w:p>
              </w:tc>
              <w:tc>
                <w:tcPr>
                  <w:tcW w:w="687" w:type="dxa"/>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第1次</w:t>
                  </w:r>
                </w:p>
              </w:tc>
              <w:tc>
                <w:tcPr>
                  <w:tcW w:w="687" w:type="dxa"/>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第2次</w:t>
                  </w:r>
                </w:p>
              </w:tc>
              <w:tc>
                <w:tcPr>
                  <w:tcW w:w="687" w:type="dxa"/>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第3次</w:t>
                  </w:r>
                </w:p>
              </w:tc>
              <w:tc>
                <w:tcPr>
                  <w:tcW w:w="687" w:type="dxa"/>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均值或范围值</w:t>
                  </w:r>
                </w:p>
              </w:tc>
              <w:tc>
                <w:tcPr>
                  <w:tcW w:w="687" w:type="dxa"/>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第1次</w:t>
                  </w:r>
                </w:p>
              </w:tc>
              <w:tc>
                <w:tcPr>
                  <w:tcW w:w="687" w:type="dxa"/>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第2次</w:t>
                  </w:r>
                </w:p>
              </w:tc>
              <w:tc>
                <w:tcPr>
                  <w:tcW w:w="687" w:type="dxa"/>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第3次</w:t>
                  </w:r>
                </w:p>
              </w:tc>
              <w:tc>
                <w:tcPr>
                  <w:tcW w:w="688" w:type="dxa"/>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均值或范围值</w:t>
                  </w:r>
                </w:p>
              </w:tc>
              <w:tc>
                <w:tcPr>
                  <w:tcW w:w="584" w:type="dxa"/>
                  <w:vMerge w:val="continue"/>
                  <w:tcMar>
                    <w:top w:w="15" w:type="dxa"/>
                    <w:left w:w="15" w:type="dxa"/>
                    <w:right w:w="15" w:type="dxa"/>
                  </w:tcMar>
                  <w:vAlign w:val="center"/>
                </w:tcPr>
                <w:p>
                  <w:pPr>
                    <w:widowControl/>
                    <w:jc w:val="center"/>
                    <w:textAlignment w:val="center"/>
                    <w:rPr>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464" w:type="dxa"/>
                  <w:vMerge w:val="restart"/>
                  <w:shd w:val="clear" w:color="auto" w:fill="auto"/>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污水处理站进口1#</w:t>
                  </w:r>
                </w:p>
              </w:tc>
              <w:tc>
                <w:tcPr>
                  <w:tcW w:w="1442" w:type="dxa"/>
                  <w:shd w:val="clear" w:color="auto" w:fill="auto"/>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pH值（无量纲）</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6.87</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6.77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6.49</w:t>
                  </w:r>
                </w:p>
              </w:tc>
              <w:tc>
                <w:tcPr>
                  <w:tcW w:w="687" w:type="dxa"/>
                  <w:shd w:val="clear" w:color="auto" w:fill="FFFFFF"/>
                  <w:tcMar>
                    <w:top w:w="15" w:type="dxa"/>
                    <w:left w:w="15" w:type="dxa"/>
                    <w:right w:w="15" w:type="dxa"/>
                  </w:tcMar>
                  <w:vAlign w:val="center"/>
                </w:tcPr>
                <w:p>
                  <w:pPr>
                    <w:pStyle w:val="36"/>
                    <w:bidi w:val="0"/>
                  </w:pPr>
                  <w:r>
                    <w:rPr>
                      <w:rFonts w:hint="eastAsia"/>
                      <w:lang w:val="en-US" w:eastAsia="zh-CN"/>
                    </w:rPr>
                    <w:t>6.49～6.87</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6.76</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6.52</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6.61</w:t>
                  </w:r>
                </w:p>
              </w:tc>
              <w:tc>
                <w:tcPr>
                  <w:tcW w:w="688" w:type="dxa"/>
                  <w:shd w:val="clear" w:color="auto" w:fill="FFFFFF"/>
                  <w:tcMar>
                    <w:top w:w="15" w:type="dxa"/>
                    <w:left w:w="15" w:type="dxa"/>
                    <w:right w:w="15" w:type="dxa"/>
                  </w:tcMar>
                  <w:vAlign w:val="center"/>
                </w:tcPr>
                <w:p>
                  <w:pPr>
                    <w:pStyle w:val="36"/>
                    <w:bidi w:val="0"/>
                  </w:pPr>
                  <w:r>
                    <w:rPr>
                      <w:rFonts w:hint="eastAsia"/>
                      <w:lang w:val="en-US" w:eastAsia="zh-CN"/>
                    </w:rPr>
                    <w:t>6.52～6.76</w:t>
                  </w:r>
                </w:p>
              </w:tc>
              <w:tc>
                <w:tcPr>
                  <w:tcW w:w="584" w:type="dxa"/>
                  <w:shd w:val="clear" w:color="auto" w:fill="FFFFFF"/>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464" w:type="dxa"/>
                  <w:vMerge w:val="continue"/>
                  <w:shd w:val="clear" w:color="auto" w:fill="auto"/>
                  <w:tcMar>
                    <w:top w:w="15" w:type="dxa"/>
                    <w:left w:w="15" w:type="dxa"/>
                    <w:right w:w="15" w:type="dxa"/>
                  </w:tcMar>
                  <w:vAlign w:val="center"/>
                </w:tcPr>
                <w:p>
                  <w:pPr>
                    <w:jc w:val="center"/>
                    <w:rPr>
                      <w:color w:val="000000"/>
                      <w:szCs w:val="21"/>
                    </w:rPr>
                  </w:pPr>
                </w:p>
              </w:tc>
              <w:tc>
                <w:tcPr>
                  <w:tcW w:w="1442" w:type="dxa"/>
                  <w:shd w:val="clear" w:color="auto" w:fill="auto"/>
                  <w:noWrap/>
                  <w:tcMar>
                    <w:top w:w="15" w:type="dxa"/>
                    <w:left w:w="15" w:type="dxa"/>
                    <w:right w:w="15" w:type="dxa"/>
                  </w:tcMar>
                  <w:vAlign w:val="center"/>
                </w:tcPr>
                <w:p>
                  <w:pPr>
                    <w:widowControl/>
                    <w:jc w:val="center"/>
                    <w:textAlignment w:val="center"/>
                    <w:rPr>
                      <w:color w:val="000000"/>
                      <w:szCs w:val="21"/>
                    </w:rPr>
                  </w:pPr>
                  <w:r>
                    <w:rPr>
                      <w:rFonts w:hint="eastAsia"/>
                      <w:color w:val="000000"/>
                      <w:kern w:val="0"/>
                      <w:szCs w:val="21"/>
                      <w:lang w:bidi="ar"/>
                    </w:rPr>
                    <w:t>COD（mg/L）</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107</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100</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112</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106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99</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108</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116</w:t>
                  </w:r>
                </w:p>
              </w:tc>
              <w:tc>
                <w:tcPr>
                  <w:tcW w:w="688" w:type="dxa"/>
                  <w:shd w:val="clear" w:color="auto" w:fill="FFFFFF"/>
                  <w:tcMar>
                    <w:top w:w="15" w:type="dxa"/>
                    <w:left w:w="15" w:type="dxa"/>
                    <w:right w:w="15" w:type="dxa"/>
                  </w:tcMar>
                  <w:vAlign w:val="center"/>
                </w:tcPr>
                <w:p>
                  <w:pPr>
                    <w:pStyle w:val="36"/>
                    <w:bidi w:val="0"/>
                  </w:pPr>
                  <w:r>
                    <w:rPr>
                      <w:rFonts w:hint="eastAsia"/>
                      <w:lang w:val="en-US" w:eastAsia="zh-CN"/>
                    </w:rPr>
                    <w:t>108</w:t>
                  </w:r>
                </w:p>
              </w:tc>
              <w:tc>
                <w:tcPr>
                  <w:tcW w:w="584" w:type="dxa"/>
                  <w:shd w:val="clear" w:color="auto" w:fill="FFFFFF"/>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464" w:type="dxa"/>
                  <w:vMerge w:val="continue"/>
                  <w:shd w:val="clear" w:color="auto" w:fill="auto"/>
                  <w:tcMar>
                    <w:top w:w="15" w:type="dxa"/>
                    <w:left w:w="15" w:type="dxa"/>
                    <w:right w:w="15" w:type="dxa"/>
                  </w:tcMar>
                  <w:vAlign w:val="center"/>
                </w:tcPr>
                <w:p>
                  <w:pPr>
                    <w:jc w:val="center"/>
                    <w:rPr>
                      <w:color w:val="000000"/>
                      <w:szCs w:val="21"/>
                    </w:rPr>
                  </w:pPr>
                </w:p>
              </w:tc>
              <w:tc>
                <w:tcPr>
                  <w:tcW w:w="1442" w:type="dxa"/>
                  <w:shd w:val="clear" w:color="auto" w:fill="auto"/>
                  <w:noWrap/>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氨氮</w:t>
                  </w:r>
                  <w:r>
                    <w:rPr>
                      <w:rFonts w:hint="eastAsia"/>
                      <w:color w:val="000000"/>
                      <w:kern w:val="0"/>
                      <w:szCs w:val="21"/>
                      <w:lang w:bidi="ar"/>
                    </w:rPr>
                    <w:t>（mg/L）</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51.9</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54.5</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53.3</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53.2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52.6</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53.0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52.3 </w:t>
                  </w:r>
                </w:p>
              </w:tc>
              <w:tc>
                <w:tcPr>
                  <w:tcW w:w="688" w:type="dxa"/>
                  <w:shd w:val="clear" w:color="auto" w:fill="FFFFFF"/>
                  <w:tcMar>
                    <w:top w:w="15" w:type="dxa"/>
                    <w:left w:w="15" w:type="dxa"/>
                    <w:right w:w="15" w:type="dxa"/>
                  </w:tcMar>
                  <w:vAlign w:val="center"/>
                </w:tcPr>
                <w:p>
                  <w:pPr>
                    <w:pStyle w:val="36"/>
                    <w:bidi w:val="0"/>
                  </w:pPr>
                  <w:r>
                    <w:rPr>
                      <w:rFonts w:hint="eastAsia"/>
                      <w:lang w:val="en-US" w:eastAsia="zh-CN"/>
                    </w:rPr>
                    <w:t xml:space="preserve">52.6 </w:t>
                  </w:r>
                </w:p>
              </w:tc>
              <w:tc>
                <w:tcPr>
                  <w:tcW w:w="584" w:type="dxa"/>
                  <w:shd w:val="clear" w:color="auto" w:fill="FFFFFF"/>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jc w:val="center"/>
              </w:trPr>
              <w:tc>
                <w:tcPr>
                  <w:tcW w:w="464" w:type="dxa"/>
                  <w:vMerge w:val="continue"/>
                  <w:tcMar>
                    <w:top w:w="15" w:type="dxa"/>
                    <w:left w:w="15" w:type="dxa"/>
                    <w:right w:w="15" w:type="dxa"/>
                  </w:tcMar>
                  <w:vAlign w:val="center"/>
                </w:tcPr>
                <w:p>
                  <w:pPr>
                    <w:jc w:val="center"/>
                    <w:rPr>
                      <w:color w:val="000000"/>
                      <w:szCs w:val="21"/>
                    </w:rPr>
                  </w:pPr>
                </w:p>
              </w:tc>
              <w:tc>
                <w:tcPr>
                  <w:tcW w:w="1442" w:type="dxa"/>
                  <w:noWrap/>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石油类</w:t>
                  </w:r>
                  <w:r>
                    <w:rPr>
                      <w:rFonts w:hint="eastAsia"/>
                      <w:color w:val="000000"/>
                      <w:kern w:val="0"/>
                      <w:szCs w:val="21"/>
                      <w:lang w:bidi="ar"/>
                    </w:rPr>
                    <w:t>（mg/L）</w:t>
                  </w:r>
                </w:p>
              </w:tc>
              <w:tc>
                <w:tcPr>
                  <w:tcW w:w="687" w:type="dxa"/>
                  <w:tcMar>
                    <w:top w:w="15" w:type="dxa"/>
                    <w:left w:w="15" w:type="dxa"/>
                    <w:right w:w="15" w:type="dxa"/>
                  </w:tcMar>
                  <w:vAlign w:val="center"/>
                </w:tcPr>
                <w:p>
                  <w:pPr>
                    <w:pStyle w:val="36"/>
                    <w:bidi w:val="0"/>
                  </w:pPr>
                  <w:r>
                    <w:rPr>
                      <w:rFonts w:hint="eastAsia"/>
                      <w:lang w:val="en-US" w:eastAsia="zh-CN"/>
                    </w:rPr>
                    <w:t>0.06L</w:t>
                  </w:r>
                </w:p>
              </w:tc>
              <w:tc>
                <w:tcPr>
                  <w:tcW w:w="687" w:type="dxa"/>
                  <w:tcMar>
                    <w:top w:w="15" w:type="dxa"/>
                    <w:left w:w="15" w:type="dxa"/>
                    <w:right w:w="15" w:type="dxa"/>
                  </w:tcMar>
                  <w:vAlign w:val="center"/>
                </w:tcPr>
                <w:p>
                  <w:pPr>
                    <w:pStyle w:val="36"/>
                    <w:bidi w:val="0"/>
                  </w:pPr>
                  <w:r>
                    <w:rPr>
                      <w:rFonts w:hint="eastAsia"/>
                      <w:lang w:val="en-US" w:eastAsia="zh-CN"/>
                    </w:rPr>
                    <w:t>0.06L</w:t>
                  </w:r>
                </w:p>
              </w:tc>
              <w:tc>
                <w:tcPr>
                  <w:tcW w:w="687" w:type="dxa"/>
                  <w:tcMar>
                    <w:top w:w="15" w:type="dxa"/>
                    <w:left w:w="15" w:type="dxa"/>
                    <w:right w:w="15" w:type="dxa"/>
                  </w:tcMar>
                  <w:vAlign w:val="center"/>
                </w:tcPr>
                <w:p>
                  <w:pPr>
                    <w:pStyle w:val="36"/>
                    <w:bidi w:val="0"/>
                  </w:pPr>
                  <w:r>
                    <w:rPr>
                      <w:rFonts w:hint="eastAsia"/>
                      <w:lang w:val="en-US" w:eastAsia="zh-CN"/>
                    </w:rPr>
                    <w:t>0.06L</w:t>
                  </w:r>
                </w:p>
              </w:tc>
              <w:tc>
                <w:tcPr>
                  <w:tcW w:w="687" w:type="dxa"/>
                  <w:tcMar>
                    <w:top w:w="15" w:type="dxa"/>
                    <w:left w:w="15" w:type="dxa"/>
                    <w:right w:w="15" w:type="dxa"/>
                  </w:tcMar>
                  <w:vAlign w:val="center"/>
                </w:tcPr>
                <w:p>
                  <w:pPr>
                    <w:pStyle w:val="36"/>
                    <w:bidi w:val="0"/>
                  </w:pPr>
                  <w:r>
                    <w:rPr>
                      <w:rFonts w:hint="eastAsia"/>
                      <w:lang w:val="en-US" w:eastAsia="zh-CN"/>
                    </w:rPr>
                    <w:t>/</w:t>
                  </w:r>
                </w:p>
              </w:tc>
              <w:tc>
                <w:tcPr>
                  <w:tcW w:w="687" w:type="dxa"/>
                  <w:tcMar>
                    <w:top w:w="15" w:type="dxa"/>
                    <w:left w:w="15" w:type="dxa"/>
                    <w:right w:w="15" w:type="dxa"/>
                  </w:tcMar>
                  <w:vAlign w:val="center"/>
                </w:tcPr>
                <w:p>
                  <w:pPr>
                    <w:pStyle w:val="36"/>
                    <w:bidi w:val="0"/>
                  </w:pPr>
                  <w:r>
                    <w:rPr>
                      <w:rFonts w:hint="eastAsia"/>
                      <w:lang w:val="en-US" w:eastAsia="zh-CN"/>
                    </w:rPr>
                    <w:t>0.06L</w:t>
                  </w:r>
                </w:p>
              </w:tc>
              <w:tc>
                <w:tcPr>
                  <w:tcW w:w="687" w:type="dxa"/>
                  <w:tcMar>
                    <w:top w:w="15" w:type="dxa"/>
                    <w:left w:w="15" w:type="dxa"/>
                    <w:right w:w="15" w:type="dxa"/>
                  </w:tcMar>
                  <w:vAlign w:val="center"/>
                </w:tcPr>
                <w:p>
                  <w:pPr>
                    <w:pStyle w:val="36"/>
                    <w:bidi w:val="0"/>
                  </w:pPr>
                  <w:r>
                    <w:rPr>
                      <w:rFonts w:hint="eastAsia"/>
                      <w:lang w:val="en-US" w:eastAsia="zh-CN"/>
                    </w:rPr>
                    <w:t>0.06L</w:t>
                  </w:r>
                </w:p>
              </w:tc>
              <w:tc>
                <w:tcPr>
                  <w:tcW w:w="687" w:type="dxa"/>
                  <w:tcMar>
                    <w:top w:w="15" w:type="dxa"/>
                    <w:left w:w="15" w:type="dxa"/>
                    <w:right w:w="15" w:type="dxa"/>
                  </w:tcMar>
                  <w:vAlign w:val="center"/>
                </w:tcPr>
                <w:p>
                  <w:pPr>
                    <w:pStyle w:val="36"/>
                    <w:bidi w:val="0"/>
                  </w:pPr>
                  <w:r>
                    <w:rPr>
                      <w:rFonts w:hint="eastAsia"/>
                      <w:lang w:val="en-US" w:eastAsia="zh-CN"/>
                    </w:rPr>
                    <w:t>0.06L</w:t>
                  </w:r>
                </w:p>
              </w:tc>
              <w:tc>
                <w:tcPr>
                  <w:tcW w:w="688" w:type="dxa"/>
                  <w:tcMar>
                    <w:top w:w="15" w:type="dxa"/>
                    <w:left w:w="15" w:type="dxa"/>
                    <w:right w:w="15" w:type="dxa"/>
                  </w:tcMar>
                  <w:vAlign w:val="center"/>
                </w:tcPr>
                <w:p>
                  <w:pPr>
                    <w:pStyle w:val="36"/>
                    <w:bidi w:val="0"/>
                  </w:pPr>
                  <w:r>
                    <w:rPr>
                      <w:rFonts w:hint="eastAsia"/>
                      <w:lang w:val="en-US" w:eastAsia="zh-CN"/>
                    </w:rPr>
                    <w:t>/</w:t>
                  </w:r>
                </w:p>
              </w:tc>
              <w:tc>
                <w:tcPr>
                  <w:tcW w:w="584" w:type="dxa"/>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4" w:type="dxa"/>
                  <w:vMerge w:val="continue"/>
                  <w:shd w:val="clear" w:color="auto" w:fill="auto"/>
                  <w:tcMar>
                    <w:top w:w="15" w:type="dxa"/>
                    <w:left w:w="15" w:type="dxa"/>
                    <w:right w:w="15" w:type="dxa"/>
                  </w:tcMar>
                  <w:vAlign w:val="center"/>
                </w:tcPr>
                <w:p>
                  <w:pPr>
                    <w:jc w:val="center"/>
                    <w:rPr>
                      <w:color w:val="000000"/>
                      <w:szCs w:val="21"/>
                    </w:rPr>
                  </w:pPr>
                </w:p>
              </w:tc>
              <w:tc>
                <w:tcPr>
                  <w:tcW w:w="1442" w:type="dxa"/>
                  <w:shd w:val="clear" w:color="auto" w:fill="auto"/>
                  <w:noWrap/>
                  <w:tcMar>
                    <w:top w:w="15" w:type="dxa"/>
                    <w:left w:w="15" w:type="dxa"/>
                    <w:right w:w="15" w:type="dxa"/>
                  </w:tcMar>
                  <w:vAlign w:val="center"/>
                </w:tcPr>
                <w:p>
                  <w:pPr>
                    <w:widowControl/>
                    <w:jc w:val="center"/>
                    <w:textAlignment w:val="center"/>
                    <w:rPr>
                      <w:color w:val="000000"/>
                      <w:szCs w:val="21"/>
                    </w:rPr>
                  </w:pPr>
                  <w:r>
                    <w:rPr>
                      <w:rFonts w:hint="eastAsia"/>
                      <w:color w:val="000000"/>
                      <w:szCs w:val="21"/>
                    </w:rPr>
                    <w:t>BOD</w:t>
                  </w:r>
                  <w:r>
                    <w:rPr>
                      <w:rFonts w:hint="eastAsia"/>
                      <w:color w:val="000000"/>
                      <w:szCs w:val="21"/>
                      <w:vertAlign w:val="subscript"/>
                    </w:rPr>
                    <w:t>5</w:t>
                  </w:r>
                  <w:r>
                    <w:rPr>
                      <w:rFonts w:hint="eastAsia"/>
                      <w:color w:val="000000"/>
                      <w:kern w:val="0"/>
                      <w:szCs w:val="21"/>
                      <w:lang w:bidi="ar"/>
                    </w:rPr>
                    <w:t>（mg/L）</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34.4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37.0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34.5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35.3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30.2</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32.9</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39.8</w:t>
                  </w:r>
                </w:p>
              </w:tc>
              <w:tc>
                <w:tcPr>
                  <w:tcW w:w="688" w:type="dxa"/>
                  <w:shd w:val="clear" w:color="auto" w:fill="FFFFFF"/>
                  <w:tcMar>
                    <w:top w:w="15" w:type="dxa"/>
                    <w:left w:w="15" w:type="dxa"/>
                    <w:right w:w="15" w:type="dxa"/>
                  </w:tcMar>
                  <w:vAlign w:val="center"/>
                </w:tcPr>
                <w:p>
                  <w:pPr>
                    <w:pStyle w:val="36"/>
                    <w:bidi w:val="0"/>
                  </w:pPr>
                  <w:r>
                    <w:rPr>
                      <w:rFonts w:hint="eastAsia"/>
                      <w:lang w:val="en-US" w:eastAsia="zh-CN"/>
                    </w:rPr>
                    <w:t>34.3</w:t>
                  </w:r>
                </w:p>
              </w:tc>
              <w:tc>
                <w:tcPr>
                  <w:tcW w:w="584" w:type="dxa"/>
                  <w:shd w:val="clear" w:color="auto" w:fill="FFFFFF"/>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464" w:type="dxa"/>
                  <w:vMerge w:val="continue"/>
                  <w:tcMar>
                    <w:top w:w="15" w:type="dxa"/>
                    <w:left w:w="15" w:type="dxa"/>
                    <w:right w:w="15" w:type="dxa"/>
                  </w:tcMar>
                  <w:vAlign w:val="center"/>
                </w:tcPr>
                <w:p>
                  <w:pPr>
                    <w:jc w:val="center"/>
                    <w:rPr>
                      <w:color w:val="000000"/>
                      <w:szCs w:val="21"/>
                    </w:rPr>
                  </w:pPr>
                </w:p>
              </w:tc>
              <w:tc>
                <w:tcPr>
                  <w:tcW w:w="1442" w:type="dxa"/>
                  <w:noWrap/>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余氯</w:t>
                  </w:r>
                  <w:r>
                    <w:rPr>
                      <w:rFonts w:hint="eastAsia"/>
                      <w:color w:val="000000"/>
                      <w:kern w:val="0"/>
                      <w:szCs w:val="21"/>
                      <w:lang w:bidi="ar"/>
                    </w:rPr>
                    <w:t>（mg/L）</w:t>
                  </w:r>
                </w:p>
              </w:tc>
              <w:tc>
                <w:tcPr>
                  <w:tcW w:w="687" w:type="dxa"/>
                  <w:tcMar>
                    <w:top w:w="15" w:type="dxa"/>
                    <w:left w:w="15" w:type="dxa"/>
                    <w:right w:w="15" w:type="dxa"/>
                  </w:tcMar>
                  <w:vAlign w:val="center"/>
                </w:tcPr>
                <w:p>
                  <w:pPr>
                    <w:pStyle w:val="36"/>
                    <w:bidi w:val="0"/>
                  </w:pPr>
                  <w:r>
                    <w:rPr>
                      <w:rFonts w:hint="eastAsia"/>
                      <w:lang w:val="en-US" w:eastAsia="zh-CN"/>
                    </w:rPr>
                    <w:t>0.004L</w:t>
                  </w:r>
                </w:p>
              </w:tc>
              <w:tc>
                <w:tcPr>
                  <w:tcW w:w="687" w:type="dxa"/>
                  <w:tcMar>
                    <w:top w:w="15" w:type="dxa"/>
                    <w:left w:w="15" w:type="dxa"/>
                    <w:right w:w="15" w:type="dxa"/>
                  </w:tcMar>
                  <w:vAlign w:val="center"/>
                </w:tcPr>
                <w:p>
                  <w:pPr>
                    <w:pStyle w:val="36"/>
                    <w:bidi w:val="0"/>
                  </w:pPr>
                  <w:r>
                    <w:rPr>
                      <w:rFonts w:hint="eastAsia"/>
                      <w:lang w:val="en-US" w:eastAsia="zh-CN"/>
                    </w:rPr>
                    <w:t>0.004L</w:t>
                  </w:r>
                </w:p>
              </w:tc>
              <w:tc>
                <w:tcPr>
                  <w:tcW w:w="687" w:type="dxa"/>
                  <w:tcMar>
                    <w:top w:w="15" w:type="dxa"/>
                    <w:left w:w="15" w:type="dxa"/>
                    <w:right w:w="15" w:type="dxa"/>
                  </w:tcMar>
                  <w:vAlign w:val="center"/>
                </w:tcPr>
                <w:p>
                  <w:pPr>
                    <w:pStyle w:val="36"/>
                    <w:bidi w:val="0"/>
                  </w:pPr>
                  <w:r>
                    <w:rPr>
                      <w:rFonts w:hint="eastAsia"/>
                      <w:lang w:val="en-US" w:eastAsia="zh-CN"/>
                    </w:rPr>
                    <w:t>0.004L</w:t>
                  </w:r>
                </w:p>
              </w:tc>
              <w:tc>
                <w:tcPr>
                  <w:tcW w:w="687" w:type="dxa"/>
                  <w:tcMar>
                    <w:top w:w="15" w:type="dxa"/>
                    <w:left w:w="15" w:type="dxa"/>
                    <w:right w:w="15" w:type="dxa"/>
                  </w:tcMar>
                  <w:vAlign w:val="center"/>
                </w:tcPr>
                <w:p>
                  <w:pPr>
                    <w:pStyle w:val="36"/>
                    <w:bidi w:val="0"/>
                  </w:pPr>
                  <w:r>
                    <w:rPr>
                      <w:rFonts w:hint="eastAsia"/>
                      <w:lang w:val="en-US" w:eastAsia="zh-CN"/>
                    </w:rPr>
                    <w:t>/</w:t>
                  </w:r>
                </w:p>
              </w:tc>
              <w:tc>
                <w:tcPr>
                  <w:tcW w:w="687" w:type="dxa"/>
                  <w:tcMar>
                    <w:top w:w="15" w:type="dxa"/>
                    <w:left w:w="15" w:type="dxa"/>
                    <w:right w:w="15" w:type="dxa"/>
                  </w:tcMar>
                  <w:vAlign w:val="center"/>
                </w:tcPr>
                <w:p>
                  <w:pPr>
                    <w:pStyle w:val="36"/>
                    <w:bidi w:val="0"/>
                  </w:pPr>
                  <w:r>
                    <w:rPr>
                      <w:rFonts w:hint="eastAsia"/>
                      <w:lang w:val="en-US" w:eastAsia="zh-CN"/>
                    </w:rPr>
                    <w:t>0.004L</w:t>
                  </w:r>
                </w:p>
              </w:tc>
              <w:tc>
                <w:tcPr>
                  <w:tcW w:w="687" w:type="dxa"/>
                  <w:tcMar>
                    <w:top w:w="15" w:type="dxa"/>
                    <w:left w:w="15" w:type="dxa"/>
                    <w:right w:w="15" w:type="dxa"/>
                  </w:tcMar>
                  <w:vAlign w:val="center"/>
                </w:tcPr>
                <w:p>
                  <w:pPr>
                    <w:pStyle w:val="36"/>
                    <w:bidi w:val="0"/>
                  </w:pPr>
                  <w:r>
                    <w:rPr>
                      <w:rFonts w:hint="eastAsia"/>
                      <w:lang w:val="en-US" w:eastAsia="zh-CN"/>
                    </w:rPr>
                    <w:t>0.004L</w:t>
                  </w:r>
                </w:p>
              </w:tc>
              <w:tc>
                <w:tcPr>
                  <w:tcW w:w="687" w:type="dxa"/>
                  <w:tcMar>
                    <w:top w:w="15" w:type="dxa"/>
                    <w:left w:w="15" w:type="dxa"/>
                    <w:right w:w="15" w:type="dxa"/>
                  </w:tcMar>
                  <w:vAlign w:val="center"/>
                </w:tcPr>
                <w:p>
                  <w:pPr>
                    <w:pStyle w:val="36"/>
                    <w:bidi w:val="0"/>
                  </w:pPr>
                  <w:r>
                    <w:rPr>
                      <w:rFonts w:hint="eastAsia"/>
                      <w:lang w:val="en-US" w:eastAsia="zh-CN"/>
                    </w:rPr>
                    <w:t>0.004L</w:t>
                  </w:r>
                </w:p>
              </w:tc>
              <w:tc>
                <w:tcPr>
                  <w:tcW w:w="688" w:type="dxa"/>
                  <w:tcMar>
                    <w:top w:w="15" w:type="dxa"/>
                    <w:left w:w="15" w:type="dxa"/>
                    <w:right w:w="15" w:type="dxa"/>
                  </w:tcMar>
                  <w:vAlign w:val="center"/>
                </w:tcPr>
                <w:p>
                  <w:pPr>
                    <w:pStyle w:val="36"/>
                    <w:bidi w:val="0"/>
                  </w:pPr>
                  <w:r>
                    <w:rPr>
                      <w:rFonts w:hint="eastAsia"/>
                      <w:lang w:val="en-US" w:eastAsia="zh-CN"/>
                    </w:rPr>
                    <w:t>/</w:t>
                  </w:r>
                </w:p>
              </w:tc>
              <w:tc>
                <w:tcPr>
                  <w:tcW w:w="584" w:type="dxa"/>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464" w:type="dxa"/>
                  <w:vMerge w:val="continue"/>
                  <w:shd w:val="clear" w:color="auto" w:fill="auto"/>
                  <w:tcMar>
                    <w:top w:w="15" w:type="dxa"/>
                    <w:left w:w="15" w:type="dxa"/>
                    <w:right w:w="15" w:type="dxa"/>
                  </w:tcMar>
                  <w:vAlign w:val="center"/>
                </w:tcPr>
                <w:p>
                  <w:pPr>
                    <w:jc w:val="center"/>
                    <w:rPr>
                      <w:color w:val="000000"/>
                      <w:szCs w:val="21"/>
                    </w:rPr>
                  </w:pPr>
                </w:p>
              </w:tc>
              <w:tc>
                <w:tcPr>
                  <w:tcW w:w="1442" w:type="dxa"/>
                  <w:shd w:val="clear" w:color="auto" w:fill="auto"/>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总磷</w:t>
                  </w:r>
                  <w:r>
                    <w:rPr>
                      <w:rFonts w:hint="eastAsia"/>
                      <w:color w:val="000000"/>
                      <w:kern w:val="0"/>
                      <w:szCs w:val="21"/>
                      <w:lang w:bidi="ar"/>
                    </w:rPr>
                    <w:t>（mg/L）</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2.58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2.56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2.57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2.57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2.55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2.57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2.57 </w:t>
                  </w:r>
                </w:p>
              </w:tc>
              <w:tc>
                <w:tcPr>
                  <w:tcW w:w="688" w:type="dxa"/>
                  <w:shd w:val="clear" w:color="auto" w:fill="FFFFFF"/>
                  <w:tcMar>
                    <w:top w:w="15" w:type="dxa"/>
                    <w:left w:w="15" w:type="dxa"/>
                    <w:right w:w="15" w:type="dxa"/>
                  </w:tcMar>
                  <w:vAlign w:val="center"/>
                </w:tcPr>
                <w:p>
                  <w:pPr>
                    <w:pStyle w:val="36"/>
                    <w:bidi w:val="0"/>
                  </w:pPr>
                  <w:r>
                    <w:rPr>
                      <w:rFonts w:hint="eastAsia"/>
                      <w:lang w:val="en-US" w:eastAsia="zh-CN"/>
                    </w:rPr>
                    <w:t xml:space="preserve">2.56 </w:t>
                  </w:r>
                </w:p>
              </w:tc>
              <w:tc>
                <w:tcPr>
                  <w:tcW w:w="584" w:type="dxa"/>
                  <w:shd w:val="clear" w:color="auto" w:fill="FFFFFF"/>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4" w:type="dxa"/>
                  <w:vMerge w:val="continue"/>
                  <w:shd w:val="clear" w:color="auto" w:fill="auto"/>
                  <w:tcMar>
                    <w:top w:w="15" w:type="dxa"/>
                    <w:left w:w="15" w:type="dxa"/>
                    <w:right w:w="15" w:type="dxa"/>
                  </w:tcMar>
                  <w:vAlign w:val="center"/>
                </w:tcPr>
                <w:p>
                  <w:pPr>
                    <w:jc w:val="center"/>
                    <w:rPr>
                      <w:color w:val="000000"/>
                      <w:szCs w:val="21"/>
                    </w:rPr>
                  </w:pPr>
                </w:p>
              </w:tc>
              <w:tc>
                <w:tcPr>
                  <w:tcW w:w="1442" w:type="dxa"/>
                  <w:shd w:val="clear" w:color="auto" w:fill="auto"/>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粪大肠菌群(MPN/L)</w:t>
                  </w:r>
                </w:p>
              </w:tc>
              <w:tc>
                <w:tcPr>
                  <w:tcW w:w="687" w:type="dxa"/>
                  <w:shd w:val="clear" w:color="auto" w:fill="FFFFFF"/>
                  <w:tcMar>
                    <w:top w:w="15" w:type="dxa"/>
                    <w:left w:w="15" w:type="dxa"/>
                    <w:right w:w="15" w:type="dxa"/>
                  </w:tcMar>
                  <w:vAlign w:val="center"/>
                </w:tcPr>
                <w:p>
                  <w:pPr>
                    <w:pStyle w:val="36"/>
                    <w:bidi w:val="0"/>
                  </w:pPr>
                  <w:r>
                    <w:rPr>
                      <w:rFonts w:hint="eastAsia"/>
                      <w:lang w:val="en-US" w:eastAsia="zh-CN"/>
                    </w:rPr>
                    <w:t>≥2.4×10</w:t>
                  </w:r>
                  <w:r>
                    <w:rPr>
                      <w:rFonts w:hint="eastAsia"/>
                      <w:vertAlign w:val="superscript"/>
                      <w:lang w:val="en-US" w:eastAsia="zh-CN"/>
                    </w:rPr>
                    <w:t>4</w:t>
                  </w:r>
                </w:p>
              </w:tc>
              <w:tc>
                <w:tcPr>
                  <w:tcW w:w="687" w:type="dxa"/>
                  <w:shd w:val="clear" w:color="auto" w:fill="FFFFFF"/>
                  <w:tcMar>
                    <w:top w:w="15" w:type="dxa"/>
                    <w:left w:w="15" w:type="dxa"/>
                    <w:right w:w="15" w:type="dxa"/>
                  </w:tcMar>
                  <w:vAlign w:val="center"/>
                </w:tcPr>
                <w:p>
                  <w:pPr>
                    <w:bidi w:val="0"/>
                  </w:pPr>
                  <w:r>
                    <w:rPr>
                      <w:rFonts w:hint="eastAsia"/>
                      <w:lang w:val="en-US" w:eastAsia="zh-CN"/>
                    </w:rPr>
                    <w:t>≥2.4×10</w:t>
                  </w:r>
                  <w:r>
                    <w:rPr>
                      <w:rFonts w:hint="eastAsia"/>
                      <w:vertAlign w:val="superscript"/>
                      <w:lang w:val="en-US" w:eastAsia="zh-CN"/>
                    </w:rPr>
                    <w:t>4</w:t>
                  </w:r>
                </w:p>
              </w:tc>
              <w:tc>
                <w:tcPr>
                  <w:tcW w:w="687" w:type="dxa"/>
                  <w:shd w:val="clear" w:color="auto" w:fill="FFFFFF"/>
                  <w:tcMar>
                    <w:top w:w="15" w:type="dxa"/>
                    <w:left w:w="15" w:type="dxa"/>
                    <w:right w:w="15" w:type="dxa"/>
                  </w:tcMar>
                  <w:vAlign w:val="center"/>
                </w:tcPr>
                <w:p>
                  <w:pPr>
                    <w:bidi w:val="0"/>
                  </w:pPr>
                  <w:r>
                    <w:rPr>
                      <w:rFonts w:hint="eastAsia"/>
                      <w:lang w:val="en-US" w:eastAsia="zh-CN"/>
                    </w:rPr>
                    <w:t>≥2.4×10</w:t>
                  </w:r>
                  <w:r>
                    <w:rPr>
                      <w:rFonts w:hint="eastAsia"/>
                      <w:vertAlign w:val="superscript"/>
                      <w:lang w:val="en-US" w:eastAsia="zh-CN"/>
                    </w:rPr>
                    <w:t>4</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w:t>
                  </w:r>
                </w:p>
              </w:tc>
              <w:tc>
                <w:tcPr>
                  <w:tcW w:w="687" w:type="dxa"/>
                  <w:shd w:val="clear" w:color="auto" w:fill="FFFFFF"/>
                  <w:tcMar>
                    <w:top w:w="15" w:type="dxa"/>
                    <w:left w:w="15" w:type="dxa"/>
                    <w:right w:w="15" w:type="dxa"/>
                  </w:tcMar>
                  <w:vAlign w:val="center"/>
                </w:tcPr>
                <w:p>
                  <w:pPr>
                    <w:bidi w:val="0"/>
                  </w:pPr>
                  <w:r>
                    <w:rPr>
                      <w:rFonts w:hint="eastAsia"/>
                      <w:lang w:val="en-US" w:eastAsia="zh-CN"/>
                    </w:rPr>
                    <w:t>≥2.4×10</w:t>
                  </w:r>
                  <w:r>
                    <w:rPr>
                      <w:rFonts w:hint="eastAsia"/>
                      <w:vertAlign w:val="superscript"/>
                      <w:lang w:val="en-US" w:eastAsia="zh-CN"/>
                    </w:rPr>
                    <w:t>4</w:t>
                  </w:r>
                </w:p>
              </w:tc>
              <w:tc>
                <w:tcPr>
                  <w:tcW w:w="687" w:type="dxa"/>
                  <w:shd w:val="clear" w:color="auto" w:fill="FFFFFF"/>
                  <w:tcMar>
                    <w:top w:w="15" w:type="dxa"/>
                    <w:left w:w="15" w:type="dxa"/>
                    <w:right w:w="15" w:type="dxa"/>
                  </w:tcMar>
                  <w:vAlign w:val="center"/>
                </w:tcPr>
                <w:p>
                  <w:pPr>
                    <w:bidi w:val="0"/>
                  </w:pPr>
                  <w:r>
                    <w:rPr>
                      <w:rFonts w:hint="eastAsia"/>
                      <w:lang w:val="en-US" w:eastAsia="zh-CN"/>
                    </w:rPr>
                    <w:t>≥2.4×10</w:t>
                  </w:r>
                  <w:r>
                    <w:rPr>
                      <w:rFonts w:hint="eastAsia"/>
                      <w:vertAlign w:val="superscript"/>
                      <w:lang w:val="en-US" w:eastAsia="zh-CN"/>
                    </w:rPr>
                    <w:t>4</w:t>
                  </w:r>
                </w:p>
              </w:tc>
              <w:tc>
                <w:tcPr>
                  <w:tcW w:w="687" w:type="dxa"/>
                  <w:shd w:val="clear" w:color="auto" w:fill="FFFFFF"/>
                  <w:tcMar>
                    <w:top w:w="15" w:type="dxa"/>
                    <w:left w:w="15" w:type="dxa"/>
                    <w:right w:w="15" w:type="dxa"/>
                  </w:tcMar>
                  <w:vAlign w:val="center"/>
                </w:tcPr>
                <w:p>
                  <w:pPr>
                    <w:bidi w:val="0"/>
                  </w:pPr>
                  <w:r>
                    <w:rPr>
                      <w:rFonts w:hint="eastAsia"/>
                      <w:lang w:val="en-US" w:eastAsia="zh-CN"/>
                    </w:rPr>
                    <w:t>≥2.4×10</w:t>
                  </w:r>
                  <w:r>
                    <w:rPr>
                      <w:rFonts w:hint="eastAsia"/>
                      <w:vertAlign w:val="superscript"/>
                      <w:lang w:val="en-US" w:eastAsia="zh-CN"/>
                    </w:rPr>
                    <w:t>4</w:t>
                  </w:r>
                </w:p>
              </w:tc>
              <w:tc>
                <w:tcPr>
                  <w:tcW w:w="688" w:type="dxa"/>
                  <w:shd w:val="clear" w:color="auto" w:fill="FFFFFF"/>
                  <w:tcMar>
                    <w:top w:w="15" w:type="dxa"/>
                    <w:left w:w="15" w:type="dxa"/>
                    <w:right w:w="15" w:type="dxa"/>
                  </w:tcMar>
                  <w:vAlign w:val="center"/>
                </w:tcPr>
                <w:p>
                  <w:pPr>
                    <w:pStyle w:val="36"/>
                    <w:bidi w:val="0"/>
                  </w:pPr>
                  <w:r>
                    <w:rPr>
                      <w:rFonts w:hint="eastAsia"/>
                      <w:lang w:val="en-US" w:eastAsia="zh-CN"/>
                    </w:rPr>
                    <w:t>/</w:t>
                  </w:r>
                </w:p>
              </w:tc>
              <w:tc>
                <w:tcPr>
                  <w:tcW w:w="584" w:type="dxa"/>
                  <w:shd w:val="clear" w:color="auto" w:fill="FFFFFF"/>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jc w:val="center"/>
              </w:trPr>
              <w:tc>
                <w:tcPr>
                  <w:tcW w:w="464" w:type="dxa"/>
                  <w:vMerge w:val="restart"/>
                  <w:shd w:val="clear" w:color="auto" w:fill="auto"/>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污水处理站总排口2#</w:t>
                  </w:r>
                </w:p>
              </w:tc>
              <w:tc>
                <w:tcPr>
                  <w:tcW w:w="1442" w:type="dxa"/>
                  <w:shd w:val="clear" w:color="auto" w:fill="auto"/>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pH值（无量纲）</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6.19</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6.48</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6.71</w:t>
                  </w:r>
                </w:p>
              </w:tc>
              <w:tc>
                <w:tcPr>
                  <w:tcW w:w="687" w:type="dxa"/>
                  <w:shd w:val="clear" w:color="auto" w:fill="FFFFFF"/>
                  <w:tcMar>
                    <w:top w:w="15" w:type="dxa"/>
                    <w:left w:w="15" w:type="dxa"/>
                    <w:right w:w="15" w:type="dxa"/>
                  </w:tcMar>
                  <w:vAlign w:val="center"/>
                </w:tcPr>
                <w:p>
                  <w:pPr>
                    <w:pStyle w:val="36"/>
                    <w:bidi w:val="0"/>
                  </w:pPr>
                  <w:r>
                    <w:rPr>
                      <w:rFonts w:hint="eastAsia"/>
                      <w:lang w:val="en-US" w:eastAsia="zh-CN"/>
                    </w:rPr>
                    <w:t>6.19～6.71</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6.82</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6.71</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6.80</w:t>
                  </w:r>
                </w:p>
              </w:tc>
              <w:tc>
                <w:tcPr>
                  <w:tcW w:w="688" w:type="dxa"/>
                  <w:shd w:val="clear" w:color="auto" w:fill="FFFFFF"/>
                  <w:tcMar>
                    <w:top w:w="15" w:type="dxa"/>
                    <w:left w:w="15" w:type="dxa"/>
                    <w:right w:w="15" w:type="dxa"/>
                  </w:tcMar>
                  <w:vAlign w:val="center"/>
                </w:tcPr>
                <w:p>
                  <w:pPr>
                    <w:pStyle w:val="36"/>
                    <w:bidi w:val="0"/>
                  </w:pPr>
                  <w:r>
                    <w:rPr>
                      <w:rFonts w:hint="eastAsia"/>
                      <w:lang w:val="en-US" w:eastAsia="zh-CN"/>
                    </w:rPr>
                    <w:t>6.71～6.82</w:t>
                  </w:r>
                </w:p>
              </w:tc>
              <w:tc>
                <w:tcPr>
                  <w:tcW w:w="584" w:type="dxa"/>
                  <w:shd w:val="clear" w:color="auto" w:fill="FFFFFF"/>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4" w:type="dxa"/>
                  <w:vMerge w:val="continue"/>
                  <w:shd w:val="clear" w:color="auto" w:fill="auto"/>
                  <w:tcMar>
                    <w:top w:w="15" w:type="dxa"/>
                    <w:left w:w="15" w:type="dxa"/>
                    <w:right w:w="15" w:type="dxa"/>
                  </w:tcMar>
                  <w:vAlign w:val="center"/>
                </w:tcPr>
                <w:p>
                  <w:pPr>
                    <w:jc w:val="center"/>
                    <w:rPr>
                      <w:color w:val="000000"/>
                      <w:szCs w:val="21"/>
                    </w:rPr>
                  </w:pPr>
                </w:p>
              </w:tc>
              <w:tc>
                <w:tcPr>
                  <w:tcW w:w="1442" w:type="dxa"/>
                  <w:shd w:val="clear" w:color="auto" w:fill="auto"/>
                  <w:noWrap/>
                  <w:tcMar>
                    <w:top w:w="15" w:type="dxa"/>
                    <w:left w:w="15" w:type="dxa"/>
                    <w:right w:w="15" w:type="dxa"/>
                  </w:tcMar>
                  <w:vAlign w:val="center"/>
                </w:tcPr>
                <w:p>
                  <w:pPr>
                    <w:widowControl/>
                    <w:jc w:val="center"/>
                    <w:textAlignment w:val="center"/>
                    <w:rPr>
                      <w:color w:val="000000"/>
                      <w:szCs w:val="21"/>
                    </w:rPr>
                  </w:pPr>
                  <w:r>
                    <w:rPr>
                      <w:rFonts w:hint="eastAsia"/>
                      <w:color w:val="000000"/>
                      <w:kern w:val="0"/>
                      <w:szCs w:val="21"/>
                      <w:lang w:bidi="ar"/>
                    </w:rPr>
                    <w:t>COD（mg/L）</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17</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18</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16</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17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16</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17</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20</w:t>
                  </w:r>
                </w:p>
              </w:tc>
              <w:tc>
                <w:tcPr>
                  <w:tcW w:w="688" w:type="dxa"/>
                  <w:shd w:val="clear" w:color="auto" w:fill="FFFFFF"/>
                  <w:tcMar>
                    <w:top w:w="15" w:type="dxa"/>
                    <w:left w:w="15" w:type="dxa"/>
                    <w:right w:w="15" w:type="dxa"/>
                  </w:tcMar>
                  <w:vAlign w:val="center"/>
                </w:tcPr>
                <w:p>
                  <w:pPr>
                    <w:pStyle w:val="36"/>
                    <w:bidi w:val="0"/>
                  </w:pPr>
                  <w:r>
                    <w:rPr>
                      <w:rFonts w:hint="eastAsia"/>
                      <w:lang w:val="en-US" w:eastAsia="zh-CN"/>
                    </w:rPr>
                    <w:t>18</w:t>
                  </w:r>
                </w:p>
              </w:tc>
              <w:tc>
                <w:tcPr>
                  <w:tcW w:w="584" w:type="dxa"/>
                  <w:shd w:val="clear" w:color="auto" w:fill="FFFFFF"/>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4" w:type="dxa"/>
                  <w:vMerge w:val="continue"/>
                  <w:shd w:val="clear" w:color="auto" w:fill="auto"/>
                  <w:tcMar>
                    <w:top w:w="15" w:type="dxa"/>
                    <w:left w:w="15" w:type="dxa"/>
                    <w:right w:w="15" w:type="dxa"/>
                  </w:tcMar>
                  <w:vAlign w:val="center"/>
                </w:tcPr>
                <w:p>
                  <w:pPr>
                    <w:jc w:val="center"/>
                    <w:rPr>
                      <w:color w:val="000000"/>
                      <w:szCs w:val="21"/>
                    </w:rPr>
                  </w:pPr>
                </w:p>
              </w:tc>
              <w:tc>
                <w:tcPr>
                  <w:tcW w:w="1442" w:type="dxa"/>
                  <w:shd w:val="clear" w:color="auto" w:fill="auto"/>
                  <w:noWrap/>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氨氮</w:t>
                  </w:r>
                  <w:r>
                    <w:rPr>
                      <w:rFonts w:hint="eastAsia"/>
                      <w:color w:val="000000"/>
                      <w:kern w:val="0"/>
                      <w:szCs w:val="21"/>
                      <w:lang w:bidi="ar"/>
                    </w:rPr>
                    <w:t>（mg/L）</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0.071</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0.065</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0.060</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0.065</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0.082</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0.094</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0.079</w:t>
                  </w:r>
                </w:p>
              </w:tc>
              <w:tc>
                <w:tcPr>
                  <w:tcW w:w="688" w:type="dxa"/>
                  <w:shd w:val="clear" w:color="auto" w:fill="FFFFFF"/>
                  <w:tcMar>
                    <w:top w:w="15" w:type="dxa"/>
                    <w:left w:w="15" w:type="dxa"/>
                    <w:right w:w="15" w:type="dxa"/>
                  </w:tcMar>
                  <w:vAlign w:val="center"/>
                </w:tcPr>
                <w:p>
                  <w:pPr>
                    <w:pStyle w:val="36"/>
                    <w:bidi w:val="0"/>
                  </w:pPr>
                  <w:r>
                    <w:rPr>
                      <w:rFonts w:hint="eastAsia"/>
                      <w:lang w:val="en-US" w:eastAsia="zh-CN"/>
                    </w:rPr>
                    <w:t>0.085</w:t>
                  </w:r>
                </w:p>
              </w:tc>
              <w:tc>
                <w:tcPr>
                  <w:tcW w:w="584" w:type="dxa"/>
                  <w:shd w:val="clear" w:color="auto" w:fill="FFFFFF"/>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4" w:type="dxa"/>
                  <w:vMerge w:val="continue"/>
                  <w:tcMar>
                    <w:top w:w="15" w:type="dxa"/>
                    <w:left w:w="15" w:type="dxa"/>
                    <w:right w:w="15" w:type="dxa"/>
                  </w:tcMar>
                  <w:vAlign w:val="center"/>
                </w:tcPr>
                <w:p>
                  <w:pPr>
                    <w:jc w:val="center"/>
                    <w:rPr>
                      <w:color w:val="000000"/>
                      <w:szCs w:val="21"/>
                    </w:rPr>
                  </w:pPr>
                </w:p>
              </w:tc>
              <w:tc>
                <w:tcPr>
                  <w:tcW w:w="1442" w:type="dxa"/>
                  <w:noWrap/>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石油类</w:t>
                  </w:r>
                  <w:r>
                    <w:rPr>
                      <w:rFonts w:hint="eastAsia"/>
                      <w:color w:val="000000"/>
                      <w:kern w:val="0"/>
                      <w:szCs w:val="21"/>
                      <w:lang w:bidi="ar"/>
                    </w:rPr>
                    <w:t>（mg/L）</w:t>
                  </w:r>
                </w:p>
              </w:tc>
              <w:tc>
                <w:tcPr>
                  <w:tcW w:w="687" w:type="dxa"/>
                  <w:tcMar>
                    <w:top w:w="15" w:type="dxa"/>
                    <w:left w:w="15" w:type="dxa"/>
                    <w:right w:w="15" w:type="dxa"/>
                  </w:tcMar>
                  <w:vAlign w:val="center"/>
                </w:tcPr>
                <w:p>
                  <w:pPr>
                    <w:pStyle w:val="36"/>
                    <w:bidi w:val="0"/>
                  </w:pPr>
                  <w:r>
                    <w:rPr>
                      <w:rFonts w:hint="eastAsia"/>
                      <w:lang w:val="en-US" w:eastAsia="zh-CN"/>
                    </w:rPr>
                    <w:t>0.06L</w:t>
                  </w:r>
                </w:p>
              </w:tc>
              <w:tc>
                <w:tcPr>
                  <w:tcW w:w="687" w:type="dxa"/>
                  <w:tcMar>
                    <w:top w:w="15" w:type="dxa"/>
                    <w:left w:w="15" w:type="dxa"/>
                    <w:right w:w="15" w:type="dxa"/>
                  </w:tcMar>
                  <w:vAlign w:val="center"/>
                </w:tcPr>
                <w:p>
                  <w:pPr>
                    <w:pStyle w:val="36"/>
                    <w:bidi w:val="0"/>
                  </w:pPr>
                  <w:r>
                    <w:rPr>
                      <w:rFonts w:hint="eastAsia"/>
                      <w:lang w:val="en-US" w:eastAsia="zh-CN"/>
                    </w:rPr>
                    <w:t>0.06L</w:t>
                  </w:r>
                </w:p>
              </w:tc>
              <w:tc>
                <w:tcPr>
                  <w:tcW w:w="687" w:type="dxa"/>
                  <w:tcMar>
                    <w:top w:w="15" w:type="dxa"/>
                    <w:left w:w="15" w:type="dxa"/>
                    <w:right w:w="15" w:type="dxa"/>
                  </w:tcMar>
                  <w:vAlign w:val="center"/>
                </w:tcPr>
                <w:p>
                  <w:pPr>
                    <w:pStyle w:val="36"/>
                    <w:bidi w:val="0"/>
                  </w:pPr>
                  <w:r>
                    <w:rPr>
                      <w:rFonts w:hint="eastAsia"/>
                      <w:lang w:val="en-US" w:eastAsia="zh-CN"/>
                    </w:rPr>
                    <w:t>0.06L</w:t>
                  </w:r>
                </w:p>
              </w:tc>
              <w:tc>
                <w:tcPr>
                  <w:tcW w:w="687" w:type="dxa"/>
                  <w:tcMar>
                    <w:top w:w="15" w:type="dxa"/>
                    <w:left w:w="15" w:type="dxa"/>
                    <w:right w:w="15" w:type="dxa"/>
                  </w:tcMar>
                  <w:vAlign w:val="center"/>
                </w:tcPr>
                <w:p>
                  <w:pPr>
                    <w:pStyle w:val="36"/>
                    <w:bidi w:val="0"/>
                  </w:pPr>
                  <w:r>
                    <w:rPr>
                      <w:rFonts w:hint="eastAsia"/>
                      <w:lang w:val="en-US" w:eastAsia="zh-CN"/>
                    </w:rPr>
                    <w:t>/</w:t>
                  </w:r>
                </w:p>
              </w:tc>
              <w:tc>
                <w:tcPr>
                  <w:tcW w:w="687" w:type="dxa"/>
                  <w:tcMar>
                    <w:top w:w="15" w:type="dxa"/>
                    <w:left w:w="15" w:type="dxa"/>
                    <w:right w:w="15" w:type="dxa"/>
                  </w:tcMar>
                  <w:vAlign w:val="center"/>
                </w:tcPr>
                <w:p>
                  <w:pPr>
                    <w:pStyle w:val="36"/>
                    <w:bidi w:val="0"/>
                  </w:pPr>
                  <w:r>
                    <w:rPr>
                      <w:rFonts w:hint="eastAsia"/>
                      <w:lang w:val="en-US" w:eastAsia="zh-CN"/>
                    </w:rPr>
                    <w:t>0.06L</w:t>
                  </w:r>
                </w:p>
              </w:tc>
              <w:tc>
                <w:tcPr>
                  <w:tcW w:w="687" w:type="dxa"/>
                  <w:tcMar>
                    <w:top w:w="15" w:type="dxa"/>
                    <w:left w:w="15" w:type="dxa"/>
                    <w:right w:w="15" w:type="dxa"/>
                  </w:tcMar>
                  <w:vAlign w:val="center"/>
                </w:tcPr>
                <w:p>
                  <w:pPr>
                    <w:pStyle w:val="36"/>
                    <w:bidi w:val="0"/>
                  </w:pPr>
                  <w:r>
                    <w:rPr>
                      <w:rFonts w:hint="eastAsia"/>
                      <w:lang w:val="en-US" w:eastAsia="zh-CN"/>
                    </w:rPr>
                    <w:t>0.06L</w:t>
                  </w:r>
                </w:p>
              </w:tc>
              <w:tc>
                <w:tcPr>
                  <w:tcW w:w="687" w:type="dxa"/>
                  <w:tcMar>
                    <w:top w:w="15" w:type="dxa"/>
                    <w:left w:w="15" w:type="dxa"/>
                    <w:right w:w="15" w:type="dxa"/>
                  </w:tcMar>
                  <w:vAlign w:val="center"/>
                </w:tcPr>
                <w:p>
                  <w:pPr>
                    <w:pStyle w:val="36"/>
                    <w:bidi w:val="0"/>
                  </w:pPr>
                  <w:r>
                    <w:rPr>
                      <w:rFonts w:hint="eastAsia"/>
                      <w:lang w:val="en-US" w:eastAsia="zh-CN"/>
                    </w:rPr>
                    <w:t>0.06L</w:t>
                  </w:r>
                </w:p>
              </w:tc>
              <w:tc>
                <w:tcPr>
                  <w:tcW w:w="688" w:type="dxa"/>
                  <w:tcMar>
                    <w:top w:w="15" w:type="dxa"/>
                    <w:left w:w="15" w:type="dxa"/>
                    <w:right w:w="15" w:type="dxa"/>
                  </w:tcMar>
                  <w:vAlign w:val="center"/>
                </w:tcPr>
                <w:p>
                  <w:pPr>
                    <w:pStyle w:val="36"/>
                    <w:bidi w:val="0"/>
                  </w:pPr>
                  <w:r>
                    <w:rPr>
                      <w:rFonts w:hint="eastAsia"/>
                      <w:lang w:val="en-US" w:eastAsia="zh-CN"/>
                    </w:rPr>
                    <w:t>/</w:t>
                  </w:r>
                </w:p>
              </w:tc>
              <w:tc>
                <w:tcPr>
                  <w:tcW w:w="584" w:type="dxa"/>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4" w:type="dxa"/>
                  <w:vMerge w:val="continue"/>
                  <w:shd w:val="clear" w:color="auto" w:fill="auto"/>
                  <w:tcMar>
                    <w:top w:w="15" w:type="dxa"/>
                    <w:left w:w="15" w:type="dxa"/>
                    <w:right w:w="15" w:type="dxa"/>
                  </w:tcMar>
                  <w:vAlign w:val="center"/>
                </w:tcPr>
                <w:p>
                  <w:pPr>
                    <w:jc w:val="center"/>
                    <w:rPr>
                      <w:color w:val="000000"/>
                      <w:szCs w:val="21"/>
                    </w:rPr>
                  </w:pPr>
                </w:p>
              </w:tc>
              <w:tc>
                <w:tcPr>
                  <w:tcW w:w="1442" w:type="dxa"/>
                  <w:shd w:val="clear" w:color="auto" w:fill="auto"/>
                  <w:noWrap/>
                  <w:tcMar>
                    <w:top w:w="15" w:type="dxa"/>
                    <w:left w:w="15" w:type="dxa"/>
                    <w:right w:w="15" w:type="dxa"/>
                  </w:tcMar>
                  <w:vAlign w:val="center"/>
                </w:tcPr>
                <w:p>
                  <w:pPr>
                    <w:widowControl/>
                    <w:jc w:val="center"/>
                    <w:textAlignment w:val="center"/>
                    <w:rPr>
                      <w:color w:val="000000"/>
                      <w:szCs w:val="21"/>
                    </w:rPr>
                  </w:pPr>
                  <w:r>
                    <w:rPr>
                      <w:rFonts w:hint="eastAsia"/>
                      <w:color w:val="000000"/>
                      <w:szCs w:val="21"/>
                    </w:rPr>
                    <w:t>BOD</w:t>
                  </w:r>
                  <w:r>
                    <w:rPr>
                      <w:rFonts w:hint="eastAsia"/>
                      <w:color w:val="000000"/>
                      <w:szCs w:val="21"/>
                      <w:vertAlign w:val="subscript"/>
                    </w:rPr>
                    <w:t>5</w:t>
                  </w:r>
                  <w:r>
                    <w:rPr>
                      <w:rFonts w:hint="eastAsia"/>
                      <w:color w:val="000000"/>
                      <w:kern w:val="0"/>
                      <w:szCs w:val="21"/>
                      <w:lang w:bidi="ar"/>
                    </w:rPr>
                    <w:t>（mg/L）</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3.0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3.1</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3.1</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3.1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3.6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4.2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4.4 </w:t>
                  </w:r>
                </w:p>
              </w:tc>
              <w:tc>
                <w:tcPr>
                  <w:tcW w:w="688" w:type="dxa"/>
                  <w:shd w:val="clear" w:color="auto" w:fill="FFFFFF"/>
                  <w:tcMar>
                    <w:top w:w="15" w:type="dxa"/>
                    <w:left w:w="15" w:type="dxa"/>
                    <w:right w:w="15" w:type="dxa"/>
                  </w:tcMar>
                  <w:vAlign w:val="center"/>
                </w:tcPr>
                <w:p>
                  <w:pPr>
                    <w:pStyle w:val="36"/>
                    <w:bidi w:val="0"/>
                  </w:pPr>
                  <w:r>
                    <w:rPr>
                      <w:rFonts w:hint="eastAsia"/>
                      <w:lang w:val="en-US" w:eastAsia="zh-CN"/>
                    </w:rPr>
                    <w:t xml:space="preserve">4.1 </w:t>
                  </w:r>
                </w:p>
              </w:tc>
              <w:tc>
                <w:tcPr>
                  <w:tcW w:w="584" w:type="dxa"/>
                  <w:shd w:val="clear" w:color="auto" w:fill="FFFFFF"/>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4" w:type="dxa"/>
                  <w:vMerge w:val="continue"/>
                  <w:tcMar>
                    <w:top w:w="15" w:type="dxa"/>
                    <w:left w:w="15" w:type="dxa"/>
                    <w:right w:w="15" w:type="dxa"/>
                  </w:tcMar>
                  <w:vAlign w:val="center"/>
                </w:tcPr>
                <w:p>
                  <w:pPr>
                    <w:jc w:val="center"/>
                    <w:rPr>
                      <w:color w:val="000000"/>
                      <w:szCs w:val="21"/>
                    </w:rPr>
                  </w:pPr>
                </w:p>
              </w:tc>
              <w:tc>
                <w:tcPr>
                  <w:tcW w:w="1442" w:type="dxa"/>
                  <w:noWrap/>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余氯</w:t>
                  </w:r>
                  <w:r>
                    <w:rPr>
                      <w:rFonts w:hint="eastAsia"/>
                      <w:color w:val="000000"/>
                      <w:kern w:val="0"/>
                      <w:szCs w:val="21"/>
                      <w:lang w:bidi="ar"/>
                    </w:rPr>
                    <w:t>（mg/L）</w:t>
                  </w:r>
                </w:p>
              </w:tc>
              <w:tc>
                <w:tcPr>
                  <w:tcW w:w="687" w:type="dxa"/>
                  <w:tcMar>
                    <w:top w:w="15" w:type="dxa"/>
                    <w:left w:w="15" w:type="dxa"/>
                    <w:right w:w="15" w:type="dxa"/>
                  </w:tcMar>
                  <w:vAlign w:val="center"/>
                </w:tcPr>
                <w:p>
                  <w:pPr>
                    <w:pStyle w:val="36"/>
                    <w:bidi w:val="0"/>
                  </w:pPr>
                  <w:r>
                    <w:rPr>
                      <w:rFonts w:hint="eastAsia"/>
                      <w:lang w:val="en-US" w:eastAsia="zh-CN"/>
                    </w:rPr>
                    <w:t>0.012</w:t>
                  </w:r>
                </w:p>
              </w:tc>
              <w:tc>
                <w:tcPr>
                  <w:tcW w:w="687" w:type="dxa"/>
                  <w:tcMar>
                    <w:top w:w="15" w:type="dxa"/>
                    <w:left w:w="15" w:type="dxa"/>
                    <w:right w:w="15" w:type="dxa"/>
                  </w:tcMar>
                  <w:vAlign w:val="center"/>
                </w:tcPr>
                <w:p>
                  <w:pPr>
                    <w:pStyle w:val="36"/>
                    <w:bidi w:val="0"/>
                  </w:pPr>
                  <w:r>
                    <w:rPr>
                      <w:rFonts w:hint="eastAsia"/>
                      <w:lang w:val="en-US" w:eastAsia="zh-CN"/>
                    </w:rPr>
                    <w:t>0.011</w:t>
                  </w:r>
                </w:p>
              </w:tc>
              <w:tc>
                <w:tcPr>
                  <w:tcW w:w="687" w:type="dxa"/>
                  <w:tcMar>
                    <w:top w:w="15" w:type="dxa"/>
                    <w:left w:w="15" w:type="dxa"/>
                    <w:right w:w="15" w:type="dxa"/>
                  </w:tcMar>
                  <w:vAlign w:val="center"/>
                </w:tcPr>
                <w:p>
                  <w:pPr>
                    <w:pStyle w:val="36"/>
                    <w:bidi w:val="0"/>
                  </w:pPr>
                  <w:r>
                    <w:rPr>
                      <w:rFonts w:hint="eastAsia"/>
                      <w:lang w:val="en-US" w:eastAsia="zh-CN"/>
                    </w:rPr>
                    <w:t>0.013</w:t>
                  </w:r>
                </w:p>
              </w:tc>
              <w:tc>
                <w:tcPr>
                  <w:tcW w:w="687" w:type="dxa"/>
                  <w:tcMar>
                    <w:top w:w="15" w:type="dxa"/>
                    <w:left w:w="15" w:type="dxa"/>
                    <w:right w:w="15" w:type="dxa"/>
                  </w:tcMar>
                  <w:vAlign w:val="center"/>
                </w:tcPr>
                <w:p>
                  <w:pPr>
                    <w:pStyle w:val="36"/>
                    <w:bidi w:val="0"/>
                  </w:pPr>
                  <w:r>
                    <w:rPr>
                      <w:rFonts w:hint="eastAsia"/>
                      <w:lang w:val="en-US" w:eastAsia="zh-CN"/>
                    </w:rPr>
                    <w:t xml:space="preserve">0.012 </w:t>
                  </w:r>
                </w:p>
              </w:tc>
              <w:tc>
                <w:tcPr>
                  <w:tcW w:w="687" w:type="dxa"/>
                  <w:tcMar>
                    <w:top w:w="15" w:type="dxa"/>
                    <w:left w:w="15" w:type="dxa"/>
                    <w:right w:w="15" w:type="dxa"/>
                  </w:tcMar>
                  <w:vAlign w:val="center"/>
                </w:tcPr>
                <w:p>
                  <w:pPr>
                    <w:pStyle w:val="36"/>
                    <w:bidi w:val="0"/>
                  </w:pPr>
                  <w:r>
                    <w:rPr>
                      <w:rFonts w:hint="eastAsia"/>
                      <w:lang w:val="en-US" w:eastAsia="zh-CN"/>
                    </w:rPr>
                    <w:t>0.049</w:t>
                  </w:r>
                </w:p>
              </w:tc>
              <w:tc>
                <w:tcPr>
                  <w:tcW w:w="687" w:type="dxa"/>
                  <w:tcMar>
                    <w:top w:w="15" w:type="dxa"/>
                    <w:left w:w="15" w:type="dxa"/>
                    <w:right w:w="15" w:type="dxa"/>
                  </w:tcMar>
                  <w:vAlign w:val="center"/>
                </w:tcPr>
                <w:p>
                  <w:pPr>
                    <w:pStyle w:val="36"/>
                    <w:bidi w:val="0"/>
                  </w:pPr>
                  <w:r>
                    <w:rPr>
                      <w:rFonts w:hint="eastAsia"/>
                      <w:lang w:val="en-US" w:eastAsia="zh-CN"/>
                    </w:rPr>
                    <w:t>0.046</w:t>
                  </w:r>
                </w:p>
              </w:tc>
              <w:tc>
                <w:tcPr>
                  <w:tcW w:w="687" w:type="dxa"/>
                  <w:tcMar>
                    <w:top w:w="15" w:type="dxa"/>
                    <w:left w:w="15" w:type="dxa"/>
                    <w:right w:w="15" w:type="dxa"/>
                  </w:tcMar>
                  <w:vAlign w:val="center"/>
                </w:tcPr>
                <w:p>
                  <w:pPr>
                    <w:pStyle w:val="36"/>
                    <w:bidi w:val="0"/>
                  </w:pPr>
                  <w:r>
                    <w:rPr>
                      <w:rFonts w:hint="eastAsia"/>
                      <w:lang w:val="en-US" w:eastAsia="zh-CN"/>
                    </w:rPr>
                    <w:t>0.045</w:t>
                  </w:r>
                </w:p>
              </w:tc>
              <w:tc>
                <w:tcPr>
                  <w:tcW w:w="688" w:type="dxa"/>
                  <w:tcMar>
                    <w:top w:w="15" w:type="dxa"/>
                    <w:left w:w="15" w:type="dxa"/>
                    <w:right w:w="15" w:type="dxa"/>
                  </w:tcMar>
                  <w:vAlign w:val="center"/>
                </w:tcPr>
                <w:p>
                  <w:pPr>
                    <w:pStyle w:val="36"/>
                    <w:bidi w:val="0"/>
                  </w:pPr>
                  <w:r>
                    <w:rPr>
                      <w:rFonts w:hint="eastAsia"/>
                      <w:lang w:val="en-US" w:eastAsia="zh-CN"/>
                    </w:rPr>
                    <w:t>0.047</w:t>
                  </w:r>
                </w:p>
              </w:tc>
              <w:tc>
                <w:tcPr>
                  <w:tcW w:w="584" w:type="dxa"/>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4" w:type="dxa"/>
                  <w:vMerge w:val="continue"/>
                  <w:shd w:val="clear" w:color="auto" w:fill="auto"/>
                  <w:tcMar>
                    <w:top w:w="15" w:type="dxa"/>
                    <w:left w:w="15" w:type="dxa"/>
                    <w:right w:w="15" w:type="dxa"/>
                  </w:tcMar>
                  <w:vAlign w:val="center"/>
                </w:tcPr>
                <w:p>
                  <w:pPr>
                    <w:jc w:val="center"/>
                    <w:rPr>
                      <w:color w:val="000000"/>
                      <w:szCs w:val="21"/>
                    </w:rPr>
                  </w:pPr>
                </w:p>
              </w:tc>
              <w:tc>
                <w:tcPr>
                  <w:tcW w:w="1442" w:type="dxa"/>
                  <w:shd w:val="clear" w:color="auto" w:fill="auto"/>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总磷</w:t>
                  </w:r>
                  <w:r>
                    <w:rPr>
                      <w:rFonts w:hint="eastAsia"/>
                      <w:color w:val="000000"/>
                      <w:kern w:val="0"/>
                      <w:szCs w:val="21"/>
                      <w:lang w:bidi="ar"/>
                    </w:rPr>
                    <w:t>（mg/L）</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0.010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0.012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0.013</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0.012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0.012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0.010 </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 xml:space="preserve">0.010 </w:t>
                  </w:r>
                </w:p>
              </w:tc>
              <w:tc>
                <w:tcPr>
                  <w:tcW w:w="688" w:type="dxa"/>
                  <w:shd w:val="clear" w:color="auto" w:fill="FFFFFF"/>
                  <w:tcMar>
                    <w:top w:w="15" w:type="dxa"/>
                    <w:left w:w="15" w:type="dxa"/>
                    <w:right w:w="15" w:type="dxa"/>
                  </w:tcMar>
                  <w:vAlign w:val="center"/>
                </w:tcPr>
                <w:p>
                  <w:pPr>
                    <w:pStyle w:val="36"/>
                    <w:bidi w:val="0"/>
                  </w:pPr>
                  <w:r>
                    <w:rPr>
                      <w:rFonts w:hint="eastAsia"/>
                      <w:lang w:val="en-US" w:eastAsia="zh-CN"/>
                    </w:rPr>
                    <w:t xml:space="preserve">0.011 </w:t>
                  </w:r>
                </w:p>
              </w:tc>
              <w:tc>
                <w:tcPr>
                  <w:tcW w:w="584" w:type="dxa"/>
                  <w:shd w:val="clear" w:color="auto" w:fill="FFFFFF"/>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4" w:type="dxa"/>
                  <w:vMerge w:val="continue"/>
                  <w:shd w:val="clear" w:color="auto" w:fill="auto"/>
                  <w:tcMar>
                    <w:top w:w="15" w:type="dxa"/>
                    <w:left w:w="15" w:type="dxa"/>
                    <w:right w:w="15" w:type="dxa"/>
                  </w:tcMar>
                  <w:vAlign w:val="center"/>
                </w:tcPr>
                <w:p>
                  <w:pPr>
                    <w:jc w:val="center"/>
                    <w:rPr>
                      <w:color w:val="000000"/>
                      <w:szCs w:val="21"/>
                    </w:rPr>
                  </w:pPr>
                </w:p>
              </w:tc>
              <w:tc>
                <w:tcPr>
                  <w:tcW w:w="1442" w:type="dxa"/>
                  <w:shd w:val="clear" w:color="auto" w:fill="auto"/>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粪大肠菌群(MPN/L)</w:t>
                  </w:r>
                </w:p>
              </w:tc>
              <w:tc>
                <w:tcPr>
                  <w:tcW w:w="687" w:type="dxa"/>
                  <w:shd w:val="clear" w:color="auto" w:fill="FFFFFF"/>
                  <w:tcMar>
                    <w:top w:w="15" w:type="dxa"/>
                    <w:left w:w="15" w:type="dxa"/>
                    <w:right w:w="15" w:type="dxa"/>
                  </w:tcMar>
                  <w:vAlign w:val="center"/>
                </w:tcPr>
                <w:p>
                  <w:pPr>
                    <w:pStyle w:val="36"/>
                    <w:bidi w:val="0"/>
                  </w:pPr>
                  <w:r>
                    <w:rPr>
                      <w:rFonts w:hint="eastAsia"/>
                      <w:lang w:val="en-US" w:eastAsia="zh-CN"/>
                    </w:rPr>
                    <w:t>90</w:t>
                  </w:r>
                </w:p>
              </w:tc>
              <w:tc>
                <w:tcPr>
                  <w:tcW w:w="687" w:type="dxa"/>
                  <w:shd w:val="clear" w:color="auto" w:fill="FFFFFF"/>
                  <w:tcMar>
                    <w:top w:w="15" w:type="dxa"/>
                    <w:left w:w="15" w:type="dxa"/>
                    <w:right w:w="15" w:type="dxa"/>
                  </w:tcMar>
                  <w:vAlign w:val="center"/>
                </w:tcPr>
                <w:p>
                  <w:pPr>
                    <w:pStyle w:val="36"/>
                    <w:bidi w:val="0"/>
                  </w:pPr>
                  <w:r>
                    <w:rPr>
                      <w:rFonts w:hint="eastAsia"/>
                      <w:lang w:val="en-US" w:eastAsia="zh-CN"/>
                    </w:rPr>
                    <w:t>1.7</w:t>
                  </w:r>
                  <w:r>
                    <w:rPr>
                      <w:lang w:val="en-US" w:eastAsia="zh-CN"/>
                    </w:rPr>
                    <w:t>×</w:t>
                  </w:r>
                  <w:r>
                    <w:rPr>
                      <w:rFonts w:hint="eastAsia"/>
                      <w:lang w:val="en-US" w:eastAsia="zh-CN"/>
                    </w:rPr>
                    <w:t>10</w:t>
                  </w:r>
                  <w:r>
                    <w:rPr>
                      <w:rFonts w:hint="eastAsia"/>
                      <w:vertAlign w:val="superscript"/>
                      <w:lang w:val="en-US" w:eastAsia="zh-CN"/>
                    </w:rPr>
                    <w:t>2</w:t>
                  </w:r>
                </w:p>
              </w:tc>
              <w:tc>
                <w:tcPr>
                  <w:tcW w:w="687" w:type="dxa"/>
                  <w:shd w:val="clear" w:color="auto" w:fill="FFFFFF"/>
                  <w:tcMar>
                    <w:top w:w="15" w:type="dxa"/>
                    <w:left w:w="15" w:type="dxa"/>
                    <w:right w:w="15" w:type="dxa"/>
                  </w:tcMar>
                  <w:vAlign w:val="center"/>
                </w:tcPr>
                <w:p>
                  <w:pPr>
                    <w:pStyle w:val="36"/>
                    <w:bidi w:val="0"/>
                  </w:pPr>
                  <w:r>
                    <w:rPr>
                      <w:rFonts w:hint="eastAsia"/>
                      <w:lang w:val="en-US" w:eastAsia="zh-CN"/>
                    </w:rPr>
                    <w:t>1.4</w:t>
                  </w:r>
                  <w:r>
                    <w:rPr>
                      <w:lang w:val="en-US" w:eastAsia="zh-CN"/>
                    </w:rPr>
                    <w:t>×</w:t>
                  </w:r>
                  <w:r>
                    <w:rPr>
                      <w:rFonts w:hint="eastAsia"/>
                      <w:lang w:val="en-US" w:eastAsia="zh-CN"/>
                    </w:rPr>
                    <w:t>10</w:t>
                  </w:r>
                  <w:r>
                    <w:rPr>
                      <w:rFonts w:hint="eastAsia"/>
                      <w:vertAlign w:val="superscript"/>
                      <w:lang w:val="en-US" w:eastAsia="zh-CN"/>
                    </w:rPr>
                    <w:t>2</w:t>
                  </w:r>
                </w:p>
              </w:tc>
              <w:tc>
                <w:tcPr>
                  <w:tcW w:w="687" w:type="dxa"/>
                  <w:shd w:val="clear" w:color="auto" w:fill="auto"/>
                  <w:tcMar>
                    <w:top w:w="15" w:type="dxa"/>
                    <w:left w:w="15" w:type="dxa"/>
                    <w:right w:w="15" w:type="dxa"/>
                  </w:tcMar>
                  <w:vAlign w:val="center"/>
                </w:tcPr>
                <w:p>
                  <w:pPr>
                    <w:pStyle w:val="36"/>
                    <w:bidi w:val="0"/>
                  </w:pPr>
                  <w:r>
                    <w:rPr>
                      <w:rFonts w:hint="eastAsia"/>
                      <w:lang w:val="en-US" w:eastAsia="zh-CN"/>
                    </w:rPr>
                    <w:t>/</w:t>
                  </w:r>
                </w:p>
              </w:tc>
              <w:tc>
                <w:tcPr>
                  <w:tcW w:w="687" w:type="dxa"/>
                  <w:shd w:val="clear" w:color="auto" w:fill="FFFFFF"/>
                  <w:tcMar>
                    <w:top w:w="15" w:type="dxa"/>
                    <w:left w:w="15" w:type="dxa"/>
                    <w:right w:w="15" w:type="dxa"/>
                  </w:tcMar>
                  <w:vAlign w:val="center"/>
                </w:tcPr>
                <w:p>
                  <w:pPr>
                    <w:pStyle w:val="36"/>
                    <w:bidi w:val="0"/>
                  </w:pPr>
                  <w:r>
                    <w:rPr>
                      <w:rFonts w:hint="eastAsia"/>
                      <w:lang w:val="en-US" w:eastAsia="zh-CN"/>
                    </w:rPr>
                    <w:t>80</w:t>
                  </w:r>
                </w:p>
              </w:tc>
              <w:tc>
                <w:tcPr>
                  <w:tcW w:w="687" w:type="dxa"/>
                  <w:shd w:val="clear" w:color="auto" w:fill="FFFFFF"/>
                  <w:tcMar>
                    <w:top w:w="15" w:type="dxa"/>
                    <w:left w:w="15" w:type="dxa"/>
                    <w:right w:w="15" w:type="dxa"/>
                  </w:tcMar>
                  <w:vAlign w:val="center"/>
                </w:tcPr>
                <w:p>
                  <w:pPr>
                    <w:pStyle w:val="36"/>
                    <w:bidi w:val="0"/>
                  </w:pPr>
                  <w:r>
                    <w:rPr>
                      <w:rFonts w:hint="eastAsia"/>
                      <w:lang w:val="en-US" w:eastAsia="zh-CN"/>
                    </w:rPr>
                    <w:t>1.7</w:t>
                  </w:r>
                  <w:r>
                    <w:rPr>
                      <w:lang w:val="en-US" w:eastAsia="zh-CN"/>
                    </w:rPr>
                    <w:t>×</w:t>
                  </w:r>
                  <w:r>
                    <w:rPr>
                      <w:rFonts w:hint="eastAsia"/>
                      <w:lang w:val="en-US" w:eastAsia="zh-CN"/>
                    </w:rPr>
                    <w:t>10</w:t>
                  </w:r>
                  <w:r>
                    <w:rPr>
                      <w:rFonts w:hint="eastAsia"/>
                      <w:vertAlign w:val="superscript"/>
                      <w:lang w:val="en-US" w:eastAsia="zh-CN"/>
                    </w:rPr>
                    <w:t>2</w:t>
                  </w:r>
                </w:p>
              </w:tc>
              <w:tc>
                <w:tcPr>
                  <w:tcW w:w="687" w:type="dxa"/>
                  <w:shd w:val="clear" w:color="auto" w:fill="FFFFFF"/>
                  <w:tcMar>
                    <w:top w:w="15" w:type="dxa"/>
                    <w:left w:w="15" w:type="dxa"/>
                    <w:right w:w="15" w:type="dxa"/>
                  </w:tcMar>
                  <w:vAlign w:val="center"/>
                </w:tcPr>
                <w:p>
                  <w:pPr>
                    <w:pStyle w:val="36"/>
                    <w:bidi w:val="0"/>
                  </w:pPr>
                  <w:r>
                    <w:rPr>
                      <w:rFonts w:hint="eastAsia"/>
                      <w:lang w:val="en-US" w:eastAsia="zh-CN"/>
                    </w:rPr>
                    <w:t>1.2</w:t>
                  </w:r>
                  <w:r>
                    <w:rPr>
                      <w:lang w:val="en-US" w:eastAsia="zh-CN"/>
                    </w:rPr>
                    <w:t>×</w:t>
                  </w:r>
                  <w:r>
                    <w:rPr>
                      <w:rFonts w:hint="eastAsia"/>
                      <w:lang w:val="en-US" w:eastAsia="zh-CN"/>
                    </w:rPr>
                    <w:t>10</w:t>
                  </w:r>
                  <w:r>
                    <w:rPr>
                      <w:rFonts w:hint="eastAsia"/>
                      <w:vertAlign w:val="superscript"/>
                      <w:lang w:val="en-US" w:eastAsia="zh-CN"/>
                    </w:rPr>
                    <w:t>2</w:t>
                  </w:r>
                </w:p>
              </w:tc>
              <w:tc>
                <w:tcPr>
                  <w:tcW w:w="688" w:type="dxa"/>
                  <w:tcMar>
                    <w:top w:w="15" w:type="dxa"/>
                    <w:left w:w="15" w:type="dxa"/>
                    <w:right w:w="15" w:type="dxa"/>
                  </w:tcMar>
                  <w:vAlign w:val="center"/>
                </w:tcPr>
                <w:p>
                  <w:pPr>
                    <w:pStyle w:val="36"/>
                    <w:bidi w:val="0"/>
                  </w:pPr>
                  <w:r>
                    <w:rPr>
                      <w:rFonts w:hint="eastAsia"/>
                      <w:lang w:val="en-US" w:eastAsia="zh-CN"/>
                    </w:rPr>
                    <w:t>/</w:t>
                  </w:r>
                </w:p>
              </w:tc>
              <w:tc>
                <w:tcPr>
                  <w:tcW w:w="584" w:type="dxa"/>
                  <w:tcMar>
                    <w:top w:w="15" w:type="dxa"/>
                    <w:left w:w="15" w:type="dxa"/>
                    <w:right w:w="15" w:type="dxa"/>
                  </w:tcMar>
                  <w:vAlign w:val="center"/>
                </w:tcPr>
                <w:p>
                  <w:pPr>
                    <w:widowControl/>
                    <w:jc w:val="center"/>
                    <w:textAlignment w:val="center"/>
                    <w:rPr>
                      <w:color w:val="000000"/>
                      <w:kern w:val="0"/>
                      <w:szCs w:val="21"/>
                      <w:lang w:bidi="ar"/>
                    </w:rPr>
                  </w:pPr>
                  <w:r>
                    <w:rPr>
                      <w:rFonts w:hint="eastAsia"/>
                      <w:color w:val="000000"/>
                      <w:kern w:val="0"/>
                      <w:szCs w:val="21"/>
                      <w:lang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1906" w:type="dxa"/>
                  <w:gridSpan w:val="2"/>
                  <w:noWrap/>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备注</w:t>
                  </w:r>
                </w:p>
              </w:tc>
              <w:tc>
                <w:tcPr>
                  <w:tcW w:w="6081" w:type="dxa"/>
                  <w:gridSpan w:val="9"/>
                  <w:tcMar>
                    <w:top w:w="15" w:type="dxa"/>
                    <w:left w:w="15" w:type="dxa"/>
                    <w:right w:w="15" w:type="dxa"/>
                  </w:tcMar>
                  <w:vAlign w:val="center"/>
                </w:tcPr>
                <w:p>
                  <w:pPr>
                    <w:widowControl/>
                    <w:jc w:val="center"/>
                    <w:textAlignment w:val="center"/>
                    <w:rPr>
                      <w:color w:val="000000"/>
                      <w:kern w:val="0"/>
                      <w:szCs w:val="21"/>
                      <w:lang w:bidi="ar"/>
                    </w:rPr>
                  </w:pPr>
                  <w:r>
                    <w:rPr>
                      <w:color w:val="000000"/>
                      <w:kern w:val="0"/>
                      <w:szCs w:val="21"/>
                      <w:lang w:bidi="ar"/>
                    </w:rPr>
                    <w:t>“L”表示未检出，即检测结果低于方法检出限。</w:t>
                  </w:r>
                </w:p>
              </w:tc>
            </w:tr>
          </w:tbl>
          <w:p>
            <w:pPr>
              <w:spacing w:line="360" w:lineRule="auto"/>
              <w:ind w:firstLine="480" w:firstLineChars="200"/>
              <w:rPr>
                <w:rFonts w:hAnsi="宋体"/>
                <w:sz w:val="24"/>
              </w:rPr>
            </w:pPr>
            <w:r>
              <w:rPr>
                <w:rFonts w:hint="eastAsia" w:hAnsi="宋体"/>
                <w:sz w:val="24"/>
              </w:rPr>
              <w:t>由上表可知，项目现有废水满足《医疗机构水污染物排放标准》（GB18466-2005）表2（预处理）标准及</w:t>
            </w:r>
            <w:r>
              <w:rPr>
                <w:rFonts w:hint="eastAsia" w:hAnsi="宋体"/>
                <w:sz w:val="24"/>
                <w:lang w:eastAsia="zh-CN"/>
              </w:rPr>
              <w:t>三阳港镇</w:t>
            </w:r>
            <w:r>
              <w:rPr>
                <w:rFonts w:hint="eastAsia" w:hAnsi="宋体"/>
                <w:sz w:val="24"/>
              </w:rPr>
              <w:t>污水厂进水水质要求。</w:t>
            </w:r>
          </w:p>
          <w:p>
            <w:pPr>
              <w:spacing w:line="360" w:lineRule="auto"/>
              <w:ind w:firstLine="480" w:firstLineChars="200"/>
              <w:rPr>
                <w:sz w:val="24"/>
              </w:rPr>
            </w:pPr>
            <w:r>
              <w:rPr>
                <w:rFonts w:hint="eastAsia" w:cs="宋体"/>
                <w:sz w:val="24"/>
              </w:rPr>
              <w:t>3、噪声</w:t>
            </w:r>
          </w:p>
          <w:p>
            <w:pPr>
              <w:adjustRightInd w:val="0"/>
              <w:snapToGrid w:val="0"/>
              <w:spacing w:line="360" w:lineRule="auto"/>
              <w:ind w:firstLine="480" w:firstLineChars="200"/>
              <w:rPr>
                <w:sz w:val="24"/>
              </w:rPr>
            </w:pPr>
            <w:r>
              <w:rPr>
                <w:sz w:val="24"/>
              </w:rPr>
              <w:t>项目营运期噪声主要来源于</w:t>
            </w:r>
            <w:r>
              <w:rPr>
                <w:rFonts w:hint="eastAsia"/>
                <w:sz w:val="24"/>
              </w:rPr>
              <w:t>单体式空调外机</w:t>
            </w:r>
            <w:r>
              <w:rPr>
                <w:sz w:val="24"/>
              </w:rPr>
              <w:t>运行时所产生的噪声和人员活动社会噪声，噪声源强为</w:t>
            </w:r>
            <w:r>
              <w:rPr>
                <w:rFonts w:hint="eastAsia"/>
                <w:sz w:val="24"/>
              </w:rPr>
              <w:t>60</w:t>
            </w:r>
            <w:r>
              <w:rPr>
                <w:sz w:val="24"/>
              </w:rPr>
              <w:t>～</w:t>
            </w:r>
            <w:r>
              <w:rPr>
                <w:rFonts w:hint="eastAsia"/>
                <w:sz w:val="24"/>
              </w:rPr>
              <w:t>70</w:t>
            </w:r>
            <w:r>
              <w:rPr>
                <w:sz w:val="24"/>
              </w:rPr>
              <w:t>dB。项目噪声污染源分析结果见下表。</w:t>
            </w:r>
          </w:p>
          <w:p>
            <w:pPr>
              <w:adjustRightInd w:val="0"/>
              <w:snapToGrid w:val="0"/>
              <w:jc w:val="center"/>
              <w:rPr>
                <w:b/>
                <w:szCs w:val="21"/>
              </w:rPr>
            </w:pPr>
            <w:r>
              <w:rPr>
                <w:rFonts w:hint="eastAsia"/>
                <w:b/>
                <w:szCs w:val="21"/>
              </w:rPr>
              <w:t>表2-12项目主要噪声源及噪声级单位：dB（A）</w:t>
            </w:r>
          </w:p>
          <w:tbl>
            <w:tblPr>
              <w:tblStyle w:val="27"/>
              <w:tblW w:w="7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3437"/>
              <w:gridCol w:w="2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4" w:type="dxa"/>
                  <w:vAlign w:val="center"/>
                </w:tcPr>
                <w:p>
                  <w:pPr>
                    <w:adjustRightInd w:val="0"/>
                    <w:snapToGrid w:val="0"/>
                    <w:jc w:val="center"/>
                    <w:rPr>
                      <w:b/>
                      <w:bCs/>
                      <w:szCs w:val="21"/>
                    </w:rPr>
                  </w:pPr>
                  <w:r>
                    <w:rPr>
                      <w:rFonts w:hint="eastAsia"/>
                      <w:b/>
                      <w:bCs/>
                      <w:szCs w:val="21"/>
                    </w:rPr>
                    <w:t>序号</w:t>
                  </w:r>
                </w:p>
              </w:tc>
              <w:tc>
                <w:tcPr>
                  <w:tcW w:w="3437" w:type="dxa"/>
                  <w:vAlign w:val="center"/>
                </w:tcPr>
                <w:p>
                  <w:pPr>
                    <w:adjustRightInd w:val="0"/>
                    <w:snapToGrid w:val="0"/>
                    <w:jc w:val="center"/>
                    <w:rPr>
                      <w:b/>
                      <w:bCs/>
                      <w:szCs w:val="21"/>
                    </w:rPr>
                  </w:pPr>
                  <w:r>
                    <w:rPr>
                      <w:rFonts w:hint="eastAsia"/>
                      <w:b/>
                      <w:bCs/>
                      <w:szCs w:val="21"/>
                    </w:rPr>
                    <w:t>设备名称</w:t>
                  </w:r>
                </w:p>
              </w:tc>
              <w:tc>
                <w:tcPr>
                  <w:tcW w:w="2959" w:type="dxa"/>
                  <w:vAlign w:val="center"/>
                </w:tcPr>
                <w:p>
                  <w:pPr>
                    <w:adjustRightInd w:val="0"/>
                    <w:snapToGrid w:val="0"/>
                    <w:jc w:val="center"/>
                    <w:rPr>
                      <w:b/>
                      <w:bCs/>
                      <w:szCs w:val="21"/>
                    </w:rPr>
                  </w:pPr>
                  <w:r>
                    <w:rPr>
                      <w:rFonts w:hint="eastAsia"/>
                      <w:b/>
                      <w:bCs/>
                      <w:szCs w:val="21"/>
                    </w:rPr>
                    <w:t>噪声声压级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4" w:type="dxa"/>
                  <w:vAlign w:val="center"/>
                </w:tcPr>
                <w:p>
                  <w:pPr>
                    <w:adjustRightInd w:val="0"/>
                    <w:snapToGrid w:val="0"/>
                    <w:jc w:val="center"/>
                    <w:rPr>
                      <w:szCs w:val="21"/>
                    </w:rPr>
                  </w:pPr>
                  <w:r>
                    <w:rPr>
                      <w:rFonts w:hint="eastAsia"/>
                      <w:szCs w:val="21"/>
                    </w:rPr>
                    <w:t>1</w:t>
                  </w:r>
                </w:p>
              </w:tc>
              <w:tc>
                <w:tcPr>
                  <w:tcW w:w="3437" w:type="dxa"/>
                  <w:vAlign w:val="center"/>
                </w:tcPr>
                <w:p>
                  <w:pPr>
                    <w:adjustRightInd w:val="0"/>
                    <w:snapToGrid w:val="0"/>
                    <w:jc w:val="center"/>
                    <w:rPr>
                      <w:szCs w:val="21"/>
                    </w:rPr>
                  </w:pPr>
                  <w:r>
                    <w:rPr>
                      <w:rFonts w:hint="eastAsia"/>
                      <w:szCs w:val="21"/>
                    </w:rPr>
                    <w:t>单体式空调外机</w:t>
                  </w:r>
                </w:p>
              </w:tc>
              <w:tc>
                <w:tcPr>
                  <w:tcW w:w="2959" w:type="dxa"/>
                  <w:vAlign w:val="center"/>
                </w:tcPr>
                <w:p>
                  <w:pPr>
                    <w:adjustRightInd w:val="0"/>
                    <w:snapToGrid w:val="0"/>
                    <w:jc w:val="center"/>
                    <w:rPr>
                      <w:szCs w:val="21"/>
                    </w:rPr>
                  </w:pPr>
                  <w:r>
                    <w:rPr>
                      <w:rFonts w:hint="eastAsia"/>
                      <w:szCs w:val="21"/>
                    </w:rPr>
                    <w:t>65~</w:t>
                  </w:r>
                  <w:r>
                    <w:rPr>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4" w:type="dxa"/>
                  <w:vAlign w:val="center"/>
                </w:tcPr>
                <w:p>
                  <w:pPr>
                    <w:adjustRightInd w:val="0"/>
                    <w:snapToGrid w:val="0"/>
                    <w:jc w:val="center"/>
                    <w:rPr>
                      <w:szCs w:val="21"/>
                    </w:rPr>
                  </w:pPr>
                  <w:r>
                    <w:rPr>
                      <w:rFonts w:hint="eastAsia"/>
                      <w:szCs w:val="21"/>
                    </w:rPr>
                    <w:t>2</w:t>
                  </w:r>
                </w:p>
              </w:tc>
              <w:tc>
                <w:tcPr>
                  <w:tcW w:w="3437" w:type="dxa"/>
                  <w:vAlign w:val="center"/>
                </w:tcPr>
                <w:p>
                  <w:pPr>
                    <w:adjustRightInd w:val="0"/>
                    <w:snapToGrid w:val="0"/>
                    <w:jc w:val="center"/>
                    <w:rPr>
                      <w:szCs w:val="21"/>
                    </w:rPr>
                  </w:pPr>
                  <w:r>
                    <w:rPr>
                      <w:rFonts w:hint="eastAsia"/>
                      <w:szCs w:val="21"/>
                    </w:rPr>
                    <w:t>人员活动社会噪声</w:t>
                  </w:r>
                </w:p>
              </w:tc>
              <w:tc>
                <w:tcPr>
                  <w:tcW w:w="2959" w:type="dxa"/>
                  <w:vAlign w:val="center"/>
                </w:tcPr>
                <w:p>
                  <w:pPr>
                    <w:adjustRightInd w:val="0"/>
                    <w:snapToGrid w:val="0"/>
                    <w:jc w:val="center"/>
                    <w:rPr>
                      <w:szCs w:val="21"/>
                    </w:rPr>
                  </w:pPr>
                  <w:r>
                    <w:rPr>
                      <w:rFonts w:hint="eastAsia"/>
                      <w:szCs w:val="21"/>
                    </w:rPr>
                    <w:t>60~</w:t>
                  </w:r>
                  <w:r>
                    <w:rPr>
                      <w:szCs w:val="21"/>
                    </w:rPr>
                    <w:t>70</w:t>
                  </w:r>
                </w:p>
              </w:tc>
            </w:tr>
          </w:tbl>
          <w:p>
            <w:pPr>
              <w:adjustRightInd w:val="0"/>
              <w:snapToGrid w:val="0"/>
              <w:spacing w:line="360" w:lineRule="auto"/>
              <w:ind w:firstLine="480" w:firstLineChars="200"/>
              <w:rPr>
                <w:sz w:val="24"/>
              </w:rPr>
            </w:pPr>
            <w:r>
              <w:rPr>
                <w:sz w:val="24"/>
              </w:rPr>
              <w:t>本环评委托湖南</w:t>
            </w:r>
            <w:r>
              <w:rPr>
                <w:rFonts w:hint="eastAsia"/>
                <w:sz w:val="24"/>
              </w:rPr>
              <w:t>德环</w:t>
            </w:r>
            <w:r>
              <w:rPr>
                <w:sz w:val="24"/>
              </w:rPr>
              <w:t>检测</w:t>
            </w:r>
            <w:r>
              <w:rPr>
                <w:rFonts w:hint="eastAsia"/>
                <w:sz w:val="24"/>
              </w:rPr>
              <w:t>中心</w:t>
            </w:r>
            <w:r>
              <w:rPr>
                <w:sz w:val="24"/>
              </w:rPr>
              <w:t>对卫生院</w:t>
            </w:r>
            <w:r>
              <w:rPr>
                <w:rFonts w:hint="eastAsia"/>
                <w:sz w:val="24"/>
              </w:rPr>
              <w:t>四周边界噪声</w:t>
            </w:r>
            <w:r>
              <w:rPr>
                <w:sz w:val="24"/>
              </w:rPr>
              <w:t>进行了现状监测，监测时间为20</w:t>
            </w:r>
            <w:r>
              <w:rPr>
                <w:rFonts w:hint="eastAsia"/>
                <w:sz w:val="24"/>
              </w:rPr>
              <w:t>21</w:t>
            </w:r>
            <w:r>
              <w:rPr>
                <w:sz w:val="24"/>
              </w:rPr>
              <w:t>年1月</w:t>
            </w:r>
            <w:r>
              <w:rPr>
                <w:rFonts w:hint="eastAsia"/>
                <w:sz w:val="24"/>
              </w:rPr>
              <w:t>22</w:t>
            </w:r>
            <w:r>
              <w:rPr>
                <w:sz w:val="24"/>
              </w:rPr>
              <w:t>日</w:t>
            </w:r>
            <w:r>
              <w:rPr>
                <w:rFonts w:hint="eastAsia"/>
                <w:sz w:val="24"/>
              </w:rPr>
              <w:t>-23日</w:t>
            </w:r>
            <w:r>
              <w:rPr>
                <w:sz w:val="24"/>
              </w:rPr>
              <w:t>，监测因子为等效连续A声级（LAeq），监测结果见表2-</w:t>
            </w:r>
            <w:r>
              <w:rPr>
                <w:rFonts w:hint="eastAsia"/>
                <w:sz w:val="24"/>
              </w:rPr>
              <w:t>13</w:t>
            </w:r>
            <w:r>
              <w:rPr>
                <w:sz w:val="24"/>
              </w:rPr>
              <w:t>。</w:t>
            </w:r>
          </w:p>
          <w:p>
            <w:pPr>
              <w:tabs>
                <w:tab w:val="left" w:pos="4602"/>
              </w:tabs>
              <w:jc w:val="center"/>
              <w:rPr>
                <w:rFonts w:eastAsia="新宋体"/>
                <w:b/>
                <w:szCs w:val="21"/>
              </w:rPr>
            </w:pPr>
            <w:r>
              <w:rPr>
                <w:rFonts w:eastAsia="新宋体"/>
                <w:b/>
                <w:szCs w:val="21"/>
              </w:rPr>
              <w:t>表2-</w:t>
            </w:r>
            <w:r>
              <w:rPr>
                <w:rFonts w:hint="eastAsia" w:eastAsia="新宋体"/>
                <w:b/>
                <w:szCs w:val="21"/>
              </w:rPr>
              <w:t>13</w:t>
            </w:r>
            <w:r>
              <w:rPr>
                <w:b/>
                <w:bCs/>
                <w:szCs w:val="21"/>
              </w:rPr>
              <w:t>噪声现状监测数据统计表</w:t>
            </w:r>
            <w:r>
              <w:rPr>
                <w:rFonts w:hint="eastAsia"/>
                <w:b/>
                <w:szCs w:val="21"/>
              </w:rPr>
              <w:t>单位：dB（A）</w:t>
            </w:r>
          </w:p>
          <w:tbl>
            <w:tblPr>
              <w:tblStyle w:val="28"/>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1200"/>
              <w:gridCol w:w="1109"/>
              <w:gridCol w:w="1200"/>
              <w:gridCol w:w="1168"/>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968" w:type="dxa"/>
                  <w:vMerge w:val="restart"/>
                  <w:vAlign w:val="center"/>
                </w:tcPr>
                <w:p>
                  <w:pPr>
                    <w:pStyle w:val="65"/>
                    <w:jc w:val="center"/>
                    <w:rPr>
                      <w:rFonts w:ascii="Times New Roman"/>
                      <w:sz w:val="21"/>
                      <w:szCs w:val="21"/>
                    </w:rPr>
                  </w:pPr>
                  <w:r>
                    <w:rPr>
                      <w:rFonts w:ascii="Times New Roman"/>
                      <w:b/>
                      <w:bCs/>
                      <w:sz w:val="21"/>
                      <w:szCs w:val="21"/>
                    </w:rPr>
                    <w:t>监测点位</w:t>
                  </w:r>
                </w:p>
              </w:tc>
              <w:tc>
                <w:tcPr>
                  <w:tcW w:w="1200" w:type="dxa"/>
                  <w:vMerge w:val="restart"/>
                  <w:vAlign w:val="center"/>
                </w:tcPr>
                <w:p>
                  <w:pPr>
                    <w:pStyle w:val="65"/>
                    <w:jc w:val="center"/>
                    <w:rPr>
                      <w:rFonts w:ascii="Times New Roman"/>
                      <w:sz w:val="21"/>
                      <w:szCs w:val="21"/>
                    </w:rPr>
                  </w:pPr>
                  <w:r>
                    <w:rPr>
                      <w:rFonts w:ascii="Times New Roman"/>
                      <w:b/>
                      <w:bCs/>
                      <w:sz w:val="21"/>
                      <w:szCs w:val="21"/>
                    </w:rPr>
                    <w:t>监测时段</w:t>
                  </w:r>
                </w:p>
              </w:tc>
              <w:tc>
                <w:tcPr>
                  <w:tcW w:w="2309" w:type="dxa"/>
                  <w:gridSpan w:val="2"/>
                  <w:vAlign w:val="center"/>
                </w:tcPr>
                <w:p>
                  <w:pPr>
                    <w:pStyle w:val="65"/>
                    <w:jc w:val="center"/>
                    <w:rPr>
                      <w:rFonts w:ascii="Times New Roman"/>
                      <w:sz w:val="21"/>
                      <w:szCs w:val="21"/>
                    </w:rPr>
                  </w:pPr>
                  <w:r>
                    <w:rPr>
                      <w:rFonts w:ascii="Times New Roman"/>
                      <w:b/>
                      <w:bCs/>
                      <w:sz w:val="21"/>
                      <w:szCs w:val="21"/>
                    </w:rPr>
                    <w:t>监测结果</w:t>
                  </w:r>
                </w:p>
              </w:tc>
              <w:tc>
                <w:tcPr>
                  <w:tcW w:w="1168" w:type="dxa"/>
                  <w:vMerge w:val="restart"/>
                  <w:vAlign w:val="center"/>
                </w:tcPr>
                <w:p>
                  <w:pPr>
                    <w:pStyle w:val="65"/>
                    <w:jc w:val="center"/>
                    <w:rPr>
                      <w:rFonts w:ascii="Times New Roman"/>
                      <w:sz w:val="21"/>
                      <w:szCs w:val="21"/>
                    </w:rPr>
                  </w:pPr>
                  <w:r>
                    <w:rPr>
                      <w:rFonts w:ascii="Times New Roman"/>
                      <w:b/>
                      <w:bCs/>
                      <w:sz w:val="21"/>
                      <w:szCs w:val="21"/>
                    </w:rPr>
                    <w:t>评价标准</w:t>
                  </w:r>
                </w:p>
              </w:tc>
              <w:tc>
                <w:tcPr>
                  <w:tcW w:w="1329" w:type="dxa"/>
                  <w:vMerge w:val="restart"/>
                  <w:vAlign w:val="center"/>
                </w:tcPr>
                <w:p>
                  <w:pPr>
                    <w:pStyle w:val="65"/>
                    <w:jc w:val="center"/>
                    <w:rPr>
                      <w:rFonts w:ascii="Times New Roman"/>
                      <w:sz w:val="21"/>
                      <w:szCs w:val="21"/>
                    </w:rPr>
                  </w:pPr>
                  <w:r>
                    <w:rPr>
                      <w:rFonts w:ascii="Times New Roman"/>
                      <w:b/>
                      <w:bCs/>
                      <w:sz w:val="21"/>
                      <w:szCs w:val="21"/>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968" w:type="dxa"/>
                  <w:vMerge w:val="continue"/>
                  <w:vAlign w:val="center"/>
                </w:tcPr>
                <w:p>
                  <w:pPr>
                    <w:pStyle w:val="65"/>
                    <w:jc w:val="center"/>
                  </w:pPr>
                </w:p>
              </w:tc>
              <w:tc>
                <w:tcPr>
                  <w:tcW w:w="1200" w:type="dxa"/>
                  <w:vMerge w:val="continue"/>
                  <w:vAlign w:val="center"/>
                </w:tcPr>
                <w:p>
                  <w:pPr>
                    <w:pStyle w:val="65"/>
                    <w:jc w:val="center"/>
                  </w:pPr>
                </w:p>
              </w:tc>
              <w:tc>
                <w:tcPr>
                  <w:tcW w:w="1109" w:type="dxa"/>
                  <w:vAlign w:val="center"/>
                </w:tcPr>
                <w:p>
                  <w:pPr>
                    <w:pStyle w:val="65"/>
                    <w:jc w:val="center"/>
                    <w:rPr>
                      <w:rFonts w:ascii="Times New Roman"/>
                      <w:sz w:val="21"/>
                      <w:szCs w:val="21"/>
                    </w:rPr>
                  </w:pPr>
                  <w:r>
                    <w:rPr>
                      <w:rFonts w:ascii="Times New Roman"/>
                      <w:b/>
                      <w:bCs/>
                      <w:sz w:val="21"/>
                      <w:szCs w:val="21"/>
                    </w:rPr>
                    <w:t>2021.1.22</w:t>
                  </w:r>
                </w:p>
              </w:tc>
              <w:tc>
                <w:tcPr>
                  <w:tcW w:w="1200" w:type="dxa"/>
                  <w:vAlign w:val="center"/>
                </w:tcPr>
                <w:p>
                  <w:pPr>
                    <w:pStyle w:val="65"/>
                    <w:jc w:val="center"/>
                    <w:rPr>
                      <w:rFonts w:ascii="Times New Roman"/>
                      <w:sz w:val="21"/>
                      <w:szCs w:val="21"/>
                    </w:rPr>
                  </w:pPr>
                  <w:r>
                    <w:rPr>
                      <w:rFonts w:ascii="Times New Roman"/>
                      <w:b/>
                      <w:bCs/>
                      <w:sz w:val="21"/>
                      <w:szCs w:val="21"/>
                    </w:rPr>
                    <w:t>2021.1.23</w:t>
                  </w:r>
                </w:p>
              </w:tc>
              <w:tc>
                <w:tcPr>
                  <w:tcW w:w="1168" w:type="dxa"/>
                  <w:vMerge w:val="continue"/>
                  <w:vAlign w:val="center"/>
                </w:tcPr>
                <w:p>
                  <w:pPr>
                    <w:pStyle w:val="65"/>
                    <w:jc w:val="center"/>
                    <w:rPr>
                      <w:rFonts w:ascii="Times New Roman"/>
                      <w:sz w:val="21"/>
                      <w:szCs w:val="21"/>
                    </w:rPr>
                  </w:pPr>
                </w:p>
              </w:tc>
              <w:tc>
                <w:tcPr>
                  <w:tcW w:w="1329" w:type="dxa"/>
                  <w:vMerge w:val="continue"/>
                  <w:vAlign w:val="center"/>
                </w:tcPr>
                <w:p>
                  <w:pPr>
                    <w:pStyle w:val="65"/>
                    <w:jc w:val="center"/>
                    <w:rPr>
                      <w:rFonts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restart"/>
                  <w:vAlign w:val="center"/>
                </w:tcPr>
                <w:p>
                  <w:pPr>
                    <w:pStyle w:val="67"/>
                    <w:rPr>
                      <w:szCs w:val="21"/>
                    </w:rPr>
                  </w:pPr>
                  <w:r>
                    <w:t>东侧厂界1#</w:t>
                  </w:r>
                </w:p>
              </w:tc>
              <w:tc>
                <w:tcPr>
                  <w:tcW w:w="1200" w:type="dxa"/>
                  <w:vAlign w:val="center"/>
                </w:tcPr>
                <w:p>
                  <w:pPr>
                    <w:pStyle w:val="67"/>
                    <w:rPr>
                      <w:szCs w:val="21"/>
                    </w:rPr>
                  </w:pPr>
                  <w:r>
                    <w:t>昼间</w:t>
                  </w:r>
                </w:p>
              </w:tc>
              <w:tc>
                <w:tcPr>
                  <w:tcW w:w="1109" w:type="dxa"/>
                  <w:vAlign w:val="center"/>
                </w:tcPr>
                <w:p>
                  <w:pPr>
                    <w:pStyle w:val="67"/>
                    <w:bidi w:val="0"/>
                  </w:pPr>
                  <w:r>
                    <w:rPr>
                      <w:rFonts w:hint="default"/>
                      <w:lang w:val="en-US" w:eastAsia="zh-CN"/>
                    </w:rPr>
                    <w:t>58.8</w:t>
                  </w:r>
                </w:p>
              </w:tc>
              <w:tc>
                <w:tcPr>
                  <w:tcW w:w="1200" w:type="dxa"/>
                  <w:vAlign w:val="center"/>
                </w:tcPr>
                <w:p>
                  <w:pPr>
                    <w:pStyle w:val="67"/>
                    <w:bidi w:val="0"/>
                  </w:pPr>
                  <w:r>
                    <w:rPr>
                      <w:rFonts w:hint="default"/>
                      <w:lang w:val="en-US" w:eastAsia="zh-CN"/>
                    </w:rPr>
                    <w:t>58.2</w:t>
                  </w:r>
                </w:p>
              </w:tc>
              <w:tc>
                <w:tcPr>
                  <w:tcW w:w="1168" w:type="dxa"/>
                  <w:vAlign w:val="center"/>
                </w:tcPr>
                <w:p>
                  <w:pPr>
                    <w:pStyle w:val="67"/>
                    <w:rPr>
                      <w:szCs w:val="21"/>
                    </w:rPr>
                  </w:pPr>
                  <w:r>
                    <w:rPr>
                      <w:rFonts w:hint="eastAsia"/>
                    </w:rPr>
                    <w:t>60</w:t>
                  </w:r>
                </w:p>
              </w:tc>
              <w:tc>
                <w:tcPr>
                  <w:tcW w:w="1329" w:type="dxa"/>
                  <w:vAlign w:val="center"/>
                </w:tcPr>
                <w:p>
                  <w:pPr>
                    <w:pStyle w:val="67"/>
                    <w:rPr>
                      <w:szCs w:val="21"/>
                    </w:rPr>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continue"/>
                  <w:vAlign w:val="center"/>
                </w:tcPr>
                <w:p>
                  <w:pPr>
                    <w:pStyle w:val="67"/>
                    <w:rPr>
                      <w:szCs w:val="21"/>
                    </w:rPr>
                  </w:pPr>
                </w:p>
              </w:tc>
              <w:tc>
                <w:tcPr>
                  <w:tcW w:w="1200" w:type="dxa"/>
                  <w:vAlign w:val="center"/>
                </w:tcPr>
                <w:p>
                  <w:pPr>
                    <w:pStyle w:val="67"/>
                    <w:rPr>
                      <w:szCs w:val="21"/>
                    </w:rPr>
                  </w:pPr>
                  <w:r>
                    <w:t>夜间</w:t>
                  </w:r>
                </w:p>
              </w:tc>
              <w:tc>
                <w:tcPr>
                  <w:tcW w:w="1109" w:type="dxa"/>
                  <w:vAlign w:val="center"/>
                </w:tcPr>
                <w:p>
                  <w:pPr>
                    <w:pStyle w:val="67"/>
                    <w:bidi w:val="0"/>
                  </w:pPr>
                  <w:r>
                    <w:rPr>
                      <w:rFonts w:hint="default"/>
                      <w:lang w:val="en-US" w:eastAsia="zh-CN"/>
                    </w:rPr>
                    <w:t>47.1</w:t>
                  </w:r>
                </w:p>
              </w:tc>
              <w:tc>
                <w:tcPr>
                  <w:tcW w:w="1200" w:type="dxa"/>
                  <w:vAlign w:val="center"/>
                </w:tcPr>
                <w:p>
                  <w:pPr>
                    <w:pStyle w:val="67"/>
                    <w:bidi w:val="0"/>
                  </w:pPr>
                  <w:r>
                    <w:rPr>
                      <w:rFonts w:hint="default"/>
                      <w:lang w:val="en-US" w:eastAsia="zh-CN"/>
                    </w:rPr>
                    <w:t>47.9</w:t>
                  </w:r>
                </w:p>
              </w:tc>
              <w:tc>
                <w:tcPr>
                  <w:tcW w:w="1168" w:type="dxa"/>
                  <w:vAlign w:val="center"/>
                </w:tcPr>
                <w:p>
                  <w:pPr>
                    <w:pStyle w:val="67"/>
                    <w:rPr>
                      <w:szCs w:val="21"/>
                    </w:rPr>
                  </w:pPr>
                  <w:r>
                    <w:rPr>
                      <w:rFonts w:hint="eastAsia"/>
                    </w:rPr>
                    <w:t>50</w:t>
                  </w:r>
                </w:p>
              </w:tc>
              <w:tc>
                <w:tcPr>
                  <w:tcW w:w="1329" w:type="dxa"/>
                  <w:vAlign w:val="center"/>
                </w:tcPr>
                <w:p>
                  <w:pPr>
                    <w:pStyle w:val="67"/>
                    <w:rPr>
                      <w:szCs w:val="21"/>
                    </w:rPr>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restart"/>
                  <w:vAlign w:val="center"/>
                </w:tcPr>
                <w:p>
                  <w:pPr>
                    <w:pStyle w:val="67"/>
                    <w:rPr>
                      <w:szCs w:val="21"/>
                    </w:rPr>
                  </w:pPr>
                  <w:r>
                    <w:t>南侧厂界2#</w:t>
                  </w:r>
                </w:p>
              </w:tc>
              <w:tc>
                <w:tcPr>
                  <w:tcW w:w="1200" w:type="dxa"/>
                  <w:vAlign w:val="center"/>
                </w:tcPr>
                <w:p>
                  <w:pPr>
                    <w:pStyle w:val="67"/>
                    <w:rPr>
                      <w:kern w:val="2"/>
                      <w:szCs w:val="21"/>
                    </w:rPr>
                  </w:pPr>
                  <w:r>
                    <w:t>昼间</w:t>
                  </w:r>
                </w:p>
              </w:tc>
              <w:tc>
                <w:tcPr>
                  <w:tcW w:w="1109" w:type="dxa"/>
                  <w:vAlign w:val="center"/>
                </w:tcPr>
                <w:p>
                  <w:pPr>
                    <w:pStyle w:val="67"/>
                    <w:bidi w:val="0"/>
                  </w:pPr>
                  <w:r>
                    <w:rPr>
                      <w:rFonts w:hint="default"/>
                      <w:lang w:val="en-US" w:eastAsia="zh-CN"/>
                    </w:rPr>
                    <w:t>57.1</w:t>
                  </w:r>
                </w:p>
              </w:tc>
              <w:tc>
                <w:tcPr>
                  <w:tcW w:w="1200" w:type="dxa"/>
                  <w:vAlign w:val="center"/>
                </w:tcPr>
                <w:p>
                  <w:pPr>
                    <w:pStyle w:val="67"/>
                    <w:bidi w:val="0"/>
                  </w:pPr>
                  <w:r>
                    <w:rPr>
                      <w:rFonts w:hint="default"/>
                      <w:lang w:val="en-US" w:eastAsia="zh-CN"/>
                    </w:rPr>
                    <w:t>56.4</w:t>
                  </w:r>
                </w:p>
              </w:tc>
              <w:tc>
                <w:tcPr>
                  <w:tcW w:w="1168" w:type="dxa"/>
                  <w:vAlign w:val="center"/>
                </w:tcPr>
                <w:p>
                  <w:pPr>
                    <w:pStyle w:val="67"/>
                    <w:rPr>
                      <w:szCs w:val="21"/>
                    </w:rPr>
                  </w:pPr>
                  <w:r>
                    <w:rPr>
                      <w:rFonts w:hint="eastAsia"/>
                    </w:rPr>
                    <w:t>60</w:t>
                  </w:r>
                </w:p>
              </w:tc>
              <w:tc>
                <w:tcPr>
                  <w:tcW w:w="1329" w:type="dxa"/>
                  <w:vAlign w:val="center"/>
                </w:tcPr>
                <w:p>
                  <w:pPr>
                    <w:pStyle w:val="67"/>
                    <w:rPr>
                      <w:szCs w:val="21"/>
                    </w:rPr>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continue"/>
                  <w:vAlign w:val="center"/>
                </w:tcPr>
                <w:p>
                  <w:pPr>
                    <w:pStyle w:val="67"/>
                    <w:rPr>
                      <w:szCs w:val="21"/>
                    </w:rPr>
                  </w:pPr>
                </w:p>
              </w:tc>
              <w:tc>
                <w:tcPr>
                  <w:tcW w:w="1200" w:type="dxa"/>
                  <w:vAlign w:val="center"/>
                </w:tcPr>
                <w:p>
                  <w:pPr>
                    <w:pStyle w:val="67"/>
                    <w:rPr>
                      <w:kern w:val="2"/>
                      <w:szCs w:val="21"/>
                    </w:rPr>
                  </w:pPr>
                  <w:r>
                    <w:t>夜间</w:t>
                  </w:r>
                </w:p>
              </w:tc>
              <w:tc>
                <w:tcPr>
                  <w:tcW w:w="1109" w:type="dxa"/>
                  <w:vAlign w:val="center"/>
                </w:tcPr>
                <w:p>
                  <w:pPr>
                    <w:pStyle w:val="67"/>
                    <w:bidi w:val="0"/>
                  </w:pPr>
                  <w:r>
                    <w:rPr>
                      <w:rFonts w:hint="default"/>
                      <w:lang w:val="en-US" w:eastAsia="zh-CN"/>
                    </w:rPr>
                    <w:t>45.1</w:t>
                  </w:r>
                </w:p>
              </w:tc>
              <w:tc>
                <w:tcPr>
                  <w:tcW w:w="1200" w:type="dxa"/>
                  <w:vAlign w:val="center"/>
                </w:tcPr>
                <w:p>
                  <w:pPr>
                    <w:pStyle w:val="67"/>
                    <w:bidi w:val="0"/>
                  </w:pPr>
                  <w:r>
                    <w:rPr>
                      <w:rFonts w:hint="default"/>
                      <w:lang w:val="en-US" w:eastAsia="zh-CN"/>
                    </w:rPr>
                    <w:t>45.4</w:t>
                  </w:r>
                </w:p>
              </w:tc>
              <w:tc>
                <w:tcPr>
                  <w:tcW w:w="1168" w:type="dxa"/>
                  <w:vAlign w:val="center"/>
                </w:tcPr>
                <w:p>
                  <w:pPr>
                    <w:pStyle w:val="67"/>
                    <w:rPr>
                      <w:szCs w:val="21"/>
                    </w:rPr>
                  </w:pPr>
                  <w:r>
                    <w:rPr>
                      <w:rFonts w:hint="eastAsia"/>
                    </w:rPr>
                    <w:t>50</w:t>
                  </w:r>
                </w:p>
              </w:tc>
              <w:tc>
                <w:tcPr>
                  <w:tcW w:w="1329" w:type="dxa"/>
                  <w:vAlign w:val="center"/>
                </w:tcPr>
                <w:p>
                  <w:pPr>
                    <w:pStyle w:val="67"/>
                    <w:rPr>
                      <w:szCs w:val="21"/>
                    </w:rPr>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restart"/>
                  <w:vAlign w:val="center"/>
                </w:tcPr>
                <w:p>
                  <w:pPr>
                    <w:pStyle w:val="67"/>
                    <w:rPr>
                      <w:szCs w:val="21"/>
                    </w:rPr>
                  </w:pPr>
                  <w:r>
                    <w:t>西侧厂界3#</w:t>
                  </w:r>
                </w:p>
              </w:tc>
              <w:tc>
                <w:tcPr>
                  <w:tcW w:w="1200" w:type="dxa"/>
                  <w:vAlign w:val="center"/>
                </w:tcPr>
                <w:p>
                  <w:pPr>
                    <w:pStyle w:val="67"/>
                    <w:rPr>
                      <w:szCs w:val="21"/>
                    </w:rPr>
                  </w:pPr>
                  <w:r>
                    <w:t>昼间</w:t>
                  </w:r>
                </w:p>
              </w:tc>
              <w:tc>
                <w:tcPr>
                  <w:tcW w:w="1109" w:type="dxa"/>
                  <w:vAlign w:val="center"/>
                </w:tcPr>
                <w:p>
                  <w:pPr>
                    <w:pStyle w:val="67"/>
                    <w:bidi w:val="0"/>
                  </w:pPr>
                  <w:r>
                    <w:rPr>
                      <w:rFonts w:hint="default"/>
                      <w:lang w:val="en-US" w:eastAsia="zh-CN"/>
                    </w:rPr>
                    <w:t>55.1</w:t>
                  </w:r>
                </w:p>
              </w:tc>
              <w:tc>
                <w:tcPr>
                  <w:tcW w:w="1200" w:type="dxa"/>
                  <w:vAlign w:val="center"/>
                </w:tcPr>
                <w:p>
                  <w:pPr>
                    <w:pStyle w:val="67"/>
                    <w:bidi w:val="0"/>
                  </w:pPr>
                  <w:r>
                    <w:rPr>
                      <w:rFonts w:hint="default"/>
                      <w:lang w:val="en-US" w:eastAsia="zh-CN"/>
                    </w:rPr>
                    <w:t>53.7</w:t>
                  </w:r>
                </w:p>
              </w:tc>
              <w:tc>
                <w:tcPr>
                  <w:tcW w:w="1168" w:type="dxa"/>
                  <w:vAlign w:val="center"/>
                </w:tcPr>
                <w:p>
                  <w:pPr>
                    <w:pStyle w:val="67"/>
                    <w:rPr>
                      <w:szCs w:val="21"/>
                    </w:rPr>
                  </w:pPr>
                  <w:r>
                    <w:rPr>
                      <w:rFonts w:hint="eastAsia"/>
                    </w:rPr>
                    <w:t>60</w:t>
                  </w:r>
                </w:p>
              </w:tc>
              <w:tc>
                <w:tcPr>
                  <w:tcW w:w="1329" w:type="dxa"/>
                  <w:vAlign w:val="center"/>
                </w:tcPr>
                <w:p>
                  <w:pPr>
                    <w:pStyle w:val="67"/>
                    <w:rPr>
                      <w:szCs w:val="21"/>
                    </w:rPr>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continue"/>
                  <w:vAlign w:val="center"/>
                </w:tcPr>
                <w:p>
                  <w:pPr>
                    <w:pStyle w:val="67"/>
                    <w:rPr>
                      <w:szCs w:val="21"/>
                    </w:rPr>
                  </w:pPr>
                </w:p>
              </w:tc>
              <w:tc>
                <w:tcPr>
                  <w:tcW w:w="1200" w:type="dxa"/>
                  <w:vAlign w:val="center"/>
                </w:tcPr>
                <w:p>
                  <w:pPr>
                    <w:pStyle w:val="67"/>
                    <w:rPr>
                      <w:szCs w:val="21"/>
                    </w:rPr>
                  </w:pPr>
                  <w:r>
                    <w:t>夜间</w:t>
                  </w:r>
                </w:p>
              </w:tc>
              <w:tc>
                <w:tcPr>
                  <w:tcW w:w="1109" w:type="dxa"/>
                  <w:vAlign w:val="center"/>
                </w:tcPr>
                <w:p>
                  <w:pPr>
                    <w:pStyle w:val="67"/>
                    <w:bidi w:val="0"/>
                  </w:pPr>
                  <w:r>
                    <w:rPr>
                      <w:rFonts w:hint="default"/>
                      <w:lang w:val="en-US" w:eastAsia="zh-CN"/>
                    </w:rPr>
                    <w:t>44.1</w:t>
                  </w:r>
                </w:p>
              </w:tc>
              <w:tc>
                <w:tcPr>
                  <w:tcW w:w="1200" w:type="dxa"/>
                  <w:vAlign w:val="center"/>
                </w:tcPr>
                <w:p>
                  <w:pPr>
                    <w:pStyle w:val="67"/>
                    <w:bidi w:val="0"/>
                  </w:pPr>
                  <w:r>
                    <w:rPr>
                      <w:rFonts w:hint="default"/>
                      <w:lang w:val="en-US" w:eastAsia="zh-CN"/>
                    </w:rPr>
                    <w:t>45.1</w:t>
                  </w:r>
                </w:p>
              </w:tc>
              <w:tc>
                <w:tcPr>
                  <w:tcW w:w="1168" w:type="dxa"/>
                  <w:vAlign w:val="center"/>
                </w:tcPr>
                <w:p>
                  <w:pPr>
                    <w:pStyle w:val="67"/>
                    <w:rPr>
                      <w:szCs w:val="21"/>
                    </w:rPr>
                  </w:pPr>
                  <w:r>
                    <w:rPr>
                      <w:rFonts w:hint="eastAsia"/>
                    </w:rPr>
                    <w:t>50</w:t>
                  </w:r>
                </w:p>
              </w:tc>
              <w:tc>
                <w:tcPr>
                  <w:tcW w:w="1329" w:type="dxa"/>
                  <w:vAlign w:val="center"/>
                </w:tcPr>
                <w:p>
                  <w:pPr>
                    <w:pStyle w:val="67"/>
                    <w:rPr>
                      <w:szCs w:val="21"/>
                    </w:rPr>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restart"/>
                  <w:vAlign w:val="center"/>
                </w:tcPr>
                <w:p>
                  <w:pPr>
                    <w:pStyle w:val="67"/>
                    <w:rPr>
                      <w:szCs w:val="21"/>
                    </w:rPr>
                  </w:pPr>
                  <w:r>
                    <w:t>北侧厂界4#</w:t>
                  </w:r>
                </w:p>
              </w:tc>
              <w:tc>
                <w:tcPr>
                  <w:tcW w:w="1200" w:type="dxa"/>
                  <w:vAlign w:val="center"/>
                </w:tcPr>
                <w:p>
                  <w:pPr>
                    <w:pStyle w:val="67"/>
                    <w:rPr>
                      <w:szCs w:val="21"/>
                    </w:rPr>
                  </w:pPr>
                  <w:r>
                    <w:t>昼间</w:t>
                  </w:r>
                </w:p>
              </w:tc>
              <w:tc>
                <w:tcPr>
                  <w:tcW w:w="1109" w:type="dxa"/>
                  <w:vAlign w:val="center"/>
                </w:tcPr>
                <w:p>
                  <w:pPr>
                    <w:pStyle w:val="67"/>
                    <w:bidi w:val="0"/>
                  </w:pPr>
                  <w:r>
                    <w:rPr>
                      <w:rFonts w:hint="default"/>
                      <w:lang w:val="en-US" w:eastAsia="zh-CN"/>
                    </w:rPr>
                    <w:t>54.7</w:t>
                  </w:r>
                </w:p>
              </w:tc>
              <w:tc>
                <w:tcPr>
                  <w:tcW w:w="1200" w:type="dxa"/>
                  <w:vAlign w:val="center"/>
                </w:tcPr>
                <w:p>
                  <w:pPr>
                    <w:pStyle w:val="67"/>
                    <w:bidi w:val="0"/>
                  </w:pPr>
                  <w:r>
                    <w:rPr>
                      <w:rFonts w:hint="default"/>
                      <w:lang w:val="en-US" w:eastAsia="zh-CN"/>
                    </w:rPr>
                    <w:t>55.5</w:t>
                  </w:r>
                </w:p>
              </w:tc>
              <w:tc>
                <w:tcPr>
                  <w:tcW w:w="1168" w:type="dxa"/>
                  <w:vAlign w:val="center"/>
                </w:tcPr>
                <w:p>
                  <w:pPr>
                    <w:pStyle w:val="67"/>
                    <w:rPr>
                      <w:szCs w:val="21"/>
                    </w:rPr>
                  </w:pPr>
                  <w:r>
                    <w:rPr>
                      <w:rFonts w:hint="eastAsia"/>
                    </w:rPr>
                    <w:t>60</w:t>
                  </w:r>
                </w:p>
              </w:tc>
              <w:tc>
                <w:tcPr>
                  <w:tcW w:w="1329" w:type="dxa"/>
                  <w:vAlign w:val="center"/>
                </w:tcPr>
                <w:p>
                  <w:pPr>
                    <w:pStyle w:val="67"/>
                    <w:rPr>
                      <w:szCs w:val="21"/>
                    </w:rPr>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continue"/>
                  <w:vAlign w:val="center"/>
                </w:tcPr>
                <w:p>
                  <w:pPr>
                    <w:pStyle w:val="67"/>
                    <w:rPr>
                      <w:szCs w:val="21"/>
                    </w:rPr>
                  </w:pPr>
                </w:p>
              </w:tc>
              <w:tc>
                <w:tcPr>
                  <w:tcW w:w="1200" w:type="dxa"/>
                  <w:vAlign w:val="center"/>
                </w:tcPr>
                <w:p>
                  <w:pPr>
                    <w:pStyle w:val="67"/>
                    <w:rPr>
                      <w:szCs w:val="21"/>
                    </w:rPr>
                  </w:pPr>
                  <w:r>
                    <w:t>夜间</w:t>
                  </w:r>
                </w:p>
              </w:tc>
              <w:tc>
                <w:tcPr>
                  <w:tcW w:w="1109" w:type="dxa"/>
                  <w:vAlign w:val="center"/>
                </w:tcPr>
                <w:p>
                  <w:pPr>
                    <w:pStyle w:val="67"/>
                    <w:bidi w:val="0"/>
                  </w:pPr>
                  <w:r>
                    <w:rPr>
                      <w:rFonts w:hint="default"/>
                      <w:lang w:val="en-US" w:eastAsia="zh-CN"/>
                    </w:rPr>
                    <w:t>45.7</w:t>
                  </w:r>
                </w:p>
              </w:tc>
              <w:tc>
                <w:tcPr>
                  <w:tcW w:w="1200" w:type="dxa"/>
                  <w:vAlign w:val="center"/>
                </w:tcPr>
                <w:p>
                  <w:pPr>
                    <w:pStyle w:val="67"/>
                    <w:bidi w:val="0"/>
                  </w:pPr>
                  <w:r>
                    <w:rPr>
                      <w:rFonts w:hint="default"/>
                      <w:lang w:val="en-US" w:eastAsia="zh-CN"/>
                    </w:rPr>
                    <w:t>44.0</w:t>
                  </w:r>
                </w:p>
              </w:tc>
              <w:tc>
                <w:tcPr>
                  <w:tcW w:w="1168" w:type="dxa"/>
                  <w:vAlign w:val="center"/>
                </w:tcPr>
                <w:p>
                  <w:pPr>
                    <w:pStyle w:val="67"/>
                    <w:rPr>
                      <w:szCs w:val="21"/>
                    </w:rPr>
                  </w:pPr>
                  <w:r>
                    <w:rPr>
                      <w:rFonts w:hint="eastAsia"/>
                    </w:rPr>
                    <w:t>50</w:t>
                  </w:r>
                </w:p>
              </w:tc>
              <w:tc>
                <w:tcPr>
                  <w:tcW w:w="1329" w:type="dxa"/>
                  <w:vAlign w:val="center"/>
                </w:tcPr>
                <w:p>
                  <w:pPr>
                    <w:pStyle w:val="67"/>
                    <w:rPr>
                      <w:szCs w:val="21"/>
                    </w:rPr>
                  </w:pPr>
                  <w:r>
                    <w:t>达标</w:t>
                  </w:r>
                </w:p>
              </w:tc>
            </w:tr>
          </w:tbl>
          <w:p>
            <w:pPr>
              <w:spacing w:line="360" w:lineRule="auto"/>
              <w:ind w:firstLine="480" w:firstLineChars="200"/>
              <w:rPr>
                <w:rFonts w:hAnsi="宋体"/>
                <w:sz w:val="24"/>
              </w:rPr>
            </w:pPr>
            <w:r>
              <w:rPr>
                <w:rFonts w:hint="eastAsia" w:hAnsi="宋体"/>
                <w:sz w:val="24"/>
              </w:rPr>
              <w:t>由上表可知，项目边界东、南、西、北侧的昼、夜间噪声满均足《工业企业厂界环境噪声排放标准》（GB12348-2008）的2类标准要求，项目所在区域声环境质量现状较好。</w:t>
            </w:r>
          </w:p>
          <w:p>
            <w:pPr>
              <w:spacing w:line="360" w:lineRule="auto"/>
              <w:ind w:firstLine="480" w:firstLineChars="200"/>
              <w:rPr>
                <w:rFonts w:hAnsi="宋体"/>
                <w:sz w:val="24"/>
              </w:rPr>
            </w:pPr>
            <w:r>
              <w:rPr>
                <w:rFonts w:hint="eastAsia" w:hAnsi="宋体"/>
                <w:sz w:val="24"/>
              </w:rPr>
              <w:t>4、固废</w:t>
            </w:r>
          </w:p>
          <w:p>
            <w:pPr>
              <w:spacing w:line="360" w:lineRule="auto"/>
              <w:ind w:firstLine="480" w:firstLineChars="200"/>
              <w:rPr>
                <w:sz w:val="24"/>
              </w:rPr>
            </w:pPr>
            <w:r>
              <w:rPr>
                <w:sz w:val="24"/>
              </w:rPr>
              <w:t>项目产生的固体废物主要有医疗废物</w:t>
            </w:r>
            <w:r>
              <w:rPr>
                <w:rFonts w:hint="eastAsia"/>
                <w:sz w:val="24"/>
              </w:rPr>
              <w:t>、</w:t>
            </w:r>
            <w:r>
              <w:rPr>
                <w:sz w:val="24"/>
              </w:rPr>
              <w:t>生活垃圾和一体化污水处理系统污泥</w:t>
            </w:r>
            <w:r>
              <w:rPr>
                <w:rFonts w:hint="eastAsia"/>
                <w:sz w:val="24"/>
                <w:lang w:eastAsia="zh-CN"/>
              </w:rPr>
              <w:t>、</w:t>
            </w:r>
            <w:r>
              <w:rPr>
                <w:rFonts w:hint="eastAsia"/>
                <w:sz w:val="24"/>
                <w:u w:val="single"/>
                <w:lang w:eastAsia="zh-CN"/>
              </w:rPr>
              <w:t>中药渣</w:t>
            </w:r>
            <w:r>
              <w:rPr>
                <w:sz w:val="24"/>
              </w:rPr>
              <w:t>等</w:t>
            </w:r>
            <w:r>
              <w:rPr>
                <w:rFonts w:hint="eastAsia"/>
                <w:sz w:val="24"/>
              </w:rPr>
              <w:t>。</w:t>
            </w:r>
          </w:p>
          <w:p>
            <w:pPr>
              <w:spacing w:line="360" w:lineRule="auto"/>
              <w:ind w:firstLine="480" w:firstLineChars="200"/>
              <w:rPr>
                <w:sz w:val="24"/>
              </w:rPr>
            </w:pPr>
            <w:r>
              <w:rPr>
                <w:rFonts w:hint="eastAsia"/>
                <w:sz w:val="24"/>
              </w:rPr>
              <w:t>①医疗废物</w:t>
            </w:r>
          </w:p>
          <w:p>
            <w:pPr>
              <w:spacing w:line="360" w:lineRule="auto"/>
              <w:ind w:firstLine="480" w:firstLineChars="200"/>
              <w:rPr>
                <w:rFonts w:hint="eastAsia"/>
                <w:sz w:val="24"/>
                <w:u w:val="single"/>
              </w:rPr>
            </w:pPr>
            <w:r>
              <w:rPr>
                <w:rFonts w:hint="eastAsia"/>
                <w:sz w:val="24"/>
                <w:u w:val="single"/>
              </w:rPr>
              <w:t>医疗废物分为以下五大类：</w:t>
            </w:r>
          </w:p>
          <w:p>
            <w:pPr>
              <w:spacing w:line="360" w:lineRule="auto"/>
              <w:ind w:firstLine="480" w:firstLineChars="200"/>
              <w:rPr>
                <w:rFonts w:hint="eastAsia"/>
                <w:sz w:val="24"/>
                <w:u w:val="single"/>
              </w:rPr>
            </w:pPr>
            <w:r>
              <w:rPr>
                <w:rFonts w:hint="eastAsia"/>
                <w:sz w:val="24"/>
                <w:u w:val="single"/>
              </w:rPr>
              <w:t>1、感染性废物</w:t>
            </w:r>
            <w:r>
              <w:rPr>
                <w:rFonts w:hint="eastAsia"/>
                <w:sz w:val="24"/>
                <w:u w:val="single"/>
                <w:lang w:eastAsia="zh-CN"/>
              </w:rPr>
              <w:t>：</w:t>
            </w:r>
            <w:r>
              <w:rPr>
                <w:rFonts w:hint="eastAsia"/>
                <w:sz w:val="24"/>
                <w:u w:val="single"/>
              </w:rPr>
              <w:t>指携带病原微生物具有引发感染性疾病传播危险的医疗废物，包括被病人血液、体液、排泄物污染的物品，传染病病人产生的垃圾等医疗废物塑料制品；</w:t>
            </w:r>
          </w:p>
          <w:p>
            <w:pPr>
              <w:spacing w:line="360" w:lineRule="auto"/>
              <w:ind w:firstLine="480" w:firstLineChars="200"/>
              <w:rPr>
                <w:rFonts w:hint="eastAsia"/>
                <w:sz w:val="24"/>
                <w:u w:val="single"/>
              </w:rPr>
            </w:pPr>
            <w:r>
              <w:rPr>
                <w:rFonts w:hint="eastAsia"/>
                <w:sz w:val="24"/>
                <w:u w:val="single"/>
              </w:rPr>
              <w:t>2、病理性废物</w:t>
            </w:r>
            <w:r>
              <w:rPr>
                <w:rFonts w:hint="eastAsia"/>
                <w:sz w:val="24"/>
                <w:u w:val="single"/>
                <w:lang w:eastAsia="zh-CN"/>
              </w:rPr>
              <w:t>：</w:t>
            </w:r>
            <w:r>
              <w:rPr>
                <w:rFonts w:hint="eastAsia"/>
                <w:sz w:val="24"/>
                <w:u w:val="single"/>
              </w:rPr>
              <w:t>指在诊疗过程中产生的人体废弃物和医学试验动物尸体，包括手术中产生的废弃人体组织、病理切片后废弃的人体组织、病理腊块等；</w:t>
            </w:r>
          </w:p>
          <w:p>
            <w:pPr>
              <w:spacing w:line="360" w:lineRule="auto"/>
              <w:ind w:firstLine="480" w:firstLineChars="200"/>
              <w:rPr>
                <w:rFonts w:hint="eastAsia"/>
                <w:sz w:val="24"/>
                <w:u w:val="single"/>
              </w:rPr>
            </w:pPr>
            <w:r>
              <w:rPr>
                <w:rFonts w:hint="eastAsia"/>
                <w:sz w:val="24"/>
                <w:u w:val="single"/>
              </w:rPr>
              <w:t>3、损伤性废物</w:t>
            </w:r>
            <w:r>
              <w:rPr>
                <w:rFonts w:hint="eastAsia"/>
                <w:sz w:val="24"/>
                <w:u w:val="single"/>
                <w:lang w:eastAsia="zh-CN"/>
              </w:rPr>
              <w:t>：</w:t>
            </w:r>
            <w:r>
              <w:rPr>
                <w:rFonts w:hint="eastAsia"/>
                <w:sz w:val="24"/>
                <w:u w:val="single"/>
              </w:rPr>
              <w:t>指能够刺伤或割伤人体的废弃的医用锐器，包括医用针、解剖刀、手术刀、玻璃试管等；</w:t>
            </w:r>
          </w:p>
          <w:p>
            <w:pPr>
              <w:spacing w:line="360" w:lineRule="auto"/>
              <w:ind w:firstLine="480" w:firstLineChars="200"/>
              <w:rPr>
                <w:rFonts w:hint="eastAsia"/>
                <w:sz w:val="24"/>
                <w:u w:val="single"/>
              </w:rPr>
            </w:pPr>
            <w:r>
              <w:rPr>
                <w:rFonts w:hint="eastAsia"/>
                <w:sz w:val="24"/>
                <w:u w:val="single"/>
              </w:rPr>
              <w:t>4、药物性废物</w:t>
            </w:r>
            <w:r>
              <w:rPr>
                <w:rFonts w:hint="eastAsia"/>
                <w:sz w:val="24"/>
                <w:u w:val="single"/>
                <w:lang w:eastAsia="zh-CN"/>
              </w:rPr>
              <w:t>：</w:t>
            </w:r>
            <w:r>
              <w:rPr>
                <w:rFonts w:hint="eastAsia"/>
                <w:sz w:val="24"/>
                <w:u w:val="single"/>
              </w:rPr>
              <w:t>指过期、淘汰、变质或被污染的废弃药品，包括废弃的一般性药品,，废弃的细胞毒性药物和遗传毒性药物等；</w:t>
            </w:r>
          </w:p>
          <w:p>
            <w:pPr>
              <w:spacing w:line="360" w:lineRule="auto"/>
              <w:ind w:firstLine="480" w:firstLineChars="200"/>
              <w:rPr>
                <w:rFonts w:hint="eastAsia"/>
                <w:sz w:val="24"/>
                <w:u w:val="single"/>
              </w:rPr>
            </w:pPr>
            <w:r>
              <w:rPr>
                <w:rFonts w:hint="eastAsia"/>
                <w:sz w:val="24"/>
                <w:u w:val="single"/>
              </w:rPr>
              <w:t>5、化学性废物</w:t>
            </w:r>
            <w:r>
              <w:rPr>
                <w:rFonts w:hint="eastAsia"/>
                <w:sz w:val="24"/>
                <w:u w:val="single"/>
                <w:lang w:eastAsia="zh-CN"/>
              </w:rPr>
              <w:t>：</w:t>
            </w:r>
            <w:r>
              <w:rPr>
                <w:rFonts w:hint="eastAsia"/>
                <w:sz w:val="24"/>
                <w:u w:val="single"/>
              </w:rPr>
              <w:t>指具有毒性、腐蚀性、易燃易爆性的废弃化学物品，如废弃的化学试剂、化学消毒剂、汞血压计、汞温度计等。</w:t>
            </w:r>
          </w:p>
          <w:p>
            <w:pPr>
              <w:spacing w:line="360" w:lineRule="auto"/>
              <w:ind w:firstLine="480" w:firstLineChars="200"/>
              <w:rPr>
                <w:sz w:val="24"/>
              </w:rPr>
            </w:pPr>
            <w:r>
              <w:rPr>
                <w:sz w:val="24"/>
                <w:u w:val="single"/>
              </w:rPr>
              <w:t>本项目产生的医疗废物包含一次性医疗用品</w:t>
            </w:r>
            <w:r>
              <w:rPr>
                <w:rFonts w:hint="eastAsia"/>
                <w:sz w:val="24"/>
                <w:u w:val="single"/>
              </w:rPr>
              <w:t>、</w:t>
            </w:r>
            <w:r>
              <w:rPr>
                <w:sz w:val="24"/>
                <w:u w:val="single"/>
              </w:rPr>
              <w:t>一次性使用卫生用品</w:t>
            </w:r>
            <w:r>
              <w:rPr>
                <w:rFonts w:hint="eastAsia"/>
                <w:sz w:val="24"/>
                <w:u w:val="single"/>
              </w:rPr>
              <w:t>、</w:t>
            </w:r>
            <w:r>
              <w:rPr>
                <w:sz w:val="24"/>
                <w:u w:val="single"/>
              </w:rPr>
              <w:t>敷料类</w:t>
            </w:r>
            <w:r>
              <w:rPr>
                <w:rFonts w:hint="eastAsia"/>
                <w:sz w:val="24"/>
                <w:u w:val="single"/>
              </w:rPr>
              <w:t>、</w:t>
            </w:r>
            <w:r>
              <w:rPr>
                <w:sz w:val="24"/>
                <w:u w:val="single"/>
              </w:rPr>
              <w:t>检验器材和</w:t>
            </w:r>
            <w:r>
              <w:rPr>
                <w:rFonts w:hint="eastAsia"/>
                <w:sz w:val="24"/>
                <w:u w:val="single"/>
              </w:rPr>
              <w:t>化验</w:t>
            </w:r>
            <w:r>
              <w:rPr>
                <w:sz w:val="24"/>
                <w:u w:val="single"/>
              </w:rPr>
              <w:t>残余物</w:t>
            </w:r>
            <w:r>
              <w:rPr>
                <w:rFonts w:hint="eastAsia"/>
                <w:sz w:val="24"/>
                <w:u w:val="single"/>
              </w:rPr>
              <w:t>、</w:t>
            </w:r>
            <w:r>
              <w:rPr>
                <w:sz w:val="24"/>
                <w:u w:val="single"/>
              </w:rPr>
              <w:t>药品废弃物和药瓶以及各种废旧织物等</w:t>
            </w:r>
            <w:r>
              <w:rPr>
                <w:rFonts w:hint="eastAsia"/>
                <w:sz w:val="24"/>
                <w:u w:val="single"/>
              </w:rPr>
              <w:t>，</w:t>
            </w:r>
            <w:r>
              <w:rPr>
                <w:sz w:val="24"/>
                <w:u w:val="single"/>
              </w:rPr>
              <w:t>属于</w:t>
            </w:r>
            <w:r>
              <w:rPr>
                <w:rFonts w:hint="eastAsia"/>
                <w:sz w:val="24"/>
                <w:u w:val="single"/>
                <w:lang w:eastAsia="zh-CN"/>
              </w:rPr>
              <w:t>医疗废物中的损伤性废物、药物性废物和化学性废物，均属于危险性废物</w:t>
            </w:r>
            <w:r>
              <w:rPr>
                <w:rFonts w:hint="eastAsia"/>
                <w:sz w:val="24"/>
                <w:u w:val="single"/>
              </w:rPr>
              <w:t>。</w:t>
            </w:r>
            <w:r>
              <w:rPr>
                <w:rFonts w:hint="eastAsia"/>
                <w:sz w:val="24"/>
                <w:u w:val="single"/>
                <w:lang w:eastAsia="zh-CN"/>
              </w:rPr>
              <w:t>三阳港镇中心卫生院不设手术室不进行手术，因此无病理性废物产生。</w:t>
            </w:r>
            <w:r>
              <w:rPr>
                <w:sz w:val="24"/>
              </w:rPr>
              <w:t>根据</w:t>
            </w:r>
            <w:r>
              <w:rPr>
                <w:rFonts w:hint="eastAsia"/>
                <w:sz w:val="24"/>
              </w:rPr>
              <w:t>建设单位提供的常年医疗废物转移联单资料，</w:t>
            </w:r>
            <w:r>
              <w:rPr>
                <w:rFonts w:hint="eastAsia"/>
                <w:sz w:val="24"/>
                <w:lang w:eastAsia="zh-CN"/>
              </w:rPr>
              <w:t>三阳港镇</w:t>
            </w:r>
            <w:r>
              <w:rPr>
                <w:rFonts w:hint="eastAsia"/>
                <w:sz w:val="24"/>
              </w:rPr>
              <w:t>中心卫生院</w:t>
            </w:r>
            <w:r>
              <w:rPr>
                <w:sz w:val="24"/>
              </w:rPr>
              <w:t>医疗废物产生量约</w:t>
            </w:r>
            <w:r>
              <w:rPr>
                <w:rFonts w:hint="eastAsia"/>
                <w:sz w:val="24"/>
              </w:rPr>
              <w:t>为</w:t>
            </w:r>
            <w:r>
              <w:rPr>
                <w:rFonts w:hint="eastAsia"/>
                <w:sz w:val="24"/>
                <w:lang w:val="en-US" w:eastAsia="zh-CN"/>
              </w:rPr>
              <w:t>18</w:t>
            </w:r>
            <w:r>
              <w:rPr>
                <w:rFonts w:hint="eastAsia"/>
                <w:sz w:val="24"/>
              </w:rPr>
              <w:t>t/a。</w:t>
            </w:r>
            <w:r>
              <w:rPr>
                <w:sz w:val="24"/>
              </w:rPr>
              <w:t>本项目医疗垃圾全部分类集中收集，置于</w:t>
            </w:r>
            <w:r>
              <w:rPr>
                <w:rFonts w:hint="eastAsia"/>
                <w:sz w:val="24"/>
              </w:rPr>
              <w:t>医疗废物暂存间</w:t>
            </w:r>
            <w:r>
              <w:rPr>
                <w:sz w:val="24"/>
              </w:rPr>
              <w:t>，委托</w:t>
            </w:r>
            <w:r>
              <w:rPr>
                <w:rFonts w:hint="eastAsia"/>
                <w:sz w:val="24"/>
              </w:rPr>
              <w:t>委托常德市安邦医疗废物处置有限公司处置。</w:t>
            </w:r>
          </w:p>
          <w:p>
            <w:pPr>
              <w:spacing w:line="360" w:lineRule="auto"/>
              <w:ind w:firstLine="480" w:firstLineChars="200"/>
              <w:rPr>
                <w:spacing w:val="4"/>
                <w:kern w:val="0"/>
                <w:sz w:val="24"/>
                <w:szCs w:val="20"/>
              </w:rPr>
            </w:pPr>
            <w:r>
              <w:rPr>
                <w:rFonts w:hint="eastAsia"/>
                <w:sz w:val="24"/>
              </w:rPr>
              <w:t>②</w:t>
            </w:r>
            <w:r>
              <w:rPr>
                <w:rFonts w:hint="eastAsia"/>
                <w:spacing w:val="4"/>
                <w:kern w:val="0"/>
                <w:sz w:val="24"/>
                <w:szCs w:val="20"/>
              </w:rPr>
              <w:t>生活垃圾</w:t>
            </w:r>
          </w:p>
          <w:p>
            <w:pPr>
              <w:spacing w:line="360" w:lineRule="auto"/>
              <w:ind w:firstLine="496" w:firstLineChars="200"/>
              <w:rPr>
                <w:spacing w:val="4"/>
                <w:kern w:val="0"/>
                <w:sz w:val="24"/>
                <w:szCs w:val="20"/>
                <w:u w:val="single"/>
              </w:rPr>
            </w:pPr>
            <w:r>
              <w:rPr>
                <w:spacing w:val="4"/>
                <w:kern w:val="0"/>
                <w:sz w:val="24"/>
                <w:szCs w:val="20"/>
              </w:rPr>
              <w:t>住院病人</w:t>
            </w:r>
            <w:r>
              <w:rPr>
                <w:rFonts w:hint="eastAsia"/>
                <w:spacing w:val="4"/>
                <w:kern w:val="0"/>
                <w:sz w:val="24"/>
                <w:szCs w:val="20"/>
              </w:rPr>
              <w:t>生活垃圾</w:t>
            </w:r>
            <w:r>
              <w:rPr>
                <w:spacing w:val="4"/>
                <w:kern w:val="0"/>
                <w:sz w:val="24"/>
                <w:szCs w:val="20"/>
              </w:rPr>
              <w:t>按0.5kg/</w:t>
            </w:r>
            <w:r>
              <w:rPr>
                <w:rFonts w:hint="eastAsia"/>
                <w:spacing w:val="4"/>
                <w:kern w:val="0"/>
                <w:sz w:val="24"/>
                <w:szCs w:val="20"/>
              </w:rPr>
              <w:t>病床·</w:t>
            </w:r>
            <w:r>
              <w:rPr>
                <w:spacing w:val="4"/>
                <w:kern w:val="0"/>
                <w:sz w:val="24"/>
                <w:szCs w:val="20"/>
              </w:rPr>
              <w:t>d</w:t>
            </w:r>
            <w:r>
              <w:rPr>
                <w:rFonts w:hint="eastAsia"/>
                <w:spacing w:val="4"/>
                <w:kern w:val="0"/>
                <w:sz w:val="24"/>
                <w:szCs w:val="20"/>
              </w:rPr>
              <w:t>（含陪护人员）计，病床</w:t>
            </w:r>
            <w:r>
              <w:rPr>
                <w:rFonts w:hint="eastAsia"/>
                <w:spacing w:val="4"/>
                <w:kern w:val="0"/>
                <w:sz w:val="24"/>
                <w:szCs w:val="20"/>
                <w:lang w:eastAsia="zh-CN"/>
              </w:rPr>
              <w:t>50张</w:t>
            </w:r>
            <w:r>
              <w:rPr>
                <w:rFonts w:hint="eastAsia"/>
                <w:spacing w:val="4"/>
                <w:kern w:val="0"/>
                <w:sz w:val="24"/>
                <w:szCs w:val="20"/>
              </w:rPr>
              <w:t>，则产生生活垃圾</w:t>
            </w:r>
            <w:r>
              <w:rPr>
                <w:rFonts w:hint="eastAsia"/>
                <w:spacing w:val="4"/>
                <w:kern w:val="0"/>
                <w:sz w:val="24"/>
                <w:szCs w:val="20"/>
                <w:lang w:eastAsia="zh-CN"/>
              </w:rPr>
              <w:t>9.125</w:t>
            </w:r>
            <w:r>
              <w:rPr>
                <w:rFonts w:hint="eastAsia"/>
                <w:spacing w:val="4"/>
                <w:kern w:val="0"/>
                <w:sz w:val="24"/>
                <w:szCs w:val="20"/>
              </w:rPr>
              <w:t>t</w:t>
            </w:r>
            <w:r>
              <w:rPr>
                <w:spacing w:val="4"/>
                <w:kern w:val="0"/>
                <w:sz w:val="24"/>
                <w:szCs w:val="20"/>
              </w:rPr>
              <w:t>/a</w:t>
            </w:r>
            <w:r>
              <w:rPr>
                <w:rFonts w:hint="eastAsia"/>
                <w:spacing w:val="4"/>
                <w:kern w:val="0"/>
                <w:sz w:val="24"/>
                <w:szCs w:val="20"/>
              </w:rPr>
              <w:t>；</w:t>
            </w:r>
            <w:r>
              <w:rPr>
                <w:spacing w:val="4"/>
                <w:kern w:val="0"/>
                <w:sz w:val="24"/>
                <w:szCs w:val="20"/>
              </w:rPr>
              <w:t>门诊垃圾按0.1kg/</w:t>
            </w:r>
            <w:r>
              <w:rPr>
                <w:rFonts w:hint="eastAsia"/>
                <w:spacing w:val="4"/>
                <w:kern w:val="0"/>
                <w:sz w:val="24"/>
                <w:szCs w:val="20"/>
              </w:rPr>
              <w:t>人·</w:t>
            </w:r>
            <w:r>
              <w:rPr>
                <w:spacing w:val="4"/>
                <w:kern w:val="0"/>
                <w:sz w:val="24"/>
                <w:szCs w:val="20"/>
              </w:rPr>
              <w:t>d</w:t>
            </w:r>
            <w:r>
              <w:rPr>
                <w:rFonts w:hint="eastAsia"/>
                <w:spacing w:val="4"/>
                <w:kern w:val="0"/>
                <w:sz w:val="24"/>
                <w:szCs w:val="20"/>
              </w:rPr>
              <w:t>计，项目预计接纳门诊人次</w:t>
            </w:r>
            <w:r>
              <w:rPr>
                <w:rFonts w:hint="eastAsia"/>
                <w:spacing w:val="4"/>
                <w:kern w:val="0"/>
                <w:sz w:val="24"/>
                <w:szCs w:val="20"/>
                <w:u w:val="single"/>
              </w:rPr>
              <w:t>约</w:t>
            </w:r>
            <w:r>
              <w:rPr>
                <w:rFonts w:hint="eastAsia"/>
                <w:spacing w:val="4"/>
                <w:kern w:val="0"/>
                <w:sz w:val="24"/>
                <w:szCs w:val="20"/>
                <w:u w:val="single"/>
                <w:lang w:val="en-US" w:eastAsia="zh-CN"/>
              </w:rPr>
              <w:t>10950人</w:t>
            </w:r>
            <w:r>
              <w:rPr>
                <w:rFonts w:hint="eastAsia"/>
                <w:spacing w:val="4"/>
                <w:kern w:val="0"/>
                <w:sz w:val="24"/>
                <w:szCs w:val="20"/>
              </w:rPr>
              <w:t>次/年，</w:t>
            </w:r>
            <w:r>
              <w:rPr>
                <w:rFonts w:hint="eastAsia"/>
                <w:spacing w:val="4"/>
                <w:kern w:val="0"/>
                <w:sz w:val="24"/>
                <w:szCs w:val="20"/>
                <w:u w:val="single"/>
              </w:rPr>
              <w:t>产生生活垃圾</w:t>
            </w:r>
            <w:r>
              <w:rPr>
                <w:rFonts w:hint="eastAsia"/>
                <w:spacing w:val="4"/>
                <w:kern w:val="0"/>
                <w:sz w:val="24"/>
                <w:szCs w:val="20"/>
                <w:u w:val="single"/>
                <w:lang w:val="en-US" w:eastAsia="zh-CN"/>
              </w:rPr>
              <w:t>1.095</w:t>
            </w:r>
            <w:r>
              <w:rPr>
                <w:rFonts w:hint="eastAsia"/>
                <w:spacing w:val="4"/>
                <w:kern w:val="0"/>
                <w:sz w:val="24"/>
                <w:szCs w:val="20"/>
                <w:u w:val="single"/>
              </w:rPr>
              <w:t>t</w:t>
            </w:r>
            <w:r>
              <w:rPr>
                <w:spacing w:val="4"/>
                <w:kern w:val="0"/>
                <w:sz w:val="24"/>
                <w:szCs w:val="20"/>
                <w:u w:val="single"/>
              </w:rPr>
              <w:t>/a</w:t>
            </w:r>
            <w:r>
              <w:rPr>
                <w:rFonts w:hint="eastAsia"/>
                <w:spacing w:val="4"/>
                <w:kern w:val="0"/>
                <w:sz w:val="24"/>
                <w:szCs w:val="20"/>
                <w:u w:val="single"/>
              </w:rPr>
              <w:t>；卫生院有职工</w:t>
            </w:r>
            <w:r>
              <w:rPr>
                <w:rFonts w:hint="eastAsia"/>
                <w:spacing w:val="4"/>
                <w:kern w:val="0"/>
                <w:sz w:val="24"/>
                <w:szCs w:val="20"/>
                <w:u w:val="single"/>
                <w:lang w:val="en-US" w:eastAsia="zh-CN"/>
              </w:rPr>
              <w:t>3</w:t>
            </w:r>
            <w:r>
              <w:rPr>
                <w:rFonts w:hint="eastAsia"/>
                <w:spacing w:val="4"/>
                <w:kern w:val="0"/>
                <w:sz w:val="24"/>
                <w:szCs w:val="20"/>
                <w:u w:val="single"/>
                <w:lang w:eastAsia="zh-CN"/>
              </w:rPr>
              <w:t>0人</w:t>
            </w:r>
            <w:r>
              <w:rPr>
                <w:rFonts w:hint="eastAsia"/>
                <w:spacing w:val="4"/>
                <w:kern w:val="0"/>
                <w:sz w:val="24"/>
                <w:szCs w:val="20"/>
                <w:u w:val="single"/>
              </w:rPr>
              <w:t>，生活垃圾按</w:t>
            </w:r>
            <w:r>
              <w:rPr>
                <w:spacing w:val="4"/>
                <w:kern w:val="0"/>
                <w:sz w:val="24"/>
                <w:szCs w:val="20"/>
                <w:u w:val="single"/>
              </w:rPr>
              <w:t>0.5kg/</w:t>
            </w:r>
            <w:r>
              <w:rPr>
                <w:rFonts w:hint="eastAsia"/>
                <w:spacing w:val="4"/>
                <w:kern w:val="0"/>
                <w:sz w:val="24"/>
                <w:szCs w:val="20"/>
                <w:u w:val="single"/>
              </w:rPr>
              <w:t>人·</w:t>
            </w:r>
            <w:r>
              <w:rPr>
                <w:spacing w:val="4"/>
                <w:kern w:val="0"/>
                <w:sz w:val="24"/>
                <w:szCs w:val="20"/>
                <w:u w:val="single"/>
              </w:rPr>
              <w:t>d计</w:t>
            </w:r>
            <w:r>
              <w:rPr>
                <w:rFonts w:hint="eastAsia"/>
                <w:spacing w:val="4"/>
                <w:kern w:val="0"/>
                <w:sz w:val="24"/>
                <w:szCs w:val="20"/>
                <w:u w:val="single"/>
              </w:rPr>
              <w:t>，</w:t>
            </w:r>
            <w:r>
              <w:rPr>
                <w:spacing w:val="4"/>
                <w:kern w:val="0"/>
                <w:sz w:val="24"/>
                <w:szCs w:val="20"/>
                <w:u w:val="single"/>
              </w:rPr>
              <w:t>产生的生活垃圾为</w:t>
            </w:r>
            <w:r>
              <w:rPr>
                <w:rFonts w:hint="eastAsia"/>
                <w:spacing w:val="4"/>
                <w:kern w:val="0"/>
                <w:sz w:val="24"/>
                <w:szCs w:val="20"/>
                <w:u w:val="single"/>
                <w:lang w:val="en-US" w:eastAsia="zh-CN"/>
              </w:rPr>
              <w:t>5.475</w:t>
            </w:r>
            <w:r>
              <w:rPr>
                <w:rFonts w:hint="eastAsia"/>
                <w:spacing w:val="4"/>
                <w:kern w:val="0"/>
                <w:sz w:val="24"/>
                <w:szCs w:val="20"/>
                <w:u w:val="single"/>
              </w:rPr>
              <w:t>t/a；故本项目产生生活垃圾总量为</w:t>
            </w:r>
            <w:r>
              <w:rPr>
                <w:rFonts w:hint="eastAsia"/>
                <w:spacing w:val="4"/>
                <w:kern w:val="0"/>
                <w:sz w:val="24"/>
                <w:szCs w:val="20"/>
                <w:u w:val="single"/>
                <w:lang w:eastAsia="zh-CN"/>
              </w:rPr>
              <w:t>15.695</w:t>
            </w:r>
            <w:r>
              <w:rPr>
                <w:rFonts w:hint="eastAsia"/>
                <w:spacing w:val="4"/>
                <w:kern w:val="0"/>
                <w:sz w:val="24"/>
                <w:szCs w:val="20"/>
                <w:u w:val="single"/>
              </w:rPr>
              <w:t>t/a。</w:t>
            </w:r>
          </w:p>
          <w:p>
            <w:pPr>
              <w:spacing w:line="360" w:lineRule="auto"/>
              <w:ind w:firstLine="496" w:firstLineChars="200"/>
              <w:rPr>
                <w:spacing w:val="4"/>
                <w:kern w:val="0"/>
                <w:sz w:val="24"/>
                <w:szCs w:val="20"/>
              </w:rPr>
            </w:pPr>
            <w:r>
              <w:rPr>
                <w:rFonts w:hint="eastAsia"/>
                <w:spacing w:val="4"/>
                <w:kern w:val="0"/>
                <w:sz w:val="24"/>
                <w:szCs w:val="20"/>
              </w:rPr>
              <w:t>③中药渣</w:t>
            </w:r>
          </w:p>
          <w:p>
            <w:pPr>
              <w:spacing w:line="360" w:lineRule="auto"/>
              <w:ind w:firstLine="496" w:firstLineChars="200"/>
              <w:rPr>
                <w:spacing w:val="4"/>
                <w:kern w:val="0"/>
                <w:sz w:val="24"/>
                <w:szCs w:val="20"/>
              </w:rPr>
            </w:pPr>
            <w:r>
              <w:rPr>
                <w:rFonts w:hint="eastAsia"/>
                <w:spacing w:val="4"/>
                <w:kern w:val="0"/>
                <w:sz w:val="24"/>
                <w:szCs w:val="20"/>
              </w:rPr>
              <w:t>根据建设单位提供的资料，中药渣产生量约为0.</w:t>
            </w:r>
            <w:r>
              <w:rPr>
                <w:rFonts w:hint="eastAsia"/>
                <w:spacing w:val="4"/>
                <w:kern w:val="0"/>
                <w:sz w:val="24"/>
                <w:szCs w:val="20"/>
                <w:lang w:val="en-US" w:eastAsia="zh-CN"/>
              </w:rPr>
              <w:t>1</w:t>
            </w:r>
            <w:r>
              <w:rPr>
                <w:rFonts w:hint="eastAsia"/>
                <w:spacing w:val="4"/>
                <w:kern w:val="0"/>
                <w:sz w:val="24"/>
                <w:szCs w:val="20"/>
              </w:rPr>
              <w:t>t/a。</w:t>
            </w:r>
          </w:p>
          <w:p>
            <w:pPr>
              <w:spacing w:line="360" w:lineRule="auto"/>
              <w:ind w:firstLine="496" w:firstLineChars="200"/>
              <w:rPr>
                <w:spacing w:val="4"/>
                <w:kern w:val="0"/>
                <w:sz w:val="24"/>
                <w:szCs w:val="20"/>
              </w:rPr>
            </w:pPr>
            <w:r>
              <w:rPr>
                <w:rFonts w:hint="eastAsia" w:ascii="宋体" w:hAnsi="宋体" w:cs="宋体"/>
                <w:spacing w:val="4"/>
                <w:kern w:val="0"/>
                <w:sz w:val="24"/>
                <w:szCs w:val="20"/>
              </w:rPr>
              <w:t>④</w:t>
            </w:r>
            <w:r>
              <w:rPr>
                <w:rFonts w:hint="eastAsia"/>
                <w:spacing w:val="4"/>
                <w:kern w:val="0"/>
                <w:sz w:val="24"/>
                <w:szCs w:val="20"/>
              </w:rPr>
              <w:t>污水处理系统污泥</w:t>
            </w:r>
          </w:p>
          <w:p>
            <w:pPr>
              <w:spacing w:line="360" w:lineRule="auto"/>
              <w:ind w:firstLine="496" w:firstLineChars="200"/>
              <w:rPr>
                <w:spacing w:val="4"/>
                <w:kern w:val="0"/>
                <w:sz w:val="24"/>
                <w:szCs w:val="20"/>
              </w:rPr>
            </w:pPr>
            <w:r>
              <w:rPr>
                <w:rFonts w:hint="eastAsia"/>
                <w:spacing w:val="4"/>
                <w:kern w:val="0"/>
                <w:sz w:val="24"/>
                <w:szCs w:val="20"/>
              </w:rPr>
              <w:t>项目废水经一体化污水处理系统处理后排入</w:t>
            </w:r>
            <w:r>
              <w:rPr>
                <w:rFonts w:hint="eastAsia"/>
                <w:spacing w:val="4"/>
                <w:kern w:val="0"/>
                <w:sz w:val="24"/>
                <w:szCs w:val="20"/>
                <w:lang w:eastAsia="zh-CN"/>
              </w:rPr>
              <w:t>三阳港镇</w:t>
            </w:r>
            <w:r>
              <w:rPr>
                <w:rFonts w:hint="eastAsia"/>
                <w:spacing w:val="4"/>
                <w:kern w:val="0"/>
                <w:sz w:val="24"/>
                <w:szCs w:val="20"/>
              </w:rPr>
              <w:t>污水处理厂，最终进入沅江。根据建设单位提供的资料，污泥产生量约为1.</w:t>
            </w:r>
            <w:r>
              <w:rPr>
                <w:rFonts w:hint="eastAsia"/>
                <w:spacing w:val="4"/>
                <w:kern w:val="0"/>
                <w:sz w:val="24"/>
                <w:szCs w:val="20"/>
                <w:lang w:val="en-US" w:eastAsia="zh-CN"/>
              </w:rPr>
              <w:t>0</w:t>
            </w:r>
            <w:r>
              <w:rPr>
                <w:rFonts w:hint="eastAsia"/>
                <w:spacing w:val="4"/>
                <w:kern w:val="0"/>
                <w:sz w:val="24"/>
                <w:szCs w:val="20"/>
              </w:rPr>
              <w:t>t/a。污水处理系统产生的污泥属于危险废物，建设方对污泥进行石灰固化后，用编织袋收集后委托有资质单位处理。</w:t>
            </w:r>
          </w:p>
          <w:p>
            <w:pPr>
              <w:spacing w:line="360" w:lineRule="auto"/>
              <w:jc w:val="center"/>
              <w:rPr>
                <w:spacing w:val="4"/>
                <w:kern w:val="0"/>
                <w:sz w:val="24"/>
                <w:szCs w:val="20"/>
              </w:rPr>
            </w:pPr>
            <w:r>
              <w:rPr>
                <w:rStyle w:val="86"/>
                <w:rFonts w:hint="eastAsia"/>
              </w:rPr>
              <w:t>表2-14现有工程固废产生情况一览表</w:t>
            </w:r>
          </w:p>
          <w:tbl>
            <w:tblPr>
              <w:tblStyle w:val="27"/>
              <w:tblW w:w="7875" w:type="dxa"/>
              <w:jc w:val="center"/>
              <w:tblLayout w:type="fixed"/>
              <w:tblCellMar>
                <w:top w:w="0" w:type="dxa"/>
                <w:left w:w="108" w:type="dxa"/>
                <w:bottom w:w="0" w:type="dxa"/>
                <w:right w:w="108" w:type="dxa"/>
              </w:tblCellMar>
            </w:tblPr>
            <w:tblGrid>
              <w:gridCol w:w="787"/>
              <w:gridCol w:w="1084"/>
              <w:gridCol w:w="956"/>
              <w:gridCol w:w="673"/>
              <w:gridCol w:w="875"/>
              <w:gridCol w:w="721"/>
              <w:gridCol w:w="656"/>
              <w:gridCol w:w="919"/>
              <w:gridCol w:w="1204"/>
            </w:tblGrid>
            <w:tr>
              <w:tblPrEx>
                <w:tblCellMar>
                  <w:top w:w="0" w:type="dxa"/>
                  <w:left w:w="108" w:type="dxa"/>
                  <w:bottom w:w="0" w:type="dxa"/>
                  <w:right w:w="108" w:type="dxa"/>
                </w:tblCellMar>
              </w:tblPrEx>
              <w:trPr>
                <w:trHeight w:val="835"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Cs w:val="21"/>
                    </w:rPr>
                  </w:pPr>
                  <w:r>
                    <w:rPr>
                      <w:b/>
                      <w:bCs/>
                      <w:color w:val="000000"/>
                      <w:kern w:val="0"/>
                      <w:szCs w:val="21"/>
                      <w:lang w:bidi="ar"/>
                    </w:rPr>
                    <w:t>固体废弃物名称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Cs w:val="21"/>
                    </w:rPr>
                  </w:pPr>
                  <w:r>
                    <w:rPr>
                      <w:b/>
                      <w:bCs/>
                      <w:color w:val="000000"/>
                      <w:kern w:val="0"/>
                      <w:szCs w:val="21"/>
                      <w:lang w:bidi="ar"/>
                    </w:rPr>
                    <w:t>废物类别</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szCs w:val="21"/>
                    </w:rPr>
                  </w:pPr>
                  <w:r>
                    <w:rPr>
                      <w:b/>
                      <w:bCs/>
                      <w:color w:val="000000"/>
                      <w:kern w:val="0"/>
                      <w:szCs w:val="21"/>
                      <w:lang w:bidi="ar"/>
                    </w:rPr>
                    <w:t>产生系数</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szCs w:val="21"/>
                    </w:rPr>
                  </w:pPr>
                  <w:r>
                    <w:rPr>
                      <w:b/>
                      <w:bCs/>
                      <w:color w:val="000000"/>
                      <w:kern w:val="0"/>
                      <w:szCs w:val="21"/>
                      <w:lang w:bidi="ar"/>
                    </w:rPr>
                    <w:t>规模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Cs w:val="21"/>
                    </w:rPr>
                  </w:pPr>
                  <w:r>
                    <w:rPr>
                      <w:b/>
                      <w:bCs/>
                      <w:color w:val="000000"/>
                      <w:kern w:val="0"/>
                      <w:szCs w:val="21"/>
                      <w:lang w:bidi="ar"/>
                    </w:rPr>
                    <w:t>年产生量（t/a）</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szCs w:val="21"/>
                    </w:rPr>
                  </w:pPr>
                  <w:r>
                    <w:rPr>
                      <w:b/>
                      <w:bCs/>
                      <w:color w:val="000000"/>
                      <w:kern w:val="0"/>
                      <w:szCs w:val="21"/>
                      <w:lang w:bidi="ar"/>
                    </w:rPr>
                    <w:t>废物类别</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Cs w:val="21"/>
                    </w:rPr>
                  </w:pPr>
                  <w:r>
                    <w:rPr>
                      <w:b/>
                      <w:bCs/>
                      <w:color w:val="000000"/>
                      <w:kern w:val="0"/>
                      <w:szCs w:val="21"/>
                      <w:lang w:bidi="ar"/>
                    </w:rPr>
                    <w:t>来源</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Cs w:val="21"/>
                    </w:rPr>
                  </w:pPr>
                  <w:r>
                    <w:rPr>
                      <w:b/>
                      <w:bCs/>
                      <w:color w:val="000000"/>
                      <w:kern w:val="0"/>
                      <w:szCs w:val="21"/>
                      <w:lang w:bidi="ar"/>
                    </w:rPr>
                    <w:t>措施</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szCs w:val="21"/>
                    </w:rPr>
                  </w:pPr>
                  <w:r>
                    <w:rPr>
                      <w:b/>
                      <w:bCs/>
                      <w:color w:val="000000"/>
                      <w:kern w:val="0"/>
                      <w:szCs w:val="21"/>
                      <w:lang w:bidi="ar"/>
                    </w:rPr>
                    <w:t>备注</w:t>
                  </w:r>
                </w:p>
              </w:tc>
            </w:tr>
            <w:tr>
              <w:tblPrEx>
                <w:tblCellMar>
                  <w:top w:w="0" w:type="dxa"/>
                  <w:left w:w="108" w:type="dxa"/>
                  <w:bottom w:w="0" w:type="dxa"/>
                  <w:right w:w="108" w:type="dxa"/>
                </w:tblCellMar>
              </w:tblPrEx>
              <w:trPr>
                <w:trHeight w:val="1647" w:hRule="atLeast"/>
                <w:jc w:val="center"/>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生活垃圾</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住院病房生活垃圾</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50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9.125</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color w:val="000000"/>
                      <w:kern w:val="0"/>
                      <w:szCs w:val="21"/>
                      <w:lang w:bidi="ar"/>
                    </w:rPr>
                    <w:t>一般固废</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住院楼</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统一收集后交环卫部门处理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rFonts w:hint="eastAsia"/>
                      <w:color w:val="000000"/>
                      <w:kern w:val="0"/>
                      <w:szCs w:val="21"/>
                      <w:lang w:eastAsia="zh-CN" w:bidi="ar"/>
                    </w:rPr>
                    <w:t>50张</w:t>
                  </w:r>
                  <w:r>
                    <w:rPr>
                      <w:color w:val="000000"/>
                      <w:kern w:val="0"/>
                      <w:szCs w:val="21"/>
                      <w:lang w:bidi="ar"/>
                    </w:rPr>
                    <w:t>床位，产生系数0.5kg/病床·d</w:t>
                  </w:r>
                </w:p>
              </w:tc>
            </w:tr>
            <w:tr>
              <w:tblPrEx>
                <w:tblCellMar>
                  <w:top w:w="0" w:type="dxa"/>
                  <w:left w:w="108" w:type="dxa"/>
                  <w:bottom w:w="0" w:type="dxa"/>
                  <w:right w:w="108" w:type="dxa"/>
                </w:tblCellMar>
              </w:tblPrEx>
              <w:trPr>
                <w:trHeight w:val="1101" w:hRule="atLeast"/>
                <w:jc w:val="center"/>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Cs w:val="21"/>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门诊垃圾</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0.1</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rFonts w:hint="default"/>
                      <w:u w:val="single"/>
                      <w:lang w:val="en-US"/>
                    </w:rPr>
                  </w:pPr>
                  <w:r>
                    <w:rPr>
                      <w:rFonts w:hint="eastAsia"/>
                      <w:u w:val="single"/>
                      <w:lang w:val="en-US" w:eastAsia="zh-CN"/>
                    </w:rPr>
                    <w:t>10950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rFonts w:hint="default"/>
                      <w:u w:val="single"/>
                      <w:lang w:val="en-US"/>
                    </w:rPr>
                  </w:pPr>
                  <w:r>
                    <w:rPr>
                      <w:rFonts w:hint="eastAsia"/>
                      <w:u w:val="single"/>
                      <w:lang w:val="en-US" w:eastAsia="zh-CN"/>
                    </w:rPr>
                    <w:t>1.095</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门诊楼</w:t>
                  </w: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Cs w:val="21"/>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产生系数0.1kg/人次·d</w:t>
                  </w:r>
                </w:p>
              </w:tc>
            </w:tr>
            <w:tr>
              <w:tblPrEx>
                <w:tblCellMar>
                  <w:top w:w="0" w:type="dxa"/>
                  <w:left w:w="108" w:type="dxa"/>
                  <w:bottom w:w="0" w:type="dxa"/>
                  <w:right w:w="108" w:type="dxa"/>
                </w:tblCellMar>
              </w:tblPrEx>
              <w:trPr>
                <w:trHeight w:val="1101" w:hRule="atLeast"/>
                <w:jc w:val="center"/>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Cs w:val="21"/>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职工生活垃圾</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30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5.475</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职工生活、办公</w:t>
                  </w: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Cs w:val="21"/>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产生系数0.5kg/人次·d</w:t>
                  </w:r>
                </w:p>
              </w:tc>
            </w:tr>
            <w:tr>
              <w:tblPrEx>
                <w:tblCellMar>
                  <w:top w:w="0" w:type="dxa"/>
                  <w:left w:w="108" w:type="dxa"/>
                  <w:bottom w:w="0" w:type="dxa"/>
                  <w:right w:w="108" w:type="dxa"/>
                </w:tblCellMar>
              </w:tblPrEx>
              <w:trPr>
                <w:trHeight w:val="854"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医疗固废</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危险废物</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color w:val="000000"/>
                      <w:kern w:val="0"/>
                      <w:szCs w:val="21"/>
                      <w:lang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pPr>
                  <w:r>
                    <w:rPr>
                      <w:rFonts w:hint="eastAsia"/>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pPr>
                  <w:r>
                    <w:rPr>
                      <w:rFonts w:hint="eastAsia"/>
                      <w:lang w:val="en-US" w:eastAsia="zh-CN"/>
                    </w:rPr>
                    <w:t>18</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color w:val="000000"/>
                      <w:kern w:val="0"/>
                      <w:szCs w:val="21"/>
                      <w:lang w:bidi="ar"/>
                    </w:rPr>
                    <w:t>危险废物</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住院楼门诊楼和</w:t>
                  </w:r>
                  <w:r>
                    <w:rPr>
                      <w:rFonts w:hint="eastAsia"/>
                      <w:color w:val="000000"/>
                      <w:kern w:val="0"/>
                      <w:szCs w:val="21"/>
                      <w:lang w:eastAsia="zh-CN" w:bidi="ar"/>
                    </w:rPr>
                    <w:t>公卫</w:t>
                  </w:r>
                  <w:r>
                    <w:rPr>
                      <w:color w:val="000000"/>
                      <w:kern w:val="0"/>
                      <w:szCs w:val="21"/>
                      <w:lang w:bidi="ar"/>
                    </w:rPr>
                    <w:t>楼</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医疗废物暂存间，委托有资质公司处置</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Cs w:val="21"/>
                    </w:rPr>
                  </w:pPr>
                </w:p>
              </w:tc>
            </w:tr>
            <w:tr>
              <w:tblPrEx>
                <w:tblCellMar>
                  <w:top w:w="0" w:type="dxa"/>
                  <w:left w:w="108" w:type="dxa"/>
                  <w:bottom w:w="0" w:type="dxa"/>
                  <w:right w:w="108" w:type="dxa"/>
                </w:tblCellMar>
              </w:tblPrEx>
              <w:trPr>
                <w:trHeight w:val="91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污水处理系统污泥</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危险废物</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color w:val="000000"/>
                      <w:kern w:val="0"/>
                      <w:szCs w:val="21"/>
                      <w:lang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pPr>
                  <w:r>
                    <w:rPr>
                      <w:rFonts w:hint="eastAsia"/>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pPr>
                  <w:r>
                    <w:rPr>
                      <w:rFonts w:hint="eastAsia"/>
                      <w:lang w:val="en-US" w:eastAsia="zh-CN"/>
                    </w:rPr>
                    <w:t>1</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污水处理区</w:t>
                  </w: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Cs w:val="21"/>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Cs w:val="21"/>
                    </w:rPr>
                  </w:pPr>
                </w:p>
              </w:tc>
            </w:tr>
            <w:tr>
              <w:tblPrEx>
                <w:tblCellMar>
                  <w:top w:w="0" w:type="dxa"/>
                  <w:left w:w="108" w:type="dxa"/>
                  <w:bottom w:w="0" w:type="dxa"/>
                  <w:right w:w="108" w:type="dxa"/>
                </w:tblCellMar>
              </w:tblPrEx>
              <w:trPr>
                <w:trHeight w:val="2476"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中药渣</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一般固废</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color w:val="000000"/>
                      <w:kern w:val="0"/>
                      <w:szCs w:val="21"/>
                      <w:lang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pPr>
                  <w:r>
                    <w:rPr>
                      <w:rFonts w:hint="eastAsia"/>
                      <w:lang w:val="en-US" w:eastAsia="zh-CN"/>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pPr>
                  <w:r>
                    <w:rPr>
                      <w:rFonts w:hint="eastAsia"/>
                      <w:lang w:val="en-US" w:eastAsia="zh-CN"/>
                    </w:rPr>
                    <w:t>0.12</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color w:val="000000"/>
                      <w:kern w:val="0"/>
                      <w:szCs w:val="21"/>
                      <w:lang w:bidi="ar"/>
                    </w:rPr>
                    <w:t>一般固废</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color w:val="000000"/>
                      <w:kern w:val="0"/>
                      <w:szCs w:val="21"/>
                      <w:lang w:bidi="ar"/>
                    </w:rPr>
                    <w:t>煎药房</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统一收集后交环卫部门处理</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Cs w:val="21"/>
                    </w:rPr>
                  </w:pPr>
                </w:p>
              </w:tc>
            </w:tr>
          </w:tbl>
          <w:p>
            <w:pPr>
              <w:numPr>
                <w:ilvl w:val="0"/>
                <w:numId w:val="3"/>
              </w:numPr>
              <w:spacing w:line="360" w:lineRule="auto"/>
              <w:ind w:firstLine="498" w:firstLineChars="200"/>
              <w:rPr>
                <w:b/>
                <w:bCs/>
                <w:spacing w:val="4"/>
                <w:kern w:val="0"/>
                <w:sz w:val="24"/>
                <w:szCs w:val="20"/>
              </w:rPr>
            </w:pPr>
            <w:r>
              <w:rPr>
                <w:rFonts w:hint="eastAsia"/>
                <w:b/>
                <w:bCs/>
                <w:spacing w:val="4"/>
                <w:kern w:val="0"/>
                <w:sz w:val="24"/>
                <w:szCs w:val="20"/>
              </w:rPr>
              <w:t>现有工程存在的问题及整改措施</w:t>
            </w:r>
          </w:p>
          <w:p>
            <w:pPr>
              <w:spacing w:line="360" w:lineRule="auto"/>
              <w:ind w:firstLine="496" w:firstLineChars="200"/>
            </w:pPr>
            <w:r>
              <w:rPr>
                <w:rFonts w:hint="eastAsia"/>
                <w:spacing w:val="4"/>
                <w:kern w:val="0"/>
                <w:sz w:val="24"/>
                <w:szCs w:val="20"/>
                <w:u w:val="single"/>
              </w:rPr>
              <w:t>根据现场踏勘及对现有环保设施处理后的污染物的监测可知，项目</w:t>
            </w:r>
            <w:r>
              <w:rPr>
                <w:rFonts w:hint="eastAsia"/>
                <w:spacing w:val="4"/>
                <w:kern w:val="0"/>
                <w:sz w:val="24"/>
                <w:szCs w:val="20"/>
                <w:u w:val="single"/>
                <w:lang w:eastAsia="zh-CN"/>
              </w:rPr>
              <w:t>各项污染物均能达标排放</w:t>
            </w:r>
            <w:r>
              <w:rPr>
                <w:rFonts w:hint="eastAsia"/>
                <w:spacing w:val="4"/>
                <w:kern w:val="0"/>
                <w:sz w:val="24"/>
                <w:szCs w:val="20"/>
                <w:u w:val="single"/>
              </w:rPr>
              <w:t>。</w:t>
            </w:r>
            <w:r>
              <w:rPr>
                <w:rFonts w:hint="eastAsia"/>
                <w:spacing w:val="4"/>
                <w:kern w:val="0"/>
                <w:sz w:val="24"/>
                <w:szCs w:val="20"/>
                <w:u w:val="single"/>
                <w:lang w:eastAsia="zh-CN"/>
              </w:rPr>
              <w:t>建设单位目前尚未取得排污许可证，且废水排放口未进行规范化设置，因此，本环评建议建设单位对上述两项问题尽快落实整改。现有污水处理站的排放口位于</w:t>
            </w:r>
            <w:r>
              <w:rPr>
                <w:rFonts w:hint="eastAsia"/>
                <w:spacing w:val="4"/>
                <w:kern w:val="0"/>
                <w:sz w:val="24"/>
                <w:szCs w:val="20"/>
                <w:u w:val="single"/>
                <w:lang w:val="en-US" w:eastAsia="zh-CN"/>
              </w:rPr>
              <w:t>E111.347969778</w:t>
            </w:r>
            <w:r>
              <w:rPr>
                <w:rFonts w:hint="eastAsia"/>
                <w:spacing w:val="4"/>
                <w:kern w:val="0"/>
                <w:sz w:val="24"/>
                <w:szCs w:val="20"/>
                <w:u w:val="single"/>
                <w:lang w:eastAsia="zh-CN"/>
              </w:rPr>
              <w:t>,</w:t>
            </w:r>
            <w:r>
              <w:rPr>
                <w:rFonts w:hint="eastAsia"/>
                <w:spacing w:val="4"/>
                <w:kern w:val="0"/>
                <w:sz w:val="24"/>
                <w:szCs w:val="20"/>
                <w:u w:val="single"/>
                <w:lang w:val="en-US" w:eastAsia="zh-CN"/>
              </w:rPr>
              <w:t>N 28.973709757</w:t>
            </w:r>
            <w:r>
              <w:rPr>
                <w:rFonts w:hint="eastAsia"/>
                <w:spacing w:val="4"/>
                <w:kern w:val="0"/>
                <w:sz w:val="24"/>
                <w:szCs w:val="20"/>
                <w:u w:val="single"/>
                <w:lang w:eastAsia="zh-CN"/>
              </w:rPr>
              <w:t>，卫生院暂未按照标准设置标志标识。且根据相关规定，医院污水处理站的排放口标志标识应设置在医院围墙外污水处理站处。</w:t>
            </w:r>
          </w:p>
          <w:p/>
        </w:tc>
      </w:tr>
    </w:tbl>
    <w:p>
      <w:pPr>
        <w:pStyle w:val="24"/>
        <w:jc w:val="center"/>
        <w:rPr>
          <w:rFonts w:ascii="Times New Roman" w:hAnsi="Times New Roman" w:eastAsia="黑体"/>
          <w:snapToGrid w:val="0"/>
          <w:sz w:val="36"/>
          <w:szCs w:val="36"/>
        </w:rPr>
        <w:sectPr>
          <w:pgSz w:w="11906" w:h="16838"/>
          <w:pgMar w:top="1701" w:right="1531" w:bottom="1701" w:left="1531" w:header="851" w:footer="851" w:gutter="0"/>
          <w:cols w:space="720" w:num="1"/>
          <w:docGrid w:linePitch="312" w:charSpace="0"/>
        </w:sectPr>
      </w:pPr>
    </w:p>
    <w:p>
      <w:pPr>
        <w:pStyle w:val="24"/>
        <w:adjustRightInd w:val="0"/>
        <w:snapToGrid w:val="0"/>
        <w:spacing w:line="14" w:lineRule="auto"/>
        <w:jc w:val="center"/>
        <w:rPr>
          <w:rFonts w:ascii="Times New Roman" w:hAnsi="Times New Roman" w:eastAsia="黑体"/>
          <w:snapToGrid w:val="0"/>
          <w:sz w:val="30"/>
          <w:szCs w:val="30"/>
        </w:rPr>
      </w:pPr>
    </w:p>
    <w:p>
      <w:pPr>
        <w:pStyle w:val="3"/>
      </w:pPr>
      <w:bookmarkStart w:id="5" w:name="_Toc19652"/>
      <w:r>
        <w:t>三、区域环境质量现状、环境保护目标及评价标准</w:t>
      </w:r>
      <w:bookmarkEnd w:id="5"/>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00" w:type="dxa"/>
            <w:vAlign w:val="center"/>
          </w:tcPr>
          <w:p>
            <w:pPr>
              <w:adjustRightInd w:val="0"/>
              <w:snapToGrid w:val="0"/>
              <w:jc w:val="center"/>
              <w:rPr>
                <w:kern w:val="0"/>
                <w:szCs w:val="21"/>
              </w:rPr>
            </w:pPr>
            <w:r>
              <w:rPr>
                <w:kern w:val="0"/>
                <w:szCs w:val="21"/>
              </w:rPr>
              <w:t>区域</w:t>
            </w:r>
          </w:p>
          <w:p>
            <w:pPr>
              <w:adjustRightInd w:val="0"/>
              <w:snapToGrid w:val="0"/>
              <w:jc w:val="center"/>
              <w:rPr>
                <w:kern w:val="0"/>
                <w:szCs w:val="21"/>
              </w:rPr>
            </w:pPr>
            <w:r>
              <w:rPr>
                <w:kern w:val="0"/>
                <w:szCs w:val="21"/>
              </w:rPr>
              <w:t>环境</w:t>
            </w:r>
          </w:p>
          <w:p>
            <w:pPr>
              <w:adjustRightInd w:val="0"/>
              <w:snapToGrid w:val="0"/>
              <w:jc w:val="center"/>
              <w:rPr>
                <w:kern w:val="0"/>
                <w:szCs w:val="21"/>
              </w:rPr>
            </w:pPr>
            <w:r>
              <w:rPr>
                <w:kern w:val="0"/>
                <w:szCs w:val="21"/>
              </w:rPr>
              <w:t>质量</w:t>
            </w:r>
          </w:p>
          <w:p>
            <w:pPr>
              <w:adjustRightInd w:val="0"/>
              <w:snapToGrid w:val="0"/>
              <w:jc w:val="center"/>
              <w:rPr>
                <w:kern w:val="0"/>
                <w:szCs w:val="21"/>
              </w:rPr>
            </w:pPr>
            <w:r>
              <w:rPr>
                <w:kern w:val="0"/>
                <w:szCs w:val="21"/>
              </w:rPr>
              <w:t>现状</w:t>
            </w:r>
          </w:p>
        </w:tc>
        <w:tc>
          <w:tcPr>
            <w:tcW w:w="8190" w:type="dxa"/>
            <w:vAlign w:val="center"/>
          </w:tcPr>
          <w:p>
            <w:pPr>
              <w:pStyle w:val="7"/>
              <w:spacing w:line="360" w:lineRule="auto"/>
            </w:pPr>
            <w:bookmarkStart w:id="6" w:name="_Toc10187"/>
            <w:bookmarkStart w:id="7" w:name="_Toc61213709"/>
            <w:bookmarkStart w:id="8" w:name="_Toc468795832"/>
            <w:r>
              <w:t>建设项目所在地区域环境质量现状及主要环境问题(环境空气、地面水、地下水、声环境、生态环境等)</w:t>
            </w:r>
            <w:bookmarkEnd w:id="6"/>
            <w:bookmarkEnd w:id="7"/>
            <w:bookmarkEnd w:id="8"/>
          </w:p>
          <w:p>
            <w:pPr>
              <w:spacing w:line="360" w:lineRule="auto"/>
              <w:rPr>
                <w:sz w:val="24"/>
                <w:szCs w:val="32"/>
              </w:rPr>
            </w:pPr>
            <w:r>
              <w:rPr>
                <w:sz w:val="24"/>
                <w:szCs w:val="32"/>
              </w:rPr>
              <w:t>1、环境空气</w:t>
            </w:r>
          </w:p>
          <w:p>
            <w:pPr>
              <w:spacing w:line="360" w:lineRule="auto"/>
              <w:rPr>
                <w:sz w:val="24"/>
                <w:szCs w:val="32"/>
              </w:rPr>
            </w:pPr>
            <w:r>
              <w:rPr>
                <w:sz w:val="24"/>
                <w:szCs w:val="32"/>
              </w:rPr>
              <w:t>(1)项目所在区域达标情况</w:t>
            </w:r>
          </w:p>
          <w:p>
            <w:pPr>
              <w:snapToGrid w:val="0"/>
              <w:spacing w:line="336" w:lineRule="auto"/>
              <w:ind w:firstLine="480" w:firstLineChars="200"/>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本项目所在区域的大气环境属二类功能区，执行《环境空气质量标准》（GB3095-2012）二级标准及2018年修改单。为了解本项目所在区域大气环境质量现状，</w:t>
            </w:r>
            <w:r>
              <w:rPr>
                <w:rFonts w:hint="default" w:ascii="Times New Roman" w:hAnsi="Times New Roman" w:eastAsia="宋体" w:cs="Times New Roman"/>
                <w:sz w:val="24"/>
                <w:u w:val="single"/>
              </w:rPr>
              <w:t>本次环评采用桃源县人民政府公布的</w:t>
            </w:r>
            <w:r>
              <w:rPr>
                <w:rFonts w:hint="default" w:ascii="Times New Roman" w:hAnsi="Times New Roman" w:eastAsia="宋体" w:cs="Times New Roman"/>
                <w:sz w:val="24"/>
                <w:u w:val="single"/>
                <w:lang w:val="en-US" w:eastAsia="zh-CN"/>
              </w:rPr>
              <w:t>2020</w:t>
            </w:r>
            <w:r>
              <w:rPr>
                <w:rFonts w:hint="default" w:ascii="Times New Roman" w:hAnsi="Times New Roman" w:eastAsia="宋体" w:cs="Times New Roman"/>
                <w:sz w:val="24"/>
                <w:u w:val="single"/>
              </w:rPr>
              <w:t>年全年大气基本因子</w:t>
            </w:r>
            <w:r>
              <w:rPr>
                <w:rFonts w:hint="default" w:ascii="Times New Roman" w:hAnsi="Times New Roman" w:eastAsia="宋体" w:cs="Times New Roman"/>
                <w:sz w:val="24"/>
                <w:u w:val="none"/>
              </w:rPr>
              <w:t>的监测数据（桃源县城区空气质量监测是全自动大气监测系统监测，监测点设县文体中心楼顶和漳江镇子贤坡两个监测站）作为评价项目区域是否为达标区的依据，如下表3-1所示。</w:t>
            </w:r>
          </w:p>
          <w:p>
            <w:pPr>
              <w:snapToGrid w:val="0"/>
              <w:jc w:val="center"/>
              <w:rPr>
                <w:rFonts w:hint="default" w:ascii="Times New Roman" w:hAnsi="Times New Roman" w:eastAsia="宋体" w:cs="Times New Roman"/>
                <w:b/>
                <w:bCs/>
                <w:u w:val="none"/>
              </w:rPr>
            </w:pPr>
            <w:r>
              <w:rPr>
                <w:rFonts w:hint="default" w:ascii="Times New Roman" w:hAnsi="Times New Roman" w:eastAsia="宋体" w:cs="Times New Roman"/>
                <w:b/>
                <w:bCs/>
                <w:u w:val="none"/>
              </w:rPr>
              <w:t>表3-1</w:t>
            </w:r>
            <w:r>
              <w:rPr>
                <w:rFonts w:hint="default" w:ascii="Times New Roman" w:hAnsi="Times New Roman" w:eastAsia="宋体" w:cs="Times New Roman"/>
                <w:b/>
                <w:bCs/>
                <w:u w:val="none"/>
                <w:lang w:val="en-US" w:eastAsia="zh-CN"/>
              </w:rPr>
              <w:t xml:space="preserve">  2020</w:t>
            </w:r>
            <w:r>
              <w:rPr>
                <w:rFonts w:hint="default" w:ascii="Times New Roman" w:hAnsi="Times New Roman" w:eastAsia="宋体" w:cs="Times New Roman"/>
                <w:b/>
                <w:bCs/>
                <w:u w:val="none"/>
              </w:rPr>
              <w:t>年度桃源县区域空气质量现状评价表单位：ug/m</w:t>
            </w:r>
            <w:r>
              <w:rPr>
                <w:rFonts w:hint="default" w:ascii="Times New Roman" w:hAnsi="Times New Roman" w:eastAsia="宋体" w:cs="Times New Roman"/>
                <w:b/>
                <w:bCs/>
                <w:u w:val="none"/>
                <w:vertAlign w:val="superscript"/>
              </w:rPr>
              <w:t>3</w:t>
            </w:r>
          </w:p>
          <w:tbl>
            <w:tblPr>
              <w:tblStyle w:val="27"/>
              <w:tblW w:w="7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539"/>
              <w:gridCol w:w="497"/>
              <w:gridCol w:w="566"/>
              <w:gridCol w:w="497"/>
              <w:gridCol w:w="539"/>
              <w:gridCol w:w="539"/>
              <w:gridCol w:w="539"/>
              <w:gridCol w:w="539"/>
              <w:gridCol w:w="539"/>
              <w:gridCol w:w="539"/>
              <w:gridCol w:w="539"/>
              <w:gridCol w:w="539"/>
              <w:gridCol w:w="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05"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-1905</wp:posOffset>
                            </wp:positionV>
                            <wp:extent cx="667385" cy="515620"/>
                            <wp:effectExtent l="3175" t="3810" r="15240" b="13970"/>
                            <wp:wrapNone/>
                            <wp:docPr id="69" name="直接连接符 69"/>
                            <wp:cNvGraphicFramePr/>
                            <a:graphic xmlns:a="http://schemas.openxmlformats.org/drawingml/2006/main">
                              <a:graphicData uri="http://schemas.microsoft.com/office/word/2010/wordprocessingShape">
                                <wps:wsp>
                                  <wps:cNvCnPr/>
                                  <wps:spPr>
                                    <a:xfrm>
                                      <a:off x="0" y="0"/>
                                      <a:ext cx="667385" cy="5156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pt;margin-top:-0.15pt;height:40.6pt;width:52.55pt;z-index:251662336;mso-width-relative:page;mso-height-relative:page;" filled="f" stroked="t" coordsize="21600,21600" o:gfxdata="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4v0ENYAAAAHAQAADwAAAAAAAAABACAAAAAiAAAAZHJzL2Rvd25yZXYueG1sUEsB&#10;AhQAFAAAAAgAh07iQKBlTRf3AQAA7AMAAA4AAAAAAAAAAQAgAAAAJ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宋体" w:cs="Times New Roman"/>
                      <w:u w:val="single"/>
                    </w:rPr>
                    <w:t>月份</w:t>
                  </w:r>
                </w:p>
                <w:p>
                  <w:pPr>
                    <w:rPr>
                      <w:rFonts w:hint="default" w:ascii="Times New Roman" w:hAnsi="Times New Roman" w:eastAsia="宋体" w:cs="Times New Roman"/>
                      <w:u w:val="single"/>
                    </w:rPr>
                  </w:pPr>
                </w:p>
                <w:p>
                  <w:pPr>
                    <w:rPr>
                      <w:rFonts w:hint="default" w:ascii="Times New Roman" w:hAnsi="Times New Roman" w:eastAsia="宋体" w:cs="Times New Roman"/>
                      <w:u w:val="single"/>
                    </w:rPr>
                  </w:pPr>
                  <w:r>
                    <w:rPr>
                      <w:rFonts w:hint="default" w:ascii="Times New Roman" w:hAnsi="Times New Roman" w:eastAsia="宋体" w:cs="Times New Roman"/>
                      <w:u w:val="single"/>
                    </w:rPr>
                    <w:t>污染物</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1</w:t>
                  </w:r>
                </w:p>
              </w:tc>
              <w:tc>
                <w:tcPr>
                  <w:tcW w:w="497"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2</w:t>
                  </w:r>
                </w:p>
              </w:tc>
              <w:tc>
                <w:tcPr>
                  <w:tcW w:w="566"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3</w:t>
                  </w:r>
                </w:p>
              </w:tc>
              <w:tc>
                <w:tcPr>
                  <w:tcW w:w="497"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4</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5</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6</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7</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8</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9</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10</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11</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12</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05"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SO</w:t>
                  </w:r>
                  <w:r>
                    <w:rPr>
                      <w:rFonts w:hint="default" w:ascii="Times New Roman" w:hAnsi="Times New Roman" w:eastAsia="宋体" w:cs="Times New Roman"/>
                      <w:u w:val="single"/>
                      <w:vertAlign w:val="subscript"/>
                    </w:rPr>
                    <w:t>2</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5</w:t>
                  </w:r>
                </w:p>
              </w:tc>
              <w:tc>
                <w:tcPr>
                  <w:tcW w:w="497"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4</w:t>
                  </w:r>
                </w:p>
              </w:tc>
              <w:tc>
                <w:tcPr>
                  <w:tcW w:w="566"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3</w:t>
                  </w:r>
                </w:p>
              </w:tc>
              <w:tc>
                <w:tcPr>
                  <w:tcW w:w="497"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5</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5</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4</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4</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4</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4</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4</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6</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7</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05"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NO</w:t>
                  </w:r>
                  <w:r>
                    <w:rPr>
                      <w:rFonts w:hint="default" w:ascii="Times New Roman" w:hAnsi="Times New Roman" w:eastAsia="宋体" w:cs="Times New Roman"/>
                      <w:u w:val="single"/>
                      <w:vertAlign w:val="subscript"/>
                    </w:rPr>
                    <w:t>2</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11</w:t>
                  </w:r>
                </w:p>
              </w:tc>
              <w:tc>
                <w:tcPr>
                  <w:tcW w:w="497"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5</w:t>
                  </w:r>
                </w:p>
              </w:tc>
              <w:tc>
                <w:tcPr>
                  <w:tcW w:w="566"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5</w:t>
                  </w:r>
                </w:p>
              </w:tc>
              <w:tc>
                <w:tcPr>
                  <w:tcW w:w="497"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10</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9</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4</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4</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4</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5</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7</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11</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14</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05"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PM</w:t>
                  </w:r>
                  <w:r>
                    <w:rPr>
                      <w:rFonts w:hint="default" w:ascii="Times New Roman" w:hAnsi="Times New Roman" w:eastAsia="宋体" w:cs="Times New Roman"/>
                      <w:u w:val="single"/>
                      <w:vertAlign w:val="subscript"/>
                    </w:rPr>
                    <w:t>10</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60</w:t>
                  </w:r>
                </w:p>
              </w:tc>
              <w:tc>
                <w:tcPr>
                  <w:tcW w:w="497"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45</w:t>
                  </w:r>
                </w:p>
              </w:tc>
              <w:tc>
                <w:tcPr>
                  <w:tcW w:w="566"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34</w:t>
                  </w:r>
                </w:p>
              </w:tc>
              <w:tc>
                <w:tcPr>
                  <w:tcW w:w="497"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43</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40</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22</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28</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22</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27</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42</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54</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77</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005"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PM</w:t>
                  </w:r>
                  <w:r>
                    <w:rPr>
                      <w:rFonts w:hint="default" w:ascii="Times New Roman" w:hAnsi="Times New Roman" w:eastAsia="宋体" w:cs="Times New Roman"/>
                      <w:u w:val="single"/>
                      <w:vertAlign w:val="subscript"/>
                    </w:rPr>
                    <w:t>2.5</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56</w:t>
                  </w:r>
                </w:p>
              </w:tc>
              <w:tc>
                <w:tcPr>
                  <w:tcW w:w="497"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41</w:t>
                  </w:r>
                </w:p>
              </w:tc>
              <w:tc>
                <w:tcPr>
                  <w:tcW w:w="566"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28</w:t>
                  </w:r>
                </w:p>
              </w:tc>
              <w:tc>
                <w:tcPr>
                  <w:tcW w:w="497"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32</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27</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16</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20</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17</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22</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29</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38</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61</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05"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CO（mg/m</w:t>
                  </w:r>
                  <w:r>
                    <w:rPr>
                      <w:rFonts w:hint="default" w:ascii="Times New Roman" w:hAnsi="Times New Roman" w:eastAsia="宋体" w:cs="Times New Roman"/>
                      <w:u w:val="single"/>
                      <w:vertAlign w:val="superscript"/>
                    </w:rPr>
                    <w:t>3</w:t>
                  </w:r>
                  <w:r>
                    <w:rPr>
                      <w:rFonts w:hint="default" w:ascii="Times New Roman" w:hAnsi="Times New Roman" w:eastAsia="宋体" w:cs="Times New Roman"/>
                      <w:u w:val="single"/>
                    </w:rPr>
                    <w:t>）</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1.1</w:t>
                  </w:r>
                </w:p>
              </w:tc>
              <w:tc>
                <w:tcPr>
                  <w:tcW w:w="497"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1.0</w:t>
                  </w:r>
                </w:p>
              </w:tc>
              <w:tc>
                <w:tcPr>
                  <w:tcW w:w="566"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1.0</w:t>
                  </w:r>
                </w:p>
              </w:tc>
              <w:tc>
                <w:tcPr>
                  <w:tcW w:w="497"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0.5</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0.6</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0.7</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0.6</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0.6</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0.7</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0.8</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1.1</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1.0</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05"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O</w:t>
                  </w:r>
                  <w:r>
                    <w:rPr>
                      <w:rFonts w:hint="default" w:ascii="Times New Roman" w:hAnsi="Times New Roman" w:eastAsia="宋体" w:cs="Times New Roman"/>
                      <w:u w:val="single"/>
                      <w:vertAlign w:val="subscript"/>
                    </w:rPr>
                    <w:t>3</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54</w:t>
                  </w:r>
                </w:p>
              </w:tc>
              <w:tc>
                <w:tcPr>
                  <w:tcW w:w="497"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57</w:t>
                  </w:r>
                </w:p>
              </w:tc>
              <w:tc>
                <w:tcPr>
                  <w:tcW w:w="566"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56</w:t>
                  </w:r>
                </w:p>
              </w:tc>
              <w:tc>
                <w:tcPr>
                  <w:tcW w:w="497"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96</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88</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70</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96</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137</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104</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118</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118</w:t>
                  </w:r>
                </w:p>
              </w:tc>
              <w:tc>
                <w:tcPr>
                  <w:tcW w:w="539" w:type="dxa"/>
                  <w:noWrap w:val="0"/>
                  <w:vAlign w:val="center"/>
                </w:tcPr>
                <w:p>
                  <w:pPr>
                    <w:jc w:val="center"/>
                    <w:rPr>
                      <w:rFonts w:hint="default" w:ascii="Times New Roman" w:hAnsi="Times New Roman" w:eastAsia="宋体" w:cs="Times New Roman"/>
                      <w:u w:val="single"/>
                      <w:lang w:val="en-US" w:eastAsia="zh-CN"/>
                    </w:rPr>
                  </w:pPr>
                  <w:r>
                    <w:rPr>
                      <w:rFonts w:hint="default" w:ascii="Times New Roman" w:hAnsi="Times New Roman" w:eastAsia="宋体" w:cs="Times New Roman"/>
                      <w:u w:val="single"/>
                      <w:lang w:val="en-US" w:eastAsia="zh-CN"/>
                    </w:rPr>
                    <w:t>78</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5"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是否达标</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是</w:t>
                  </w:r>
                </w:p>
              </w:tc>
              <w:tc>
                <w:tcPr>
                  <w:tcW w:w="497"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是</w:t>
                  </w:r>
                </w:p>
              </w:tc>
              <w:tc>
                <w:tcPr>
                  <w:tcW w:w="566"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是</w:t>
                  </w:r>
                </w:p>
              </w:tc>
              <w:tc>
                <w:tcPr>
                  <w:tcW w:w="497"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是</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是</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是</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是</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是</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是</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是</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是</w:t>
                  </w:r>
                </w:p>
              </w:tc>
              <w:tc>
                <w:tcPr>
                  <w:tcW w:w="539" w:type="dxa"/>
                  <w:noWrap w:val="0"/>
                  <w:vAlign w:val="center"/>
                </w:tcPr>
                <w:p>
                  <w:pPr>
                    <w:jc w:val="center"/>
                    <w:rPr>
                      <w:rFonts w:hint="default" w:ascii="Times New Roman" w:hAnsi="Times New Roman" w:eastAsia="宋体" w:cs="Times New Roman"/>
                      <w:u w:val="single"/>
                    </w:rPr>
                  </w:pPr>
                  <w:r>
                    <w:rPr>
                      <w:rFonts w:hint="default" w:ascii="Times New Roman" w:hAnsi="Times New Roman" w:eastAsia="宋体" w:cs="Times New Roman"/>
                      <w:u w:val="single"/>
                    </w:rPr>
                    <w:t>是</w:t>
                  </w:r>
                </w:p>
              </w:tc>
              <w:tc>
                <w:tcPr>
                  <w:tcW w:w="539" w:type="dxa"/>
                  <w:noWrap w:val="0"/>
                  <w:vAlign w:val="center"/>
                </w:tcPr>
                <w:p>
                  <w:pPr>
                    <w:jc w:val="center"/>
                    <w:rPr>
                      <w:rFonts w:hint="default" w:ascii="Times New Roman" w:hAnsi="Times New Roman" w:eastAsia="宋体" w:cs="Times New Roman"/>
                      <w:u w:val="single"/>
                      <w:lang w:eastAsia="zh-CN"/>
                    </w:rPr>
                  </w:pPr>
                  <w:r>
                    <w:rPr>
                      <w:rFonts w:hint="default" w:ascii="Times New Roman" w:hAnsi="Times New Roman" w:eastAsia="宋体" w:cs="Times New Roman"/>
                      <w:u w:val="single"/>
                      <w:lang w:val="en-US" w:eastAsia="zh-CN"/>
                    </w:rPr>
                    <w:t>/</w:t>
                  </w:r>
                </w:p>
              </w:tc>
            </w:tr>
          </w:tbl>
          <w:p>
            <w:pPr>
              <w:adjustRightInd w:val="0"/>
              <w:snapToGrid w:val="0"/>
              <w:spacing w:line="360" w:lineRule="auto"/>
              <w:ind w:firstLine="480" w:firstLineChars="200"/>
              <w:rPr>
                <w:rFonts w:hint="default" w:ascii="Times New Roman" w:hAnsi="Times New Roman" w:eastAsia="宋体" w:cs="Times New Roman"/>
                <w:kern w:val="0"/>
                <w:sz w:val="24"/>
                <w:u w:val="none"/>
              </w:rPr>
            </w:pPr>
            <w:r>
              <w:rPr>
                <w:rFonts w:hint="default" w:ascii="Times New Roman" w:hAnsi="Times New Roman" w:eastAsia="宋体" w:cs="Times New Roman"/>
                <w:kern w:val="0"/>
                <w:sz w:val="24"/>
                <w:u w:val="none"/>
              </w:rPr>
              <w:t>上表表明项目所在区域为大气环境质量达标区，项目区域环境质量较好。</w:t>
            </w:r>
          </w:p>
          <w:p>
            <w:pPr>
              <w:spacing w:line="360" w:lineRule="auto"/>
              <w:ind w:firstLine="480" w:firstLineChars="200"/>
              <w:rPr>
                <w:rFonts w:hint="default" w:ascii="Times New Roman" w:hAnsi="Times New Roman" w:eastAsia="宋体" w:cs="Times New Roman"/>
                <w:sz w:val="24"/>
                <w:szCs w:val="32"/>
                <w:u w:val="none"/>
              </w:rPr>
            </w:pPr>
            <w:r>
              <w:rPr>
                <w:rFonts w:hint="default" w:ascii="Times New Roman" w:hAnsi="Times New Roman" w:eastAsia="宋体" w:cs="Times New Roman"/>
                <w:sz w:val="24"/>
                <w:szCs w:val="32"/>
                <w:u w:val="none"/>
              </w:rPr>
              <w:t>由区域常规监测结果可知：从监测数据结果来分析，桃源县大气污染物SO</w:t>
            </w:r>
            <w:r>
              <w:rPr>
                <w:rFonts w:hint="default" w:ascii="Times New Roman" w:hAnsi="Times New Roman" w:eastAsia="宋体" w:cs="Times New Roman"/>
                <w:sz w:val="24"/>
                <w:szCs w:val="32"/>
                <w:u w:val="none"/>
                <w:vertAlign w:val="subscript"/>
              </w:rPr>
              <w:t>2</w:t>
            </w:r>
            <w:r>
              <w:rPr>
                <w:rFonts w:hint="default" w:ascii="Times New Roman" w:hAnsi="Times New Roman" w:eastAsia="宋体" w:cs="Times New Roman"/>
                <w:sz w:val="24"/>
                <w:szCs w:val="32"/>
                <w:u w:val="none"/>
              </w:rPr>
              <w:t>、NO</w:t>
            </w:r>
            <w:r>
              <w:rPr>
                <w:rFonts w:hint="default" w:ascii="Times New Roman" w:hAnsi="Times New Roman" w:eastAsia="宋体" w:cs="Times New Roman"/>
                <w:sz w:val="24"/>
                <w:szCs w:val="32"/>
                <w:u w:val="none"/>
                <w:vertAlign w:val="subscript"/>
              </w:rPr>
              <w:t>2</w:t>
            </w:r>
            <w:r>
              <w:rPr>
                <w:rFonts w:hint="default" w:ascii="Times New Roman" w:hAnsi="Times New Roman" w:eastAsia="宋体" w:cs="Times New Roman"/>
                <w:sz w:val="24"/>
                <w:szCs w:val="32"/>
                <w:u w:val="none"/>
              </w:rPr>
              <w:t>、PM</w:t>
            </w:r>
            <w:r>
              <w:rPr>
                <w:rFonts w:hint="default" w:ascii="Times New Roman" w:hAnsi="Times New Roman" w:eastAsia="宋体" w:cs="Times New Roman"/>
                <w:sz w:val="24"/>
                <w:szCs w:val="32"/>
                <w:u w:val="none"/>
                <w:vertAlign w:val="subscript"/>
              </w:rPr>
              <w:t>10</w:t>
            </w:r>
            <w:r>
              <w:rPr>
                <w:rFonts w:hint="default" w:ascii="Times New Roman" w:hAnsi="Times New Roman" w:eastAsia="宋体" w:cs="Times New Roman"/>
                <w:sz w:val="24"/>
                <w:szCs w:val="32"/>
                <w:u w:val="none"/>
              </w:rPr>
              <w:t>、CO、O</w:t>
            </w:r>
            <w:r>
              <w:rPr>
                <w:rFonts w:hint="default" w:ascii="Times New Roman" w:hAnsi="Times New Roman" w:eastAsia="宋体" w:cs="Times New Roman"/>
                <w:sz w:val="24"/>
                <w:szCs w:val="32"/>
                <w:u w:val="none"/>
                <w:vertAlign w:val="subscript"/>
              </w:rPr>
              <w:t>3</w:t>
            </w:r>
            <w:r>
              <w:rPr>
                <w:rFonts w:hint="default" w:ascii="Times New Roman" w:hAnsi="Times New Roman" w:eastAsia="宋体" w:cs="Times New Roman"/>
                <w:sz w:val="24"/>
                <w:szCs w:val="32"/>
                <w:u w:val="none"/>
              </w:rPr>
              <w:t>及PM</w:t>
            </w:r>
            <w:r>
              <w:rPr>
                <w:rFonts w:hint="default" w:ascii="Times New Roman" w:hAnsi="Times New Roman" w:eastAsia="宋体" w:cs="Times New Roman"/>
                <w:sz w:val="24"/>
                <w:szCs w:val="32"/>
                <w:u w:val="none"/>
                <w:vertAlign w:val="subscript"/>
              </w:rPr>
              <w:t>2.5</w:t>
            </w:r>
            <w:r>
              <w:rPr>
                <w:rFonts w:hint="default" w:ascii="Times New Roman" w:hAnsi="Times New Roman" w:eastAsia="宋体" w:cs="Times New Roman"/>
                <w:sz w:val="24"/>
                <w:szCs w:val="32"/>
                <w:u w:val="none"/>
              </w:rPr>
              <w:t>的平均值均能达到《环境空气质量标准》(GB3095-2012)及其2018年修改单中的二级标准，桃源县属于达标区域。</w:t>
            </w:r>
          </w:p>
          <w:p>
            <w:pPr>
              <w:spacing w:line="360" w:lineRule="auto"/>
              <w:rPr>
                <w:sz w:val="24"/>
                <w:szCs w:val="32"/>
              </w:rPr>
            </w:pPr>
            <w:r>
              <w:rPr>
                <w:sz w:val="24"/>
                <w:szCs w:val="32"/>
              </w:rPr>
              <w:t>2、地表水</w:t>
            </w:r>
          </w:p>
          <w:p>
            <w:pPr>
              <w:adjustRightInd w:val="0"/>
              <w:snapToGrid w:val="0"/>
              <w:spacing w:line="360" w:lineRule="auto"/>
              <w:ind w:firstLine="480" w:firstLineChars="200"/>
              <w:rPr>
                <w:kern w:val="0"/>
                <w:sz w:val="24"/>
              </w:rPr>
            </w:pPr>
            <w:bookmarkStart w:id="9" w:name="_Toc61213711"/>
            <w:r>
              <w:rPr>
                <w:rFonts w:hint="eastAsia" w:ascii="Times New Roman" w:hAnsi="Times New Roman" w:eastAsia="宋体" w:cs="Times New Roman"/>
                <w:sz w:val="24"/>
                <w:lang w:val="en-US" w:eastAsia="zh-CN"/>
              </w:rPr>
              <w:t>本项目</w:t>
            </w:r>
            <w:r>
              <w:rPr>
                <w:rFonts w:hint="default" w:ascii="Times New Roman" w:hAnsi="Times New Roman" w:eastAsia="宋体" w:cs="Times New Roman"/>
                <w:sz w:val="24"/>
                <w:lang w:val="en-US" w:eastAsia="zh-CN"/>
              </w:rPr>
              <w:t>医疗废水与生活污水一并入</w:t>
            </w:r>
            <w:r>
              <w:rPr>
                <w:rFonts w:hint="eastAsia" w:ascii="Times New Roman" w:hAnsi="Times New Roman" w:eastAsia="宋体" w:cs="Times New Roman"/>
                <w:sz w:val="24"/>
                <w:lang w:val="en-US" w:eastAsia="zh-CN"/>
              </w:rPr>
              <w:t>污水处理站</w:t>
            </w:r>
            <w:r>
              <w:rPr>
                <w:rFonts w:hint="default" w:ascii="Times New Roman" w:hAnsi="Times New Roman" w:eastAsia="宋体" w:cs="Times New Roman"/>
                <w:sz w:val="24"/>
                <w:lang w:val="en-US" w:eastAsia="zh-CN"/>
              </w:rPr>
              <w:t>处理后，直接纳入市政管网，并通过污水管网进入桃源县</w:t>
            </w:r>
            <w:r>
              <w:rPr>
                <w:rFonts w:hint="eastAsia" w:ascii="Times New Roman" w:hAnsi="Times New Roman" w:eastAsia="宋体" w:cs="Times New Roman"/>
                <w:sz w:val="24"/>
                <w:lang w:val="en-US" w:eastAsia="zh-CN"/>
              </w:rPr>
              <w:t>三阳港镇</w:t>
            </w:r>
            <w:r>
              <w:rPr>
                <w:rFonts w:hint="default" w:ascii="Times New Roman" w:hAnsi="Times New Roman" w:eastAsia="宋体" w:cs="Times New Roman"/>
                <w:sz w:val="24"/>
                <w:lang w:val="en-US" w:eastAsia="zh-CN"/>
              </w:rPr>
              <w:t>污水处理厂处理达标后排入沅江。</w:t>
            </w:r>
            <w:r>
              <w:rPr>
                <w:sz w:val="24"/>
              </w:rPr>
              <w:t>为了解本项目所在区域</w:t>
            </w:r>
            <w:r>
              <w:rPr>
                <w:kern w:val="0"/>
                <w:sz w:val="24"/>
              </w:rPr>
              <w:t>内水体环境质量现状，</w:t>
            </w:r>
            <w:r>
              <w:rPr>
                <w:rFonts w:hint="eastAsia" w:ascii="Times New Roman" w:hAnsi="Times New Roman" w:eastAsia="宋体" w:cs="Times New Roman"/>
                <w:sz w:val="24"/>
                <w:lang w:val="en-US" w:eastAsia="zh-CN"/>
              </w:rPr>
              <w:t>本次环评委托湖南德环监测中心于2021年1月22日-24日对</w:t>
            </w:r>
            <w:r>
              <w:rPr>
                <w:rFonts w:hint="default" w:ascii="Times New Roman" w:hAnsi="Times New Roman" w:eastAsia="宋体" w:cs="Times New Roman"/>
                <w:sz w:val="24"/>
                <w:lang w:val="en-US" w:eastAsia="zh-CN"/>
              </w:rPr>
              <w:t>桃源县</w:t>
            </w:r>
            <w:r>
              <w:rPr>
                <w:rFonts w:hint="eastAsia" w:ascii="Times New Roman" w:hAnsi="Times New Roman" w:eastAsia="宋体" w:cs="Times New Roman"/>
                <w:sz w:val="24"/>
                <w:lang w:val="en-US" w:eastAsia="zh-CN"/>
              </w:rPr>
              <w:t>三阳港镇</w:t>
            </w:r>
            <w:r>
              <w:rPr>
                <w:rFonts w:hint="default" w:ascii="Times New Roman" w:hAnsi="Times New Roman" w:eastAsia="宋体" w:cs="Times New Roman"/>
                <w:sz w:val="24"/>
                <w:lang w:val="en-US" w:eastAsia="zh-CN"/>
              </w:rPr>
              <w:t>污水处理厂</w:t>
            </w:r>
            <w:r>
              <w:rPr>
                <w:rFonts w:hint="eastAsia" w:ascii="Times New Roman" w:hAnsi="Times New Roman" w:eastAsia="宋体" w:cs="Times New Roman"/>
                <w:sz w:val="24"/>
                <w:lang w:val="en-US" w:eastAsia="zh-CN"/>
              </w:rPr>
              <w:t>排放口上下游进行了现状监测</w:t>
            </w:r>
            <w:r>
              <w:rPr>
                <w:rFonts w:hint="eastAsia"/>
                <w:sz w:val="24"/>
              </w:rPr>
              <w:t>。</w:t>
            </w:r>
            <w:r>
              <w:rPr>
                <w:kern w:val="0"/>
                <w:sz w:val="24"/>
              </w:rPr>
              <w:t>具体情况见</w:t>
            </w:r>
            <w:r>
              <w:rPr>
                <w:rFonts w:hint="eastAsia"/>
                <w:kern w:val="0"/>
                <w:sz w:val="24"/>
              </w:rPr>
              <w:t>下表</w:t>
            </w:r>
            <w:r>
              <w:rPr>
                <w:kern w:val="0"/>
                <w:sz w:val="24"/>
              </w:rPr>
              <w:t>。</w:t>
            </w:r>
          </w:p>
          <w:p>
            <w:pPr>
              <w:autoSpaceDE w:val="0"/>
              <w:autoSpaceDN w:val="0"/>
              <w:spacing w:line="360" w:lineRule="auto"/>
              <w:ind w:firstLine="84" w:firstLineChars="35"/>
              <w:jc w:val="center"/>
              <w:rPr>
                <w:b/>
                <w:bCs/>
                <w:sz w:val="24"/>
              </w:rPr>
            </w:pPr>
            <w:r>
              <w:rPr>
                <w:rFonts w:hint="eastAsia"/>
                <w:b/>
                <w:bCs/>
                <w:sz w:val="24"/>
              </w:rPr>
              <w:t>表3-3水质现状监测及评价结果一览表单位：</w:t>
            </w:r>
            <w:r>
              <w:rPr>
                <w:b/>
                <w:bCs/>
                <w:sz w:val="24"/>
              </w:rPr>
              <w:t>mg/L</w:t>
            </w:r>
            <w:r>
              <w:rPr>
                <w:rFonts w:hint="eastAsia"/>
                <w:b/>
                <w:bCs/>
                <w:sz w:val="24"/>
              </w:rPr>
              <w:t>（</w:t>
            </w:r>
            <w:r>
              <w:rPr>
                <w:b/>
                <w:bCs/>
                <w:sz w:val="24"/>
              </w:rPr>
              <w:t>pH</w:t>
            </w:r>
            <w:r>
              <w:rPr>
                <w:rFonts w:hint="eastAsia"/>
                <w:b/>
                <w:bCs/>
                <w:sz w:val="24"/>
              </w:rPr>
              <w:t>除外）</w:t>
            </w:r>
          </w:p>
          <w:tbl>
            <w:tblPr>
              <w:tblStyle w:val="28"/>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1993"/>
              <w:gridCol w:w="1995"/>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3986" w:type="dxa"/>
                  <w:gridSpan w:val="2"/>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mc:AlternateContent>
                      <mc:Choice Requires="wpsCustomData">
                        <wpsCustomData:diagonalParaType/>
                      </mc:Choice>
                    </mc:AlternateContent>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监测项目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监测点位</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W1三阳港污水处理厂排污口上游300米</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W2三阳港污水处理厂排污口下游500米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pH值（无量纲）</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监测数据范围</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7.19-7.66</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7.50-7.74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评价标准</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6-9</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超标率</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0</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最大超标倍数</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0</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水温（℃）</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监测数据范围</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7.2-7.5</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7.2-7.8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评价标准</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超标率</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最大超标倍数</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化学需氧量(mg/L)</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监测数据范围</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17-19</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16-18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评价标准</w:t>
                  </w:r>
                </w:p>
              </w:tc>
              <w:tc>
                <w:tcPr>
                  <w:tcW w:w="19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&lt;20</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超标率</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最大超标倍数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溶解氧(mg/L)</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监测数据范围</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8.30-8.45</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8.36-8.39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评价标准</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&gt;5</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&gt;5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超标率</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最大超标倍数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氨氮(mg/L)</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监测数据范围</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0.848-0.891</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0.964-0.992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评价标准</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&lt;1</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超标率</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最大超标倍数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总磷（以P计）(mg/L)</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监测数据范围</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0.176-0.179</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0.192-0.195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评价标准</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&lt;0.2</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&lt;0.2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超标率</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最大超标倍数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五日生化需氧量(mg/L)</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监测数据范围</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0.7-0.9</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评价标准</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&lt;4</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&lt;4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超标率</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最大超标倍数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石油类(mg/L)</w:t>
                  </w: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监测数据范围</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0.01L</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0.01L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评价标准</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&lt;0.05</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&lt;0.05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超标率</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c>
                <w:tcPr>
                  <w:tcW w:w="1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最大超标倍数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注：“L”表示未检出，即检测结果低于方法检出限。</w:t>
                  </w:r>
                </w:p>
              </w:tc>
            </w:tr>
          </w:tbl>
          <w:p>
            <w:pPr>
              <w:spacing w:line="360" w:lineRule="auto"/>
              <w:ind w:firstLine="480" w:firstLineChars="200"/>
              <w:rPr>
                <w:rFonts w:hint="default" w:ascii="Times New Roman" w:hAnsi="Times New Roman" w:eastAsia="宋体" w:cs="Times New Roman"/>
                <w:sz w:val="24"/>
                <w:lang w:val="en-US" w:eastAsia="zh-CN"/>
              </w:rPr>
            </w:pPr>
            <w:r>
              <w:rPr>
                <w:rFonts w:hint="eastAsia"/>
                <w:kern w:val="0"/>
                <w:sz w:val="24"/>
              </w:rPr>
              <w:t>由监测结果可知，</w:t>
            </w:r>
            <w:r>
              <w:rPr>
                <w:rFonts w:hint="eastAsia" w:ascii="Times New Roman" w:hAnsi="Times New Roman" w:eastAsia="宋体" w:cs="Times New Roman"/>
                <w:color w:val="auto"/>
                <w:sz w:val="24"/>
                <w:lang w:val="en-US" w:eastAsia="zh-CN"/>
              </w:rPr>
              <w:t>本项目区域地表水水质满足《地表水质量标准》（GB3838-2002）III类标准</w:t>
            </w:r>
            <w:r>
              <w:rPr>
                <w:rFonts w:hint="eastAsia"/>
                <w:sz w:val="24"/>
              </w:rPr>
              <w:t>。</w:t>
            </w:r>
            <w:r>
              <w:rPr>
                <w:rFonts w:hint="eastAsia"/>
                <w:kern w:val="0"/>
                <w:sz w:val="24"/>
              </w:rPr>
              <w:t>因此本项目区域地表水环境质量较好</w:t>
            </w:r>
            <w:r>
              <w:rPr>
                <w:rFonts w:hint="eastAsia" w:ascii="Times New Roman" w:hAnsi="Times New Roman" w:eastAsia="宋体" w:cs="Times New Roman"/>
                <w:color w:val="auto"/>
                <w:sz w:val="24"/>
                <w:lang w:val="en-US" w:eastAsia="zh-CN"/>
              </w:rPr>
              <w:t>。</w:t>
            </w:r>
          </w:p>
          <w:p>
            <w:pPr>
              <w:spacing w:line="360" w:lineRule="auto"/>
              <w:rPr>
                <w:sz w:val="24"/>
                <w:szCs w:val="32"/>
              </w:rPr>
            </w:pPr>
            <w:r>
              <w:rPr>
                <w:sz w:val="24"/>
                <w:szCs w:val="32"/>
              </w:rPr>
              <w:t>3、声环境</w:t>
            </w:r>
            <w:bookmarkEnd w:id="9"/>
          </w:p>
          <w:p>
            <w:pPr>
              <w:pStyle w:val="76"/>
              <w:ind w:firstLine="480"/>
            </w:pPr>
            <w:r>
              <w:rPr>
                <w:szCs w:val="32"/>
              </w:rPr>
              <w:t>项目位于</w:t>
            </w:r>
            <w:r>
              <w:rPr>
                <w:rFonts w:hint="eastAsia"/>
                <w:szCs w:val="32"/>
                <w:lang w:eastAsia="zh-CN"/>
              </w:rPr>
              <w:t>三阳港镇墟场中街</w:t>
            </w:r>
            <w:r>
              <w:rPr>
                <w:szCs w:val="32"/>
              </w:rPr>
              <w:t>，</w:t>
            </w:r>
            <w:r>
              <w:rPr>
                <w:rFonts w:hint="eastAsia"/>
              </w:rPr>
              <w:t>为了解项目区域声质量现状，本次环评针对厂界和50m范围内的敏感点进行的噪声监测</w:t>
            </w:r>
            <w:r>
              <w:t>。</w:t>
            </w:r>
          </w:p>
          <w:p>
            <w:pPr>
              <w:pStyle w:val="76"/>
              <w:ind w:firstLine="480"/>
            </w:pPr>
            <w:r>
              <w:rPr>
                <w:rFonts w:hint="eastAsia"/>
              </w:rPr>
              <w:t>1）</w:t>
            </w:r>
            <w:r>
              <w:t>监测布点：</w:t>
            </w:r>
            <w:r>
              <w:rPr>
                <w:rFonts w:hint="eastAsia"/>
              </w:rPr>
              <w:t>场地的西、南、东、北四个场界各布设1个监测点（SY1-SY4），以及</w:t>
            </w:r>
            <w:r>
              <w:rPr>
                <w:rFonts w:hint="eastAsia"/>
                <w:lang w:eastAsia="zh-CN"/>
              </w:rPr>
              <w:t>北侧</w:t>
            </w:r>
            <w:r>
              <w:rPr>
                <w:rFonts w:hint="eastAsia"/>
                <w:lang w:val="en-US" w:eastAsia="zh-CN"/>
              </w:rPr>
              <w:t>40m处</w:t>
            </w:r>
            <w:r>
              <w:rPr>
                <w:rFonts w:hint="eastAsia"/>
                <w:lang w:eastAsia="zh-CN"/>
              </w:rPr>
              <w:t>居民点、</w:t>
            </w:r>
            <w:r>
              <w:rPr>
                <w:rFonts w:hint="eastAsia"/>
                <w:lang w:val="en-US" w:eastAsia="zh-CN"/>
              </w:rPr>
              <w:t>东南侧15m处居民点、南侧5m处居民点各布设</w:t>
            </w:r>
            <w:r>
              <w:rPr>
                <w:rFonts w:hint="eastAsia"/>
              </w:rPr>
              <w:t>1个监测点（SY5-SY</w:t>
            </w:r>
            <w:r>
              <w:rPr>
                <w:rFonts w:hint="eastAsia"/>
                <w:lang w:val="en-US" w:eastAsia="zh-CN"/>
              </w:rPr>
              <w:t>7</w:t>
            </w:r>
            <w:r>
              <w:rPr>
                <w:rFonts w:hint="eastAsia"/>
              </w:rPr>
              <w:t>）；</w:t>
            </w:r>
          </w:p>
          <w:p>
            <w:pPr>
              <w:pStyle w:val="76"/>
              <w:ind w:firstLine="480"/>
            </w:pPr>
            <w:r>
              <w:rPr>
                <w:rFonts w:hint="eastAsia"/>
              </w:rPr>
              <w:t>2）</w:t>
            </w:r>
            <w:r>
              <w:t>监测因子：等效连续A声级</w:t>
            </w:r>
            <w:r>
              <w:rPr>
                <w:rFonts w:hint="eastAsia"/>
              </w:rPr>
              <w:t>；</w:t>
            </w:r>
          </w:p>
          <w:p>
            <w:pPr>
              <w:pStyle w:val="76"/>
              <w:ind w:firstLine="480"/>
            </w:pPr>
            <w:r>
              <w:rPr>
                <w:rFonts w:hint="eastAsia"/>
              </w:rPr>
              <w:t>3）</w:t>
            </w:r>
            <w:r>
              <w:t>评价标准：执行《声环境质量标准》（GB3096-2008）</w:t>
            </w:r>
            <w:r>
              <w:rPr>
                <w:rFonts w:hint="eastAsia"/>
              </w:rPr>
              <w:t>2</w:t>
            </w:r>
            <w:r>
              <w:t>类</w:t>
            </w:r>
            <w:r>
              <w:rPr>
                <w:rFonts w:hint="eastAsia"/>
              </w:rPr>
              <w:t>标</w:t>
            </w:r>
            <w:r>
              <w:t>准</w:t>
            </w:r>
            <w:r>
              <w:rPr>
                <w:rFonts w:hint="eastAsia"/>
              </w:rPr>
              <w:t>准；</w:t>
            </w:r>
          </w:p>
          <w:p>
            <w:pPr>
              <w:pStyle w:val="76"/>
              <w:ind w:firstLine="480"/>
            </w:pPr>
            <w:r>
              <w:rPr>
                <w:rFonts w:hint="eastAsia"/>
              </w:rPr>
              <w:t>4）</w:t>
            </w:r>
            <w:r>
              <w:t>监测结果见</w:t>
            </w:r>
            <w:r>
              <w:rPr>
                <w:rFonts w:hint="eastAsia"/>
              </w:rPr>
              <w:t>图3-4。</w:t>
            </w:r>
          </w:p>
          <w:p>
            <w:pPr>
              <w:pStyle w:val="34"/>
              <w:spacing w:before="120"/>
              <w:ind w:firstLine="422"/>
              <w:rPr>
                <w:sz w:val="21"/>
                <w:szCs w:val="21"/>
              </w:rPr>
            </w:pPr>
            <w:r>
              <w:rPr>
                <w:rFonts w:hint="eastAsia"/>
                <w:sz w:val="21"/>
                <w:szCs w:val="21"/>
              </w:rPr>
              <w:t>图3-4</w:t>
            </w:r>
            <w:r>
              <w:rPr>
                <w:sz w:val="21"/>
                <w:szCs w:val="21"/>
              </w:rPr>
              <w:t>环境噪声监测结果Leq</w:t>
            </w:r>
            <w:r>
              <w:rPr>
                <w:rFonts w:hint="eastAsia"/>
                <w:sz w:val="21"/>
                <w:szCs w:val="21"/>
              </w:rPr>
              <w:t>（</w:t>
            </w:r>
            <w:r>
              <w:rPr>
                <w:sz w:val="21"/>
                <w:szCs w:val="21"/>
              </w:rPr>
              <w:t>单位：dB(A)</w:t>
            </w:r>
            <w:r>
              <w:rPr>
                <w:rFonts w:hint="eastAsia"/>
                <w:sz w:val="21"/>
                <w:szCs w:val="21"/>
              </w:rPr>
              <w:t>）</w:t>
            </w:r>
          </w:p>
          <w:tbl>
            <w:tblPr>
              <w:tblStyle w:val="28"/>
              <w:tblW w:w="7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144"/>
              <w:gridCol w:w="1374"/>
              <w:gridCol w:w="1286"/>
              <w:gridCol w:w="1117"/>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32" w:type="dxa"/>
                  <w:vMerge w:val="restart"/>
                  <w:vAlign w:val="center"/>
                </w:tcPr>
                <w:p>
                  <w:pPr>
                    <w:pStyle w:val="65"/>
                    <w:jc w:val="center"/>
                    <w:rPr>
                      <w:b/>
                      <w:bCs/>
                      <w:sz w:val="21"/>
                      <w:szCs w:val="21"/>
                    </w:rPr>
                  </w:pPr>
                  <w:r>
                    <w:rPr>
                      <w:b/>
                      <w:bCs/>
                      <w:sz w:val="21"/>
                      <w:szCs w:val="21"/>
                    </w:rPr>
                    <w:t>监测点位</w:t>
                  </w:r>
                </w:p>
              </w:tc>
              <w:tc>
                <w:tcPr>
                  <w:tcW w:w="1144" w:type="dxa"/>
                  <w:vMerge w:val="restart"/>
                  <w:vAlign w:val="center"/>
                </w:tcPr>
                <w:p>
                  <w:pPr>
                    <w:pStyle w:val="65"/>
                    <w:jc w:val="center"/>
                    <w:rPr>
                      <w:b/>
                      <w:bCs/>
                      <w:sz w:val="21"/>
                      <w:szCs w:val="21"/>
                    </w:rPr>
                  </w:pPr>
                  <w:r>
                    <w:rPr>
                      <w:b/>
                      <w:bCs/>
                      <w:sz w:val="21"/>
                      <w:szCs w:val="21"/>
                    </w:rPr>
                    <w:t>监测时段</w:t>
                  </w:r>
                </w:p>
              </w:tc>
              <w:tc>
                <w:tcPr>
                  <w:tcW w:w="2660" w:type="dxa"/>
                  <w:gridSpan w:val="2"/>
                  <w:vAlign w:val="center"/>
                </w:tcPr>
                <w:p>
                  <w:pPr>
                    <w:pStyle w:val="65"/>
                    <w:jc w:val="center"/>
                    <w:rPr>
                      <w:b/>
                      <w:bCs/>
                      <w:sz w:val="21"/>
                      <w:szCs w:val="21"/>
                    </w:rPr>
                  </w:pPr>
                  <w:r>
                    <w:rPr>
                      <w:b/>
                      <w:bCs/>
                      <w:sz w:val="21"/>
                      <w:szCs w:val="21"/>
                    </w:rPr>
                    <w:t>监测结果</w:t>
                  </w:r>
                </w:p>
              </w:tc>
              <w:tc>
                <w:tcPr>
                  <w:tcW w:w="1117" w:type="dxa"/>
                  <w:vMerge w:val="restart"/>
                  <w:vAlign w:val="center"/>
                </w:tcPr>
                <w:p>
                  <w:pPr>
                    <w:pStyle w:val="65"/>
                    <w:jc w:val="center"/>
                    <w:rPr>
                      <w:b/>
                      <w:bCs/>
                      <w:sz w:val="21"/>
                      <w:szCs w:val="21"/>
                    </w:rPr>
                  </w:pPr>
                  <w:r>
                    <w:rPr>
                      <w:b/>
                      <w:bCs/>
                      <w:sz w:val="21"/>
                      <w:szCs w:val="21"/>
                    </w:rPr>
                    <w:t>评价标准</w:t>
                  </w:r>
                </w:p>
              </w:tc>
              <w:tc>
                <w:tcPr>
                  <w:tcW w:w="1481" w:type="dxa"/>
                  <w:vMerge w:val="restart"/>
                  <w:vAlign w:val="center"/>
                </w:tcPr>
                <w:p>
                  <w:pPr>
                    <w:pStyle w:val="65"/>
                    <w:jc w:val="center"/>
                    <w:rPr>
                      <w:b/>
                      <w:bCs/>
                      <w:sz w:val="21"/>
                      <w:szCs w:val="21"/>
                    </w:rPr>
                  </w:pPr>
                  <w:r>
                    <w:rPr>
                      <w:b/>
                      <w:bCs/>
                      <w:sz w:val="21"/>
                      <w:szCs w:val="21"/>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532" w:type="dxa"/>
                  <w:vMerge w:val="continue"/>
                  <w:vAlign w:val="center"/>
                </w:tcPr>
                <w:p>
                  <w:pPr>
                    <w:pStyle w:val="65"/>
                    <w:jc w:val="center"/>
                    <w:rPr>
                      <w:sz w:val="21"/>
                      <w:szCs w:val="21"/>
                    </w:rPr>
                  </w:pPr>
                </w:p>
              </w:tc>
              <w:tc>
                <w:tcPr>
                  <w:tcW w:w="1144" w:type="dxa"/>
                  <w:vMerge w:val="continue"/>
                  <w:vAlign w:val="center"/>
                </w:tcPr>
                <w:p>
                  <w:pPr>
                    <w:pStyle w:val="65"/>
                    <w:jc w:val="center"/>
                    <w:rPr>
                      <w:sz w:val="21"/>
                      <w:szCs w:val="21"/>
                    </w:rPr>
                  </w:pPr>
                </w:p>
              </w:tc>
              <w:tc>
                <w:tcPr>
                  <w:tcW w:w="1374" w:type="dxa"/>
                  <w:vAlign w:val="center"/>
                </w:tcPr>
                <w:p>
                  <w:pPr>
                    <w:pStyle w:val="65"/>
                    <w:jc w:val="center"/>
                    <w:rPr>
                      <w:b/>
                      <w:bCs/>
                      <w:sz w:val="21"/>
                      <w:szCs w:val="21"/>
                    </w:rPr>
                  </w:pPr>
                  <w:r>
                    <w:rPr>
                      <w:rFonts w:hint="eastAsia"/>
                      <w:b/>
                      <w:bCs/>
                      <w:sz w:val="21"/>
                      <w:szCs w:val="21"/>
                    </w:rPr>
                    <w:t>2</w:t>
                  </w:r>
                  <w:r>
                    <w:rPr>
                      <w:b/>
                      <w:bCs/>
                      <w:sz w:val="21"/>
                      <w:szCs w:val="21"/>
                    </w:rPr>
                    <w:t>0</w:t>
                  </w:r>
                  <w:r>
                    <w:rPr>
                      <w:rFonts w:hint="eastAsia"/>
                      <w:b/>
                      <w:bCs/>
                      <w:sz w:val="21"/>
                      <w:szCs w:val="21"/>
                    </w:rPr>
                    <w:t>21.1.22</w:t>
                  </w:r>
                </w:p>
              </w:tc>
              <w:tc>
                <w:tcPr>
                  <w:tcW w:w="1286" w:type="dxa"/>
                  <w:vAlign w:val="center"/>
                </w:tcPr>
                <w:p>
                  <w:pPr>
                    <w:pStyle w:val="65"/>
                    <w:jc w:val="center"/>
                    <w:rPr>
                      <w:b/>
                      <w:bCs/>
                      <w:sz w:val="21"/>
                      <w:szCs w:val="21"/>
                    </w:rPr>
                  </w:pPr>
                  <w:r>
                    <w:rPr>
                      <w:rFonts w:hint="eastAsia"/>
                      <w:b/>
                      <w:bCs/>
                      <w:sz w:val="21"/>
                      <w:szCs w:val="21"/>
                    </w:rPr>
                    <w:t>2</w:t>
                  </w:r>
                  <w:r>
                    <w:rPr>
                      <w:b/>
                      <w:bCs/>
                      <w:sz w:val="21"/>
                      <w:szCs w:val="21"/>
                    </w:rPr>
                    <w:t>0</w:t>
                  </w:r>
                  <w:r>
                    <w:rPr>
                      <w:rFonts w:hint="eastAsia"/>
                      <w:b/>
                      <w:bCs/>
                      <w:sz w:val="21"/>
                      <w:szCs w:val="21"/>
                    </w:rPr>
                    <w:t>21.1.23</w:t>
                  </w:r>
                </w:p>
              </w:tc>
              <w:tc>
                <w:tcPr>
                  <w:tcW w:w="1117" w:type="dxa"/>
                  <w:vMerge w:val="continue"/>
                  <w:vAlign w:val="center"/>
                </w:tcPr>
                <w:p>
                  <w:pPr>
                    <w:pStyle w:val="65"/>
                    <w:jc w:val="center"/>
                    <w:rPr>
                      <w:sz w:val="21"/>
                      <w:szCs w:val="21"/>
                    </w:rPr>
                  </w:pPr>
                </w:p>
              </w:tc>
              <w:tc>
                <w:tcPr>
                  <w:tcW w:w="1481" w:type="dxa"/>
                  <w:vMerge w:val="continue"/>
                  <w:vAlign w:val="center"/>
                </w:tcPr>
                <w:p>
                  <w:pPr>
                    <w:pStyle w:val="65"/>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32" w:type="dxa"/>
                  <w:vMerge w:val="restart"/>
                  <w:vAlign w:val="center"/>
                </w:tcPr>
                <w:p>
                  <w:pPr>
                    <w:pStyle w:val="67"/>
                  </w:pPr>
                  <w:r>
                    <w:t>东侧厂界1#</w:t>
                  </w:r>
                </w:p>
              </w:tc>
              <w:tc>
                <w:tcPr>
                  <w:tcW w:w="1144" w:type="dxa"/>
                  <w:vAlign w:val="center"/>
                </w:tcPr>
                <w:p>
                  <w:pPr>
                    <w:pStyle w:val="67"/>
                  </w:pPr>
                  <w:r>
                    <w:t>昼间</w:t>
                  </w:r>
                </w:p>
              </w:tc>
              <w:tc>
                <w:tcPr>
                  <w:tcW w:w="1374" w:type="dxa"/>
                  <w:vAlign w:val="center"/>
                </w:tcPr>
                <w:p>
                  <w:pPr>
                    <w:pStyle w:val="67"/>
                    <w:bidi w:val="0"/>
                  </w:pPr>
                  <w:r>
                    <w:rPr>
                      <w:rFonts w:hint="default"/>
                      <w:lang w:val="en-US" w:eastAsia="zh-CN"/>
                    </w:rPr>
                    <w:t>58.8</w:t>
                  </w:r>
                </w:p>
              </w:tc>
              <w:tc>
                <w:tcPr>
                  <w:tcW w:w="1286" w:type="dxa"/>
                  <w:vAlign w:val="center"/>
                </w:tcPr>
                <w:p>
                  <w:pPr>
                    <w:pStyle w:val="67"/>
                    <w:bidi w:val="0"/>
                  </w:pPr>
                  <w:r>
                    <w:rPr>
                      <w:rFonts w:hint="default"/>
                      <w:lang w:val="en-US" w:eastAsia="zh-CN"/>
                    </w:rPr>
                    <w:t>58.2</w:t>
                  </w:r>
                </w:p>
              </w:tc>
              <w:tc>
                <w:tcPr>
                  <w:tcW w:w="1117" w:type="dxa"/>
                  <w:vAlign w:val="center"/>
                </w:tcPr>
                <w:p>
                  <w:pPr>
                    <w:pStyle w:val="67"/>
                  </w:pPr>
                  <w:r>
                    <w:rPr>
                      <w:rFonts w:hint="eastAsia"/>
                    </w:rPr>
                    <w:t>60</w:t>
                  </w:r>
                </w:p>
              </w:tc>
              <w:tc>
                <w:tcPr>
                  <w:tcW w:w="1481" w:type="dxa"/>
                  <w:vAlign w:val="center"/>
                </w:tcPr>
                <w:p>
                  <w:pPr>
                    <w:pStyle w:val="67"/>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532" w:type="dxa"/>
                  <w:vMerge w:val="continue"/>
                  <w:vAlign w:val="center"/>
                </w:tcPr>
                <w:p>
                  <w:pPr>
                    <w:pStyle w:val="67"/>
                  </w:pPr>
                </w:p>
              </w:tc>
              <w:tc>
                <w:tcPr>
                  <w:tcW w:w="1144" w:type="dxa"/>
                  <w:vAlign w:val="center"/>
                </w:tcPr>
                <w:p>
                  <w:pPr>
                    <w:pStyle w:val="67"/>
                  </w:pPr>
                  <w:r>
                    <w:t>夜间</w:t>
                  </w:r>
                </w:p>
              </w:tc>
              <w:tc>
                <w:tcPr>
                  <w:tcW w:w="1374" w:type="dxa"/>
                  <w:vAlign w:val="center"/>
                </w:tcPr>
                <w:p>
                  <w:pPr>
                    <w:pStyle w:val="67"/>
                    <w:bidi w:val="0"/>
                  </w:pPr>
                  <w:r>
                    <w:rPr>
                      <w:rFonts w:hint="default"/>
                      <w:lang w:val="en-US" w:eastAsia="zh-CN"/>
                    </w:rPr>
                    <w:t>47.1</w:t>
                  </w:r>
                </w:p>
              </w:tc>
              <w:tc>
                <w:tcPr>
                  <w:tcW w:w="1286" w:type="dxa"/>
                  <w:vAlign w:val="center"/>
                </w:tcPr>
                <w:p>
                  <w:pPr>
                    <w:pStyle w:val="67"/>
                    <w:bidi w:val="0"/>
                  </w:pPr>
                  <w:r>
                    <w:rPr>
                      <w:rFonts w:hint="default"/>
                      <w:lang w:val="en-US" w:eastAsia="zh-CN"/>
                    </w:rPr>
                    <w:t>47.9</w:t>
                  </w:r>
                </w:p>
              </w:tc>
              <w:tc>
                <w:tcPr>
                  <w:tcW w:w="1117" w:type="dxa"/>
                  <w:vAlign w:val="center"/>
                </w:tcPr>
                <w:p>
                  <w:pPr>
                    <w:pStyle w:val="67"/>
                  </w:pPr>
                  <w:r>
                    <w:rPr>
                      <w:rFonts w:hint="eastAsia"/>
                    </w:rPr>
                    <w:t>50</w:t>
                  </w:r>
                </w:p>
              </w:tc>
              <w:tc>
                <w:tcPr>
                  <w:tcW w:w="1481" w:type="dxa"/>
                  <w:vAlign w:val="center"/>
                </w:tcPr>
                <w:p>
                  <w:pPr>
                    <w:pStyle w:val="67"/>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532" w:type="dxa"/>
                  <w:vMerge w:val="restart"/>
                  <w:vAlign w:val="center"/>
                </w:tcPr>
                <w:p>
                  <w:pPr>
                    <w:pStyle w:val="67"/>
                  </w:pPr>
                  <w:r>
                    <w:t>南侧厂界2#</w:t>
                  </w:r>
                </w:p>
              </w:tc>
              <w:tc>
                <w:tcPr>
                  <w:tcW w:w="1144" w:type="dxa"/>
                  <w:vAlign w:val="center"/>
                </w:tcPr>
                <w:p>
                  <w:pPr>
                    <w:pStyle w:val="67"/>
                  </w:pPr>
                  <w:r>
                    <w:t>昼间</w:t>
                  </w:r>
                </w:p>
              </w:tc>
              <w:tc>
                <w:tcPr>
                  <w:tcW w:w="1374" w:type="dxa"/>
                  <w:vAlign w:val="center"/>
                </w:tcPr>
                <w:p>
                  <w:pPr>
                    <w:pStyle w:val="67"/>
                    <w:bidi w:val="0"/>
                  </w:pPr>
                  <w:r>
                    <w:rPr>
                      <w:rFonts w:hint="default"/>
                      <w:lang w:val="en-US" w:eastAsia="zh-CN"/>
                    </w:rPr>
                    <w:t>57.1</w:t>
                  </w:r>
                </w:p>
              </w:tc>
              <w:tc>
                <w:tcPr>
                  <w:tcW w:w="1286" w:type="dxa"/>
                  <w:vAlign w:val="center"/>
                </w:tcPr>
                <w:p>
                  <w:pPr>
                    <w:pStyle w:val="67"/>
                    <w:bidi w:val="0"/>
                  </w:pPr>
                  <w:r>
                    <w:rPr>
                      <w:rFonts w:hint="default"/>
                      <w:lang w:val="en-US" w:eastAsia="zh-CN"/>
                    </w:rPr>
                    <w:t>56.4</w:t>
                  </w:r>
                </w:p>
              </w:tc>
              <w:tc>
                <w:tcPr>
                  <w:tcW w:w="1117" w:type="dxa"/>
                  <w:vAlign w:val="center"/>
                </w:tcPr>
                <w:p>
                  <w:pPr>
                    <w:pStyle w:val="67"/>
                  </w:pPr>
                  <w:r>
                    <w:rPr>
                      <w:rFonts w:hint="eastAsia"/>
                    </w:rPr>
                    <w:t>60</w:t>
                  </w:r>
                </w:p>
              </w:tc>
              <w:tc>
                <w:tcPr>
                  <w:tcW w:w="1481" w:type="dxa"/>
                  <w:vAlign w:val="center"/>
                </w:tcPr>
                <w:p>
                  <w:pPr>
                    <w:pStyle w:val="67"/>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532" w:type="dxa"/>
                  <w:vMerge w:val="continue"/>
                  <w:vAlign w:val="center"/>
                </w:tcPr>
                <w:p>
                  <w:pPr>
                    <w:pStyle w:val="67"/>
                  </w:pPr>
                </w:p>
              </w:tc>
              <w:tc>
                <w:tcPr>
                  <w:tcW w:w="1144" w:type="dxa"/>
                  <w:vAlign w:val="center"/>
                </w:tcPr>
                <w:p>
                  <w:pPr>
                    <w:pStyle w:val="67"/>
                  </w:pPr>
                  <w:r>
                    <w:t>夜间</w:t>
                  </w:r>
                </w:p>
              </w:tc>
              <w:tc>
                <w:tcPr>
                  <w:tcW w:w="1374" w:type="dxa"/>
                  <w:vAlign w:val="center"/>
                </w:tcPr>
                <w:p>
                  <w:pPr>
                    <w:pStyle w:val="67"/>
                    <w:bidi w:val="0"/>
                  </w:pPr>
                  <w:r>
                    <w:rPr>
                      <w:rFonts w:hint="default"/>
                      <w:lang w:val="en-US" w:eastAsia="zh-CN"/>
                    </w:rPr>
                    <w:t>45.1</w:t>
                  </w:r>
                </w:p>
              </w:tc>
              <w:tc>
                <w:tcPr>
                  <w:tcW w:w="1286" w:type="dxa"/>
                  <w:vAlign w:val="center"/>
                </w:tcPr>
                <w:p>
                  <w:pPr>
                    <w:pStyle w:val="67"/>
                    <w:bidi w:val="0"/>
                  </w:pPr>
                  <w:r>
                    <w:rPr>
                      <w:rFonts w:hint="default"/>
                      <w:lang w:val="en-US" w:eastAsia="zh-CN"/>
                    </w:rPr>
                    <w:t>45.4</w:t>
                  </w:r>
                </w:p>
              </w:tc>
              <w:tc>
                <w:tcPr>
                  <w:tcW w:w="1117" w:type="dxa"/>
                  <w:vAlign w:val="center"/>
                </w:tcPr>
                <w:p>
                  <w:pPr>
                    <w:pStyle w:val="67"/>
                  </w:pPr>
                  <w:r>
                    <w:rPr>
                      <w:rFonts w:hint="eastAsia"/>
                    </w:rPr>
                    <w:t>50</w:t>
                  </w:r>
                </w:p>
              </w:tc>
              <w:tc>
                <w:tcPr>
                  <w:tcW w:w="1481" w:type="dxa"/>
                  <w:vAlign w:val="center"/>
                </w:tcPr>
                <w:p>
                  <w:pPr>
                    <w:pStyle w:val="67"/>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32" w:type="dxa"/>
                  <w:vMerge w:val="restart"/>
                  <w:vAlign w:val="center"/>
                </w:tcPr>
                <w:p>
                  <w:pPr>
                    <w:pStyle w:val="67"/>
                  </w:pPr>
                  <w:r>
                    <w:t>西侧厂界3#</w:t>
                  </w:r>
                </w:p>
              </w:tc>
              <w:tc>
                <w:tcPr>
                  <w:tcW w:w="1144" w:type="dxa"/>
                  <w:vAlign w:val="center"/>
                </w:tcPr>
                <w:p>
                  <w:pPr>
                    <w:pStyle w:val="67"/>
                  </w:pPr>
                  <w:r>
                    <w:t>昼间</w:t>
                  </w:r>
                </w:p>
              </w:tc>
              <w:tc>
                <w:tcPr>
                  <w:tcW w:w="1374" w:type="dxa"/>
                  <w:vAlign w:val="center"/>
                </w:tcPr>
                <w:p>
                  <w:pPr>
                    <w:pStyle w:val="67"/>
                    <w:bidi w:val="0"/>
                  </w:pPr>
                  <w:r>
                    <w:rPr>
                      <w:rFonts w:hint="default"/>
                      <w:lang w:val="en-US" w:eastAsia="zh-CN"/>
                    </w:rPr>
                    <w:t>55.1</w:t>
                  </w:r>
                </w:p>
              </w:tc>
              <w:tc>
                <w:tcPr>
                  <w:tcW w:w="1286" w:type="dxa"/>
                  <w:vAlign w:val="center"/>
                </w:tcPr>
                <w:p>
                  <w:pPr>
                    <w:pStyle w:val="67"/>
                    <w:bidi w:val="0"/>
                  </w:pPr>
                  <w:r>
                    <w:rPr>
                      <w:rFonts w:hint="default"/>
                      <w:lang w:val="en-US" w:eastAsia="zh-CN"/>
                    </w:rPr>
                    <w:t>53.7</w:t>
                  </w:r>
                </w:p>
              </w:tc>
              <w:tc>
                <w:tcPr>
                  <w:tcW w:w="1117" w:type="dxa"/>
                  <w:vAlign w:val="center"/>
                </w:tcPr>
                <w:p>
                  <w:pPr>
                    <w:pStyle w:val="67"/>
                  </w:pPr>
                  <w:r>
                    <w:rPr>
                      <w:rFonts w:hint="eastAsia"/>
                    </w:rPr>
                    <w:t>60</w:t>
                  </w:r>
                </w:p>
              </w:tc>
              <w:tc>
                <w:tcPr>
                  <w:tcW w:w="1481" w:type="dxa"/>
                  <w:vAlign w:val="center"/>
                </w:tcPr>
                <w:p>
                  <w:pPr>
                    <w:pStyle w:val="67"/>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532" w:type="dxa"/>
                  <w:vMerge w:val="continue"/>
                  <w:vAlign w:val="center"/>
                </w:tcPr>
                <w:p>
                  <w:pPr>
                    <w:pStyle w:val="67"/>
                  </w:pPr>
                </w:p>
              </w:tc>
              <w:tc>
                <w:tcPr>
                  <w:tcW w:w="1144" w:type="dxa"/>
                  <w:vAlign w:val="center"/>
                </w:tcPr>
                <w:p>
                  <w:pPr>
                    <w:pStyle w:val="67"/>
                  </w:pPr>
                  <w:r>
                    <w:t>夜间</w:t>
                  </w:r>
                </w:p>
              </w:tc>
              <w:tc>
                <w:tcPr>
                  <w:tcW w:w="1374" w:type="dxa"/>
                  <w:vAlign w:val="center"/>
                </w:tcPr>
                <w:p>
                  <w:pPr>
                    <w:pStyle w:val="67"/>
                    <w:bidi w:val="0"/>
                  </w:pPr>
                  <w:r>
                    <w:rPr>
                      <w:rFonts w:hint="default"/>
                      <w:lang w:val="en-US" w:eastAsia="zh-CN"/>
                    </w:rPr>
                    <w:t>44.1</w:t>
                  </w:r>
                </w:p>
              </w:tc>
              <w:tc>
                <w:tcPr>
                  <w:tcW w:w="1286" w:type="dxa"/>
                  <w:vAlign w:val="center"/>
                </w:tcPr>
                <w:p>
                  <w:pPr>
                    <w:pStyle w:val="67"/>
                    <w:bidi w:val="0"/>
                  </w:pPr>
                  <w:r>
                    <w:rPr>
                      <w:rFonts w:hint="default"/>
                      <w:lang w:val="en-US" w:eastAsia="zh-CN"/>
                    </w:rPr>
                    <w:t>45.1</w:t>
                  </w:r>
                </w:p>
              </w:tc>
              <w:tc>
                <w:tcPr>
                  <w:tcW w:w="1117" w:type="dxa"/>
                  <w:vAlign w:val="center"/>
                </w:tcPr>
                <w:p>
                  <w:pPr>
                    <w:pStyle w:val="67"/>
                  </w:pPr>
                  <w:r>
                    <w:rPr>
                      <w:rFonts w:hint="eastAsia"/>
                    </w:rPr>
                    <w:t>50</w:t>
                  </w:r>
                </w:p>
              </w:tc>
              <w:tc>
                <w:tcPr>
                  <w:tcW w:w="1481" w:type="dxa"/>
                  <w:vAlign w:val="center"/>
                </w:tcPr>
                <w:p>
                  <w:pPr>
                    <w:pStyle w:val="67"/>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32" w:type="dxa"/>
                  <w:vMerge w:val="restart"/>
                  <w:vAlign w:val="center"/>
                </w:tcPr>
                <w:p>
                  <w:pPr>
                    <w:pStyle w:val="67"/>
                  </w:pPr>
                  <w:r>
                    <w:t>北侧厂界4#</w:t>
                  </w:r>
                </w:p>
              </w:tc>
              <w:tc>
                <w:tcPr>
                  <w:tcW w:w="1144" w:type="dxa"/>
                  <w:vAlign w:val="center"/>
                </w:tcPr>
                <w:p>
                  <w:pPr>
                    <w:pStyle w:val="67"/>
                  </w:pPr>
                  <w:r>
                    <w:t>昼间</w:t>
                  </w:r>
                </w:p>
              </w:tc>
              <w:tc>
                <w:tcPr>
                  <w:tcW w:w="1374" w:type="dxa"/>
                  <w:vAlign w:val="center"/>
                </w:tcPr>
                <w:p>
                  <w:pPr>
                    <w:pStyle w:val="67"/>
                    <w:bidi w:val="0"/>
                  </w:pPr>
                  <w:r>
                    <w:rPr>
                      <w:rFonts w:hint="default"/>
                      <w:lang w:val="en-US" w:eastAsia="zh-CN"/>
                    </w:rPr>
                    <w:t>54.7</w:t>
                  </w:r>
                </w:p>
              </w:tc>
              <w:tc>
                <w:tcPr>
                  <w:tcW w:w="1286" w:type="dxa"/>
                  <w:vAlign w:val="center"/>
                </w:tcPr>
                <w:p>
                  <w:pPr>
                    <w:pStyle w:val="67"/>
                    <w:bidi w:val="0"/>
                  </w:pPr>
                  <w:r>
                    <w:rPr>
                      <w:rFonts w:hint="default"/>
                      <w:lang w:val="en-US" w:eastAsia="zh-CN"/>
                    </w:rPr>
                    <w:t>55.5</w:t>
                  </w:r>
                </w:p>
              </w:tc>
              <w:tc>
                <w:tcPr>
                  <w:tcW w:w="1117" w:type="dxa"/>
                  <w:vAlign w:val="center"/>
                </w:tcPr>
                <w:p>
                  <w:pPr>
                    <w:pStyle w:val="67"/>
                  </w:pPr>
                  <w:r>
                    <w:rPr>
                      <w:rFonts w:hint="eastAsia"/>
                    </w:rPr>
                    <w:t>60</w:t>
                  </w:r>
                </w:p>
              </w:tc>
              <w:tc>
                <w:tcPr>
                  <w:tcW w:w="1481" w:type="dxa"/>
                  <w:vAlign w:val="center"/>
                </w:tcPr>
                <w:p>
                  <w:pPr>
                    <w:pStyle w:val="67"/>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32" w:type="dxa"/>
                  <w:vMerge w:val="continue"/>
                  <w:vAlign w:val="center"/>
                </w:tcPr>
                <w:p>
                  <w:pPr>
                    <w:pStyle w:val="67"/>
                  </w:pPr>
                </w:p>
              </w:tc>
              <w:tc>
                <w:tcPr>
                  <w:tcW w:w="1144" w:type="dxa"/>
                  <w:vAlign w:val="center"/>
                </w:tcPr>
                <w:p>
                  <w:pPr>
                    <w:pStyle w:val="67"/>
                  </w:pPr>
                  <w:r>
                    <w:t>夜间</w:t>
                  </w:r>
                </w:p>
              </w:tc>
              <w:tc>
                <w:tcPr>
                  <w:tcW w:w="1374" w:type="dxa"/>
                  <w:vAlign w:val="center"/>
                </w:tcPr>
                <w:p>
                  <w:pPr>
                    <w:pStyle w:val="67"/>
                    <w:bidi w:val="0"/>
                  </w:pPr>
                  <w:r>
                    <w:rPr>
                      <w:rFonts w:hint="default"/>
                      <w:lang w:val="en-US" w:eastAsia="zh-CN"/>
                    </w:rPr>
                    <w:t>45.7</w:t>
                  </w:r>
                </w:p>
              </w:tc>
              <w:tc>
                <w:tcPr>
                  <w:tcW w:w="1286" w:type="dxa"/>
                  <w:vAlign w:val="center"/>
                </w:tcPr>
                <w:p>
                  <w:pPr>
                    <w:pStyle w:val="67"/>
                    <w:bidi w:val="0"/>
                  </w:pPr>
                  <w:r>
                    <w:rPr>
                      <w:rFonts w:hint="default"/>
                      <w:lang w:val="en-US" w:eastAsia="zh-CN"/>
                    </w:rPr>
                    <w:t>44.0</w:t>
                  </w:r>
                </w:p>
              </w:tc>
              <w:tc>
                <w:tcPr>
                  <w:tcW w:w="1117" w:type="dxa"/>
                  <w:vAlign w:val="center"/>
                </w:tcPr>
                <w:p>
                  <w:pPr>
                    <w:pStyle w:val="67"/>
                  </w:pPr>
                  <w:r>
                    <w:rPr>
                      <w:rFonts w:hint="eastAsia"/>
                    </w:rPr>
                    <w:t>50</w:t>
                  </w:r>
                </w:p>
              </w:tc>
              <w:tc>
                <w:tcPr>
                  <w:tcW w:w="1481" w:type="dxa"/>
                  <w:vAlign w:val="center"/>
                </w:tcPr>
                <w:p>
                  <w:pPr>
                    <w:pStyle w:val="67"/>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934" w:type="dxa"/>
                  <w:gridSpan w:val="6"/>
                  <w:vAlign w:val="center"/>
                </w:tcPr>
                <w:p>
                  <w:pPr>
                    <w:pStyle w:val="67"/>
                  </w:pPr>
                  <w:r>
                    <w:rPr>
                      <w:rFonts w:hint="eastAsia"/>
                      <w:b/>
                      <w:bCs/>
                    </w:rPr>
                    <w:t>项目周边50m范围内噪声监测结果Leq（单位：dB(A)）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32" w:type="dxa"/>
                  <w:vAlign w:val="center"/>
                </w:tcPr>
                <w:p>
                  <w:pPr>
                    <w:pStyle w:val="65"/>
                    <w:jc w:val="center"/>
                  </w:pPr>
                  <w:r>
                    <w:rPr>
                      <w:b/>
                      <w:bCs/>
                      <w:sz w:val="21"/>
                      <w:szCs w:val="21"/>
                    </w:rPr>
                    <w:t>监测点位</w:t>
                  </w:r>
                </w:p>
              </w:tc>
              <w:tc>
                <w:tcPr>
                  <w:tcW w:w="1144" w:type="dxa"/>
                  <w:vAlign w:val="center"/>
                </w:tcPr>
                <w:p>
                  <w:pPr>
                    <w:pStyle w:val="65"/>
                    <w:jc w:val="center"/>
                  </w:pPr>
                  <w:r>
                    <w:rPr>
                      <w:b/>
                      <w:bCs/>
                      <w:sz w:val="21"/>
                      <w:szCs w:val="21"/>
                    </w:rPr>
                    <w:t>监测时段</w:t>
                  </w:r>
                </w:p>
              </w:tc>
              <w:tc>
                <w:tcPr>
                  <w:tcW w:w="2660" w:type="dxa"/>
                  <w:gridSpan w:val="2"/>
                  <w:vAlign w:val="center"/>
                </w:tcPr>
                <w:p>
                  <w:pPr>
                    <w:pStyle w:val="67"/>
                  </w:pPr>
                  <w:r>
                    <w:rPr>
                      <w:b/>
                      <w:bCs/>
                      <w:szCs w:val="21"/>
                    </w:rPr>
                    <w:t>监测结果</w:t>
                  </w:r>
                </w:p>
              </w:tc>
              <w:tc>
                <w:tcPr>
                  <w:tcW w:w="1117" w:type="dxa"/>
                  <w:vAlign w:val="center"/>
                </w:tcPr>
                <w:p>
                  <w:pPr>
                    <w:pStyle w:val="65"/>
                    <w:jc w:val="center"/>
                  </w:pPr>
                  <w:r>
                    <w:rPr>
                      <w:b/>
                      <w:bCs/>
                      <w:sz w:val="21"/>
                      <w:szCs w:val="21"/>
                    </w:rPr>
                    <w:t>评价标准</w:t>
                  </w:r>
                </w:p>
              </w:tc>
              <w:tc>
                <w:tcPr>
                  <w:tcW w:w="1481" w:type="dxa"/>
                  <w:vAlign w:val="center"/>
                </w:tcPr>
                <w:p>
                  <w:pPr>
                    <w:pStyle w:val="65"/>
                    <w:jc w:val="center"/>
                  </w:pPr>
                  <w:r>
                    <w:rPr>
                      <w:b/>
                      <w:bCs/>
                      <w:sz w:val="21"/>
                      <w:szCs w:val="21"/>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32" w:type="dxa"/>
                  <w:vMerge w:val="restart"/>
                  <w:vAlign w:val="center"/>
                </w:tcPr>
                <w:p>
                  <w:pPr>
                    <w:pStyle w:val="67"/>
                  </w:pPr>
                  <w:r>
                    <w:rPr>
                      <w:rFonts w:hint="eastAsia"/>
                      <w:lang w:eastAsia="zh-CN"/>
                    </w:rPr>
                    <w:t>北</w:t>
                  </w:r>
                  <w:r>
                    <w:rPr>
                      <w:rFonts w:hint="eastAsia"/>
                    </w:rPr>
                    <w:t>侧</w:t>
                  </w:r>
                  <w:r>
                    <w:rPr>
                      <w:rFonts w:hint="eastAsia"/>
                      <w:lang w:val="en-US" w:eastAsia="zh-CN"/>
                    </w:rPr>
                    <w:t>40</w:t>
                  </w:r>
                  <w:r>
                    <w:rPr>
                      <w:rFonts w:hint="eastAsia"/>
                    </w:rPr>
                    <w:t>m处居民点</w:t>
                  </w:r>
                </w:p>
              </w:tc>
              <w:tc>
                <w:tcPr>
                  <w:tcW w:w="1144" w:type="dxa"/>
                  <w:vAlign w:val="center"/>
                </w:tcPr>
                <w:p>
                  <w:pPr>
                    <w:pStyle w:val="67"/>
                  </w:pPr>
                  <w:r>
                    <w:t>昼间</w:t>
                  </w:r>
                </w:p>
              </w:tc>
              <w:tc>
                <w:tcPr>
                  <w:tcW w:w="2660" w:type="dxa"/>
                  <w:gridSpan w:val="2"/>
                  <w:vAlign w:val="center"/>
                </w:tcPr>
                <w:p>
                  <w:pPr>
                    <w:pStyle w:val="67"/>
                    <w:bidi w:val="0"/>
                  </w:pPr>
                  <w:r>
                    <w:rPr>
                      <w:rFonts w:hint="eastAsia"/>
                      <w:lang w:val="en-US" w:eastAsia="zh-CN"/>
                    </w:rPr>
                    <w:t>51.3</w:t>
                  </w:r>
                </w:p>
              </w:tc>
              <w:tc>
                <w:tcPr>
                  <w:tcW w:w="1117" w:type="dxa"/>
                  <w:vAlign w:val="center"/>
                </w:tcPr>
                <w:p>
                  <w:pPr>
                    <w:pStyle w:val="67"/>
                  </w:pPr>
                  <w:r>
                    <w:rPr>
                      <w:rFonts w:hint="eastAsia"/>
                    </w:rPr>
                    <w:t>60</w:t>
                  </w:r>
                </w:p>
              </w:tc>
              <w:tc>
                <w:tcPr>
                  <w:tcW w:w="1481" w:type="dxa"/>
                  <w:vAlign w:val="center"/>
                </w:tcPr>
                <w:p>
                  <w:pPr>
                    <w:pStyle w:val="67"/>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32" w:type="dxa"/>
                  <w:vMerge w:val="continue"/>
                  <w:vAlign w:val="center"/>
                </w:tcPr>
                <w:p>
                  <w:pPr>
                    <w:pStyle w:val="67"/>
                  </w:pPr>
                </w:p>
              </w:tc>
              <w:tc>
                <w:tcPr>
                  <w:tcW w:w="1144" w:type="dxa"/>
                  <w:vAlign w:val="center"/>
                </w:tcPr>
                <w:p>
                  <w:pPr>
                    <w:pStyle w:val="67"/>
                  </w:pPr>
                  <w:r>
                    <w:t>夜间</w:t>
                  </w:r>
                </w:p>
              </w:tc>
              <w:tc>
                <w:tcPr>
                  <w:tcW w:w="2660" w:type="dxa"/>
                  <w:gridSpan w:val="2"/>
                  <w:vAlign w:val="center"/>
                </w:tcPr>
                <w:p>
                  <w:pPr>
                    <w:pStyle w:val="67"/>
                    <w:bidi w:val="0"/>
                  </w:pPr>
                  <w:r>
                    <w:rPr>
                      <w:rFonts w:hint="eastAsia"/>
                      <w:lang w:val="en-US" w:eastAsia="zh-CN"/>
                    </w:rPr>
                    <w:t>43.4</w:t>
                  </w:r>
                </w:p>
              </w:tc>
              <w:tc>
                <w:tcPr>
                  <w:tcW w:w="1117" w:type="dxa"/>
                  <w:vAlign w:val="center"/>
                </w:tcPr>
                <w:p>
                  <w:pPr>
                    <w:pStyle w:val="67"/>
                  </w:pPr>
                  <w:r>
                    <w:rPr>
                      <w:rFonts w:hint="eastAsia"/>
                    </w:rPr>
                    <w:t>50</w:t>
                  </w:r>
                </w:p>
              </w:tc>
              <w:tc>
                <w:tcPr>
                  <w:tcW w:w="1481" w:type="dxa"/>
                  <w:vAlign w:val="center"/>
                </w:tcPr>
                <w:p>
                  <w:pPr>
                    <w:pStyle w:val="67"/>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32" w:type="dxa"/>
                  <w:vMerge w:val="restart"/>
                  <w:vAlign w:val="center"/>
                </w:tcPr>
                <w:p>
                  <w:pPr>
                    <w:pStyle w:val="67"/>
                  </w:pPr>
                  <w:r>
                    <w:rPr>
                      <w:rFonts w:hint="eastAsia"/>
                    </w:rPr>
                    <w:t>东</w:t>
                  </w:r>
                  <w:r>
                    <w:rPr>
                      <w:rFonts w:hint="eastAsia"/>
                      <w:lang w:eastAsia="zh-CN"/>
                    </w:rPr>
                    <w:t>南</w:t>
                  </w:r>
                  <w:r>
                    <w:rPr>
                      <w:rFonts w:hint="eastAsia"/>
                    </w:rPr>
                    <w:t>侧</w:t>
                  </w:r>
                  <w:r>
                    <w:rPr>
                      <w:rFonts w:hint="eastAsia"/>
                      <w:lang w:val="en-US" w:eastAsia="zh-CN"/>
                    </w:rPr>
                    <w:t>15</w:t>
                  </w:r>
                  <w:r>
                    <w:rPr>
                      <w:rFonts w:hint="eastAsia"/>
                    </w:rPr>
                    <w:t>m处居民点</w:t>
                  </w:r>
                </w:p>
              </w:tc>
              <w:tc>
                <w:tcPr>
                  <w:tcW w:w="1144" w:type="dxa"/>
                  <w:vAlign w:val="center"/>
                </w:tcPr>
                <w:p>
                  <w:pPr>
                    <w:pStyle w:val="67"/>
                  </w:pPr>
                  <w:r>
                    <w:t>昼间</w:t>
                  </w:r>
                </w:p>
              </w:tc>
              <w:tc>
                <w:tcPr>
                  <w:tcW w:w="2660" w:type="dxa"/>
                  <w:gridSpan w:val="2"/>
                  <w:vAlign w:val="center"/>
                </w:tcPr>
                <w:p>
                  <w:pPr>
                    <w:pStyle w:val="67"/>
                    <w:bidi w:val="0"/>
                  </w:pPr>
                  <w:r>
                    <w:rPr>
                      <w:rFonts w:hint="eastAsia"/>
                      <w:lang w:val="en-US" w:eastAsia="zh-CN"/>
                    </w:rPr>
                    <w:t>53.2</w:t>
                  </w:r>
                </w:p>
              </w:tc>
              <w:tc>
                <w:tcPr>
                  <w:tcW w:w="1117" w:type="dxa"/>
                  <w:vAlign w:val="center"/>
                </w:tcPr>
                <w:p>
                  <w:pPr>
                    <w:pStyle w:val="67"/>
                  </w:pPr>
                  <w:r>
                    <w:rPr>
                      <w:rFonts w:hint="eastAsia"/>
                    </w:rPr>
                    <w:t>60</w:t>
                  </w:r>
                </w:p>
              </w:tc>
              <w:tc>
                <w:tcPr>
                  <w:tcW w:w="1481" w:type="dxa"/>
                  <w:vAlign w:val="center"/>
                </w:tcPr>
                <w:p>
                  <w:pPr>
                    <w:pStyle w:val="67"/>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32" w:type="dxa"/>
                  <w:vMerge w:val="continue"/>
                  <w:vAlign w:val="center"/>
                </w:tcPr>
                <w:p>
                  <w:pPr>
                    <w:pStyle w:val="67"/>
                  </w:pPr>
                </w:p>
              </w:tc>
              <w:tc>
                <w:tcPr>
                  <w:tcW w:w="1144" w:type="dxa"/>
                  <w:vAlign w:val="center"/>
                </w:tcPr>
                <w:p>
                  <w:pPr>
                    <w:pStyle w:val="67"/>
                  </w:pPr>
                  <w:r>
                    <w:t>夜间</w:t>
                  </w:r>
                </w:p>
              </w:tc>
              <w:tc>
                <w:tcPr>
                  <w:tcW w:w="2660" w:type="dxa"/>
                  <w:gridSpan w:val="2"/>
                  <w:vAlign w:val="center"/>
                </w:tcPr>
                <w:p>
                  <w:pPr>
                    <w:pStyle w:val="67"/>
                    <w:bidi w:val="0"/>
                  </w:pPr>
                  <w:r>
                    <w:rPr>
                      <w:rFonts w:hint="eastAsia"/>
                      <w:lang w:val="en-US" w:eastAsia="zh-CN"/>
                    </w:rPr>
                    <w:t>43.7</w:t>
                  </w:r>
                </w:p>
              </w:tc>
              <w:tc>
                <w:tcPr>
                  <w:tcW w:w="1117" w:type="dxa"/>
                  <w:vAlign w:val="center"/>
                </w:tcPr>
                <w:p>
                  <w:pPr>
                    <w:pStyle w:val="67"/>
                  </w:pPr>
                  <w:r>
                    <w:rPr>
                      <w:rFonts w:hint="eastAsia"/>
                    </w:rPr>
                    <w:t>50</w:t>
                  </w:r>
                </w:p>
              </w:tc>
              <w:tc>
                <w:tcPr>
                  <w:tcW w:w="1481" w:type="dxa"/>
                  <w:vAlign w:val="center"/>
                </w:tcPr>
                <w:p>
                  <w:pPr>
                    <w:pStyle w:val="67"/>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32" w:type="dxa"/>
                  <w:vMerge w:val="restart"/>
                  <w:vAlign w:val="center"/>
                </w:tcPr>
                <w:p>
                  <w:pPr>
                    <w:pStyle w:val="67"/>
                  </w:pPr>
                  <w:r>
                    <w:rPr>
                      <w:rFonts w:hint="eastAsia"/>
                    </w:rPr>
                    <w:t>南侧</w:t>
                  </w:r>
                  <w:r>
                    <w:rPr>
                      <w:rFonts w:hint="eastAsia"/>
                      <w:lang w:val="en-US" w:eastAsia="zh-CN"/>
                    </w:rPr>
                    <w:t>5</w:t>
                  </w:r>
                  <w:r>
                    <w:rPr>
                      <w:rFonts w:hint="eastAsia"/>
                    </w:rPr>
                    <w:t>m处居民点</w:t>
                  </w:r>
                </w:p>
              </w:tc>
              <w:tc>
                <w:tcPr>
                  <w:tcW w:w="1144" w:type="dxa"/>
                  <w:vAlign w:val="center"/>
                </w:tcPr>
                <w:p>
                  <w:pPr>
                    <w:pStyle w:val="67"/>
                  </w:pPr>
                  <w:r>
                    <w:t>昼间</w:t>
                  </w:r>
                </w:p>
              </w:tc>
              <w:tc>
                <w:tcPr>
                  <w:tcW w:w="2660" w:type="dxa"/>
                  <w:gridSpan w:val="2"/>
                  <w:vAlign w:val="center"/>
                </w:tcPr>
                <w:p>
                  <w:pPr>
                    <w:pStyle w:val="67"/>
                    <w:bidi w:val="0"/>
                  </w:pPr>
                  <w:r>
                    <w:rPr>
                      <w:rFonts w:hint="eastAsia"/>
                      <w:lang w:val="en-US" w:eastAsia="zh-CN"/>
                    </w:rPr>
                    <w:t>53.3</w:t>
                  </w:r>
                </w:p>
              </w:tc>
              <w:tc>
                <w:tcPr>
                  <w:tcW w:w="1117" w:type="dxa"/>
                  <w:vAlign w:val="center"/>
                </w:tcPr>
                <w:p>
                  <w:pPr>
                    <w:pStyle w:val="67"/>
                  </w:pPr>
                  <w:r>
                    <w:rPr>
                      <w:rFonts w:hint="eastAsia"/>
                    </w:rPr>
                    <w:t>60</w:t>
                  </w:r>
                </w:p>
              </w:tc>
              <w:tc>
                <w:tcPr>
                  <w:tcW w:w="1481" w:type="dxa"/>
                  <w:vAlign w:val="center"/>
                </w:tcPr>
                <w:p>
                  <w:pPr>
                    <w:pStyle w:val="67"/>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32" w:type="dxa"/>
                  <w:vMerge w:val="continue"/>
                  <w:vAlign w:val="center"/>
                </w:tcPr>
                <w:p>
                  <w:pPr>
                    <w:pStyle w:val="67"/>
                  </w:pPr>
                </w:p>
              </w:tc>
              <w:tc>
                <w:tcPr>
                  <w:tcW w:w="1144" w:type="dxa"/>
                  <w:vAlign w:val="center"/>
                </w:tcPr>
                <w:p>
                  <w:pPr>
                    <w:pStyle w:val="67"/>
                  </w:pPr>
                  <w:r>
                    <w:t>夜间</w:t>
                  </w:r>
                </w:p>
              </w:tc>
              <w:tc>
                <w:tcPr>
                  <w:tcW w:w="2660" w:type="dxa"/>
                  <w:gridSpan w:val="2"/>
                  <w:vAlign w:val="center"/>
                </w:tcPr>
                <w:p>
                  <w:pPr>
                    <w:pStyle w:val="67"/>
                    <w:bidi w:val="0"/>
                  </w:pPr>
                  <w:r>
                    <w:rPr>
                      <w:rFonts w:hint="eastAsia"/>
                      <w:lang w:val="en-US" w:eastAsia="zh-CN"/>
                    </w:rPr>
                    <w:t>42.6</w:t>
                  </w:r>
                </w:p>
              </w:tc>
              <w:tc>
                <w:tcPr>
                  <w:tcW w:w="1117" w:type="dxa"/>
                  <w:vAlign w:val="center"/>
                </w:tcPr>
                <w:p>
                  <w:pPr>
                    <w:pStyle w:val="67"/>
                  </w:pPr>
                  <w:r>
                    <w:rPr>
                      <w:rFonts w:hint="eastAsia"/>
                    </w:rPr>
                    <w:t>50</w:t>
                  </w:r>
                </w:p>
              </w:tc>
              <w:tc>
                <w:tcPr>
                  <w:tcW w:w="1481" w:type="dxa"/>
                  <w:vAlign w:val="center"/>
                </w:tcPr>
                <w:p>
                  <w:pPr>
                    <w:pStyle w:val="67"/>
                  </w:pPr>
                  <w:r>
                    <w:t>达标</w:t>
                  </w:r>
                </w:p>
              </w:tc>
            </w:tr>
          </w:tbl>
          <w:p>
            <w:pPr>
              <w:spacing w:line="360" w:lineRule="auto"/>
              <w:ind w:firstLine="480" w:firstLineChars="200"/>
              <w:rPr>
                <w:sz w:val="32"/>
                <w:szCs w:val="40"/>
              </w:rPr>
            </w:pPr>
            <w:r>
              <w:rPr>
                <w:rFonts w:hint="eastAsia"/>
                <w:sz w:val="24"/>
                <w:szCs w:val="32"/>
              </w:rPr>
              <w:t>由图3-</w:t>
            </w:r>
            <w:r>
              <w:rPr>
                <w:sz w:val="24"/>
                <w:szCs w:val="32"/>
              </w:rPr>
              <w:t>4</w:t>
            </w:r>
            <w:r>
              <w:rPr>
                <w:rFonts w:hint="eastAsia"/>
                <w:sz w:val="24"/>
                <w:szCs w:val="32"/>
              </w:rPr>
              <w:t>可知，项目所在区域东、南、西、北侧及周边50m范围内居民点声环境符合《声环境质量标准》（GB3096-2008）2类标准，声</w:t>
            </w:r>
            <w:r>
              <w:rPr>
                <w:sz w:val="24"/>
                <w:szCs w:val="32"/>
              </w:rPr>
              <w:t>环境质量良好</w:t>
            </w:r>
            <w:r>
              <w:rPr>
                <w:rFonts w:hint="eastAsia"/>
                <w:sz w:val="24"/>
                <w:szCs w:val="32"/>
              </w:rPr>
              <w:t>。</w:t>
            </w:r>
          </w:p>
          <w:p>
            <w:pPr>
              <w:spacing w:line="360" w:lineRule="auto"/>
              <w:rPr>
                <w:sz w:val="24"/>
              </w:rPr>
            </w:pPr>
            <w:r>
              <w:rPr>
                <w:sz w:val="24"/>
              </w:rPr>
              <w:t>4、土壤环境</w:t>
            </w:r>
          </w:p>
          <w:p>
            <w:pPr>
              <w:widowControl/>
              <w:spacing w:line="360" w:lineRule="auto"/>
              <w:ind w:firstLine="480" w:firstLineChars="200"/>
              <w:jc w:val="left"/>
              <w:rPr>
                <w:bCs/>
                <w:sz w:val="24"/>
              </w:rPr>
            </w:pPr>
            <w:r>
              <w:rPr>
                <w:rFonts w:hint="eastAsia"/>
                <w:bCs/>
                <w:sz w:val="24"/>
              </w:rPr>
              <w:t>根据《环境影响评价技术导则-土壤环境(试行)》，本项目属于社会事业与服务业：其他类，属于Ⅳ类项目，因此，本项目无需进行土壤环境质量调查。</w:t>
            </w:r>
          </w:p>
          <w:p>
            <w:pPr>
              <w:widowControl/>
              <w:spacing w:line="360" w:lineRule="auto"/>
              <w:jc w:val="left"/>
              <w:rPr>
                <w:bCs/>
                <w:sz w:val="24"/>
              </w:rPr>
            </w:pPr>
            <w:r>
              <w:rPr>
                <w:rFonts w:hint="eastAsia"/>
                <w:bCs/>
                <w:sz w:val="24"/>
              </w:rPr>
              <w:t>5、生态环境现状调查</w:t>
            </w:r>
          </w:p>
          <w:p>
            <w:pPr>
              <w:adjustRightInd w:val="0"/>
              <w:snapToGrid w:val="0"/>
              <w:spacing w:line="360" w:lineRule="auto"/>
              <w:ind w:firstLine="480" w:firstLineChars="200"/>
              <w:jc w:val="left"/>
              <w:rPr>
                <w:kern w:val="0"/>
                <w:szCs w:val="21"/>
              </w:rPr>
            </w:pPr>
            <w:r>
              <w:rPr>
                <w:rFonts w:hint="eastAsia"/>
                <w:sz w:val="24"/>
              </w:rPr>
              <w:t>本项目位于桃源县</w:t>
            </w:r>
            <w:r>
              <w:rPr>
                <w:rFonts w:hint="eastAsia"/>
                <w:sz w:val="24"/>
                <w:lang w:eastAsia="zh-CN"/>
              </w:rPr>
              <w:t>三阳港镇墟场中街</w:t>
            </w:r>
            <w:r>
              <w:rPr>
                <w:rFonts w:hint="eastAsia"/>
                <w:sz w:val="24"/>
              </w:rPr>
              <w:t>，总占地面积为</w:t>
            </w:r>
            <w:r>
              <w:rPr>
                <w:rFonts w:hint="eastAsia"/>
                <w:sz w:val="24"/>
                <w:lang w:eastAsia="zh-CN"/>
              </w:rPr>
              <w:t>5079.5</w:t>
            </w:r>
            <w:r>
              <w:rPr>
                <w:rFonts w:hint="eastAsia"/>
                <w:sz w:val="24"/>
              </w:rPr>
              <w:t>m</w:t>
            </w:r>
            <w:r>
              <w:rPr>
                <w:rFonts w:hint="eastAsia"/>
                <w:sz w:val="24"/>
                <w:vertAlign w:val="superscript"/>
              </w:rPr>
              <w:t>2</w:t>
            </w:r>
            <w:r>
              <w:rPr>
                <w:rFonts w:hint="eastAsia"/>
                <w:sz w:val="24"/>
              </w:rPr>
              <w:t>，根据环评人员对建设项目所在地及周边环境现状的踏勘，项目周边基本为民居。项目周边无天然林和珍稀类、濒危动植物。生态现状良好。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0" w:type="dxa"/>
            <w:vAlign w:val="center"/>
          </w:tcPr>
          <w:p>
            <w:pPr>
              <w:adjustRightInd w:val="0"/>
              <w:snapToGrid w:val="0"/>
              <w:jc w:val="center"/>
              <w:rPr>
                <w:kern w:val="0"/>
                <w:szCs w:val="21"/>
              </w:rPr>
            </w:pPr>
            <w:r>
              <w:rPr>
                <w:kern w:val="0"/>
                <w:szCs w:val="21"/>
              </w:rPr>
              <w:t>环境</w:t>
            </w:r>
          </w:p>
          <w:p>
            <w:pPr>
              <w:adjustRightInd w:val="0"/>
              <w:snapToGrid w:val="0"/>
              <w:jc w:val="center"/>
              <w:rPr>
                <w:kern w:val="0"/>
                <w:szCs w:val="21"/>
              </w:rPr>
            </w:pPr>
            <w:r>
              <w:rPr>
                <w:kern w:val="0"/>
                <w:szCs w:val="21"/>
              </w:rPr>
              <w:t>保护</w:t>
            </w:r>
          </w:p>
          <w:p>
            <w:pPr>
              <w:adjustRightInd w:val="0"/>
              <w:snapToGrid w:val="0"/>
              <w:jc w:val="center"/>
              <w:rPr>
                <w:kern w:val="0"/>
                <w:szCs w:val="21"/>
              </w:rPr>
            </w:pPr>
            <w:r>
              <w:rPr>
                <w:kern w:val="0"/>
                <w:szCs w:val="21"/>
              </w:rPr>
              <w:t>目标</w:t>
            </w:r>
          </w:p>
        </w:tc>
        <w:tc>
          <w:tcPr>
            <w:tcW w:w="8190" w:type="dxa"/>
            <w:vAlign w:val="center"/>
          </w:tcPr>
          <w:p>
            <w:pPr>
              <w:spacing w:line="360" w:lineRule="auto"/>
              <w:ind w:firstLine="512"/>
              <w:textAlignment w:val="baseline"/>
              <w:rPr>
                <w:snapToGrid w:val="0"/>
                <w:spacing w:val="8"/>
                <w:kern w:val="0"/>
                <w:sz w:val="24"/>
                <w:szCs w:val="32"/>
              </w:rPr>
            </w:pPr>
            <w:r>
              <w:rPr>
                <w:snapToGrid w:val="0"/>
                <w:spacing w:val="8"/>
                <w:kern w:val="0"/>
                <w:sz w:val="24"/>
                <w:szCs w:val="32"/>
              </w:rPr>
              <w:t>通过现场实地调查，该项目评价区域内无自然保护区、风景名胜区、遗址公园、文物古迹和文化遗产等特殊环境敏感点。</w:t>
            </w:r>
          </w:p>
          <w:p>
            <w:pPr>
              <w:spacing w:line="360" w:lineRule="auto"/>
              <w:ind w:firstLine="512"/>
              <w:textAlignment w:val="baseline"/>
              <w:rPr>
                <w:snapToGrid w:val="0"/>
                <w:spacing w:val="8"/>
                <w:kern w:val="0"/>
                <w:sz w:val="24"/>
                <w:szCs w:val="32"/>
              </w:rPr>
            </w:pPr>
            <w:r>
              <w:rPr>
                <w:snapToGrid w:val="0"/>
                <w:spacing w:val="8"/>
                <w:kern w:val="0"/>
                <w:sz w:val="24"/>
                <w:szCs w:val="32"/>
              </w:rPr>
              <w:t>项目周边500m范围内</w:t>
            </w:r>
            <w:r>
              <w:rPr>
                <w:rFonts w:hint="eastAsia"/>
                <w:snapToGrid w:val="0"/>
                <w:spacing w:val="8"/>
                <w:kern w:val="0"/>
                <w:sz w:val="24"/>
                <w:szCs w:val="32"/>
              </w:rPr>
              <w:t>存在</w:t>
            </w:r>
            <w:r>
              <w:rPr>
                <w:snapToGrid w:val="0"/>
                <w:spacing w:val="8"/>
                <w:kern w:val="0"/>
                <w:sz w:val="24"/>
                <w:szCs w:val="32"/>
              </w:rPr>
              <w:t>大气环境敏感目标</w:t>
            </w:r>
            <w:r>
              <w:rPr>
                <w:rFonts w:hint="eastAsia"/>
                <w:snapToGrid w:val="0"/>
                <w:spacing w:val="8"/>
                <w:kern w:val="0"/>
                <w:sz w:val="24"/>
                <w:szCs w:val="32"/>
              </w:rPr>
              <w:t>（具体见下表表3-5所示），不存在</w:t>
            </w:r>
            <w:r>
              <w:rPr>
                <w:snapToGrid w:val="0"/>
                <w:spacing w:val="8"/>
                <w:kern w:val="0"/>
                <w:sz w:val="24"/>
                <w:szCs w:val="32"/>
              </w:rPr>
              <w:t>地下水声环境敏感目标，厂界外50米范围内</w:t>
            </w:r>
            <w:r>
              <w:rPr>
                <w:rFonts w:hint="eastAsia"/>
                <w:snapToGrid w:val="0"/>
                <w:spacing w:val="8"/>
                <w:kern w:val="0"/>
                <w:sz w:val="24"/>
                <w:szCs w:val="32"/>
              </w:rPr>
              <w:t>存在</w:t>
            </w:r>
            <w:r>
              <w:rPr>
                <w:snapToGrid w:val="0"/>
                <w:spacing w:val="8"/>
                <w:kern w:val="0"/>
                <w:sz w:val="24"/>
                <w:szCs w:val="32"/>
              </w:rPr>
              <w:t>声环境保护目标</w:t>
            </w:r>
            <w:r>
              <w:rPr>
                <w:rFonts w:hint="eastAsia"/>
                <w:snapToGrid w:val="0"/>
                <w:spacing w:val="8"/>
                <w:kern w:val="0"/>
                <w:sz w:val="24"/>
                <w:szCs w:val="32"/>
              </w:rPr>
              <w:t>（具体如下表表3-</w:t>
            </w:r>
            <w:r>
              <w:rPr>
                <w:rFonts w:hint="eastAsia"/>
                <w:snapToGrid w:val="0"/>
                <w:spacing w:val="8"/>
                <w:kern w:val="0"/>
                <w:sz w:val="24"/>
                <w:szCs w:val="32"/>
                <w:lang w:val="en-US" w:eastAsia="zh-CN"/>
              </w:rPr>
              <w:t>5</w:t>
            </w:r>
            <w:r>
              <w:rPr>
                <w:rFonts w:hint="eastAsia"/>
                <w:snapToGrid w:val="0"/>
                <w:spacing w:val="8"/>
                <w:kern w:val="0"/>
                <w:sz w:val="24"/>
                <w:szCs w:val="32"/>
              </w:rPr>
              <w:t>所示）</w:t>
            </w:r>
            <w:r>
              <w:rPr>
                <w:snapToGrid w:val="0"/>
                <w:spacing w:val="8"/>
                <w:kern w:val="0"/>
                <w:sz w:val="24"/>
                <w:szCs w:val="32"/>
              </w:rPr>
              <w:t>。</w:t>
            </w:r>
          </w:p>
          <w:p>
            <w:pPr>
              <w:snapToGrid w:val="0"/>
              <w:jc w:val="center"/>
              <w:rPr>
                <w:b/>
                <w:szCs w:val="21"/>
              </w:rPr>
            </w:pPr>
            <w:r>
              <w:rPr>
                <w:b/>
                <w:szCs w:val="21"/>
              </w:rPr>
              <w:t>表</w:t>
            </w:r>
            <w:r>
              <w:rPr>
                <w:rFonts w:hint="eastAsia"/>
                <w:b/>
                <w:szCs w:val="21"/>
              </w:rPr>
              <w:t>3-5</w:t>
            </w:r>
            <w:r>
              <w:rPr>
                <w:b/>
                <w:szCs w:val="21"/>
              </w:rPr>
              <w:t>环境空气保护目标</w:t>
            </w:r>
          </w:p>
          <w:tbl>
            <w:tblPr>
              <w:tblStyle w:val="27"/>
              <w:tblW w:w="809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79"/>
              <w:gridCol w:w="1045"/>
              <w:gridCol w:w="1108"/>
              <w:gridCol w:w="580"/>
              <w:gridCol w:w="1415"/>
              <w:gridCol w:w="955"/>
              <w:gridCol w:w="779"/>
              <w:gridCol w:w="11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079" w:type="dxa"/>
                  <w:vMerge w:val="restart"/>
                  <w:vAlign w:val="center"/>
                </w:tcPr>
                <w:p>
                  <w:pPr>
                    <w:pStyle w:val="36"/>
                  </w:pPr>
                  <w:r>
                    <w:t>名称</w:t>
                  </w:r>
                </w:p>
              </w:tc>
              <w:tc>
                <w:tcPr>
                  <w:tcW w:w="2153" w:type="dxa"/>
                  <w:gridSpan w:val="2"/>
                  <w:vAlign w:val="center"/>
                </w:tcPr>
                <w:p>
                  <w:pPr>
                    <w:pStyle w:val="36"/>
                  </w:pPr>
                  <w:r>
                    <w:t>坐标</w:t>
                  </w:r>
                </w:p>
              </w:tc>
              <w:tc>
                <w:tcPr>
                  <w:tcW w:w="580" w:type="dxa"/>
                  <w:vMerge w:val="restart"/>
                  <w:vAlign w:val="center"/>
                </w:tcPr>
                <w:p>
                  <w:pPr>
                    <w:pStyle w:val="36"/>
                  </w:pPr>
                  <w:r>
                    <w:t>保护对象</w:t>
                  </w:r>
                </w:p>
              </w:tc>
              <w:tc>
                <w:tcPr>
                  <w:tcW w:w="1415" w:type="dxa"/>
                  <w:vMerge w:val="restart"/>
                  <w:vAlign w:val="center"/>
                </w:tcPr>
                <w:p>
                  <w:pPr>
                    <w:pStyle w:val="36"/>
                  </w:pPr>
                  <w:r>
                    <w:t>保护内容</w:t>
                  </w:r>
                </w:p>
              </w:tc>
              <w:tc>
                <w:tcPr>
                  <w:tcW w:w="955" w:type="dxa"/>
                  <w:vMerge w:val="restart"/>
                  <w:vAlign w:val="center"/>
                </w:tcPr>
                <w:p>
                  <w:pPr>
                    <w:pStyle w:val="36"/>
                  </w:pPr>
                  <w:r>
                    <w:t>环境功能区</w:t>
                  </w:r>
                </w:p>
              </w:tc>
              <w:tc>
                <w:tcPr>
                  <w:tcW w:w="779" w:type="dxa"/>
                  <w:vMerge w:val="restart"/>
                  <w:vAlign w:val="center"/>
                </w:tcPr>
                <w:p>
                  <w:pPr>
                    <w:pStyle w:val="36"/>
                  </w:pPr>
                  <w:r>
                    <w:t>相对厂址方位</w:t>
                  </w:r>
                </w:p>
              </w:tc>
              <w:tc>
                <w:tcPr>
                  <w:tcW w:w="1135" w:type="dxa"/>
                  <w:vMerge w:val="restart"/>
                  <w:vAlign w:val="center"/>
                </w:tcPr>
                <w:p>
                  <w:pPr>
                    <w:pStyle w:val="36"/>
                  </w:pPr>
                  <w:r>
                    <w:rPr>
                      <w:rFonts w:hint="eastAsia"/>
                    </w:rPr>
                    <w:t>最近居民点</w:t>
                  </w:r>
                  <w:r>
                    <w:t>相对厂界距离/m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1079" w:type="dxa"/>
                  <w:vMerge w:val="continue"/>
                  <w:vAlign w:val="center"/>
                </w:tcPr>
                <w:p>
                  <w:pPr>
                    <w:pStyle w:val="36"/>
                  </w:pPr>
                </w:p>
              </w:tc>
              <w:tc>
                <w:tcPr>
                  <w:tcW w:w="1045" w:type="dxa"/>
                  <w:vAlign w:val="center"/>
                </w:tcPr>
                <w:p>
                  <w:pPr>
                    <w:pStyle w:val="36"/>
                  </w:pPr>
                  <w:r>
                    <w:rPr>
                      <w:rFonts w:hint="eastAsia"/>
                    </w:rPr>
                    <w:t>经度</w:t>
                  </w:r>
                </w:p>
              </w:tc>
              <w:tc>
                <w:tcPr>
                  <w:tcW w:w="1108" w:type="dxa"/>
                  <w:vAlign w:val="center"/>
                </w:tcPr>
                <w:p>
                  <w:pPr>
                    <w:pStyle w:val="36"/>
                  </w:pPr>
                  <w:r>
                    <w:rPr>
                      <w:rFonts w:hint="eastAsia"/>
                    </w:rPr>
                    <w:t>纬度</w:t>
                  </w:r>
                </w:p>
              </w:tc>
              <w:tc>
                <w:tcPr>
                  <w:tcW w:w="580" w:type="dxa"/>
                  <w:vMerge w:val="continue"/>
                  <w:vAlign w:val="center"/>
                </w:tcPr>
                <w:p>
                  <w:pPr>
                    <w:pStyle w:val="36"/>
                  </w:pPr>
                </w:p>
              </w:tc>
              <w:tc>
                <w:tcPr>
                  <w:tcW w:w="1415" w:type="dxa"/>
                  <w:vMerge w:val="continue"/>
                  <w:vAlign w:val="center"/>
                </w:tcPr>
                <w:p>
                  <w:pPr>
                    <w:pStyle w:val="36"/>
                  </w:pPr>
                </w:p>
              </w:tc>
              <w:tc>
                <w:tcPr>
                  <w:tcW w:w="955" w:type="dxa"/>
                  <w:vMerge w:val="continue"/>
                  <w:vAlign w:val="center"/>
                </w:tcPr>
                <w:p>
                  <w:pPr>
                    <w:pStyle w:val="36"/>
                  </w:pPr>
                </w:p>
              </w:tc>
              <w:tc>
                <w:tcPr>
                  <w:tcW w:w="779" w:type="dxa"/>
                  <w:vMerge w:val="continue"/>
                  <w:vAlign w:val="center"/>
                </w:tcPr>
                <w:p>
                  <w:pPr>
                    <w:pStyle w:val="36"/>
                  </w:pPr>
                </w:p>
              </w:tc>
              <w:tc>
                <w:tcPr>
                  <w:tcW w:w="1135" w:type="dxa"/>
                  <w:vMerge w:val="continue"/>
                  <w:vAlign w:val="center"/>
                </w:tcPr>
                <w:p>
                  <w:pPr>
                    <w:pStyle w:val="3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79" w:type="dxa"/>
                  <w:vAlign w:val="center"/>
                </w:tcPr>
                <w:p>
                  <w:pPr>
                    <w:pStyle w:val="36"/>
                    <w:rPr>
                      <w:rFonts w:hint="eastAsia" w:eastAsia="宋体"/>
                      <w:lang w:eastAsia="zh-CN"/>
                    </w:rPr>
                  </w:pPr>
                  <w:r>
                    <w:rPr>
                      <w:rFonts w:hint="eastAsia"/>
                      <w:lang w:eastAsia="zh-CN"/>
                    </w:rPr>
                    <w:t>三阳港镇中心小学</w:t>
                  </w:r>
                </w:p>
              </w:tc>
              <w:tc>
                <w:tcPr>
                  <w:tcW w:w="1045" w:type="dxa"/>
                  <w:vAlign w:val="center"/>
                </w:tcPr>
                <w:p>
                  <w:pPr>
                    <w:pStyle w:val="36"/>
                  </w:pPr>
                  <w:r>
                    <w:rPr>
                      <w:rFonts w:hint="eastAsia"/>
                    </w:rPr>
                    <w:t>111.346110069</w:t>
                  </w:r>
                </w:p>
              </w:tc>
              <w:tc>
                <w:tcPr>
                  <w:tcW w:w="1108" w:type="dxa"/>
                  <w:vAlign w:val="center"/>
                </w:tcPr>
                <w:p>
                  <w:pPr>
                    <w:pStyle w:val="36"/>
                  </w:pPr>
                  <w:r>
                    <w:rPr>
                      <w:rFonts w:hint="eastAsia"/>
                    </w:rPr>
                    <w:t>28.973038062</w:t>
                  </w:r>
                </w:p>
              </w:tc>
              <w:tc>
                <w:tcPr>
                  <w:tcW w:w="580" w:type="dxa"/>
                  <w:vAlign w:val="center"/>
                </w:tcPr>
                <w:p>
                  <w:pPr>
                    <w:pStyle w:val="36"/>
                  </w:pPr>
                  <w:r>
                    <w:rPr>
                      <w:rFonts w:hint="eastAsia"/>
                    </w:rPr>
                    <w:t>学校</w:t>
                  </w:r>
                </w:p>
              </w:tc>
              <w:tc>
                <w:tcPr>
                  <w:tcW w:w="1415" w:type="dxa"/>
                  <w:vAlign w:val="center"/>
                </w:tcPr>
                <w:p>
                  <w:pPr>
                    <w:pStyle w:val="36"/>
                  </w:pPr>
                  <w:r>
                    <w:rPr>
                      <w:rFonts w:hint="eastAsia"/>
                    </w:rPr>
                    <w:t>约</w:t>
                  </w:r>
                  <w:r>
                    <w:rPr>
                      <w:rFonts w:hint="eastAsia"/>
                      <w:lang w:val="en-US" w:eastAsia="zh-CN"/>
                    </w:rPr>
                    <w:t>6</w:t>
                  </w:r>
                  <w:r>
                    <w:rPr>
                      <w:rFonts w:hint="eastAsia"/>
                    </w:rPr>
                    <w:t>00师生</w:t>
                  </w:r>
                </w:p>
              </w:tc>
              <w:tc>
                <w:tcPr>
                  <w:tcW w:w="955" w:type="dxa"/>
                  <w:vMerge w:val="restart"/>
                  <w:vAlign w:val="center"/>
                </w:tcPr>
                <w:p>
                  <w:pPr>
                    <w:pStyle w:val="36"/>
                  </w:pPr>
                  <w:r>
                    <w:t>GB3095-2012）二级标准</w:t>
                  </w:r>
                </w:p>
              </w:tc>
              <w:tc>
                <w:tcPr>
                  <w:tcW w:w="779" w:type="dxa"/>
                  <w:vAlign w:val="center"/>
                </w:tcPr>
                <w:p>
                  <w:pPr>
                    <w:pStyle w:val="36"/>
                  </w:pPr>
                  <w:r>
                    <w:rPr>
                      <w:rFonts w:hint="eastAsia"/>
                      <w:lang w:val="en-US" w:eastAsia="zh-CN"/>
                    </w:rPr>
                    <w:t>S</w:t>
                  </w:r>
                  <w:r>
                    <w:rPr>
                      <w:rFonts w:hint="eastAsia"/>
                    </w:rPr>
                    <w:t>W</w:t>
                  </w:r>
                </w:p>
              </w:tc>
              <w:tc>
                <w:tcPr>
                  <w:tcW w:w="1135" w:type="dxa"/>
                  <w:vAlign w:val="center"/>
                </w:tcPr>
                <w:p>
                  <w:pPr>
                    <w:pStyle w:val="36"/>
                    <w:rPr>
                      <w:rFonts w:hint="default" w:eastAsia="宋体"/>
                      <w:lang w:val="en-US" w:eastAsia="zh-CN"/>
                    </w:rPr>
                  </w:pPr>
                  <w:r>
                    <w:rPr>
                      <w:rFonts w:hint="eastAsia"/>
                      <w:lang w:val="en-US" w:eastAsia="zh-CN"/>
                    </w:rPr>
                    <w:t>220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079" w:type="dxa"/>
                  <w:vAlign w:val="center"/>
                </w:tcPr>
                <w:p>
                  <w:pPr>
                    <w:pStyle w:val="36"/>
                    <w:rPr>
                      <w:rFonts w:hint="eastAsia" w:eastAsia="宋体"/>
                      <w:lang w:eastAsia="zh-CN"/>
                    </w:rPr>
                  </w:pPr>
                  <w:r>
                    <w:rPr>
                      <w:rFonts w:hint="eastAsia"/>
                      <w:lang w:eastAsia="zh-CN"/>
                    </w:rPr>
                    <w:t>桃源县第八中学</w:t>
                  </w:r>
                </w:p>
              </w:tc>
              <w:tc>
                <w:tcPr>
                  <w:tcW w:w="1045" w:type="dxa"/>
                  <w:vAlign w:val="center"/>
                </w:tcPr>
                <w:p>
                  <w:pPr>
                    <w:pStyle w:val="36"/>
                  </w:pPr>
                  <w:r>
                    <w:rPr>
                      <w:rFonts w:hint="eastAsia"/>
                    </w:rPr>
                    <w:t>111.344157421</w:t>
                  </w:r>
                </w:p>
              </w:tc>
              <w:tc>
                <w:tcPr>
                  <w:tcW w:w="1108" w:type="dxa"/>
                  <w:vAlign w:val="center"/>
                </w:tcPr>
                <w:p>
                  <w:pPr>
                    <w:pStyle w:val="36"/>
                  </w:pPr>
                  <w:r>
                    <w:rPr>
                      <w:rFonts w:hint="eastAsia"/>
                    </w:rPr>
                    <w:t>28.973649605</w:t>
                  </w:r>
                </w:p>
              </w:tc>
              <w:tc>
                <w:tcPr>
                  <w:tcW w:w="580" w:type="dxa"/>
                  <w:vAlign w:val="center"/>
                </w:tcPr>
                <w:p>
                  <w:pPr>
                    <w:pStyle w:val="36"/>
                  </w:pPr>
                  <w:r>
                    <w:rPr>
                      <w:rFonts w:hint="eastAsia"/>
                    </w:rPr>
                    <w:t>学校</w:t>
                  </w:r>
                </w:p>
              </w:tc>
              <w:tc>
                <w:tcPr>
                  <w:tcW w:w="1415" w:type="dxa"/>
                  <w:vAlign w:val="center"/>
                </w:tcPr>
                <w:p>
                  <w:pPr>
                    <w:pStyle w:val="36"/>
                  </w:pPr>
                  <w:r>
                    <w:rPr>
                      <w:rFonts w:hint="eastAsia"/>
                    </w:rPr>
                    <w:t>约</w:t>
                  </w:r>
                  <w:r>
                    <w:rPr>
                      <w:rFonts w:hint="eastAsia"/>
                      <w:lang w:val="en-US" w:eastAsia="zh-CN"/>
                    </w:rPr>
                    <w:t>10</w:t>
                  </w:r>
                  <w:r>
                    <w:rPr>
                      <w:rFonts w:hint="eastAsia"/>
                    </w:rPr>
                    <w:t>00师生</w:t>
                  </w:r>
                </w:p>
              </w:tc>
              <w:tc>
                <w:tcPr>
                  <w:tcW w:w="955" w:type="dxa"/>
                  <w:vMerge w:val="continue"/>
                  <w:vAlign w:val="center"/>
                </w:tcPr>
                <w:p>
                  <w:pPr>
                    <w:pStyle w:val="36"/>
                  </w:pPr>
                </w:p>
              </w:tc>
              <w:tc>
                <w:tcPr>
                  <w:tcW w:w="779" w:type="dxa"/>
                  <w:vAlign w:val="center"/>
                </w:tcPr>
                <w:p>
                  <w:pPr>
                    <w:pStyle w:val="36"/>
                  </w:pPr>
                  <w:r>
                    <w:rPr>
                      <w:rFonts w:hint="eastAsia"/>
                    </w:rPr>
                    <w:t>W</w:t>
                  </w:r>
                </w:p>
              </w:tc>
              <w:tc>
                <w:tcPr>
                  <w:tcW w:w="1135" w:type="dxa"/>
                  <w:vAlign w:val="center"/>
                </w:tcPr>
                <w:p>
                  <w:pPr>
                    <w:pStyle w:val="36"/>
                    <w:rPr>
                      <w:rFonts w:hint="default" w:eastAsia="宋体"/>
                      <w:lang w:val="en-US" w:eastAsia="zh-CN"/>
                    </w:rPr>
                  </w:pPr>
                  <w:r>
                    <w:rPr>
                      <w:rFonts w:hint="eastAsia"/>
                      <w:lang w:val="en-US" w:eastAsia="zh-CN"/>
                    </w:rPr>
                    <w:t>376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079" w:type="dxa"/>
                  <w:vAlign w:val="center"/>
                </w:tcPr>
                <w:p>
                  <w:pPr>
                    <w:pStyle w:val="36"/>
                    <w:jc w:val="center"/>
                    <w:rPr>
                      <w:rFonts w:hint="eastAsia" w:eastAsia="宋体"/>
                      <w:lang w:eastAsia="zh-CN"/>
                    </w:rPr>
                  </w:pPr>
                  <w:r>
                    <w:rPr>
                      <w:rFonts w:hint="eastAsia"/>
                      <w:lang w:eastAsia="zh-CN"/>
                    </w:rPr>
                    <w:t>三阳村</w:t>
                  </w:r>
                </w:p>
              </w:tc>
              <w:tc>
                <w:tcPr>
                  <w:tcW w:w="1045" w:type="dxa"/>
                  <w:vAlign w:val="center"/>
                </w:tcPr>
                <w:p>
                  <w:pPr>
                    <w:pStyle w:val="36"/>
                  </w:pPr>
                  <w:r>
                    <w:rPr>
                      <w:rFonts w:hint="eastAsia"/>
                    </w:rPr>
                    <w:t>111.348384583</w:t>
                  </w:r>
                </w:p>
              </w:tc>
              <w:tc>
                <w:tcPr>
                  <w:tcW w:w="1108" w:type="dxa"/>
                  <w:vAlign w:val="center"/>
                </w:tcPr>
                <w:p>
                  <w:pPr>
                    <w:pStyle w:val="36"/>
                  </w:pPr>
                  <w:r>
                    <w:rPr>
                      <w:rFonts w:hint="eastAsia"/>
                    </w:rPr>
                    <w:t>28.974089488</w:t>
                  </w:r>
                </w:p>
              </w:tc>
              <w:tc>
                <w:tcPr>
                  <w:tcW w:w="580" w:type="dxa"/>
                  <w:vAlign w:val="center"/>
                </w:tcPr>
                <w:p>
                  <w:pPr>
                    <w:pStyle w:val="36"/>
                  </w:pPr>
                  <w:r>
                    <w:rPr>
                      <w:rFonts w:hint="eastAsia"/>
                    </w:rPr>
                    <w:t>学校</w:t>
                  </w:r>
                </w:p>
              </w:tc>
              <w:tc>
                <w:tcPr>
                  <w:tcW w:w="1415" w:type="dxa"/>
                  <w:vAlign w:val="center"/>
                </w:tcPr>
                <w:p>
                  <w:pPr>
                    <w:pStyle w:val="36"/>
                  </w:pPr>
                  <w:r>
                    <w:rPr>
                      <w:rFonts w:hint="eastAsia"/>
                    </w:rPr>
                    <w:t>约300师生</w:t>
                  </w:r>
                </w:p>
              </w:tc>
              <w:tc>
                <w:tcPr>
                  <w:tcW w:w="955" w:type="dxa"/>
                  <w:vMerge w:val="continue"/>
                  <w:vAlign w:val="center"/>
                </w:tcPr>
                <w:p>
                  <w:pPr>
                    <w:pStyle w:val="36"/>
                  </w:pPr>
                </w:p>
              </w:tc>
              <w:tc>
                <w:tcPr>
                  <w:tcW w:w="779" w:type="dxa"/>
                  <w:vAlign w:val="center"/>
                </w:tcPr>
                <w:p>
                  <w:pPr>
                    <w:pStyle w:val="36"/>
                    <w:rPr>
                      <w:rFonts w:hint="default" w:eastAsia="宋体"/>
                      <w:lang w:val="en-US" w:eastAsia="zh-CN"/>
                    </w:rPr>
                  </w:pPr>
                  <w:r>
                    <w:rPr>
                      <w:rFonts w:hint="eastAsia"/>
                    </w:rPr>
                    <w:t>N</w:t>
                  </w:r>
                  <w:r>
                    <w:rPr>
                      <w:rFonts w:hint="eastAsia"/>
                      <w:lang w:eastAsia="zh-CN"/>
                    </w:rPr>
                    <w:t>、</w:t>
                  </w:r>
                  <w:r>
                    <w:rPr>
                      <w:rFonts w:hint="eastAsia"/>
                    </w:rPr>
                    <w:t>E</w:t>
                  </w:r>
                  <w:r>
                    <w:rPr>
                      <w:rFonts w:hint="eastAsia"/>
                      <w:lang w:eastAsia="zh-CN"/>
                    </w:rPr>
                    <w:t>、</w:t>
                  </w:r>
                  <w:r>
                    <w:rPr>
                      <w:rFonts w:hint="eastAsia"/>
                      <w:lang w:val="en-US" w:eastAsia="zh-CN"/>
                    </w:rPr>
                    <w:t>S、W</w:t>
                  </w:r>
                </w:p>
              </w:tc>
              <w:tc>
                <w:tcPr>
                  <w:tcW w:w="1135" w:type="dxa"/>
                  <w:vAlign w:val="center"/>
                </w:tcPr>
                <w:p>
                  <w:pPr>
                    <w:pStyle w:val="36"/>
                    <w:rPr>
                      <w:rFonts w:hint="eastAsia" w:eastAsia="宋体"/>
                      <w:lang w:eastAsia="zh-CN"/>
                    </w:rPr>
                  </w:pPr>
                  <w:r>
                    <w:rPr>
                      <w:rFonts w:hint="eastAsia"/>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079" w:type="dxa"/>
                  <w:vAlign w:val="center"/>
                </w:tcPr>
                <w:p>
                  <w:pPr>
                    <w:pStyle w:val="36"/>
                    <w:rPr>
                      <w:rFonts w:hint="eastAsia" w:eastAsia="宋体"/>
                      <w:lang w:eastAsia="zh-CN"/>
                    </w:rPr>
                  </w:pPr>
                  <w:r>
                    <w:rPr>
                      <w:rFonts w:hint="eastAsia"/>
                      <w:lang w:eastAsia="zh-CN"/>
                    </w:rPr>
                    <w:t>三阳法院</w:t>
                  </w:r>
                </w:p>
              </w:tc>
              <w:tc>
                <w:tcPr>
                  <w:tcW w:w="1045" w:type="dxa"/>
                  <w:vAlign w:val="center"/>
                </w:tcPr>
                <w:p>
                  <w:pPr>
                    <w:pStyle w:val="36"/>
                  </w:pPr>
                  <w:r>
                    <w:rPr>
                      <w:rFonts w:hint="eastAsia"/>
                    </w:rPr>
                    <w:t>111.348180735</w:t>
                  </w:r>
                </w:p>
              </w:tc>
              <w:tc>
                <w:tcPr>
                  <w:tcW w:w="1108" w:type="dxa"/>
                  <w:vAlign w:val="center"/>
                </w:tcPr>
                <w:p>
                  <w:pPr>
                    <w:pStyle w:val="36"/>
                  </w:pPr>
                  <w:r>
                    <w:rPr>
                      <w:rFonts w:hint="eastAsia"/>
                    </w:rPr>
                    <w:t>28.974711760</w:t>
                  </w:r>
                </w:p>
              </w:tc>
              <w:tc>
                <w:tcPr>
                  <w:tcW w:w="580" w:type="dxa"/>
                  <w:vAlign w:val="center"/>
                </w:tcPr>
                <w:p>
                  <w:pPr>
                    <w:pStyle w:val="36"/>
                  </w:pPr>
                  <w:r>
                    <w:rPr>
                      <w:rFonts w:hint="eastAsia"/>
                    </w:rPr>
                    <w:t>机关人员</w:t>
                  </w:r>
                </w:p>
              </w:tc>
              <w:tc>
                <w:tcPr>
                  <w:tcW w:w="1415" w:type="dxa"/>
                  <w:vAlign w:val="center"/>
                </w:tcPr>
                <w:p>
                  <w:pPr>
                    <w:pStyle w:val="36"/>
                  </w:pPr>
                  <w:r>
                    <w:rPr>
                      <w:rFonts w:hint="eastAsia"/>
                    </w:rPr>
                    <w:t>约120名工作人员</w:t>
                  </w:r>
                </w:p>
              </w:tc>
              <w:tc>
                <w:tcPr>
                  <w:tcW w:w="955" w:type="dxa"/>
                  <w:vMerge w:val="continue"/>
                  <w:vAlign w:val="center"/>
                </w:tcPr>
                <w:p>
                  <w:pPr>
                    <w:pStyle w:val="36"/>
                  </w:pPr>
                </w:p>
              </w:tc>
              <w:tc>
                <w:tcPr>
                  <w:tcW w:w="779" w:type="dxa"/>
                  <w:vAlign w:val="center"/>
                </w:tcPr>
                <w:p>
                  <w:pPr>
                    <w:pStyle w:val="36"/>
                    <w:rPr>
                      <w:rFonts w:hint="eastAsia" w:eastAsia="宋体"/>
                      <w:lang w:eastAsia="zh-CN"/>
                    </w:rPr>
                  </w:pPr>
                  <w:r>
                    <w:rPr>
                      <w:rFonts w:hint="eastAsia"/>
                      <w:lang w:val="en-US" w:eastAsia="zh-CN"/>
                    </w:rPr>
                    <w:t>N</w:t>
                  </w:r>
                </w:p>
              </w:tc>
              <w:tc>
                <w:tcPr>
                  <w:tcW w:w="1135" w:type="dxa"/>
                  <w:vAlign w:val="center"/>
                </w:tcPr>
                <w:p>
                  <w:pPr>
                    <w:pStyle w:val="36"/>
                    <w:rPr>
                      <w:rFonts w:hint="default" w:eastAsia="宋体"/>
                      <w:lang w:val="en-US" w:eastAsia="zh-CN"/>
                    </w:rPr>
                  </w:pPr>
                  <w:r>
                    <w:rPr>
                      <w:rFonts w:hint="eastAsia"/>
                      <w:lang w:val="en-US" w:eastAsia="zh-CN"/>
                    </w:rPr>
                    <w:t>67</w:t>
                  </w:r>
                </w:p>
              </w:tc>
            </w:tr>
          </w:tbl>
          <w:p>
            <w:pPr>
              <w:tabs>
                <w:tab w:val="left" w:pos="4602"/>
              </w:tabs>
              <w:jc w:val="center"/>
              <w:rPr>
                <w:rFonts w:eastAsia="新宋体"/>
                <w:b/>
                <w:szCs w:val="21"/>
              </w:rPr>
            </w:pPr>
            <w:r>
              <w:rPr>
                <w:rFonts w:hint="eastAsia" w:eastAsia="新宋体"/>
                <w:b/>
                <w:szCs w:val="21"/>
              </w:rPr>
              <w:t>表3-</w:t>
            </w:r>
            <w:r>
              <w:rPr>
                <w:b/>
                <w:bCs/>
                <w:szCs w:val="21"/>
              </w:rPr>
              <w:t>6声环境保护目标一览表</w:t>
            </w:r>
          </w:p>
          <w:tbl>
            <w:tblPr>
              <w:tblStyle w:val="28"/>
              <w:tblW w:w="7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937"/>
              <w:gridCol w:w="1463"/>
              <w:gridCol w:w="1218"/>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14" w:type="dxa"/>
                  <w:vAlign w:val="center"/>
                </w:tcPr>
                <w:p>
                  <w:pPr>
                    <w:jc w:val="center"/>
                    <w:rPr>
                      <w:bCs/>
                      <w:szCs w:val="21"/>
                    </w:rPr>
                  </w:pPr>
                  <w:r>
                    <w:rPr>
                      <w:bCs/>
                      <w:szCs w:val="21"/>
                    </w:rPr>
                    <w:t>环境保护目标</w:t>
                  </w:r>
                </w:p>
              </w:tc>
              <w:tc>
                <w:tcPr>
                  <w:tcW w:w="937" w:type="dxa"/>
                  <w:vAlign w:val="center"/>
                </w:tcPr>
                <w:p>
                  <w:pPr>
                    <w:jc w:val="center"/>
                    <w:rPr>
                      <w:bCs/>
                      <w:szCs w:val="21"/>
                    </w:rPr>
                  </w:pPr>
                  <w:r>
                    <w:rPr>
                      <w:rFonts w:hint="eastAsia"/>
                      <w:bCs/>
                      <w:szCs w:val="21"/>
                    </w:rPr>
                    <w:t>相对厂址方位</w:t>
                  </w:r>
                </w:p>
              </w:tc>
              <w:tc>
                <w:tcPr>
                  <w:tcW w:w="1463" w:type="dxa"/>
                  <w:vAlign w:val="center"/>
                </w:tcPr>
                <w:p>
                  <w:pPr>
                    <w:jc w:val="center"/>
                    <w:rPr>
                      <w:bCs/>
                      <w:szCs w:val="21"/>
                    </w:rPr>
                  </w:pPr>
                  <w:r>
                    <w:rPr>
                      <w:rFonts w:hint="eastAsia"/>
                      <w:bCs/>
                      <w:szCs w:val="21"/>
                    </w:rPr>
                    <w:t>与厂界</w:t>
                  </w:r>
                  <w:r>
                    <w:rPr>
                      <w:bCs/>
                      <w:szCs w:val="21"/>
                    </w:rPr>
                    <w:t>距离</w:t>
                  </w:r>
                  <w:r>
                    <w:rPr>
                      <w:rFonts w:hint="eastAsia"/>
                      <w:bCs/>
                      <w:szCs w:val="21"/>
                    </w:rPr>
                    <w:t>/m</w:t>
                  </w:r>
                </w:p>
              </w:tc>
              <w:tc>
                <w:tcPr>
                  <w:tcW w:w="1218" w:type="dxa"/>
                  <w:vAlign w:val="center"/>
                </w:tcPr>
                <w:p>
                  <w:pPr>
                    <w:jc w:val="center"/>
                    <w:rPr>
                      <w:bCs/>
                      <w:szCs w:val="21"/>
                    </w:rPr>
                  </w:pPr>
                  <w:r>
                    <w:rPr>
                      <w:bCs/>
                      <w:szCs w:val="21"/>
                    </w:rPr>
                    <w:t>规模特征</w:t>
                  </w:r>
                </w:p>
              </w:tc>
              <w:tc>
                <w:tcPr>
                  <w:tcW w:w="2327" w:type="dxa"/>
                  <w:vAlign w:val="center"/>
                </w:tcPr>
                <w:p>
                  <w:pPr>
                    <w:jc w:val="center"/>
                    <w:rPr>
                      <w:bCs/>
                      <w:szCs w:val="21"/>
                    </w:rPr>
                  </w:pPr>
                  <w:r>
                    <w:rPr>
                      <w:bCs/>
                      <w:szCs w:val="21"/>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14" w:type="dxa"/>
                  <w:vAlign w:val="center"/>
                </w:tcPr>
                <w:p>
                  <w:pPr>
                    <w:pStyle w:val="36"/>
                    <w:jc w:val="center"/>
                    <w:rPr>
                      <w:szCs w:val="21"/>
                    </w:rPr>
                  </w:pPr>
                  <w:r>
                    <w:rPr>
                      <w:rFonts w:hint="eastAsia"/>
                      <w:lang w:eastAsia="zh-CN"/>
                    </w:rPr>
                    <w:t>三阳村</w:t>
                  </w:r>
                </w:p>
              </w:tc>
              <w:tc>
                <w:tcPr>
                  <w:tcW w:w="937" w:type="dxa"/>
                  <w:vAlign w:val="center"/>
                </w:tcPr>
                <w:p>
                  <w:pPr>
                    <w:pStyle w:val="36"/>
                  </w:pPr>
                  <w:r>
                    <w:rPr>
                      <w:rFonts w:hint="eastAsia"/>
                    </w:rPr>
                    <w:t>N</w:t>
                  </w:r>
                  <w:r>
                    <w:rPr>
                      <w:rFonts w:hint="eastAsia"/>
                      <w:lang w:eastAsia="zh-CN"/>
                    </w:rPr>
                    <w:t>、</w:t>
                  </w:r>
                  <w:r>
                    <w:rPr>
                      <w:rFonts w:hint="eastAsia"/>
                    </w:rPr>
                    <w:t>E</w:t>
                  </w:r>
                  <w:r>
                    <w:rPr>
                      <w:rFonts w:hint="eastAsia"/>
                      <w:lang w:eastAsia="zh-CN"/>
                    </w:rPr>
                    <w:t>、</w:t>
                  </w:r>
                  <w:r>
                    <w:rPr>
                      <w:rFonts w:hint="eastAsia"/>
                      <w:lang w:val="en-US" w:eastAsia="zh-CN"/>
                    </w:rPr>
                    <w:t>S、W</w:t>
                  </w:r>
                </w:p>
              </w:tc>
              <w:tc>
                <w:tcPr>
                  <w:tcW w:w="1463" w:type="dxa"/>
                  <w:vAlign w:val="center"/>
                </w:tcPr>
                <w:p>
                  <w:pPr>
                    <w:pStyle w:val="36"/>
                    <w:rPr>
                      <w:szCs w:val="21"/>
                    </w:rPr>
                  </w:pPr>
                  <w:r>
                    <w:rPr>
                      <w:rFonts w:hint="eastAsia"/>
                      <w:lang w:val="en-US" w:eastAsia="zh-CN"/>
                    </w:rPr>
                    <w:t>5</w:t>
                  </w:r>
                </w:p>
              </w:tc>
              <w:tc>
                <w:tcPr>
                  <w:tcW w:w="1218" w:type="dxa"/>
                  <w:vAlign w:val="center"/>
                </w:tcPr>
                <w:p>
                  <w:pPr>
                    <w:pStyle w:val="36"/>
                    <w:rPr>
                      <w:szCs w:val="21"/>
                    </w:rPr>
                  </w:pPr>
                  <w:r>
                    <w:rPr>
                      <w:rFonts w:hint="eastAsia"/>
                    </w:rPr>
                    <w:t>约300师生</w:t>
                  </w:r>
                </w:p>
              </w:tc>
              <w:tc>
                <w:tcPr>
                  <w:tcW w:w="2327" w:type="dxa"/>
                  <w:vMerge w:val="restart"/>
                  <w:vAlign w:val="center"/>
                </w:tcPr>
                <w:p>
                  <w:pPr>
                    <w:jc w:val="center"/>
                    <w:rPr>
                      <w:szCs w:val="21"/>
                    </w:rPr>
                  </w:pPr>
                  <w:r>
                    <w:rPr>
                      <w:szCs w:val="21"/>
                    </w:rPr>
                    <w:t>《声环境质量标准》（GB3096-2002）2类</w:t>
                  </w:r>
                  <w:r>
                    <w:rPr>
                      <w:rFonts w:hint="eastAsia"/>
                      <w:szCs w:val="21"/>
                    </w:rPr>
                    <w:t>类和4a类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714" w:type="dxa"/>
                  <w:vAlign w:val="center"/>
                </w:tcPr>
                <w:p>
                  <w:pPr>
                    <w:pStyle w:val="36"/>
                  </w:pPr>
                  <w:r>
                    <w:rPr>
                      <w:rFonts w:hint="eastAsia"/>
                      <w:lang w:eastAsia="zh-CN"/>
                    </w:rPr>
                    <w:t>三阳法院</w:t>
                  </w:r>
                </w:p>
              </w:tc>
              <w:tc>
                <w:tcPr>
                  <w:tcW w:w="937" w:type="dxa"/>
                  <w:vAlign w:val="center"/>
                </w:tcPr>
                <w:p>
                  <w:pPr>
                    <w:pStyle w:val="36"/>
                  </w:pPr>
                  <w:r>
                    <w:rPr>
                      <w:rFonts w:hint="eastAsia"/>
                      <w:lang w:val="en-US" w:eastAsia="zh-CN"/>
                    </w:rPr>
                    <w:t>N</w:t>
                  </w:r>
                </w:p>
              </w:tc>
              <w:tc>
                <w:tcPr>
                  <w:tcW w:w="1463" w:type="dxa"/>
                  <w:vAlign w:val="center"/>
                </w:tcPr>
                <w:p>
                  <w:pPr>
                    <w:pStyle w:val="36"/>
                    <w:rPr>
                      <w:szCs w:val="21"/>
                    </w:rPr>
                  </w:pPr>
                  <w:r>
                    <w:rPr>
                      <w:rFonts w:hint="eastAsia"/>
                      <w:lang w:val="en-US" w:eastAsia="zh-CN"/>
                    </w:rPr>
                    <w:t>67</w:t>
                  </w:r>
                </w:p>
              </w:tc>
              <w:tc>
                <w:tcPr>
                  <w:tcW w:w="1218" w:type="dxa"/>
                  <w:vAlign w:val="center"/>
                </w:tcPr>
                <w:p>
                  <w:pPr>
                    <w:pStyle w:val="36"/>
                    <w:rPr>
                      <w:szCs w:val="21"/>
                    </w:rPr>
                  </w:pPr>
                  <w:r>
                    <w:rPr>
                      <w:rFonts w:hint="eastAsia"/>
                    </w:rPr>
                    <w:t>约120名工作人员</w:t>
                  </w:r>
                </w:p>
              </w:tc>
              <w:tc>
                <w:tcPr>
                  <w:tcW w:w="2327" w:type="dxa"/>
                  <w:vMerge w:val="continue"/>
                  <w:vAlign w:val="center"/>
                </w:tcPr>
                <w:p>
                  <w:pPr>
                    <w:jc w:val="center"/>
                    <w:rPr>
                      <w:szCs w:val="21"/>
                    </w:rPr>
                  </w:pPr>
                </w:p>
              </w:tc>
            </w:tr>
          </w:tbl>
          <w:p>
            <w:pPr>
              <w:adjustRightInd w:val="0"/>
              <w:snapToGrid w:val="0"/>
              <w:spacing w:line="360" w:lineRule="auto"/>
              <w:ind w:firstLine="480" w:firstLineChars="200"/>
              <w:rPr>
                <w:kern w:val="0"/>
                <w:szCs w:val="21"/>
              </w:rPr>
            </w:pPr>
            <w:r>
              <w:rPr>
                <w:kern w:val="0"/>
                <w:sz w:val="24"/>
              </w:rPr>
              <w:t>本项目位于</w:t>
            </w:r>
            <w:r>
              <w:rPr>
                <w:rStyle w:val="56"/>
                <w:rFonts w:hint="default" w:ascii="Times New Roman" w:hAnsi="Times New Roman"/>
                <w:color w:val="auto"/>
              </w:rPr>
              <w:t>湖南</w:t>
            </w:r>
            <w:r>
              <w:rPr>
                <w:rStyle w:val="56"/>
                <w:rFonts w:hint="default"/>
                <w:color w:val="auto"/>
              </w:rPr>
              <w:t>桃源</w:t>
            </w:r>
            <w:r>
              <w:rPr>
                <w:rStyle w:val="56"/>
                <w:rFonts w:hint="default" w:ascii="Times New Roman" w:hAnsi="Times New Roman"/>
                <w:color w:val="auto"/>
              </w:rPr>
              <w:t>县</w:t>
            </w:r>
            <w:r>
              <w:rPr>
                <w:rStyle w:val="56"/>
                <w:rFonts w:hint="eastAsia"/>
                <w:color w:val="auto"/>
                <w:lang w:eastAsia="zh-CN"/>
              </w:rPr>
              <w:t>三阳港镇墟场中街</w:t>
            </w:r>
            <w:r>
              <w:rPr>
                <w:rStyle w:val="56"/>
                <w:rFonts w:hint="default" w:ascii="Times New Roman" w:hAnsi="Times New Roman"/>
                <w:color w:val="auto"/>
              </w:rPr>
              <w:t>，不属于工业园区，且</w:t>
            </w:r>
            <w:r>
              <w:rPr>
                <w:rStyle w:val="56"/>
                <w:rFonts w:hint="default"/>
                <w:color w:val="auto"/>
              </w:rPr>
              <w:t>不</w:t>
            </w:r>
            <w:r>
              <w:rPr>
                <w:rStyle w:val="56"/>
                <w:rFonts w:hint="default" w:ascii="Times New Roman" w:hAnsi="Times New Roman"/>
                <w:color w:val="auto"/>
              </w:rPr>
              <w:t>属于新建新增用地项目，因此</w:t>
            </w:r>
            <w:r>
              <w:rPr>
                <w:rStyle w:val="56"/>
                <w:rFonts w:hint="default"/>
                <w:color w:val="auto"/>
              </w:rPr>
              <w:t>不</w:t>
            </w:r>
            <w:r>
              <w:rPr>
                <w:rStyle w:val="56"/>
                <w:rFonts w:hint="default" w:ascii="Times New Roman" w:hAnsi="Times New Roman"/>
                <w:color w:val="auto"/>
              </w:rPr>
              <w:t>需要设置生态环境保护目标。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00" w:type="dxa"/>
            <w:tcMar>
              <w:left w:w="28" w:type="dxa"/>
              <w:right w:w="28" w:type="dxa"/>
            </w:tcMar>
            <w:vAlign w:val="center"/>
          </w:tcPr>
          <w:p>
            <w:pPr>
              <w:adjustRightInd w:val="0"/>
              <w:snapToGrid w:val="0"/>
              <w:jc w:val="center"/>
              <w:rPr>
                <w:kern w:val="0"/>
                <w:szCs w:val="21"/>
              </w:rPr>
            </w:pPr>
            <w:r>
              <w:rPr>
                <w:kern w:val="0"/>
                <w:szCs w:val="21"/>
              </w:rPr>
              <w:t>污染</w:t>
            </w:r>
          </w:p>
          <w:p>
            <w:pPr>
              <w:adjustRightInd w:val="0"/>
              <w:snapToGrid w:val="0"/>
              <w:jc w:val="center"/>
              <w:rPr>
                <w:kern w:val="0"/>
                <w:szCs w:val="21"/>
              </w:rPr>
            </w:pPr>
            <w:r>
              <w:rPr>
                <w:kern w:val="0"/>
                <w:szCs w:val="21"/>
              </w:rPr>
              <w:t>物排</w:t>
            </w:r>
          </w:p>
          <w:p>
            <w:pPr>
              <w:adjustRightInd w:val="0"/>
              <w:snapToGrid w:val="0"/>
              <w:jc w:val="center"/>
              <w:rPr>
                <w:kern w:val="0"/>
                <w:szCs w:val="21"/>
              </w:rPr>
            </w:pPr>
            <w:r>
              <w:rPr>
                <w:kern w:val="0"/>
                <w:szCs w:val="21"/>
              </w:rPr>
              <w:t>放控</w:t>
            </w:r>
          </w:p>
          <w:p>
            <w:pPr>
              <w:adjustRightInd w:val="0"/>
              <w:snapToGrid w:val="0"/>
              <w:jc w:val="center"/>
              <w:rPr>
                <w:kern w:val="0"/>
                <w:szCs w:val="21"/>
              </w:rPr>
            </w:pPr>
            <w:r>
              <w:rPr>
                <w:kern w:val="0"/>
                <w:szCs w:val="21"/>
              </w:rPr>
              <w:t>制标</w:t>
            </w:r>
          </w:p>
          <w:p>
            <w:pPr>
              <w:adjustRightInd w:val="0"/>
              <w:snapToGrid w:val="0"/>
              <w:jc w:val="center"/>
              <w:rPr>
                <w:kern w:val="0"/>
                <w:szCs w:val="21"/>
              </w:rPr>
            </w:pPr>
            <w:r>
              <w:rPr>
                <w:kern w:val="0"/>
                <w:szCs w:val="21"/>
              </w:rPr>
              <w:t>准</w:t>
            </w:r>
          </w:p>
        </w:tc>
        <w:tc>
          <w:tcPr>
            <w:tcW w:w="8190" w:type="dxa"/>
            <w:vAlign w:val="center"/>
          </w:tcPr>
          <w:p>
            <w:pPr>
              <w:widowControl/>
              <w:spacing w:line="360" w:lineRule="auto"/>
              <w:jc w:val="left"/>
              <w:rPr>
                <w:b/>
                <w:bCs/>
                <w:sz w:val="24"/>
              </w:rPr>
            </w:pPr>
            <w:r>
              <w:rPr>
                <w:b/>
                <w:bCs/>
                <w:sz w:val="24"/>
              </w:rPr>
              <w:t>1、废水</w:t>
            </w:r>
          </w:p>
          <w:p>
            <w:pPr>
              <w:spacing w:line="360" w:lineRule="auto"/>
              <w:ind w:firstLine="480" w:firstLineChars="200"/>
              <w:rPr>
                <w:sz w:val="24"/>
              </w:rPr>
            </w:pPr>
            <w:r>
              <w:rPr>
                <w:sz w:val="24"/>
              </w:rPr>
              <w:t>项目污水排放执行《医疗机构水污染物排放标准》（GB18466-2005）表2（预处理）标准及</w:t>
            </w:r>
            <w:r>
              <w:rPr>
                <w:rFonts w:hint="eastAsia"/>
                <w:sz w:val="24"/>
                <w:lang w:eastAsia="zh-CN"/>
              </w:rPr>
              <w:t>三阳港镇</w:t>
            </w:r>
            <w:r>
              <w:rPr>
                <w:sz w:val="24"/>
              </w:rPr>
              <w:t>污水厂进水水质要求，排放限值详见表</w:t>
            </w:r>
            <w:r>
              <w:rPr>
                <w:rFonts w:hint="eastAsia"/>
                <w:sz w:val="24"/>
              </w:rPr>
              <w:t>3-7</w:t>
            </w:r>
            <w:r>
              <w:rPr>
                <w:sz w:val="24"/>
              </w:rPr>
              <w:t>。</w:t>
            </w:r>
          </w:p>
          <w:p>
            <w:pPr>
              <w:tabs>
                <w:tab w:val="left" w:pos="4602"/>
              </w:tabs>
              <w:jc w:val="center"/>
              <w:rPr>
                <w:b/>
                <w:szCs w:val="21"/>
              </w:rPr>
            </w:pPr>
            <w:r>
              <w:rPr>
                <w:rFonts w:hint="eastAsia" w:eastAsia="新宋体"/>
                <w:b/>
                <w:szCs w:val="21"/>
              </w:rPr>
              <w:t>表3-</w:t>
            </w:r>
            <w:r>
              <w:rPr>
                <w:rFonts w:hint="eastAsia"/>
                <w:b/>
                <w:bCs/>
                <w:szCs w:val="21"/>
              </w:rPr>
              <w:t>7污水排放标准</w:t>
            </w:r>
          </w:p>
          <w:tbl>
            <w:tblPr>
              <w:tblStyle w:val="28"/>
              <w:tblW w:w="7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2557"/>
              <w:gridCol w:w="1882"/>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993" w:type="dxa"/>
                  <w:vAlign w:val="center"/>
                </w:tcPr>
                <w:p>
                  <w:pPr>
                    <w:snapToGrid w:val="0"/>
                    <w:jc w:val="center"/>
                    <w:rPr>
                      <w:szCs w:val="21"/>
                    </w:rPr>
                  </w:pPr>
                  <w:r>
                    <w:rPr>
                      <w:rFonts w:hint="eastAsia"/>
                      <w:szCs w:val="21"/>
                    </w:rPr>
                    <w:t>控制项目</w:t>
                  </w:r>
                </w:p>
                <w:p>
                  <w:pPr>
                    <w:jc w:val="center"/>
                    <w:rPr>
                      <w:szCs w:val="21"/>
                    </w:rPr>
                  </w:pPr>
                  <w:r>
                    <w:rPr>
                      <w:rFonts w:hint="eastAsia"/>
                      <w:szCs w:val="21"/>
                    </w:rPr>
                    <w:t>排放标准</w:t>
                  </w:r>
                </w:p>
              </w:tc>
              <w:tc>
                <w:tcPr>
                  <w:tcW w:w="2557" w:type="dxa"/>
                  <w:vAlign w:val="center"/>
                </w:tcPr>
                <w:p>
                  <w:pPr>
                    <w:jc w:val="center"/>
                    <w:rPr>
                      <w:szCs w:val="21"/>
                    </w:rPr>
                  </w:pPr>
                  <w:r>
                    <w:rPr>
                      <w:szCs w:val="21"/>
                    </w:rPr>
                    <w:t>《医疗机构水污染物排放标准》（GB18466-2005）表2（预处理）标准</w:t>
                  </w:r>
                </w:p>
              </w:tc>
              <w:tc>
                <w:tcPr>
                  <w:tcW w:w="1882" w:type="dxa"/>
                  <w:vAlign w:val="center"/>
                </w:tcPr>
                <w:p>
                  <w:pPr>
                    <w:jc w:val="center"/>
                    <w:rPr>
                      <w:szCs w:val="21"/>
                    </w:rPr>
                  </w:pPr>
                  <w:r>
                    <w:rPr>
                      <w:rFonts w:hint="eastAsia"/>
                      <w:szCs w:val="21"/>
                      <w:lang w:eastAsia="zh-CN"/>
                    </w:rPr>
                    <w:t>三阳港镇</w:t>
                  </w:r>
                  <w:r>
                    <w:rPr>
                      <w:szCs w:val="21"/>
                    </w:rPr>
                    <w:t>污水厂进水水质要求</w:t>
                  </w:r>
                </w:p>
              </w:tc>
              <w:tc>
                <w:tcPr>
                  <w:tcW w:w="1542" w:type="dxa"/>
                  <w:vAlign w:val="center"/>
                </w:tcPr>
                <w:p>
                  <w:pPr>
                    <w:jc w:val="center"/>
                    <w:rPr>
                      <w:szCs w:val="21"/>
                    </w:rPr>
                  </w:pPr>
                  <w:r>
                    <w:rPr>
                      <w:rFonts w:hint="eastAsia"/>
                      <w:szCs w:val="21"/>
                    </w:rPr>
                    <w:t>本项目标准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vAlign w:val="center"/>
                </w:tcPr>
                <w:p>
                  <w:pPr>
                    <w:jc w:val="center"/>
                    <w:rPr>
                      <w:szCs w:val="21"/>
                    </w:rPr>
                  </w:pPr>
                  <w:r>
                    <w:rPr>
                      <w:rFonts w:hint="eastAsia"/>
                      <w:szCs w:val="21"/>
                    </w:rPr>
                    <w:t>pH（无量纲）</w:t>
                  </w:r>
                </w:p>
              </w:tc>
              <w:tc>
                <w:tcPr>
                  <w:tcW w:w="2557" w:type="dxa"/>
                  <w:vAlign w:val="center"/>
                </w:tcPr>
                <w:p>
                  <w:pPr>
                    <w:jc w:val="center"/>
                    <w:rPr>
                      <w:szCs w:val="21"/>
                    </w:rPr>
                  </w:pPr>
                  <w:r>
                    <w:rPr>
                      <w:rFonts w:hint="eastAsia"/>
                      <w:szCs w:val="21"/>
                    </w:rPr>
                    <w:t>6-9</w:t>
                  </w:r>
                </w:p>
              </w:tc>
              <w:tc>
                <w:tcPr>
                  <w:tcW w:w="1882" w:type="dxa"/>
                  <w:vAlign w:val="center"/>
                </w:tcPr>
                <w:p>
                  <w:pPr>
                    <w:jc w:val="center"/>
                    <w:rPr>
                      <w:szCs w:val="21"/>
                    </w:rPr>
                  </w:pPr>
                  <w:r>
                    <w:rPr>
                      <w:rFonts w:hint="eastAsia"/>
                      <w:szCs w:val="21"/>
                    </w:rPr>
                    <w:t>/</w:t>
                  </w:r>
                </w:p>
              </w:tc>
              <w:tc>
                <w:tcPr>
                  <w:tcW w:w="1542" w:type="dxa"/>
                  <w:vAlign w:val="center"/>
                </w:tcPr>
                <w:p>
                  <w:pPr>
                    <w:jc w:val="center"/>
                    <w:rPr>
                      <w:szCs w:val="21"/>
                    </w:rPr>
                  </w:pPr>
                  <w:r>
                    <w:rPr>
                      <w:rFonts w:hint="eastAsia"/>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vAlign w:val="center"/>
                </w:tcPr>
                <w:p>
                  <w:pPr>
                    <w:jc w:val="center"/>
                    <w:rPr>
                      <w:szCs w:val="21"/>
                    </w:rPr>
                  </w:pPr>
                  <w:r>
                    <w:rPr>
                      <w:rFonts w:hint="eastAsia"/>
                      <w:szCs w:val="21"/>
                    </w:rPr>
                    <w:t>化学需氧量(mg/L)</w:t>
                  </w:r>
                </w:p>
              </w:tc>
              <w:tc>
                <w:tcPr>
                  <w:tcW w:w="2557" w:type="dxa"/>
                  <w:vAlign w:val="center"/>
                </w:tcPr>
                <w:p>
                  <w:pPr>
                    <w:jc w:val="center"/>
                    <w:rPr>
                      <w:szCs w:val="21"/>
                    </w:rPr>
                  </w:pPr>
                  <w:r>
                    <w:rPr>
                      <w:rFonts w:hint="eastAsia"/>
                      <w:szCs w:val="21"/>
                    </w:rPr>
                    <w:t>250</w:t>
                  </w:r>
                </w:p>
              </w:tc>
              <w:tc>
                <w:tcPr>
                  <w:tcW w:w="1882" w:type="dxa"/>
                  <w:vAlign w:val="center"/>
                </w:tcPr>
                <w:p>
                  <w:pPr>
                    <w:jc w:val="center"/>
                    <w:rPr>
                      <w:szCs w:val="21"/>
                    </w:rPr>
                  </w:pPr>
                  <w:r>
                    <w:rPr>
                      <w:rFonts w:hint="eastAsia"/>
                      <w:szCs w:val="21"/>
                    </w:rPr>
                    <w:t>240</w:t>
                  </w:r>
                </w:p>
              </w:tc>
              <w:tc>
                <w:tcPr>
                  <w:tcW w:w="1542" w:type="dxa"/>
                  <w:vAlign w:val="center"/>
                </w:tcPr>
                <w:p>
                  <w:pPr>
                    <w:jc w:val="center"/>
                    <w:rPr>
                      <w:szCs w:val="21"/>
                    </w:rPr>
                  </w:pPr>
                  <w:r>
                    <w:rPr>
                      <w:rFonts w:hint="eastAsia"/>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vAlign w:val="center"/>
                </w:tcPr>
                <w:p>
                  <w:pPr>
                    <w:jc w:val="center"/>
                    <w:rPr>
                      <w:szCs w:val="21"/>
                    </w:rPr>
                  </w:pPr>
                  <w:r>
                    <w:rPr>
                      <w:rFonts w:hint="eastAsia"/>
                      <w:szCs w:val="21"/>
                    </w:rPr>
                    <w:t>氨氮(mg/L)</w:t>
                  </w:r>
                </w:p>
              </w:tc>
              <w:tc>
                <w:tcPr>
                  <w:tcW w:w="2557" w:type="dxa"/>
                  <w:vAlign w:val="center"/>
                </w:tcPr>
                <w:p>
                  <w:pPr>
                    <w:jc w:val="center"/>
                    <w:rPr>
                      <w:szCs w:val="21"/>
                    </w:rPr>
                  </w:pPr>
                  <w:r>
                    <w:rPr>
                      <w:rFonts w:hint="eastAsia"/>
                      <w:szCs w:val="21"/>
                    </w:rPr>
                    <w:t>/</w:t>
                  </w:r>
                </w:p>
              </w:tc>
              <w:tc>
                <w:tcPr>
                  <w:tcW w:w="1882" w:type="dxa"/>
                  <w:vAlign w:val="center"/>
                </w:tcPr>
                <w:p>
                  <w:pPr>
                    <w:jc w:val="center"/>
                    <w:rPr>
                      <w:szCs w:val="21"/>
                    </w:rPr>
                  </w:pPr>
                  <w:r>
                    <w:rPr>
                      <w:rFonts w:hint="eastAsia"/>
                      <w:szCs w:val="21"/>
                    </w:rPr>
                    <w:t>30</w:t>
                  </w:r>
                </w:p>
              </w:tc>
              <w:tc>
                <w:tcPr>
                  <w:tcW w:w="1542" w:type="dxa"/>
                  <w:vAlign w:val="center"/>
                </w:tcPr>
                <w:p>
                  <w:pPr>
                    <w:jc w:val="center"/>
                    <w:rPr>
                      <w:szCs w:val="21"/>
                    </w:rPr>
                  </w:pPr>
                  <w:r>
                    <w:rPr>
                      <w:rFonts w:hint="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vAlign w:val="center"/>
                </w:tcPr>
                <w:p>
                  <w:pPr>
                    <w:jc w:val="center"/>
                    <w:rPr>
                      <w:szCs w:val="21"/>
                    </w:rPr>
                  </w:pPr>
                  <w:r>
                    <w:rPr>
                      <w:rFonts w:hint="eastAsia"/>
                      <w:szCs w:val="21"/>
                    </w:rPr>
                    <w:t>石油类(mg/L)</w:t>
                  </w:r>
                </w:p>
              </w:tc>
              <w:tc>
                <w:tcPr>
                  <w:tcW w:w="2557" w:type="dxa"/>
                  <w:vAlign w:val="center"/>
                </w:tcPr>
                <w:p>
                  <w:pPr>
                    <w:jc w:val="center"/>
                    <w:rPr>
                      <w:szCs w:val="21"/>
                    </w:rPr>
                  </w:pPr>
                  <w:r>
                    <w:rPr>
                      <w:rFonts w:hint="eastAsia"/>
                      <w:szCs w:val="21"/>
                    </w:rPr>
                    <w:t>20</w:t>
                  </w:r>
                </w:p>
              </w:tc>
              <w:tc>
                <w:tcPr>
                  <w:tcW w:w="1882" w:type="dxa"/>
                  <w:vAlign w:val="center"/>
                </w:tcPr>
                <w:p>
                  <w:pPr>
                    <w:jc w:val="center"/>
                    <w:rPr>
                      <w:szCs w:val="21"/>
                    </w:rPr>
                  </w:pPr>
                  <w:r>
                    <w:rPr>
                      <w:rFonts w:hint="eastAsia"/>
                      <w:szCs w:val="21"/>
                    </w:rPr>
                    <w:t>/</w:t>
                  </w:r>
                </w:p>
              </w:tc>
              <w:tc>
                <w:tcPr>
                  <w:tcW w:w="1542" w:type="dxa"/>
                  <w:vAlign w:val="center"/>
                </w:tcPr>
                <w:p>
                  <w:pPr>
                    <w:jc w:val="center"/>
                    <w:rPr>
                      <w:szCs w:val="21"/>
                    </w:rPr>
                  </w:pPr>
                  <w:r>
                    <w:rPr>
                      <w:rFonts w:hint="eastAsia"/>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vAlign w:val="center"/>
                </w:tcPr>
                <w:p>
                  <w:pPr>
                    <w:jc w:val="center"/>
                    <w:rPr>
                      <w:szCs w:val="21"/>
                    </w:rPr>
                  </w:pPr>
                  <w:r>
                    <w:rPr>
                      <w:rFonts w:hint="eastAsia"/>
                      <w:szCs w:val="21"/>
                    </w:rPr>
                    <w:t>BOD</w:t>
                  </w:r>
                  <w:r>
                    <w:rPr>
                      <w:rFonts w:hint="eastAsia"/>
                      <w:szCs w:val="21"/>
                      <w:vertAlign w:val="subscript"/>
                    </w:rPr>
                    <w:t>5</w:t>
                  </w:r>
                  <w:r>
                    <w:rPr>
                      <w:rFonts w:hint="eastAsia"/>
                      <w:szCs w:val="21"/>
                    </w:rPr>
                    <w:t>(mg/L)</w:t>
                  </w:r>
                </w:p>
              </w:tc>
              <w:tc>
                <w:tcPr>
                  <w:tcW w:w="2557" w:type="dxa"/>
                  <w:vAlign w:val="center"/>
                </w:tcPr>
                <w:p>
                  <w:pPr>
                    <w:jc w:val="center"/>
                    <w:rPr>
                      <w:szCs w:val="21"/>
                    </w:rPr>
                  </w:pPr>
                  <w:r>
                    <w:rPr>
                      <w:rFonts w:hint="eastAsia"/>
                      <w:szCs w:val="21"/>
                    </w:rPr>
                    <w:t>100</w:t>
                  </w:r>
                </w:p>
              </w:tc>
              <w:tc>
                <w:tcPr>
                  <w:tcW w:w="1882" w:type="dxa"/>
                  <w:vAlign w:val="center"/>
                </w:tcPr>
                <w:p>
                  <w:pPr>
                    <w:jc w:val="center"/>
                    <w:rPr>
                      <w:szCs w:val="21"/>
                    </w:rPr>
                  </w:pPr>
                  <w:r>
                    <w:rPr>
                      <w:rFonts w:hint="eastAsia"/>
                      <w:szCs w:val="21"/>
                    </w:rPr>
                    <w:t>110</w:t>
                  </w:r>
                </w:p>
              </w:tc>
              <w:tc>
                <w:tcPr>
                  <w:tcW w:w="1542" w:type="dxa"/>
                  <w:vAlign w:val="center"/>
                </w:tcPr>
                <w:p>
                  <w:pPr>
                    <w:jc w:val="center"/>
                    <w:rPr>
                      <w:szCs w:val="21"/>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vAlign w:val="center"/>
                </w:tcPr>
                <w:p>
                  <w:pPr>
                    <w:jc w:val="center"/>
                    <w:rPr>
                      <w:szCs w:val="21"/>
                    </w:rPr>
                  </w:pPr>
                  <w:r>
                    <w:rPr>
                      <w:rFonts w:hint="eastAsia"/>
                      <w:szCs w:val="21"/>
                    </w:rPr>
                    <w:t>余氯(mg/L)</w:t>
                  </w:r>
                </w:p>
              </w:tc>
              <w:tc>
                <w:tcPr>
                  <w:tcW w:w="2557" w:type="dxa"/>
                  <w:vAlign w:val="center"/>
                </w:tcPr>
                <w:p>
                  <w:pPr>
                    <w:jc w:val="center"/>
                    <w:rPr>
                      <w:szCs w:val="21"/>
                    </w:rPr>
                  </w:pPr>
                  <w:r>
                    <w:rPr>
                      <w:rFonts w:hint="eastAsia"/>
                      <w:szCs w:val="21"/>
                    </w:rPr>
                    <w:t>/</w:t>
                  </w:r>
                </w:p>
              </w:tc>
              <w:tc>
                <w:tcPr>
                  <w:tcW w:w="1882" w:type="dxa"/>
                  <w:vAlign w:val="center"/>
                </w:tcPr>
                <w:p>
                  <w:pPr>
                    <w:jc w:val="center"/>
                    <w:rPr>
                      <w:szCs w:val="21"/>
                    </w:rPr>
                  </w:pPr>
                  <w:r>
                    <w:rPr>
                      <w:rFonts w:hint="eastAsia"/>
                      <w:szCs w:val="21"/>
                    </w:rPr>
                    <w:t>/</w:t>
                  </w:r>
                </w:p>
              </w:tc>
              <w:tc>
                <w:tcPr>
                  <w:tcW w:w="1542" w:type="dxa"/>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vAlign w:val="center"/>
                </w:tcPr>
                <w:p>
                  <w:pPr>
                    <w:jc w:val="center"/>
                    <w:rPr>
                      <w:szCs w:val="21"/>
                    </w:rPr>
                  </w:pPr>
                  <w:r>
                    <w:rPr>
                      <w:rFonts w:hint="eastAsia"/>
                      <w:szCs w:val="21"/>
                    </w:rPr>
                    <w:t>总磷(mg/L)</w:t>
                  </w:r>
                </w:p>
              </w:tc>
              <w:tc>
                <w:tcPr>
                  <w:tcW w:w="2557" w:type="dxa"/>
                  <w:vAlign w:val="center"/>
                </w:tcPr>
                <w:p>
                  <w:pPr>
                    <w:jc w:val="center"/>
                    <w:rPr>
                      <w:szCs w:val="21"/>
                    </w:rPr>
                  </w:pPr>
                  <w:r>
                    <w:rPr>
                      <w:rFonts w:hint="eastAsia"/>
                      <w:szCs w:val="21"/>
                    </w:rPr>
                    <w:t>/</w:t>
                  </w:r>
                </w:p>
              </w:tc>
              <w:tc>
                <w:tcPr>
                  <w:tcW w:w="1882" w:type="dxa"/>
                  <w:vAlign w:val="center"/>
                </w:tcPr>
                <w:p>
                  <w:pPr>
                    <w:jc w:val="center"/>
                    <w:rPr>
                      <w:szCs w:val="21"/>
                    </w:rPr>
                  </w:pPr>
                  <w:r>
                    <w:rPr>
                      <w:rFonts w:hint="eastAsia"/>
                      <w:szCs w:val="21"/>
                    </w:rPr>
                    <w:t>2.5</w:t>
                  </w:r>
                </w:p>
              </w:tc>
              <w:tc>
                <w:tcPr>
                  <w:tcW w:w="1542" w:type="dxa"/>
                  <w:vAlign w:val="center"/>
                </w:tcPr>
                <w:p>
                  <w:pPr>
                    <w:jc w:val="center"/>
                    <w:rPr>
                      <w:szCs w:val="21"/>
                    </w:rPr>
                  </w:pPr>
                  <w:r>
                    <w:rPr>
                      <w:rFonts w:hint="eastAsia"/>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vAlign w:val="center"/>
                </w:tcPr>
                <w:p>
                  <w:pPr>
                    <w:jc w:val="center"/>
                    <w:rPr>
                      <w:szCs w:val="21"/>
                    </w:rPr>
                  </w:pPr>
                  <w:r>
                    <w:rPr>
                      <w:rFonts w:hint="eastAsia"/>
                      <w:szCs w:val="21"/>
                    </w:rPr>
                    <w:t>粪大肠菌群(MPN/L)</w:t>
                  </w:r>
                </w:p>
              </w:tc>
              <w:tc>
                <w:tcPr>
                  <w:tcW w:w="2557" w:type="dxa"/>
                  <w:vAlign w:val="center"/>
                </w:tcPr>
                <w:p>
                  <w:pPr>
                    <w:jc w:val="center"/>
                    <w:rPr>
                      <w:szCs w:val="21"/>
                    </w:rPr>
                  </w:pPr>
                  <w:r>
                    <w:rPr>
                      <w:rFonts w:hint="eastAsia"/>
                      <w:szCs w:val="21"/>
                    </w:rPr>
                    <w:t>5000</w:t>
                  </w:r>
                </w:p>
              </w:tc>
              <w:tc>
                <w:tcPr>
                  <w:tcW w:w="1882" w:type="dxa"/>
                  <w:vAlign w:val="center"/>
                </w:tcPr>
                <w:p>
                  <w:pPr>
                    <w:jc w:val="center"/>
                    <w:rPr>
                      <w:szCs w:val="21"/>
                    </w:rPr>
                  </w:pPr>
                  <w:r>
                    <w:rPr>
                      <w:rFonts w:hint="eastAsia"/>
                      <w:szCs w:val="21"/>
                    </w:rPr>
                    <w:t>/</w:t>
                  </w:r>
                </w:p>
              </w:tc>
              <w:tc>
                <w:tcPr>
                  <w:tcW w:w="1542" w:type="dxa"/>
                  <w:vAlign w:val="center"/>
                </w:tcPr>
                <w:p>
                  <w:pPr>
                    <w:jc w:val="center"/>
                    <w:rPr>
                      <w:szCs w:val="21"/>
                    </w:rPr>
                  </w:pPr>
                  <w:r>
                    <w:rPr>
                      <w:rFonts w:hint="eastAsia"/>
                      <w:szCs w:val="21"/>
                    </w:rPr>
                    <w:t>5000</w:t>
                  </w:r>
                </w:p>
              </w:tc>
            </w:tr>
          </w:tbl>
          <w:p>
            <w:pPr>
              <w:widowControl/>
              <w:spacing w:line="360" w:lineRule="auto"/>
              <w:jc w:val="left"/>
              <w:rPr>
                <w:b/>
                <w:bCs/>
                <w:sz w:val="24"/>
              </w:rPr>
            </w:pPr>
            <w:r>
              <w:rPr>
                <w:b/>
                <w:bCs/>
                <w:sz w:val="24"/>
              </w:rPr>
              <w:t>2、</w:t>
            </w:r>
            <w:r>
              <w:rPr>
                <w:rFonts w:hint="eastAsia"/>
                <w:b/>
                <w:bCs/>
                <w:sz w:val="24"/>
              </w:rPr>
              <w:t>废气</w:t>
            </w:r>
          </w:p>
          <w:p>
            <w:pPr>
              <w:widowControl/>
              <w:spacing w:line="360" w:lineRule="auto"/>
              <w:ind w:firstLine="480"/>
              <w:jc w:val="left"/>
              <w:rPr>
                <w:sz w:val="24"/>
              </w:rPr>
            </w:pPr>
            <w:r>
              <w:rPr>
                <w:sz w:val="24"/>
              </w:rPr>
              <w:t>食堂油烟排放执行《饮食业油烟排放标准（试行）》（GB18483-2001）</w:t>
            </w:r>
          </w:p>
          <w:p>
            <w:pPr>
              <w:jc w:val="center"/>
              <w:rPr>
                <w:rFonts w:cs="宋体"/>
                <w:b/>
                <w:bCs/>
                <w:szCs w:val="21"/>
              </w:rPr>
            </w:pPr>
            <w:r>
              <w:rPr>
                <w:rFonts w:hint="eastAsia" w:cs="宋体"/>
                <w:b/>
                <w:bCs/>
                <w:szCs w:val="21"/>
              </w:rPr>
              <w:t>表3-7《饮食业油烟排放标准》（GB18483-2001）（摘录）</w:t>
            </w:r>
          </w:p>
          <w:tbl>
            <w:tblPr>
              <w:tblStyle w:val="27"/>
              <w:tblW w:w="7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7"/>
              <w:gridCol w:w="1509"/>
              <w:gridCol w:w="1509"/>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7" w:type="dxa"/>
                  <w:vAlign w:val="center"/>
                </w:tcPr>
                <w:p>
                  <w:pPr>
                    <w:widowControl/>
                    <w:jc w:val="center"/>
                    <w:rPr>
                      <w:b/>
                      <w:bCs/>
                      <w:sz w:val="24"/>
                    </w:rPr>
                  </w:pPr>
                  <w:r>
                    <w:rPr>
                      <w:b/>
                      <w:bCs/>
                      <w:sz w:val="24"/>
                    </w:rPr>
                    <w:t>规模</w:t>
                  </w:r>
                </w:p>
              </w:tc>
              <w:tc>
                <w:tcPr>
                  <w:tcW w:w="1509" w:type="dxa"/>
                  <w:vAlign w:val="center"/>
                </w:tcPr>
                <w:p>
                  <w:pPr>
                    <w:widowControl/>
                    <w:jc w:val="center"/>
                    <w:rPr>
                      <w:b/>
                      <w:bCs/>
                      <w:sz w:val="24"/>
                    </w:rPr>
                  </w:pPr>
                  <w:r>
                    <w:rPr>
                      <w:b/>
                      <w:bCs/>
                      <w:sz w:val="24"/>
                    </w:rPr>
                    <w:t>小型</w:t>
                  </w:r>
                </w:p>
              </w:tc>
              <w:tc>
                <w:tcPr>
                  <w:tcW w:w="1509" w:type="dxa"/>
                  <w:vAlign w:val="center"/>
                </w:tcPr>
                <w:p>
                  <w:pPr>
                    <w:widowControl/>
                    <w:jc w:val="center"/>
                    <w:rPr>
                      <w:b/>
                      <w:bCs/>
                      <w:sz w:val="24"/>
                    </w:rPr>
                  </w:pPr>
                  <w:r>
                    <w:rPr>
                      <w:b/>
                      <w:bCs/>
                      <w:sz w:val="24"/>
                    </w:rPr>
                    <w:t>中型</w:t>
                  </w:r>
                </w:p>
              </w:tc>
              <w:tc>
                <w:tcPr>
                  <w:tcW w:w="1510" w:type="dxa"/>
                  <w:vAlign w:val="center"/>
                </w:tcPr>
                <w:p>
                  <w:pPr>
                    <w:widowControl/>
                    <w:jc w:val="center"/>
                    <w:rPr>
                      <w:b/>
                      <w:bCs/>
                      <w:sz w:val="24"/>
                    </w:rPr>
                  </w:pPr>
                  <w:r>
                    <w:rPr>
                      <w:b/>
                      <w:bCs/>
                      <w:sz w:val="24"/>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7" w:type="dxa"/>
                  <w:vAlign w:val="center"/>
                </w:tcPr>
                <w:p>
                  <w:pPr>
                    <w:widowControl/>
                    <w:jc w:val="center"/>
                    <w:rPr>
                      <w:sz w:val="21"/>
                      <w:szCs w:val="21"/>
                    </w:rPr>
                  </w:pPr>
                  <w:r>
                    <w:rPr>
                      <w:sz w:val="21"/>
                      <w:szCs w:val="21"/>
                    </w:rPr>
                    <w:t>最高允许排放浓度（mg/m</w:t>
                  </w:r>
                  <w:r>
                    <w:rPr>
                      <w:sz w:val="21"/>
                      <w:szCs w:val="21"/>
                      <w:vertAlign w:val="superscript"/>
                    </w:rPr>
                    <w:t>3</w:t>
                  </w:r>
                  <w:r>
                    <w:rPr>
                      <w:sz w:val="21"/>
                      <w:szCs w:val="21"/>
                    </w:rPr>
                    <w:t>）</w:t>
                  </w:r>
                </w:p>
              </w:tc>
              <w:tc>
                <w:tcPr>
                  <w:tcW w:w="4528" w:type="dxa"/>
                  <w:gridSpan w:val="3"/>
                  <w:vAlign w:val="center"/>
                </w:tcPr>
                <w:p>
                  <w:pPr>
                    <w:widowControl/>
                    <w:jc w:val="center"/>
                    <w:rPr>
                      <w:sz w:val="21"/>
                      <w:szCs w:val="21"/>
                    </w:rPr>
                  </w:pPr>
                  <w:r>
                    <w:rPr>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7" w:type="dxa"/>
                  <w:vAlign w:val="center"/>
                </w:tcPr>
                <w:p>
                  <w:pPr>
                    <w:widowControl/>
                    <w:jc w:val="center"/>
                    <w:rPr>
                      <w:sz w:val="21"/>
                      <w:szCs w:val="21"/>
                    </w:rPr>
                  </w:pPr>
                  <w:r>
                    <w:rPr>
                      <w:sz w:val="21"/>
                      <w:szCs w:val="21"/>
                    </w:rPr>
                    <w:t>净化设施最低去除效率（%）</w:t>
                  </w:r>
                </w:p>
              </w:tc>
              <w:tc>
                <w:tcPr>
                  <w:tcW w:w="1509" w:type="dxa"/>
                  <w:vAlign w:val="center"/>
                </w:tcPr>
                <w:p>
                  <w:pPr>
                    <w:widowControl/>
                    <w:jc w:val="center"/>
                    <w:rPr>
                      <w:sz w:val="21"/>
                      <w:szCs w:val="21"/>
                    </w:rPr>
                  </w:pPr>
                  <w:r>
                    <w:rPr>
                      <w:sz w:val="21"/>
                      <w:szCs w:val="21"/>
                    </w:rPr>
                    <w:t>60</w:t>
                  </w:r>
                </w:p>
              </w:tc>
              <w:tc>
                <w:tcPr>
                  <w:tcW w:w="1509" w:type="dxa"/>
                  <w:vAlign w:val="center"/>
                </w:tcPr>
                <w:p>
                  <w:pPr>
                    <w:widowControl/>
                    <w:jc w:val="center"/>
                    <w:rPr>
                      <w:sz w:val="21"/>
                      <w:szCs w:val="21"/>
                    </w:rPr>
                  </w:pPr>
                  <w:r>
                    <w:rPr>
                      <w:sz w:val="21"/>
                      <w:szCs w:val="21"/>
                    </w:rPr>
                    <w:t>75</w:t>
                  </w:r>
                </w:p>
              </w:tc>
              <w:tc>
                <w:tcPr>
                  <w:tcW w:w="1510" w:type="dxa"/>
                  <w:vAlign w:val="center"/>
                </w:tcPr>
                <w:p>
                  <w:pPr>
                    <w:widowControl/>
                    <w:jc w:val="center"/>
                    <w:rPr>
                      <w:sz w:val="21"/>
                      <w:szCs w:val="21"/>
                    </w:rPr>
                  </w:pPr>
                  <w:r>
                    <w:rPr>
                      <w:sz w:val="21"/>
                      <w:szCs w:val="21"/>
                    </w:rPr>
                    <w:t>85</w:t>
                  </w:r>
                </w:p>
              </w:tc>
            </w:tr>
          </w:tbl>
          <w:p>
            <w:pPr>
              <w:spacing w:before="120" w:beforeLines="50" w:line="360" w:lineRule="auto"/>
              <w:ind w:firstLine="456" w:firstLineChars="200"/>
              <w:rPr>
                <w:rFonts w:ascii="宋体" w:hAnsi="宋体"/>
                <w:b/>
                <w:sz w:val="24"/>
              </w:rPr>
            </w:pPr>
            <w:r>
              <w:rPr>
                <w:rFonts w:hint="eastAsia" w:ascii="宋体" w:hAnsi="宋体"/>
                <w:spacing w:val="-6"/>
                <w:sz w:val="24"/>
              </w:rPr>
              <w:t>污水处理站恶臭执行</w:t>
            </w:r>
            <w:r>
              <w:rPr>
                <w:rFonts w:hAnsi="宋体"/>
                <w:sz w:val="24"/>
              </w:rPr>
              <w:t>《</w:t>
            </w:r>
            <w:r>
              <w:rPr>
                <w:sz w:val="24"/>
              </w:rPr>
              <w:t>医疗机构水污染物排放标准</w:t>
            </w:r>
            <w:r>
              <w:rPr>
                <w:rFonts w:hAnsi="宋体"/>
                <w:sz w:val="24"/>
              </w:rPr>
              <w:t>》（</w:t>
            </w:r>
            <w:r>
              <w:rPr>
                <w:sz w:val="24"/>
              </w:rPr>
              <w:t>GB</w:t>
            </w:r>
            <w:r>
              <w:rPr>
                <w:rFonts w:hint="eastAsia"/>
                <w:sz w:val="24"/>
              </w:rPr>
              <w:t>18466</w:t>
            </w:r>
            <w:r>
              <w:rPr>
                <w:sz w:val="24"/>
              </w:rPr>
              <w:t>-</w:t>
            </w:r>
            <w:r>
              <w:rPr>
                <w:rFonts w:hint="eastAsia"/>
                <w:sz w:val="24"/>
              </w:rPr>
              <w:t>2005</w:t>
            </w:r>
            <w:r>
              <w:rPr>
                <w:rFonts w:hAnsi="宋体"/>
                <w:sz w:val="24"/>
              </w:rPr>
              <w:t>）</w:t>
            </w:r>
            <w:r>
              <w:rPr>
                <w:rFonts w:hint="eastAsia" w:hAnsi="宋体"/>
                <w:sz w:val="24"/>
              </w:rPr>
              <w:t>中表3污水处理站周边大气污染物最高允许浓度，具体见表3-8。</w:t>
            </w:r>
          </w:p>
          <w:p>
            <w:pPr>
              <w:spacing w:line="360" w:lineRule="auto"/>
              <w:jc w:val="center"/>
              <w:rPr>
                <w:b/>
                <w:szCs w:val="21"/>
              </w:rPr>
            </w:pPr>
            <w:r>
              <w:rPr>
                <w:rFonts w:hAnsi="宋体"/>
                <w:b/>
                <w:szCs w:val="21"/>
              </w:rPr>
              <w:t>表</w:t>
            </w:r>
            <w:r>
              <w:rPr>
                <w:rFonts w:hint="eastAsia"/>
                <w:b/>
                <w:szCs w:val="21"/>
              </w:rPr>
              <w:t>3-8污水处理站周边大气污染物最高允许浓度</w:t>
            </w:r>
            <w:r>
              <w:rPr>
                <w:rFonts w:hAnsi="宋体"/>
                <w:b/>
                <w:szCs w:val="21"/>
              </w:rPr>
              <w:t>一览表</w:t>
            </w:r>
          </w:p>
          <w:tbl>
            <w:tblPr>
              <w:tblStyle w:val="27"/>
              <w:tblW w:w="76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4"/>
              <w:gridCol w:w="5364"/>
              <w:gridCol w:w="13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954" w:type="dxa"/>
                  <w:vAlign w:val="center"/>
                </w:tcPr>
                <w:p>
                  <w:pPr>
                    <w:jc w:val="center"/>
                    <w:rPr>
                      <w:szCs w:val="21"/>
                    </w:rPr>
                  </w:pPr>
                  <w:r>
                    <w:rPr>
                      <w:rFonts w:hint="eastAsia" w:hAnsi="宋体"/>
                      <w:szCs w:val="21"/>
                    </w:rPr>
                    <w:t>序号</w:t>
                  </w:r>
                </w:p>
              </w:tc>
              <w:tc>
                <w:tcPr>
                  <w:tcW w:w="5364" w:type="dxa"/>
                  <w:vAlign w:val="center"/>
                </w:tcPr>
                <w:p>
                  <w:pPr>
                    <w:jc w:val="center"/>
                    <w:rPr>
                      <w:szCs w:val="21"/>
                    </w:rPr>
                  </w:pPr>
                  <w:r>
                    <w:rPr>
                      <w:rFonts w:hint="eastAsia" w:hAnsi="宋体"/>
                      <w:szCs w:val="21"/>
                    </w:rPr>
                    <w:t>控制项目</w:t>
                  </w:r>
                </w:p>
              </w:tc>
              <w:tc>
                <w:tcPr>
                  <w:tcW w:w="1369" w:type="dxa"/>
                  <w:vAlign w:val="center"/>
                </w:tcPr>
                <w:p>
                  <w:pPr>
                    <w:jc w:val="center"/>
                    <w:rPr>
                      <w:szCs w:val="21"/>
                    </w:rPr>
                  </w:pPr>
                  <w:r>
                    <w:rPr>
                      <w:rFonts w:hint="eastAsia" w:hAnsi="宋体"/>
                      <w:szCs w:val="21"/>
                    </w:rPr>
                    <w:t>标准值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954" w:type="dxa"/>
                  <w:vAlign w:val="center"/>
                </w:tcPr>
                <w:p>
                  <w:pPr>
                    <w:jc w:val="center"/>
                    <w:rPr>
                      <w:szCs w:val="21"/>
                    </w:rPr>
                  </w:pPr>
                  <w:r>
                    <w:rPr>
                      <w:rFonts w:hint="eastAsia"/>
                    </w:rPr>
                    <w:t>1</w:t>
                  </w:r>
                </w:p>
              </w:tc>
              <w:tc>
                <w:tcPr>
                  <w:tcW w:w="5364" w:type="dxa"/>
                  <w:vAlign w:val="center"/>
                </w:tcPr>
                <w:p>
                  <w:pPr>
                    <w:jc w:val="center"/>
                    <w:rPr>
                      <w:szCs w:val="21"/>
                    </w:rPr>
                  </w:pPr>
                  <w:r>
                    <w:rPr>
                      <w:rFonts w:hint="eastAsia"/>
                      <w:szCs w:val="21"/>
                    </w:rPr>
                    <w:t>氨/（mg/m</w:t>
                  </w:r>
                  <w:r>
                    <w:rPr>
                      <w:rFonts w:hint="eastAsia"/>
                      <w:szCs w:val="21"/>
                      <w:vertAlign w:val="superscript"/>
                    </w:rPr>
                    <w:t>3</w:t>
                  </w:r>
                  <w:r>
                    <w:rPr>
                      <w:rFonts w:hint="eastAsia"/>
                      <w:szCs w:val="21"/>
                    </w:rPr>
                    <w:t>）</w:t>
                  </w:r>
                </w:p>
              </w:tc>
              <w:tc>
                <w:tcPr>
                  <w:tcW w:w="1369" w:type="dxa"/>
                  <w:vAlign w:val="center"/>
                </w:tcPr>
                <w:p>
                  <w:pPr>
                    <w:jc w:val="center"/>
                    <w:rPr>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954" w:type="dxa"/>
                  <w:vAlign w:val="center"/>
                </w:tcPr>
                <w:p>
                  <w:pPr>
                    <w:jc w:val="center"/>
                  </w:pPr>
                  <w:r>
                    <w:rPr>
                      <w:rFonts w:hint="eastAsia"/>
                    </w:rPr>
                    <w:t>2</w:t>
                  </w:r>
                </w:p>
              </w:tc>
              <w:tc>
                <w:tcPr>
                  <w:tcW w:w="5364" w:type="dxa"/>
                  <w:vAlign w:val="center"/>
                </w:tcPr>
                <w:p>
                  <w:pPr>
                    <w:jc w:val="center"/>
                    <w:rPr>
                      <w:szCs w:val="21"/>
                    </w:rPr>
                  </w:pPr>
                  <w:r>
                    <w:rPr>
                      <w:rFonts w:hint="eastAsia"/>
                      <w:szCs w:val="21"/>
                    </w:rPr>
                    <w:t>硫化氢/（mg/m</w:t>
                  </w:r>
                  <w:r>
                    <w:rPr>
                      <w:rFonts w:hint="eastAsia"/>
                      <w:szCs w:val="21"/>
                      <w:vertAlign w:val="superscript"/>
                    </w:rPr>
                    <w:t>3</w:t>
                  </w:r>
                  <w:r>
                    <w:rPr>
                      <w:rFonts w:hint="eastAsia"/>
                      <w:szCs w:val="21"/>
                    </w:rPr>
                    <w:t>）</w:t>
                  </w:r>
                </w:p>
              </w:tc>
              <w:tc>
                <w:tcPr>
                  <w:tcW w:w="1369" w:type="dxa"/>
                  <w:vAlign w:val="center"/>
                </w:tcPr>
                <w:p>
                  <w:pPr>
                    <w:jc w:val="center"/>
                    <w:rPr>
                      <w:szCs w:val="21"/>
                    </w:rPr>
                  </w:pPr>
                  <w:r>
                    <w:rPr>
                      <w:rFonts w:hint="eastAsia"/>
                      <w:szCs w:val="21"/>
                    </w:rPr>
                    <w:t>0.03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954" w:type="dxa"/>
                  <w:vAlign w:val="center"/>
                </w:tcPr>
                <w:p>
                  <w:pPr>
                    <w:jc w:val="center"/>
                  </w:pPr>
                  <w:r>
                    <w:rPr>
                      <w:rFonts w:hint="eastAsia"/>
                    </w:rPr>
                    <w:t>3</w:t>
                  </w:r>
                </w:p>
              </w:tc>
              <w:tc>
                <w:tcPr>
                  <w:tcW w:w="5364" w:type="dxa"/>
                  <w:vAlign w:val="center"/>
                </w:tcPr>
                <w:p>
                  <w:pPr>
                    <w:jc w:val="center"/>
                    <w:rPr>
                      <w:szCs w:val="21"/>
                    </w:rPr>
                  </w:pPr>
                  <w:r>
                    <w:rPr>
                      <w:rFonts w:hint="eastAsia"/>
                      <w:szCs w:val="21"/>
                    </w:rPr>
                    <w:t>臭气浓度/（无量纲）</w:t>
                  </w:r>
                </w:p>
              </w:tc>
              <w:tc>
                <w:tcPr>
                  <w:tcW w:w="1369" w:type="dxa"/>
                  <w:vAlign w:val="center"/>
                </w:tcPr>
                <w:p>
                  <w:pPr>
                    <w:jc w:val="center"/>
                    <w:rPr>
                      <w:szCs w:val="21"/>
                    </w:rPr>
                  </w:pPr>
                  <w:r>
                    <w:rPr>
                      <w:rFonts w:hint="eastAsia"/>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954" w:type="dxa"/>
                  <w:vAlign w:val="center"/>
                </w:tcPr>
                <w:p>
                  <w:pPr>
                    <w:jc w:val="center"/>
                    <w:rPr>
                      <w:szCs w:val="21"/>
                    </w:rPr>
                  </w:pPr>
                  <w:r>
                    <w:rPr>
                      <w:rFonts w:hint="eastAsia"/>
                    </w:rPr>
                    <w:t>4</w:t>
                  </w:r>
                </w:p>
              </w:tc>
              <w:tc>
                <w:tcPr>
                  <w:tcW w:w="5364" w:type="dxa"/>
                  <w:vAlign w:val="center"/>
                </w:tcPr>
                <w:p>
                  <w:pPr>
                    <w:jc w:val="center"/>
                    <w:rPr>
                      <w:szCs w:val="21"/>
                    </w:rPr>
                  </w:pPr>
                  <w:r>
                    <w:rPr>
                      <w:rFonts w:hint="eastAsia"/>
                      <w:szCs w:val="21"/>
                    </w:rPr>
                    <w:t>氯气（mg/m</w:t>
                  </w:r>
                  <w:r>
                    <w:rPr>
                      <w:rFonts w:hint="eastAsia"/>
                      <w:szCs w:val="21"/>
                      <w:vertAlign w:val="superscript"/>
                    </w:rPr>
                    <w:t>3</w:t>
                  </w:r>
                  <w:r>
                    <w:rPr>
                      <w:rFonts w:hint="eastAsia"/>
                      <w:szCs w:val="21"/>
                    </w:rPr>
                    <w:t>）</w:t>
                  </w:r>
                </w:p>
              </w:tc>
              <w:tc>
                <w:tcPr>
                  <w:tcW w:w="1369" w:type="dxa"/>
                  <w:vAlign w:val="center"/>
                </w:tcPr>
                <w:p>
                  <w:pPr>
                    <w:jc w:val="center"/>
                    <w:rPr>
                      <w:szCs w:val="21"/>
                    </w:rPr>
                  </w:pPr>
                  <w:r>
                    <w:rPr>
                      <w:rFonts w:hint="eastAsia"/>
                      <w:szCs w:val="21"/>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54" w:type="dxa"/>
                  <w:vAlign w:val="center"/>
                </w:tcPr>
                <w:p>
                  <w:pPr>
                    <w:jc w:val="center"/>
                    <w:rPr>
                      <w:szCs w:val="21"/>
                    </w:rPr>
                  </w:pPr>
                  <w:r>
                    <w:rPr>
                      <w:rFonts w:hint="eastAsia"/>
                    </w:rPr>
                    <w:t>5</w:t>
                  </w:r>
                </w:p>
              </w:tc>
              <w:tc>
                <w:tcPr>
                  <w:tcW w:w="5364" w:type="dxa"/>
                  <w:vAlign w:val="center"/>
                </w:tcPr>
                <w:p>
                  <w:pPr>
                    <w:jc w:val="center"/>
                    <w:rPr>
                      <w:szCs w:val="21"/>
                    </w:rPr>
                  </w:pPr>
                  <w:r>
                    <w:rPr>
                      <w:rFonts w:hint="eastAsia"/>
                      <w:szCs w:val="21"/>
                    </w:rPr>
                    <w:t>甲烷（指处理站内最高体积百分数/%）</w:t>
                  </w:r>
                </w:p>
              </w:tc>
              <w:tc>
                <w:tcPr>
                  <w:tcW w:w="1369" w:type="dxa"/>
                  <w:vAlign w:val="center"/>
                </w:tcPr>
                <w:p>
                  <w:pPr>
                    <w:jc w:val="center"/>
                    <w:rPr>
                      <w:szCs w:val="21"/>
                    </w:rPr>
                  </w:pPr>
                  <w:r>
                    <w:rPr>
                      <w:rFonts w:hint="eastAsia"/>
                      <w:szCs w:val="21"/>
                    </w:rPr>
                    <w:t>1</w:t>
                  </w:r>
                </w:p>
              </w:tc>
            </w:tr>
          </w:tbl>
          <w:p>
            <w:pPr>
              <w:spacing w:before="120" w:beforeLines="50" w:line="360" w:lineRule="auto"/>
              <w:rPr>
                <w:b/>
                <w:sz w:val="24"/>
              </w:rPr>
            </w:pPr>
            <w:r>
              <w:rPr>
                <w:b/>
                <w:sz w:val="24"/>
              </w:rPr>
              <w:t>3、噪声</w:t>
            </w:r>
          </w:p>
          <w:p>
            <w:pPr>
              <w:spacing w:line="360" w:lineRule="auto"/>
              <w:ind w:firstLine="480" w:firstLineChars="200"/>
              <w:rPr>
                <w:sz w:val="24"/>
              </w:rPr>
            </w:pPr>
            <w:r>
              <w:rPr>
                <w:sz w:val="24"/>
              </w:rPr>
              <w:t>根据《声环境功能区划分技术规范》（GB/T15190-2014）的规定，营运期噪声执行《工业企业厂界环境噪声排放标准》（GB12348-2008）2类</w:t>
            </w:r>
            <w:r>
              <w:rPr>
                <w:rFonts w:hint="eastAsia"/>
                <w:sz w:val="24"/>
                <w:lang w:eastAsia="zh-CN"/>
              </w:rPr>
              <w:t>和</w:t>
            </w:r>
            <w:r>
              <w:rPr>
                <w:rFonts w:hint="eastAsia"/>
                <w:sz w:val="24"/>
                <w:lang w:val="en-US" w:eastAsia="zh-CN"/>
              </w:rPr>
              <w:t>4a</w:t>
            </w:r>
            <w:r>
              <w:rPr>
                <w:sz w:val="24"/>
              </w:rPr>
              <w:t>标准要求。</w:t>
            </w:r>
          </w:p>
          <w:p>
            <w:pPr>
              <w:snapToGrid w:val="0"/>
              <w:contextualSpacing/>
              <w:jc w:val="center"/>
              <w:rPr>
                <w:b/>
                <w:szCs w:val="21"/>
              </w:rPr>
            </w:pPr>
            <w:r>
              <w:rPr>
                <w:b/>
                <w:szCs w:val="21"/>
              </w:rPr>
              <w:t>表3-</w:t>
            </w:r>
            <w:r>
              <w:rPr>
                <w:rFonts w:hint="eastAsia"/>
                <w:b/>
                <w:szCs w:val="21"/>
              </w:rPr>
              <w:t>9</w:t>
            </w:r>
            <w:r>
              <w:rPr>
                <w:b/>
                <w:szCs w:val="21"/>
              </w:rPr>
              <w:t>工业企业厂界噪声排放标准（摘录）单位：dB（A）</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4653"/>
              <w:gridCol w:w="1098"/>
              <w:gridCol w:w="1098"/>
              <w:gridCol w:w="109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cantSplit/>
                <w:jc w:val="center"/>
              </w:trPr>
              <w:tc>
                <w:tcPr>
                  <w:tcW w:w="2927" w:type="pct"/>
                  <w:tcBorders>
                    <w:tl2br w:val="nil"/>
                    <w:tr2bl w:val="nil"/>
                  </w:tcBorders>
                  <w:vAlign w:val="center"/>
                </w:tcPr>
                <w:p>
                  <w:pPr>
                    <w:spacing w:line="360" w:lineRule="exact"/>
                    <w:jc w:val="center"/>
                    <w:rPr>
                      <w:b/>
                    </w:rPr>
                  </w:pPr>
                  <w:r>
                    <w:rPr>
                      <w:b/>
                    </w:rPr>
                    <w:t>标准名称及代号</w:t>
                  </w:r>
                </w:p>
              </w:tc>
              <w:tc>
                <w:tcPr>
                  <w:tcW w:w="691" w:type="pct"/>
                  <w:tcBorders>
                    <w:tl2br w:val="nil"/>
                    <w:tr2bl w:val="nil"/>
                  </w:tcBorders>
                  <w:vAlign w:val="center"/>
                </w:tcPr>
                <w:p>
                  <w:pPr>
                    <w:spacing w:line="360" w:lineRule="exact"/>
                    <w:jc w:val="center"/>
                    <w:rPr>
                      <w:b/>
                    </w:rPr>
                  </w:pPr>
                  <w:r>
                    <w:rPr>
                      <w:b/>
                    </w:rPr>
                    <w:t>功能区</w:t>
                  </w:r>
                </w:p>
              </w:tc>
              <w:tc>
                <w:tcPr>
                  <w:tcW w:w="691" w:type="pct"/>
                  <w:tcBorders>
                    <w:tl2br w:val="nil"/>
                    <w:tr2bl w:val="nil"/>
                  </w:tcBorders>
                  <w:vAlign w:val="center"/>
                </w:tcPr>
                <w:p>
                  <w:pPr>
                    <w:spacing w:line="360" w:lineRule="exact"/>
                    <w:jc w:val="center"/>
                    <w:rPr>
                      <w:b/>
                    </w:rPr>
                  </w:pPr>
                  <w:r>
                    <w:rPr>
                      <w:b/>
                    </w:rPr>
                    <w:t>昼间</w:t>
                  </w:r>
                </w:p>
              </w:tc>
              <w:tc>
                <w:tcPr>
                  <w:tcW w:w="689" w:type="pct"/>
                  <w:tcBorders>
                    <w:tl2br w:val="nil"/>
                    <w:tr2bl w:val="nil"/>
                  </w:tcBorders>
                  <w:vAlign w:val="center"/>
                </w:tcPr>
                <w:p>
                  <w:pPr>
                    <w:spacing w:line="360" w:lineRule="exact"/>
                    <w:jc w:val="center"/>
                    <w:rPr>
                      <w:b/>
                    </w:rPr>
                  </w:pPr>
                  <w:r>
                    <w:rPr>
                      <w:b/>
                    </w:rPr>
                    <w:t>夜间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cantSplit/>
                <w:jc w:val="center"/>
              </w:trPr>
              <w:tc>
                <w:tcPr>
                  <w:tcW w:w="2927" w:type="pct"/>
                  <w:vMerge w:val="restart"/>
                  <w:tcBorders>
                    <w:tl2br w:val="nil"/>
                    <w:tr2bl w:val="nil"/>
                  </w:tcBorders>
                  <w:vAlign w:val="center"/>
                </w:tcPr>
                <w:p>
                  <w:pPr>
                    <w:spacing w:line="360" w:lineRule="exact"/>
                    <w:jc w:val="center"/>
                  </w:pPr>
                  <w:r>
                    <w:t>《工业企业厂界环境噪声排放标准》（GB12348-2008）</w:t>
                  </w:r>
                </w:p>
              </w:tc>
              <w:tc>
                <w:tcPr>
                  <w:tcW w:w="691" w:type="pct"/>
                  <w:tcBorders>
                    <w:tl2br w:val="nil"/>
                    <w:tr2bl w:val="nil"/>
                  </w:tcBorders>
                  <w:vAlign w:val="center"/>
                </w:tcPr>
                <w:p>
                  <w:pPr>
                    <w:spacing w:line="360" w:lineRule="exact"/>
                    <w:jc w:val="center"/>
                  </w:pPr>
                  <w:r>
                    <w:t>2类</w:t>
                  </w:r>
                </w:p>
              </w:tc>
              <w:tc>
                <w:tcPr>
                  <w:tcW w:w="691" w:type="pct"/>
                  <w:tcBorders>
                    <w:tl2br w:val="nil"/>
                    <w:tr2bl w:val="nil"/>
                  </w:tcBorders>
                  <w:vAlign w:val="center"/>
                </w:tcPr>
                <w:p>
                  <w:pPr>
                    <w:spacing w:line="360" w:lineRule="exact"/>
                    <w:jc w:val="center"/>
                  </w:pPr>
                  <w:r>
                    <w:t>60</w:t>
                  </w:r>
                </w:p>
              </w:tc>
              <w:tc>
                <w:tcPr>
                  <w:tcW w:w="689" w:type="pct"/>
                  <w:tcBorders>
                    <w:tl2br w:val="nil"/>
                    <w:tr2bl w:val="nil"/>
                  </w:tcBorders>
                  <w:vAlign w:val="center"/>
                </w:tcPr>
                <w:p>
                  <w:pPr>
                    <w:spacing w:line="360" w:lineRule="exact"/>
                    <w:jc w:val="center"/>
                  </w:pPr>
                  <w:r>
                    <w:t>50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cantSplit/>
                <w:jc w:val="center"/>
              </w:trPr>
              <w:tc>
                <w:tcPr>
                  <w:tcW w:w="2927" w:type="pct"/>
                  <w:vMerge w:val="continue"/>
                  <w:tcBorders>
                    <w:tl2br w:val="nil"/>
                    <w:tr2bl w:val="nil"/>
                  </w:tcBorders>
                  <w:vAlign w:val="center"/>
                </w:tcPr>
                <w:p>
                  <w:pPr>
                    <w:spacing w:line="360" w:lineRule="exact"/>
                    <w:jc w:val="center"/>
                  </w:pPr>
                </w:p>
              </w:tc>
              <w:tc>
                <w:tcPr>
                  <w:tcW w:w="691" w:type="pct"/>
                  <w:tcBorders>
                    <w:tl2br w:val="nil"/>
                    <w:tr2bl w:val="nil"/>
                  </w:tcBorders>
                  <w:vAlign w:val="center"/>
                </w:tcPr>
                <w:p>
                  <w:pPr>
                    <w:spacing w:line="360" w:lineRule="exact"/>
                    <w:jc w:val="center"/>
                  </w:pPr>
                  <w:r>
                    <w:rPr>
                      <w:rFonts w:hint="eastAsia"/>
                    </w:rPr>
                    <w:t>4a</w:t>
                  </w:r>
                </w:p>
              </w:tc>
              <w:tc>
                <w:tcPr>
                  <w:tcW w:w="691" w:type="pct"/>
                  <w:tcBorders>
                    <w:tl2br w:val="nil"/>
                    <w:tr2bl w:val="nil"/>
                  </w:tcBorders>
                  <w:vAlign w:val="center"/>
                </w:tcPr>
                <w:p>
                  <w:pPr>
                    <w:spacing w:line="360" w:lineRule="exact"/>
                    <w:jc w:val="center"/>
                  </w:pPr>
                  <w:r>
                    <w:rPr>
                      <w:rFonts w:hint="eastAsia"/>
                    </w:rPr>
                    <w:t>70</w:t>
                  </w:r>
                </w:p>
              </w:tc>
              <w:tc>
                <w:tcPr>
                  <w:tcW w:w="689" w:type="pct"/>
                  <w:tcBorders>
                    <w:tl2br w:val="nil"/>
                    <w:tr2bl w:val="nil"/>
                  </w:tcBorders>
                  <w:vAlign w:val="center"/>
                </w:tcPr>
                <w:p>
                  <w:pPr>
                    <w:spacing w:line="360" w:lineRule="exact"/>
                    <w:jc w:val="center"/>
                  </w:pPr>
                  <w:r>
                    <w:rPr>
                      <w:rFonts w:hint="eastAsia"/>
                    </w:rPr>
                    <w:t>55</w:t>
                  </w:r>
                </w:p>
              </w:tc>
            </w:tr>
          </w:tbl>
          <w:p>
            <w:pPr>
              <w:spacing w:before="120" w:beforeLines="50" w:line="360" w:lineRule="auto"/>
              <w:rPr>
                <w:b/>
                <w:sz w:val="24"/>
              </w:rPr>
            </w:pPr>
            <w:r>
              <w:rPr>
                <w:b/>
                <w:sz w:val="24"/>
              </w:rPr>
              <w:t>4、固体废物</w:t>
            </w:r>
          </w:p>
          <w:p>
            <w:pPr>
              <w:adjustRightInd w:val="0"/>
              <w:snapToGrid w:val="0"/>
              <w:spacing w:line="360" w:lineRule="auto"/>
              <w:ind w:firstLine="480" w:firstLineChars="200"/>
              <w:jc w:val="left"/>
            </w:pPr>
            <w:r>
              <w:rPr>
                <w:rFonts w:hint="eastAsia" w:cs="宋体"/>
                <w:bCs/>
                <w:sz w:val="24"/>
              </w:rPr>
              <w:t>生活垃圾执行《生活垃圾填埋场污染控制标准》（</w:t>
            </w:r>
            <w:r>
              <w:rPr>
                <w:rFonts w:cs="宋体"/>
                <w:bCs/>
                <w:sz w:val="24"/>
              </w:rPr>
              <w:t>GB16889-2008</w:t>
            </w:r>
            <w:r>
              <w:rPr>
                <w:rFonts w:hint="eastAsia" w:cs="宋体"/>
                <w:bCs/>
                <w:sz w:val="24"/>
              </w:rPr>
              <w:t>）</w:t>
            </w:r>
            <w:r>
              <w:rPr>
                <w:bCs/>
                <w:sz w:val="24"/>
              </w:rPr>
              <w:t>，医疗废物及污水处理系统污泥执行《危险废物贮存污染控制标准》（GB18597-2001）</w:t>
            </w:r>
            <w:r>
              <w:rPr>
                <w:sz w:val="24"/>
              </w:rPr>
              <w:t>及其2013年修改单</w:t>
            </w:r>
            <w:r>
              <w:rPr>
                <w:bCs/>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vAlign w:val="center"/>
          </w:tcPr>
          <w:p>
            <w:pPr>
              <w:adjustRightInd w:val="0"/>
              <w:snapToGrid w:val="0"/>
              <w:jc w:val="center"/>
              <w:rPr>
                <w:kern w:val="0"/>
                <w:szCs w:val="21"/>
              </w:rPr>
            </w:pPr>
            <w:r>
              <w:rPr>
                <w:kern w:val="0"/>
                <w:szCs w:val="21"/>
              </w:rPr>
              <w:t>总量</w:t>
            </w:r>
          </w:p>
          <w:p>
            <w:pPr>
              <w:adjustRightInd w:val="0"/>
              <w:snapToGrid w:val="0"/>
              <w:jc w:val="center"/>
              <w:rPr>
                <w:kern w:val="0"/>
                <w:szCs w:val="21"/>
              </w:rPr>
            </w:pPr>
            <w:r>
              <w:rPr>
                <w:kern w:val="0"/>
                <w:szCs w:val="21"/>
              </w:rPr>
              <w:t>控制</w:t>
            </w:r>
          </w:p>
          <w:p>
            <w:pPr>
              <w:adjustRightInd w:val="0"/>
              <w:snapToGrid w:val="0"/>
              <w:jc w:val="center"/>
              <w:rPr>
                <w:kern w:val="0"/>
                <w:szCs w:val="21"/>
              </w:rPr>
            </w:pPr>
            <w:r>
              <w:rPr>
                <w:kern w:val="0"/>
                <w:szCs w:val="21"/>
              </w:rPr>
              <w:t>指标</w:t>
            </w:r>
          </w:p>
        </w:tc>
        <w:tc>
          <w:tcPr>
            <w:tcW w:w="8190" w:type="dxa"/>
            <w:vAlign w:val="center"/>
          </w:tcPr>
          <w:p>
            <w:pPr>
              <w:widowControl/>
              <w:spacing w:line="360" w:lineRule="auto"/>
              <w:ind w:firstLine="480" w:firstLineChars="200"/>
              <w:jc w:val="left"/>
              <w:rPr>
                <w:rFonts w:ascii="宋体" w:hAnsi="宋体"/>
                <w:sz w:val="24"/>
              </w:rPr>
            </w:pPr>
            <w:r>
              <w:rPr>
                <w:rFonts w:hint="eastAsia" w:ascii="宋体" w:hAnsi="宋体"/>
                <w:sz w:val="24"/>
              </w:rPr>
              <w:t>本</w:t>
            </w:r>
            <w:r>
              <w:rPr>
                <w:rFonts w:ascii="宋体" w:hAnsi="宋体"/>
                <w:sz w:val="24"/>
              </w:rPr>
              <w:t>项目生活污水均进入桃源县</w:t>
            </w:r>
            <w:r>
              <w:rPr>
                <w:rFonts w:hint="eastAsia" w:ascii="宋体" w:hAnsi="宋体"/>
                <w:sz w:val="24"/>
                <w:lang w:eastAsia="zh-CN"/>
              </w:rPr>
              <w:t>三阳港</w:t>
            </w:r>
            <w:r>
              <w:rPr>
                <w:rFonts w:ascii="宋体" w:hAnsi="宋体"/>
                <w:sz w:val="24"/>
              </w:rPr>
              <w:t>污水处理厂进一步处理</w:t>
            </w:r>
            <w:r>
              <w:rPr>
                <w:rFonts w:hint="eastAsia" w:ascii="宋体" w:hAnsi="宋体"/>
                <w:sz w:val="24"/>
              </w:rPr>
              <w:t>，</w:t>
            </w:r>
            <w:r>
              <w:rPr>
                <w:rFonts w:ascii="宋体" w:hAnsi="宋体"/>
                <w:sz w:val="24"/>
              </w:rPr>
              <w:t>生活污水中的</w:t>
            </w:r>
            <w:r>
              <w:rPr>
                <w:sz w:val="24"/>
                <w:u w:val="none"/>
              </w:rPr>
              <w:t>CODcr</w:t>
            </w:r>
            <w:r>
              <w:rPr>
                <w:rFonts w:hint="eastAsia"/>
                <w:sz w:val="24"/>
                <w:u w:val="single"/>
                <w:lang w:eastAsia="zh-CN"/>
              </w:rPr>
              <w:t>（</w:t>
            </w:r>
            <w:r>
              <w:rPr>
                <w:rFonts w:hint="eastAsia"/>
                <w:sz w:val="24"/>
                <w:u w:val="single"/>
                <w:lang w:val="en-US" w:eastAsia="zh-CN"/>
              </w:rPr>
              <w:t>0.128t/a</w:t>
            </w:r>
            <w:r>
              <w:rPr>
                <w:rFonts w:hint="eastAsia"/>
                <w:sz w:val="24"/>
                <w:u w:val="single"/>
                <w:lang w:eastAsia="zh-CN"/>
              </w:rPr>
              <w:t>）</w:t>
            </w:r>
            <w:r>
              <w:rPr>
                <w:sz w:val="24"/>
                <w:u w:val="single"/>
              </w:rPr>
              <w:t>、NH</w:t>
            </w:r>
            <w:r>
              <w:rPr>
                <w:sz w:val="24"/>
                <w:u w:val="single"/>
                <w:vertAlign w:val="subscript"/>
              </w:rPr>
              <w:t>3</w:t>
            </w:r>
            <w:r>
              <w:rPr>
                <w:sz w:val="24"/>
                <w:u w:val="single"/>
              </w:rPr>
              <w:t>-N</w:t>
            </w:r>
            <w:r>
              <w:rPr>
                <w:rFonts w:hint="eastAsia"/>
                <w:sz w:val="24"/>
                <w:u w:val="single"/>
                <w:lang w:eastAsia="zh-CN"/>
              </w:rPr>
              <w:t>（</w:t>
            </w:r>
            <w:r>
              <w:rPr>
                <w:rFonts w:hint="eastAsia"/>
                <w:sz w:val="24"/>
                <w:u w:val="single"/>
                <w:lang w:val="en-US" w:eastAsia="zh-CN"/>
              </w:rPr>
              <w:t>0.0005t/a</w:t>
            </w:r>
            <w:r>
              <w:rPr>
                <w:rFonts w:hint="eastAsia"/>
                <w:sz w:val="24"/>
                <w:u w:val="single"/>
                <w:lang w:eastAsia="zh-CN"/>
              </w:rPr>
              <w:t>）</w:t>
            </w:r>
            <w:r>
              <w:rPr>
                <w:rFonts w:hint="eastAsia" w:ascii="宋体" w:hAnsi="宋体"/>
                <w:sz w:val="24"/>
              </w:rPr>
              <w:t>总量已经包含在污水处理厂总量指标中，因此，不再单独给总量指标。</w:t>
            </w:r>
          </w:p>
          <w:p>
            <w:pPr>
              <w:pStyle w:val="9"/>
            </w:pPr>
          </w:p>
        </w:tc>
      </w:tr>
    </w:tbl>
    <w:p>
      <w:pPr>
        <w:pStyle w:val="24"/>
        <w:outlineLvl w:val="0"/>
        <w:rPr>
          <w:rFonts w:ascii="Times New Roman" w:hAnsi="Times New Roman" w:eastAsia="黑体"/>
          <w:snapToGrid w:val="0"/>
          <w:sz w:val="30"/>
          <w:szCs w:val="30"/>
        </w:rPr>
      </w:pPr>
      <w:r>
        <w:rPr>
          <w:rFonts w:ascii="Times New Roman" w:hAnsi="Times New Roman" w:eastAsia="黑体"/>
          <w:snapToGrid w:val="0"/>
          <w:sz w:val="36"/>
          <w:szCs w:val="36"/>
        </w:rPr>
        <w:br w:type="page"/>
      </w:r>
      <w:bookmarkStart w:id="10" w:name="_Toc20449"/>
      <w:r>
        <w:rPr>
          <w:rStyle w:val="70"/>
          <w:rFonts w:ascii="Times New Roman" w:hAnsi="Times New Roman"/>
        </w:rPr>
        <w:t>四、主要环境影响和保护措施</w:t>
      </w:r>
      <w:bookmarkEnd w:id="10"/>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746" w:type="dxa"/>
            <w:tcMar>
              <w:left w:w="28" w:type="dxa"/>
              <w:right w:w="28" w:type="dxa"/>
            </w:tcMar>
            <w:vAlign w:val="center"/>
          </w:tcPr>
          <w:p>
            <w:pPr>
              <w:pStyle w:val="24"/>
              <w:adjustRightInd w:val="0"/>
              <w:snapToGrid w:val="0"/>
              <w:jc w:val="center"/>
              <w:rPr>
                <w:rFonts w:ascii="Times New Roman" w:hAnsi="Times New Roman"/>
                <w:kern w:val="2"/>
                <w:sz w:val="21"/>
                <w:szCs w:val="21"/>
              </w:rPr>
            </w:pPr>
            <w:r>
              <w:rPr>
                <w:rFonts w:ascii="Times New Roman" w:hAnsi="Times New Roman"/>
                <w:kern w:val="2"/>
                <w:sz w:val="21"/>
                <w:szCs w:val="21"/>
              </w:rPr>
              <w:t>施工期环境</w:t>
            </w:r>
            <w:r>
              <w:rPr>
                <w:rFonts w:hint="eastAsia" w:ascii="Times New Roman" w:hAnsi="Times New Roman"/>
                <w:kern w:val="2"/>
                <w:sz w:val="21"/>
                <w:szCs w:val="21"/>
              </w:rPr>
              <w:t>影响及</w:t>
            </w:r>
            <w:r>
              <w:rPr>
                <w:rFonts w:ascii="Times New Roman" w:hAnsi="Times New Roman"/>
                <w:kern w:val="2"/>
                <w:sz w:val="21"/>
                <w:szCs w:val="21"/>
              </w:rPr>
              <w:t>保</w:t>
            </w:r>
          </w:p>
          <w:p>
            <w:pPr>
              <w:pStyle w:val="24"/>
              <w:adjustRightInd w:val="0"/>
              <w:snapToGrid w:val="0"/>
              <w:jc w:val="center"/>
              <w:rPr>
                <w:rFonts w:ascii="Times New Roman" w:hAnsi="Times New Roman"/>
                <w:bCs/>
                <w:kern w:val="2"/>
                <w:sz w:val="21"/>
                <w:szCs w:val="21"/>
              </w:rPr>
            </w:pPr>
            <w:r>
              <w:rPr>
                <w:rFonts w:ascii="Times New Roman" w:hAnsi="Times New Roman"/>
                <w:kern w:val="2"/>
                <w:sz w:val="21"/>
                <w:szCs w:val="21"/>
              </w:rPr>
              <w:t>护措施</w:t>
            </w:r>
          </w:p>
        </w:tc>
        <w:tc>
          <w:tcPr>
            <w:tcW w:w="8162" w:type="dxa"/>
            <w:vAlign w:val="center"/>
          </w:tcPr>
          <w:p>
            <w:pPr>
              <w:spacing w:line="360" w:lineRule="auto"/>
              <w:ind w:firstLine="480" w:firstLineChars="200"/>
              <w:rPr>
                <w:bCs/>
                <w:sz w:val="24"/>
              </w:rPr>
            </w:pPr>
            <w:r>
              <w:rPr>
                <w:bCs/>
                <w:sz w:val="24"/>
              </w:rPr>
              <w:t>本项目</w:t>
            </w:r>
            <w:r>
              <w:rPr>
                <w:rFonts w:hint="eastAsia"/>
                <w:bCs/>
                <w:snapToGrid w:val="0"/>
                <w:sz w:val="24"/>
                <w:szCs w:val="32"/>
                <w:lang w:eastAsia="zh-CN"/>
              </w:rPr>
              <w:t>总占地</w:t>
            </w:r>
            <w:r>
              <w:rPr>
                <w:rFonts w:hint="eastAsia"/>
                <w:bCs/>
                <w:snapToGrid w:val="0"/>
                <w:sz w:val="24"/>
                <w:szCs w:val="32"/>
                <w:lang w:val="en-US" w:eastAsia="zh-CN"/>
              </w:rPr>
              <w:t>5079.5</w:t>
            </w:r>
            <w:r>
              <w:rPr>
                <w:rFonts w:hint="eastAsia"/>
                <w:bCs/>
                <w:snapToGrid w:val="0"/>
                <w:sz w:val="24"/>
                <w:szCs w:val="32"/>
                <w:lang w:val="zh-CN"/>
              </w:rPr>
              <w:t>m</w:t>
            </w:r>
            <w:r>
              <w:rPr>
                <w:rFonts w:hint="eastAsia"/>
                <w:bCs/>
                <w:snapToGrid w:val="0"/>
                <w:sz w:val="24"/>
                <w:szCs w:val="32"/>
                <w:vertAlign w:val="superscript"/>
                <w:lang w:val="zh-CN"/>
              </w:rPr>
              <w:t>2</w:t>
            </w:r>
            <w:r>
              <w:rPr>
                <w:rFonts w:hint="eastAsia"/>
                <w:bCs/>
                <w:snapToGrid w:val="0"/>
                <w:sz w:val="24"/>
                <w:szCs w:val="32"/>
                <w:lang w:val="en-US" w:eastAsia="zh-CN"/>
              </w:rPr>
              <w:t>，拟计划</w:t>
            </w:r>
            <w:r>
              <w:rPr>
                <w:rFonts w:hint="eastAsia"/>
                <w:bCs/>
                <w:sz w:val="24"/>
              </w:rPr>
              <w:t>将拆除原有的</w:t>
            </w:r>
            <w:r>
              <w:rPr>
                <w:rFonts w:hint="eastAsia"/>
                <w:bCs/>
                <w:sz w:val="24"/>
                <w:lang w:eastAsia="zh-CN"/>
              </w:rPr>
              <w:t>门诊楼、公卫楼、职工食堂，南侧的老住院楼</w:t>
            </w:r>
            <w:r>
              <w:rPr>
                <w:rFonts w:hint="eastAsia"/>
                <w:bCs/>
                <w:sz w:val="24"/>
              </w:rPr>
              <w:t>拟计划改成公卫楼和职工宿舍</w:t>
            </w:r>
            <w:r>
              <w:rPr>
                <w:rFonts w:hint="eastAsia"/>
                <w:bCs/>
                <w:sz w:val="24"/>
                <w:lang w:eastAsia="zh-CN"/>
              </w:rPr>
              <w:t>，</w:t>
            </w:r>
            <w:r>
              <w:rPr>
                <w:rFonts w:hint="eastAsia"/>
                <w:bCs/>
                <w:sz w:val="24"/>
              </w:rPr>
              <w:t>中间原有的北侧花坛拆除</w:t>
            </w:r>
            <w:r>
              <w:rPr>
                <w:rFonts w:hint="eastAsia"/>
                <w:bCs/>
                <w:sz w:val="24"/>
                <w:lang w:eastAsia="zh-CN"/>
              </w:rPr>
              <w:t>改扩建</w:t>
            </w:r>
            <w:r>
              <w:rPr>
                <w:rFonts w:hint="eastAsia"/>
                <w:bCs/>
                <w:sz w:val="24"/>
              </w:rPr>
              <w:t>成停车场</w:t>
            </w:r>
            <w:r>
              <w:rPr>
                <w:rFonts w:hint="eastAsia"/>
                <w:bCs/>
                <w:sz w:val="24"/>
                <w:lang w:eastAsia="zh-CN"/>
              </w:rPr>
              <w:t>，原住院楼西侧新建一栋</w:t>
            </w:r>
            <w:r>
              <w:rPr>
                <w:rFonts w:hint="eastAsia"/>
                <w:bCs/>
                <w:sz w:val="24"/>
                <w:lang w:val="en-US" w:eastAsia="zh-CN"/>
              </w:rPr>
              <w:t>3层的综合一体楼</w:t>
            </w:r>
            <w:r>
              <w:rPr>
                <w:rFonts w:hint="eastAsia"/>
                <w:bCs/>
                <w:sz w:val="24"/>
              </w:rPr>
              <w:t>，</w:t>
            </w:r>
            <w:r>
              <w:rPr>
                <w:rFonts w:hint="eastAsia"/>
                <w:bCs/>
                <w:sz w:val="24"/>
                <w:lang w:eastAsia="zh-CN"/>
              </w:rPr>
              <w:t>新建的综合一体楼总</w:t>
            </w:r>
            <w:r>
              <w:rPr>
                <w:bCs/>
                <w:sz w:val="24"/>
              </w:rPr>
              <w:t>建筑面积</w:t>
            </w:r>
            <w:r>
              <w:rPr>
                <w:rFonts w:hint="eastAsia"/>
                <w:bCs/>
                <w:sz w:val="24"/>
                <w:lang w:eastAsia="zh-CN"/>
              </w:rPr>
              <w:t>2689.05</w:t>
            </w:r>
            <w:r>
              <w:rPr>
                <w:bCs/>
                <w:sz w:val="24"/>
              </w:rPr>
              <w:t>平方米，同时包括供配电工程、绿化工程、给排水及消防工程等配套设施建设工程。项目建成后病床数将从</w:t>
            </w:r>
            <w:r>
              <w:rPr>
                <w:rFonts w:hint="eastAsia"/>
                <w:bCs/>
                <w:sz w:val="24"/>
                <w:lang w:eastAsia="zh-CN"/>
              </w:rPr>
              <w:t>50张</w:t>
            </w:r>
            <w:r>
              <w:rPr>
                <w:bCs/>
                <w:sz w:val="24"/>
              </w:rPr>
              <w:t>增加至</w:t>
            </w:r>
            <w:r>
              <w:rPr>
                <w:rFonts w:hint="eastAsia"/>
                <w:bCs/>
                <w:sz w:val="24"/>
                <w:lang w:eastAsia="zh-CN"/>
              </w:rPr>
              <w:t>60张</w:t>
            </w:r>
            <w:r>
              <w:rPr>
                <w:bCs/>
                <w:sz w:val="24"/>
              </w:rPr>
              <w:t>。</w:t>
            </w:r>
          </w:p>
          <w:p>
            <w:pPr>
              <w:adjustRightInd w:val="0"/>
              <w:snapToGrid w:val="0"/>
              <w:spacing w:line="360" w:lineRule="auto"/>
              <w:rPr>
                <w:b/>
                <w:sz w:val="24"/>
              </w:rPr>
            </w:pPr>
            <w:r>
              <w:rPr>
                <w:rFonts w:hint="eastAsia"/>
                <w:b/>
                <w:sz w:val="24"/>
              </w:rPr>
              <w:t>1、废水</w:t>
            </w:r>
          </w:p>
          <w:p>
            <w:pPr>
              <w:adjustRightInd w:val="0"/>
              <w:snapToGrid w:val="0"/>
              <w:spacing w:line="360" w:lineRule="auto"/>
              <w:ind w:firstLine="480" w:firstLineChars="200"/>
              <w:rPr>
                <w:bCs/>
                <w:sz w:val="24"/>
              </w:rPr>
            </w:pPr>
            <w:r>
              <w:rPr>
                <w:rFonts w:hint="eastAsia"/>
                <w:bCs/>
                <w:sz w:val="24"/>
              </w:rPr>
              <w:t>施工废水主要来自混凝土灌注、施工机械及运输车辆清洗、维修，工程养护过程。施工废水含有石油类污染物及大量悬浮物。SS浓度约为1000～6000mg/L，石油类浓度为15mg/L。根据《湖南省用水定额》，施工用水定额为0.65m</w:t>
            </w:r>
            <w:r>
              <w:rPr>
                <w:rFonts w:hint="eastAsia"/>
                <w:bCs/>
                <w:sz w:val="24"/>
                <w:vertAlign w:val="superscript"/>
              </w:rPr>
              <w:t>3</w:t>
            </w:r>
            <w:r>
              <w:rPr>
                <w:rFonts w:hint="eastAsia"/>
                <w:bCs/>
                <w:sz w:val="24"/>
              </w:rPr>
              <w:t>/m</w:t>
            </w:r>
            <w:r>
              <w:rPr>
                <w:rFonts w:hint="eastAsia"/>
                <w:bCs/>
                <w:sz w:val="24"/>
                <w:vertAlign w:val="superscript"/>
              </w:rPr>
              <w:t>2</w:t>
            </w:r>
            <w:r>
              <w:rPr>
                <w:rFonts w:hint="eastAsia"/>
                <w:bCs/>
                <w:sz w:val="24"/>
              </w:rPr>
              <w:t>，本项目总建筑面积为</w:t>
            </w:r>
            <w:r>
              <w:rPr>
                <w:rFonts w:hint="eastAsia"/>
                <w:bCs/>
                <w:sz w:val="24"/>
                <w:lang w:eastAsia="zh-CN"/>
              </w:rPr>
              <w:t>2689.05</w:t>
            </w:r>
            <w:r>
              <w:rPr>
                <w:rFonts w:hint="eastAsia"/>
                <w:bCs/>
                <w:sz w:val="24"/>
              </w:rPr>
              <w:t>m</w:t>
            </w:r>
            <w:r>
              <w:rPr>
                <w:rFonts w:hint="eastAsia"/>
                <w:bCs/>
                <w:sz w:val="24"/>
                <w:vertAlign w:val="superscript"/>
              </w:rPr>
              <w:t>2</w:t>
            </w:r>
            <w:r>
              <w:rPr>
                <w:rFonts w:hint="eastAsia"/>
                <w:bCs/>
                <w:sz w:val="24"/>
              </w:rPr>
              <w:t>，则施工用水产生量为</w:t>
            </w:r>
            <w:r>
              <w:rPr>
                <w:rFonts w:hint="eastAsia"/>
                <w:bCs/>
                <w:sz w:val="24"/>
                <w:lang w:eastAsia="zh-CN"/>
              </w:rPr>
              <w:t>1747.88</w:t>
            </w:r>
            <w:r>
              <w:rPr>
                <w:rFonts w:hint="eastAsia"/>
                <w:bCs/>
                <w:sz w:val="24"/>
              </w:rPr>
              <w:t>m</w:t>
            </w:r>
            <w:r>
              <w:rPr>
                <w:rFonts w:hint="eastAsia"/>
                <w:bCs/>
                <w:sz w:val="24"/>
                <w:vertAlign w:val="superscript"/>
              </w:rPr>
              <w:t>3</w:t>
            </w:r>
            <w:r>
              <w:rPr>
                <w:rFonts w:hint="eastAsia"/>
                <w:bCs/>
                <w:sz w:val="24"/>
              </w:rPr>
              <w:t>，废水产生量按用水量的60%计算，则施工废水产生量为</w:t>
            </w:r>
            <w:r>
              <w:rPr>
                <w:rFonts w:hint="eastAsia"/>
                <w:bCs/>
                <w:sz w:val="24"/>
                <w:lang w:eastAsia="zh-CN"/>
              </w:rPr>
              <w:t>1048.73</w:t>
            </w:r>
            <w:r>
              <w:rPr>
                <w:rFonts w:hint="eastAsia"/>
                <w:bCs/>
                <w:sz w:val="24"/>
              </w:rPr>
              <w:t>m</w:t>
            </w:r>
            <w:r>
              <w:rPr>
                <w:rFonts w:hint="eastAsia"/>
                <w:bCs/>
                <w:sz w:val="24"/>
                <w:vertAlign w:val="superscript"/>
              </w:rPr>
              <w:t>3</w:t>
            </w:r>
            <w:r>
              <w:rPr>
                <w:rFonts w:hint="eastAsia"/>
                <w:bCs/>
                <w:sz w:val="24"/>
              </w:rPr>
              <w:t>。本项目施工期间施工废水经沉淀池处理后回用。</w:t>
            </w:r>
          </w:p>
          <w:p>
            <w:pPr>
              <w:adjustRightInd w:val="0"/>
              <w:snapToGrid w:val="0"/>
              <w:spacing w:line="360" w:lineRule="auto"/>
              <w:ind w:firstLine="480" w:firstLineChars="200"/>
              <w:rPr>
                <w:bCs/>
                <w:sz w:val="24"/>
              </w:rPr>
            </w:pPr>
            <w:r>
              <w:rPr>
                <w:rFonts w:hint="eastAsia"/>
                <w:bCs/>
                <w:sz w:val="24"/>
              </w:rPr>
              <w:t>本项目不设施工营地，施工人员为20人，施工期为1年，工作时间按180天计。施工人员日常生活中产生的生活废水主要来自卫生间废水，主要污染物为COD、BOD、SS、氨氮等。类比同类型生活废水，废水中COD</w:t>
            </w:r>
            <w:r>
              <w:rPr>
                <w:rFonts w:hint="eastAsia"/>
                <w:bCs/>
                <w:sz w:val="24"/>
                <w:vertAlign w:val="subscript"/>
              </w:rPr>
              <w:t>Cr</w:t>
            </w:r>
            <w:r>
              <w:rPr>
                <w:rFonts w:hint="eastAsia"/>
                <w:bCs/>
                <w:sz w:val="24"/>
              </w:rPr>
              <w:t>、BOD</w:t>
            </w:r>
            <w:r>
              <w:rPr>
                <w:rFonts w:hint="eastAsia"/>
                <w:bCs/>
                <w:sz w:val="24"/>
                <w:vertAlign w:val="subscript"/>
              </w:rPr>
              <w:t>5</w:t>
            </w:r>
            <w:r>
              <w:rPr>
                <w:rFonts w:hint="eastAsia"/>
                <w:bCs/>
                <w:sz w:val="24"/>
              </w:rPr>
              <w:t>、SS、氨氮浓度分别为250mg/L、150mg/L、200mg/L、30mg/L。按人均用水50L/人·天计算，施工期施工人员生活用水量为188m</w:t>
            </w:r>
            <w:r>
              <w:rPr>
                <w:rFonts w:hint="eastAsia"/>
                <w:bCs/>
                <w:sz w:val="24"/>
                <w:vertAlign w:val="superscript"/>
              </w:rPr>
              <w:t>3</w:t>
            </w:r>
            <w:r>
              <w:rPr>
                <w:rFonts w:hint="eastAsia"/>
                <w:bCs/>
                <w:sz w:val="24"/>
              </w:rPr>
              <w:t>，废水量按用水量的80%计，施工人员生活污水产生量为144m</w:t>
            </w:r>
            <w:r>
              <w:rPr>
                <w:rFonts w:hint="eastAsia"/>
                <w:bCs/>
                <w:sz w:val="24"/>
                <w:vertAlign w:val="superscript"/>
              </w:rPr>
              <w:t>3</w:t>
            </w:r>
            <w:r>
              <w:rPr>
                <w:rFonts w:hint="eastAsia"/>
                <w:bCs/>
                <w:sz w:val="24"/>
              </w:rPr>
              <w:t>。本项目施工人员废水依托项目附近居民房舍排水系统处理。</w:t>
            </w:r>
          </w:p>
          <w:p>
            <w:pPr>
              <w:spacing w:line="360" w:lineRule="auto"/>
              <w:ind w:firstLine="480" w:firstLineChars="200"/>
              <w:rPr>
                <w:sz w:val="24"/>
              </w:rPr>
            </w:pPr>
            <w:r>
              <w:rPr>
                <w:rFonts w:hint="eastAsia" w:cs="宋体"/>
                <w:sz w:val="24"/>
              </w:rPr>
              <w:t>对于施工期的废水防治还应采取以下措施加以控制。</w:t>
            </w:r>
          </w:p>
          <w:p>
            <w:pPr>
              <w:spacing w:line="360" w:lineRule="auto"/>
              <w:ind w:firstLine="480" w:firstLineChars="200"/>
              <w:rPr>
                <w:sz w:val="24"/>
              </w:rPr>
            </w:pPr>
            <w:r>
              <w:rPr>
                <w:rFonts w:hint="eastAsia" w:ascii="宋体" w:hAnsi="宋体" w:cs="宋体"/>
                <w:sz w:val="24"/>
              </w:rPr>
              <w:t>①</w:t>
            </w:r>
            <w:r>
              <w:rPr>
                <w:rFonts w:hint="eastAsia" w:cs="宋体"/>
                <w:sz w:val="24"/>
              </w:rPr>
              <w:t>施工期间，安排好施工计划，减少弃土和泥土的裸露时间，以避免受到暴雨的直接冲刷；</w:t>
            </w:r>
          </w:p>
          <w:p>
            <w:pPr>
              <w:spacing w:line="360" w:lineRule="auto"/>
              <w:ind w:firstLine="480" w:firstLineChars="200"/>
              <w:rPr>
                <w:sz w:val="24"/>
              </w:rPr>
            </w:pPr>
            <w:r>
              <w:rPr>
                <w:rFonts w:hint="eastAsia" w:ascii="宋体" w:hAnsi="宋体" w:cs="宋体"/>
                <w:sz w:val="24"/>
              </w:rPr>
              <w:t>②</w:t>
            </w:r>
            <w:r>
              <w:rPr>
                <w:rFonts w:hint="eastAsia" w:cs="宋体"/>
                <w:sz w:val="24"/>
              </w:rPr>
              <w:t>做好各项排水、截水、防止水土流失工作；</w:t>
            </w:r>
          </w:p>
          <w:p>
            <w:pPr>
              <w:spacing w:line="360" w:lineRule="auto"/>
              <w:ind w:firstLine="480" w:firstLineChars="200"/>
              <w:rPr>
                <w:sz w:val="24"/>
              </w:rPr>
            </w:pPr>
            <w:r>
              <w:rPr>
                <w:rFonts w:hint="eastAsia" w:ascii="宋体" w:hAnsi="宋体" w:cs="宋体"/>
                <w:sz w:val="24"/>
              </w:rPr>
              <w:t>③</w:t>
            </w:r>
            <w:r>
              <w:rPr>
                <w:rFonts w:hint="eastAsia" w:cs="宋体"/>
                <w:sz w:val="24"/>
              </w:rPr>
              <w:t>运土、运沙石要保持完好，运输时不宜太满，保证运载过程中不散落；</w:t>
            </w:r>
          </w:p>
          <w:p>
            <w:pPr>
              <w:spacing w:line="360" w:lineRule="auto"/>
              <w:ind w:firstLine="480" w:firstLineChars="200"/>
              <w:rPr>
                <w:rFonts w:cs="宋体"/>
                <w:sz w:val="24"/>
              </w:rPr>
            </w:pPr>
            <w:r>
              <w:rPr>
                <w:rFonts w:hint="eastAsia" w:ascii="宋体" w:hAnsi="宋体" w:cs="宋体"/>
                <w:sz w:val="24"/>
              </w:rPr>
              <w:t>④</w:t>
            </w:r>
            <w:r>
              <w:rPr>
                <w:rFonts w:hint="eastAsia" w:cs="宋体"/>
                <w:sz w:val="24"/>
              </w:rPr>
              <w:t>施工期空地种树植草以绿化，输水管道铺设等施工完毕后应及时恢复原来绿化带，增加工程地面绿化覆盖，美化环境。</w:t>
            </w:r>
          </w:p>
          <w:p>
            <w:pPr>
              <w:adjustRightInd w:val="0"/>
              <w:snapToGrid w:val="0"/>
              <w:spacing w:line="360" w:lineRule="auto"/>
              <w:rPr>
                <w:b/>
                <w:sz w:val="24"/>
              </w:rPr>
            </w:pPr>
            <w:r>
              <w:rPr>
                <w:rFonts w:hint="eastAsia"/>
                <w:b/>
                <w:sz w:val="24"/>
              </w:rPr>
              <w:t>2、废气</w:t>
            </w:r>
          </w:p>
          <w:p>
            <w:pPr>
              <w:adjustRightInd w:val="0"/>
              <w:snapToGrid w:val="0"/>
              <w:spacing w:line="360" w:lineRule="auto"/>
              <w:ind w:firstLine="480" w:firstLineChars="200"/>
              <w:rPr>
                <w:bCs/>
                <w:sz w:val="24"/>
              </w:rPr>
            </w:pPr>
            <w:r>
              <w:rPr>
                <w:rFonts w:hint="eastAsia"/>
                <w:bCs/>
                <w:sz w:val="24"/>
              </w:rPr>
              <w:t>施工废气主要来源于施工场地内扬尘、汽车行驶产生的道路扬尘、施工机械和运输车辆的燃油废气、装修废气等。</w:t>
            </w:r>
          </w:p>
          <w:p>
            <w:pPr>
              <w:adjustRightInd w:val="0"/>
              <w:snapToGrid w:val="0"/>
              <w:spacing w:line="360" w:lineRule="auto"/>
              <w:ind w:firstLine="480" w:firstLineChars="200"/>
              <w:rPr>
                <w:bCs/>
                <w:sz w:val="24"/>
              </w:rPr>
            </w:pPr>
            <w:r>
              <w:rPr>
                <w:rFonts w:hint="eastAsia"/>
                <w:bCs/>
                <w:sz w:val="24"/>
              </w:rPr>
              <w:t>①施工场地扬尘</w:t>
            </w:r>
          </w:p>
          <w:p>
            <w:pPr>
              <w:adjustRightInd w:val="0"/>
              <w:snapToGrid w:val="0"/>
              <w:spacing w:line="360" w:lineRule="auto"/>
              <w:ind w:firstLine="480" w:firstLineChars="200"/>
              <w:rPr>
                <w:bCs/>
                <w:sz w:val="24"/>
              </w:rPr>
            </w:pPr>
            <w:r>
              <w:rPr>
                <w:rFonts w:hint="eastAsia"/>
                <w:bCs/>
                <w:sz w:val="24"/>
              </w:rPr>
              <w:t>由于施工的需要，一些建材需露天堆放；一些施工点表层土壤需人工开挖、堆放，在气候干燥又有风的情况下，会产生扬尘，扬尘量可按堆场起尘的经验公式计算：</w:t>
            </w:r>
          </w:p>
          <w:p>
            <w:pPr>
              <w:widowControl/>
              <w:spacing w:line="360" w:lineRule="auto"/>
              <w:jc w:val="center"/>
              <w:rPr>
                <w:sz w:val="24"/>
              </w:rPr>
            </w:pPr>
            <w:r>
              <w:rPr>
                <w:sz w:val="24"/>
              </w:rPr>
              <w:drawing>
                <wp:inline distT="0" distB="0" distL="114300" distR="114300">
                  <wp:extent cx="1533525" cy="257175"/>
                  <wp:effectExtent l="0" t="0" r="0" b="8255"/>
                  <wp:docPr id="7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5"/>
                          <pic:cNvPicPr>
                            <a:picLocks noChangeAspect="1"/>
                          </pic:cNvPicPr>
                        </pic:nvPicPr>
                        <pic:blipFill>
                          <a:blip r:embed="rId13"/>
                          <a:stretch>
                            <a:fillRect/>
                          </a:stretch>
                        </pic:blipFill>
                        <pic:spPr>
                          <a:xfrm>
                            <a:off x="0" y="0"/>
                            <a:ext cx="1533525" cy="257175"/>
                          </a:xfrm>
                          <a:prstGeom prst="rect">
                            <a:avLst/>
                          </a:prstGeom>
                          <a:noFill/>
                          <a:ln>
                            <a:noFill/>
                          </a:ln>
                        </pic:spPr>
                      </pic:pic>
                    </a:graphicData>
                  </a:graphic>
                </wp:inline>
              </w:drawing>
            </w:r>
          </w:p>
          <w:p>
            <w:pPr>
              <w:widowControl/>
              <w:spacing w:line="360" w:lineRule="auto"/>
              <w:ind w:firstLine="480" w:firstLineChars="200"/>
              <w:jc w:val="left"/>
              <w:rPr>
                <w:sz w:val="24"/>
              </w:rPr>
            </w:pPr>
            <w:r>
              <w:rPr>
                <w:rFonts w:hint="eastAsia" w:cs="宋体"/>
                <w:sz w:val="24"/>
              </w:rPr>
              <w:t>其中：</w:t>
            </w:r>
            <w:r>
              <w:rPr>
                <w:sz w:val="24"/>
              </w:rPr>
              <w:t>Q—</w:t>
            </w:r>
            <w:r>
              <w:rPr>
                <w:rFonts w:hint="eastAsia" w:cs="宋体"/>
                <w:sz w:val="24"/>
              </w:rPr>
              <w:t>起尘量，</w:t>
            </w:r>
            <w:r>
              <w:rPr>
                <w:sz w:val="24"/>
              </w:rPr>
              <w:t>kg/t·a</w:t>
            </w:r>
            <w:r>
              <w:rPr>
                <w:rFonts w:hint="eastAsia" w:cs="宋体"/>
                <w:sz w:val="24"/>
              </w:rPr>
              <w:t>；</w:t>
            </w:r>
          </w:p>
          <w:p>
            <w:pPr>
              <w:widowControl/>
              <w:spacing w:line="360" w:lineRule="auto"/>
              <w:ind w:firstLine="1200" w:firstLineChars="500"/>
              <w:jc w:val="left"/>
              <w:rPr>
                <w:sz w:val="24"/>
              </w:rPr>
            </w:pPr>
            <w:r>
              <w:rPr>
                <w:sz w:val="24"/>
              </w:rPr>
              <w:t>V</w:t>
            </w:r>
            <w:r>
              <w:rPr>
                <w:sz w:val="24"/>
                <w:vertAlign w:val="subscript"/>
              </w:rPr>
              <w:t>50</w:t>
            </w:r>
            <w:r>
              <w:rPr>
                <w:sz w:val="24"/>
              </w:rPr>
              <w:t>—</w:t>
            </w:r>
            <w:r>
              <w:rPr>
                <w:rFonts w:hint="eastAsia" w:cs="宋体"/>
                <w:sz w:val="24"/>
              </w:rPr>
              <w:t>距地面</w:t>
            </w:r>
            <w:r>
              <w:rPr>
                <w:sz w:val="24"/>
              </w:rPr>
              <w:t>50</w:t>
            </w:r>
            <w:r>
              <w:rPr>
                <w:rFonts w:hint="eastAsia" w:cs="宋体"/>
                <w:sz w:val="24"/>
              </w:rPr>
              <w:t>米处风速，</w:t>
            </w:r>
            <w:r>
              <w:rPr>
                <w:sz w:val="24"/>
              </w:rPr>
              <w:t>m/s</w:t>
            </w:r>
            <w:r>
              <w:rPr>
                <w:rFonts w:hint="eastAsia" w:cs="宋体"/>
                <w:sz w:val="24"/>
              </w:rPr>
              <w:t>；</w:t>
            </w:r>
          </w:p>
          <w:p>
            <w:pPr>
              <w:widowControl/>
              <w:spacing w:line="360" w:lineRule="auto"/>
              <w:ind w:firstLine="1200" w:firstLineChars="500"/>
              <w:jc w:val="left"/>
              <w:rPr>
                <w:sz w:val="24"/>
              </w:rPr>
            </w:pPr>
            <w:r>
              <w:rPr>
                <w:sz w:val="24"/>
              </w:rPr>
              <w:t>V</w:t>
            </w:r>
            <w:r>
              <w:rPr>
                <w:sz w:val="24"/>
                <w:vertAlign w:val="subscript"/>
              </w:rPr>
              <w:t>0</w:t>
            </w:r>
            <w:r>
              <w:rPr>
                <w:sz w:val="24"/>
              </w:rPr>
              <w:t>—</w:t>
            </w:r>
            <w:r>
              <w:rPr>
                <w:rFonts w:hint="eastAsia" w:cs="宋体"/>
                <w:sz w:val="24"/>
              </w:rPr>
              <w:t>起尘风速，</w:t>
            </w:r>
            <w:r>
              <w:rPr>
                <w:sz w:val="24"/>
              </w:rPr>
              <w:t>m/s</w:t>
            </w:r>
            <w:r>
              <w:rPr>
                <w:rFonts w:hint="eastAsia" w:cs="宋体"/>
                <w:sz w:val="24"/>
              </w:rPr>
              <w:t>；</w:t>
            </w:r>
          </w:p>
          <w:p>
            <w:pPr>
              <w:widowControl/>
              <w:spacing w:line="360" w:lineRule="auto"/>
              <w:ind w:firstLine="1200" w:firstLineChars="500"/>
              <w:jc w:val="left"/>
              <w:rPr>
                <w:sz w:val="24"/>
              </w:rPr>
            </w:pPr>
            <w:r>
              <w:rPr>
                <w:sz w:val="24"/>
              </w:rPr>
              <w:t>W—</w:t>
            </w:r>
            <w:r>
              <w:rPr>
                <w:rFonts w:hint="eastAsia" w:cs="宋体"/>
                <w:sz w:val="24"/>
              </w:rPr>
              <w:t>尘粒的含水率，</w:t>
            </w:r>
            <w:r>
              <w:rPr>
                <w:sz w:val="24"/>
              </w:rPr>
              <w:t>%</w:t>
            </w:r>
            <w:r>
              <w:rPr>
                <w:rFonts w:hint="eastAsia" w:cs="宋体"/>
                <w:sz w:val="24"/>
              </w:rPr>
              <w:t>。</w:t>
            </w:r>
          </w:p>
          <w:p>
            <w:pPr>
              <w:widowControl/>
              <w:spacing w:line="360" w:lineRule="auto"/>
              <w:ind w:firstLine="480" w:firstLineChars="200"/>
              <w:jc w:val="left"/>
              <w:rPr>
                <w:sz w:val="24"/>
              </w:rPr>
            </w:pPr>
            <w:r>
              <w:rPr>
                <w:rFonts w:hint="eastAsia" w:cs="宋体"/>
                <w:sz w:val="24"/>
              </w:rPr>
              <w:t>起尘量和含水率有关，因此，减少露天堆放和保证一定的含水率及减少裸露地面是减少风力起尘的有效手段。尘粒在空气中的传播扩散情况与风速等气象条件有关，也与尘粒本身的沉降速度有关。不同粒径尘粒的沉降速度见表</w:t>
            </w:r>
            <w:r>
              <w:rPr>
                <w:rFonts w:hint="eastAsia"/>
                <w:sz w:val="24"/>
              </w:rPr>
              <w:t>4-</w:t>
            </w:r>
            <w:r>
              <w:rPr>
                <w:sz w:val="24"/>
              </w:rPr>
              <w:t>1</w:t>
            </w:r>
            <w:r>
              <w:rPr>
                <w:rFonts w:hint="eastAsia" w:cs="宋体"/>
                <w:sz w:val="24"/>
              </w:rPr>
              <w:t>。</w:t>
            </w:r>
          </w:p>
          <w:p>
            <w:pPr>
              <w:widowControl/>
              <w:jc w:val="center"/>
              <w:rPr>
                <w:b/>
                <w:bCs/>
                <w:szCs w:val="21"/>
              </w:rPr>
            </w:pPr>
            <w:r>
              <w:rPr>
                <w:rFonts w:hint="eastAsia" w:cs="宋体"/>
                <w:b/>
                <w:bCs/>
                <w:szCs w:val="21"/>
              </w:rPr>
              <w:t>表</w:t>
            </w:r>
            <w:r>
              <w:rPr>
                <w:rFonts w:hint="eastAsia"/>
                <w:b/>
                <w:bCs/>
                <w:szCs w:val="21"/>
              </w:rPr>
              <w:t>4-</w:t>
            </w:r>
            <w:r>
              <w:rPr>
                <w:b/>
                <w:bCs/>
                <w:szCs w:val="21"/>
              </w:rPr>
              <w:t>1</w:t>
            </w:r>
            <w:r>
              <w:rPr>
                <w:rFonts w:hint="eastAsia" w:cs="宋体"/>
                <w:b/>
                <w:bCs/>
                <w:szCs w:val="21"/>
              </w:rPr>
              <w:t>不同粒径尘粒的沉降速度</w:t>
            </w:r>
          </w:p>
          <w:tbl>
            <w:tblPr>
              <w:tblStyle w:val="27"/>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910"/>
              <w:gridCol w:w="909"/>
              <w:gridCol w:w="909"/>
              <w:gridCol w:w="909"/>
              <w:gridCol w:w="910"/>
              <w:gridCol w:w="909"/>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55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cs="宋体"/>
                      <w:szCs w:val="21"/>
                    </w:rPr>
                    <w:t>粒径</w:t>
                  </w:r>
                  <w:r>
                    <w:rPr>
                      <w:szCs w:val="21"/>
                    </w:rPr>
                    <w:t>(μm)</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40</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5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cs="宋体"/>
                      <w:szCs w:val="21"/>
                    </w:rPr>
                    <w:t>沉降速度</w:t>
                  </w:r>
                  <w:r>
                    <w:rPr>
                      <w:szCs w:val="21"/>
                    </w:rPr>
                    <w:t>(m/s)</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0.03</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0.012</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0.027</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0.048</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0.075</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0.108</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55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cs="宋体"/>
                      <w:szCs w:val="21"/>
                    </w:rPr>
                    <w:t>粒径</w:t>
                  </w:r>
                  <w:r>
                    <w:rPr>
                      <w:szCs w:val="21"/>
                    </w:rPr>
                    <w:t>(μm)</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80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90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100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150</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200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55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cs="宋体"/>
                      <w:szCs w:val="21"/>
                    </w:rPr>
                    <w:t>沉降速度</w:t>
                  </w:r>
                  <w:r>
                    <w:rPr>
                      <w:szCs w:val="21"/>
                    </w:rPr>
                    <w:t>(m/s)</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0.158</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0.170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0.182</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0.239</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0.804</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1.005</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55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cs="宋体"/>
                      <w:szCs w:val="21"/>
                    </w:rPr>
                    <w:t>粒径</w:t>
                  </w:r>
                  <w:r>
                    <w:rPr>
                      <w:szCs w:val="21"/>
                    </w:rPr>
                    <w:t>(μm)</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750</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850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950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55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cs="宋体"/>
                      <w:szCs w:val="21"/>
                    </w:rPr>
                    <w:t>沉降速度</w:t>
                  </w:r>
                  <w:r>
                    <w:rPr>
                      <w:szCs w:val="21"/>
                    </w:rPr>
                    <w:t>(m/s)</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2.211</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2.614</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3.016</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3.418</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3.820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4.222</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4.624</w:t>
                  </w:r>
                </w:p>
              </w:tc>
            </w:tr>
          </w:tbl>
          <w:p>
            <w:pPr>
              <w:widowControl/>
              <w:spacing w:line="360" w:lineRule="auto"/>
              <w:ind w:firstLine="480" w:firstLineChars="200"/>
              <w:jc w:val="left"/>
              <w:rPr>
                <w:sz w:val="24"/>
              </w:rPr>
            </w:pPr>
            <w:r>
              <w:rPr>
                <w:rFonts w:hint="eastAsia" w:cs="宋体"/>
                <w:sz w:val="24"/>
              </w:rPr>
              <w:t>由上表可知，尘粒的沉降速度随粒径的增大而迅速增大，当粒径为</w:t>
            </w:r>
            <w:r>
              <w:rPr>
                <w:sz w:val="24"/>
              </w:rPr>
              <w:t>250μm</w:t>
            </w:r>
            <w:r>
              <w:rPr>
                <w:rFonts w:hint="eastAsia" w:cs="宋体"/>
                <w:sz w:val="24"/>
              </w:rPr>
              <w:t>时，沉降速度为</w:t>
            </w:r>
            <w:r>
              <w:rPr>
                <w:sz w:val="24"/>
              </w:rPr>
              <w:t>1.005m/s</w:t>
            </w:r>
            <w:r>
              <w:rPr>
                <w:rFonts w:hint="eastAsia" w:cs="宋体"/>
                <w:sz w:val="24"/>
              </w:rPr>
              <w:t>，因此可以认为当尘粒大于</w:t>
            </w:r>
            <w:r>
              <w:rPr>
                <w:sz w:val="24"/>
              </w:rPr>
              <w:t>250μm</w:t>
            </w:r>
            <w:r>
              <w:rPr>
                <w:rFonts w:hint="eastAsia" w:cs="宋体"/>
                <w:sz w:val="24"/>
              </w:rPr>
              <w:t>时，主要影响范围在扬尘点下风向近距离范围内，而真正对外环境产生影响的是一些微小尘粒。根据现场的气候情况不同，其影响范围也有所不同。</w:t>
            </w:r>
          </w:p>
          <w:p>
            <w:pPr>
              <w:widowControl/>
              <w:spacing w:line="360" w:lineRule="auto"/>
              <w:ind w:firstLine="480" w:firstLineChars="200"/>
              <w:jc w:val="left"/>
              <w:rPr>
                <w:sz w:val="24"/>
              </w:rPr>
            </w:pPr>
            <w:r>
              <w:rPr>
                <w:rFonts w:hint="eastAsia" w:ascii="宋体" w:hAnsi="宋体" w:cs="宋体"/>
                <w:sz w:val="24"/>
              </w:rPr>
              <w:t>②</w:t>
            </w:r>
            <w:r>
              <w:rPr>
                <w:rFonts w:hint="eastAsia" w:cs="宋体"/>
                <w:sz w:val="24"/>
              </w:rPr>
              <w:t>施工道路扬尘</w:t>
            </w:r>
          </w:p>
          <w:p>
            <w:pPr>
              <w:widowControl/>
              <w:spacing w:line="360" w:lineRule="auto"/>
              <w:ind w:firstLine="480" w:firstLineChars="200"/>
              <w:jc w:val="left"/>
              <w:rPr>
                <w:sz w:val="24"/>
              </w:rPr>
            </w:pPr>
            <w:r>
              <w:rPr>
                <w:rFonts w:hint="eastAsia" w:cs="宋体"/>
                <w:sz w:val="24"/>
              </w:rPr>
              <w:t>据有关文献报道，车辆行驶产生的扬尘占总扬尘的</w:t>
            </w:r>
            <w:r>
              <w:rPr>
                <w:sz w:val="24"/>
              </w:rPr>
              <w:t>60%</w:t>
            </w:r>
            <w:r>
              <w:rPr>
                <w:rFonts w:hint="eastAsia" w:cs="宋体"/>
                <w:sz w:val="24"/>
              </w:rPr>
              <w:t>以上，车辆行驶产生的扬尘，在尘土完全干燥情况下，可按下列经验公式计算：</w:t>
            </w:r>
          </w:p>
          <w:p>
            <w:pPr>
              <w:widowControl/>
              <w:spacing w:line="360" w:lineRule="auto"/>
              <w:jc w:val="center"/>
              <w:rPr>
                <w:sz w:val="24"/>
              </w:rPr>
            </w:pPr>
            <w:r>
              <w:rPr>
                <w:sz w:val="24"/>
              </w:rPr>
              <w:drawing>
                <wp:inline distT="0" distB="0" distL="114300" distR="114300">
                  <wp:extent cx="2171700" cy="342900"/>
                  <wp:effectExtent l="0" t="0" r="0" b="0"/>
                  <wp:docPr id="7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6"/>
                          <pic:cNvPicPr>
                            <a:picLocks noChangeAspect="1"/>
                          </pic:cNvPicPr>
                        </pic:nvPicPr>
                        <pic:blipFill>
                          <a:blip r:embed="rId14"/>
                          <a:stretch>
                            <a:fillRect/>
                          </a:stretch>
                        </pic:blipFill>
                        <pic:spPr>
                          <a:xfrm>
                            <a:off x="0" y="0"/>
                            <a:ext cx="2171700" cy="342900"/>
                          </a:xfrm>
                          <a:prstGeom prst="rect">
                            <a:avLst/>
                          </a:prstGeom>
                          <a:noFill/>
                          <a:ln>
                            <a:noFill/>
                          </a:ln>
                        </pic:spPr>
                      </pic:pic>
                    </a:graphicData>
                  </a:graphic>
                </wp:inline>
              </w:drawing>
            </w:r>
          </w:p>
          <w:p>
            <w:pPr>
              <w:widowControl/>
              <w:spacing w:line="360" w:lineRule="auto"/>
              <w:ind w:firstLine="480" w:firstLineChars="200"/>
              <w:jc w:val="left"/>
              <w:rPr>
                <w:sz w:val="24"/>
              </w:rPr>
            </w:pPr>
            <w:r>
              <w:rPr>
                <w:rFonts w:hint="eastAsia" w:cs="宋体"/>
                <w:sz w:val="24"/>
              </w:rPr>
              <w:t>其中：</w:t>
            </w:r>
            <w:r>
              <w:rPr>
                <w:sz w:val="24"/>
              </w:rPr>
              <w:t>Q—</w:t>
            </w:r>
            <w:r>
              <w:rPr>
                <w:rFonts w:hint="eastAsia" w:cs="宋体"/>
                <w:sz w:val="24"/>
              </w:rPr>
              <w:t>汽车行驶时的扬尘，</w:t>
            </w:r>
            <w:r>
              <w:rPr>
                <w:sz w:val="24"/>
              </w:rPr>
              <w:t>kg/km·</w:t>
            </w:r>
            <w:r>
              <w:rPr>
                <w:rFonts w:hint="eastAsia" w:cs="宋体"/>
                <w:sz w:val="24"/>
              </w:rPr>
              <w:t>辆；</w:t>
            </w:r>
          </w:p>
          <w:p>
            <w:pPr>
              <w:widowControl/>
              <w:spacing w:line="360" w:lineRule="auto"/>
              <w:ind w:firstLine="1200" w:firstLineChars="500"/>
              <w:jc w:val="left"/>
              <w:rPr>
                <w:sz w:val="24"/>
              </w:rPr>
            </w:pPr>
            <w:r>
              <w:rPr>
                <w:sz w:val="24"/>
              </w:rPr>
              <w:t>V—</w:t>
            </w:r>
            <w:r>
              <w:rPr>
                <w:rFonts w:hint="eastAsia" w:cs="宋体"/>
                <w:sz w:val="24"/>
              </w:rPr>
              <w:t>汽车车速，</w:t>
            </w:r>
            <w:r>
              <w:rPr>
                <w:sz w:val="24"/>
              </w:rPr>
              <w:t>km/h</w:t>
            </w:r>
            <w:r>
              <w:rPr>
                <w:rFonts w:hint="eastAsia" w:cs="宋体"/>
                <w:sz w:val="24"/>
              </w:rPr>
              <w:t>；</w:t>
            </w:r>
          </w:p>
          <w:p>
            <w:pPr>
              <w:widowControl/>
              <w:spacing w:line="360" w:lineRule="auto"/>
              <w:ind w:firstLine="1200" w:firstLineChars="500"/>
              <w:jc w:val="left"/>
              <w:rPr>
                <w:sz w:val="24"/>
              </w:rPr>
            </w:pPr>
            <w:r>
              <w:rPr>
                <w:sz w:val="24"/>
              </w:rPr>
              <w:t>W—</w:t>
            </w:r>
            <w:r>
              <w:rPr>
                <w:rFonts w:hint="eastAsia" w:cs="宋体"/>
                <w:sz w:val="24"/>
              </w:rPr>
              <w:t>汽车载重量，</w:t>
            </w:r>
            <w:r>
              <w:rPr>
                <w:sz w:val="24"/>
              </w:rPr>
              <w:t>t</w:t>
            </w:r>
            <w:r>
              <w:rPr>
                <w:rFonts w:hint="eastAsia" w:cs="宋体"/>
                <w:sz w:val="24"/>
              </w:rPr>
              <w:t>；</w:t>
            </w:r>
          </w:p>
          <w:p>
            <w:pPr>
              <w:widowControl/>
              <w:spacing w:line="360" w:lineRule="auto"/>
              <w:ind w:firstLine="1200" w:firstLineChars="500"/>
              <w:jc w:val="left"/>
              <w:rPr>
                <w:sz w:val="24"/>
              </w:rPr>
            </w:pPr>
            <w:r>
              <w:rPr>
                <w:sz w:val="24"/>
              </w:rPr>
              <w:t>P—</w:t>
            </w:r>
            <w:r>
              <w:rPr>
                <w:rFonts w:hint="eastAsia" w:cs="宋体"/>
                <w:sz w:val="24"/>
              </w:rPr>
              <w:t>道路表面粉尘量，</w:t>
            </w:r>
            <w:r>
              <w:rPr>
                <w:sz w:val="24"/>
              </w:rPr>
              <w:t>kg/m</w:t>
            </w:r>
            <w:r>
              <w:rPr>
                <w:sz w:val="24"/>
                <w:vertAlign w:val="superscript"/>
              </w:rPr>
              <w:t>2</w:t>
            </w:r>
            <w:r>
              <w:rPr>
                <w:rFonts w:hint="eastAsia" w:cs="宋体"/>
                <w:sz w:val="24"/>
              </w:rPr>
              <w:t>。</w:t>
            </w:r>
          </w:p>
          <w:p>
            <w:pPr>
              <w:widowControl/>
              <w:spacing w:line="360" w:lineRule="auto"/>
              <w:ind w:firstLine="480" w:firstLineChars="200"/>
              <w:jc w:val="left"/>
              <w:rPr>
                <w:sz w:val="24"/>
              </w:rPr>
            </w:pPr>
            <w:r>
              <w:rPr>
                <w:rFonts w:hint="eastAsia" w:cs="宋体"/>
                <w:sz w:val="24"/>
              </w:rPr>
              <w:t>表</w:t>
            </w:r>
            <w:r>
              <w:rPr>
                <w:rFonts w:hint="eastAsia"/>
                <w:sz w:val="24"/>
              </w:rPr>
              <w:t>4-</w:t>
            </w:r>
            <w:r>
              <w:rPr>
                <w:sz w:val="24"/>
              </w:rPr>
              <w:t>2</w:t>
            </w:r>
            <w:r>
              <w:rPr>
                <w:rFonts w:hint="eastAsia" w:cs="宋体"/>
                <w:sz w:val="24"/>
              </w:rPr>
              <w:t>中为一辆</w:t>
            </w:r>
            <w:r>
              <w:rPr>
                <w:sz w:val="24"/>
              </w:rPr>
              <w:t>10</w:t>
            </w:r>
            <w:r>
              <w:rPr>
                <w:rFonts w:hint="eastAsia" w:cs="宋体"/>
                <w:sz w:val="24"/>
              </w:rPr>
              <w:t>吨卡车，通过长度为</w:t>
            </w:r>
            <w:r>
              <w:rPr>
                <w:sz w:val="24"/>
              </w:rPr>
              <w:t>1km</w:t>
            </w:r>
            <w:r>
              <w:rPr>
                <w:rFonts w:hint="eastAsia" w:cs="宋体"/>
                <w:sz w:val="24"/>
              </w:rPr>
              <w:t>的路面时，路面不同清洁程度，不同行驶速度情况下的扬尘量。</w:t>
            </w:r>
          </w:p>
          <w:p>
            <w:pPr>
              <w:widowControl/>
              <w:jc w:val="center"/>
              <w:rPr>
                <w:b/>
                <w:bCs/>
                <w:szCs w:val="21"/>
              </w:rPr>
            </w:pPr>
            <w:r>
              <w:rPr>
                <w:rFonts w:hint="eastAsia" w:cs="宋体"/>
                <w:b/>
                <w:bCs/>
                <w:szCs w:val="21"/>
              </w:rPr>
              <w:t>表</w:t>
            </w:r>
            <w:r>
              <w:rPr>
                <w:rFonts w:hint="eastAsia"/>
                <w:b/>
                <w:bCs/>
                <w:szCs w:val="21"/>
              </w:rPr>
              <w:t>4-</w:t>
            </w:r>
            <w:r>
              <w:rPr>
                <w:b/>
                <w:bCs/>
                <w:szCs w:val="21"/>
              </w:rPr>
              <w:t>2</w:t>
            </w:r>
            <w:r>
              <w:rPr>
                <w:rFonts w:hint="eastAsia" w:cs="宋体"/>
                <w:b/>
                <w:bCs/>
                <w:szCs w:val="21"/>
              </w:rPr>
              <w:t>在不同车速和地面清洁程度的汽车扬尘</w:t>
            </w:r>
          </w:p>
          <w:tbl>
            <w:tblPr>
              <w:tblStyle w:val="27"/>
              <w:tblW w:w="8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124"/>
              <w:gridCol w:w="1124"/>
              <w:gridCol w:w="1124"/>
              <w:gridCol w:w="1124"/>
              <w:gridCol w:w="112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tcBorders>
                    <w:top w:val="single" w:color="auto" w:sz="4" w:space="0"/>
                    <w:left w:val="single" w:color="auto" w:sz="4" w:space="0"/>
                    <w:bottom w:val="single" w:color="auto" w:sz="4" w:space="0"/>
                    <w:right w:val="single" w:color="auto" w:sz="4" w:space="0"/>
                    <w:tl2br w:val="single" w:color="auto" w:sz="4" w:space="0"/>
                  </w:tcBorders>
                  <w:vAlign w:val="center"/>
                </w:tcPr>
                <w:p>
                  <w:pPr>
                    <w:jc w:val="right"/>
                    <w:rPr>
                      <w:szCs w:val="21"/>
                    </w:rPr>
                  </w:pPr>
                  <w:r>
                    <w:rPr>
                      <w:szCs w:val="21"/>
                    </w:rPr>
                    <w:t>P</w:t>
                  </w:r>
                </w:p>
                <w:p>
                  <w:pPr>
                    <w:rPr>
                      <w:szCs w:val="21"/>
                    </w:rPr>
                  </w:pPr>
                  <w:r>
                    <w:rPr>
                      <w:rFonts w:hint="eastAsia" w:cs="宋体"/>
                      <w:szCs w:val="21"/>
                    </w:rPr>
                    <w:t>车速</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0.1</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0.2</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0.3</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0.4</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0.5</w:t>
                  </w:r>
                </w:p>
              </w:tc>
              <w:tc>
                <w:tcPr>
                  <w:tcW w:w="111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5(km/h)</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0.051</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0.086</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0.116</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0.144</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0.171</w:t>
                  </w:r>
                </w:p>
              </w:tc>
              <w:tc>
                <w:tcPr>
                  <w:tcW w:w="111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10(km/h)</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0.102</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0.171</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0.232</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0.289</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0.341</w:t>
                  </w:r>
                </w:p>
              </w:tc>
              <w:tc>
                <w:tcPr>
                  <w:tcW w:w="111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15(km/h)</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0.153</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0.257</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0.349</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0.433</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0.512</w:t>
                  </w:r>
                </w:p>
              </w:tc>
              <w:tc>
                <w:tcPr>
                  <w:tcW w:w="111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20(km/h)</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0.255</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0.429</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0.582</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0.722</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0.853</w:t>
                  </w:r>
                </w:p>
              </w:tc>
              <w:tc>
                <w:tcPr>
                  <w:tcW w:w="111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1.435</w:t>
                  </w:r>
                </w:p>
              </w:tc>
            </w:tr>
          </w:tbl>
          <w:p>
            <w:pPr>
              <w:widowControl/>
              <w:spacing w:line="360" w:lineRule="auto"/>
              <w:ind w:firstLine="480" w:firstLineChars="200"/>
              <w:jc w:val="left"/>
              <w:rPr>
                <w:sz w:val="24"/>
              </w:rPr>
            </w:pPr>
            <w:r>
              <w:rPr>
                <w:rFonts w:hint="eastAsia" w:cs="宋体"/>
                <w:sz w:val="24"/>
              </w:rPr>
              <w:t>由上表可知，在路面同样清洁程度下，车速越快，扬尘量越大；而在同样车速情况下，路面越脏，扬尘量越大。</w:t>
            </w:r>
          </w:p>
          <w:p>
            <w:pPr>
              <w:spacing w:line="360" w:lineRule="auto"/>
              <w:ind w:firstLine="480" w:firstLineChars="200"/>
              <w:rPr>
                <w:sz w:val="24"/>
              </w:rPr>
            </w:pPr>
            <w:r>
              <w:rPr>
                <w:rFonts w:hint="eastAsia" w:ascii="宋体" w:hAnsi="宋体" w:cs="宋体"/>
                <w:sz w:val="24"/>
              </w:rPr>
              <w:t>③</w:t>
            </w:r>
            <w:r>
              <w:rPr>
                <w:rFonts w:hint="eastAsia" w:cs="宋体"/>
                <w:sz w:val="24"/>
              </w:rPr>
              <w:t>汽车及施工机械废气</w:t>
            </w:r>
          </w:p>
          <w:p>
            <w:pPr>
              <w:spacing w:line="360" w:lineRule="auto"/>
              <w:ind w:firstLine="480" w:firstLineChars="200"/>
              <w:rPr>
                <w:rFonts w:cs="宋体"/>
                <w:sz w:val="24"/>
              </w:rPr>
            </w:pPr>
            <w:r>
              <w:rPr>
                <w:rFonts w:hint="eastAsia" w:cs="宋体"/>
                <w:sz w:val="24"/>
              </w:rPr>
              <w:t>施工运输车辆、各类燃油动力机械在建筑施工、物料运输等施工作业时，会排出各类燃油废气，主要污染物为</w:t>
            </w:r>
            <w:r>
              <w:rPr>
                <w:sz w:val="24"/>
              </w:rPr>
              <w:t>CO</w:t>
            </w:r>
            <w:r>
              <w:rPr>
                <w:rFonts w:hint="eastAsia" w:cs="宋体"/>
                <w:sz w:val="24"/>
              </w:rPr>
              <w:t>、</w:t>
            </w:r>
            <w:r>
              <w:rPr>
                <w:sz w:val="24"/>
              </w:rPr>
              <w:t>NO</w:t>
            </w:r>
            <w:r>
              <w:rPr>
                <w:sz w:val="24"/>
                <w:vertAlign w:val="subscript"/>
              </w:rPr>
              <w:t>X</w:t>
            </w:r>
            <w:r>
              <w:rPr>
                <w:rFonts w:hint="eastAsia" w:cs="宋体"/>
                <w:sz w:val="24"/>
              </w:rPr>
              <w:t>、</w:t>
            </w:r>
            <w:r>
              <w:rPr>
                <w:sz w:val="24"/>
              </w:rPr>
              <w:t>SO</w:t>
            </w:r>
            <w:r>
              <w:rPr>
                <w:sz w:val="24"/>
                <w:vertAlign w:val="subscript"/>
              </w:rPr>
              <w:t>2</w:t>
            </w:r>
            <w:r>
              <w:rPr>
                <w:rFonts w:hint="eastAsia" w:cs="宋体"/>
                <w:sz w:val="24"/>
              </w:rPr>
              <w:t>、烟尘。</w:t>
            </w:r>
          </w:p>
          <w:p>
            <w:pPr>
              <w:widowControl/>
              <w:spacing w:line="360" w:lineRule="auto"/>
              <w:ind w:firstLine="480" w:firstLineChars="200"/>
              <w:jc w:val="left"/>
              <w:rPr>
                <w:rFonts w:ascii="宋体" w:hAnsi="宋体" w:cs="宋体"/>
                <w:sz w:val="24"/>
              </w:rPr>
            </w:pPr>
            <w:r>
              <w:rPr>
                <w:rFonts w:hint="eastAsia" w:ascii="宋体" w:hAnsi="宋体" w:cs="宋体"/>
                <w:sz w:val="24"/>
              </w:rPr>
              <w:t>④旧建筑拆除扬尘</w:t>
            </w:r>
          </w:p>
          <w:p>
            <w:pPr>
              <w:spacing w:line="360" w:lineRule="auto"/>
              <w:ind w:firstLine="480" w:firstLineChars="200"/>
              <w:rPr>
                <w:rFonts w:hint="eastAsia" w:eastAsia="宋体"/>
                <w:color w:val="000000"/>
                <w:sz w:val="24"/>
                <w:u w:val="single"/>
                <w:lang w:eastAsia="zh-CN"/>
              </w:rPr>
            </w:pPr>
            <w:r>
              <w:rPr>
                <w:color w:val="000000"/>
                <w:sz w:val="24"/>
              </w:rPr>
              <w:t>本项目需拆迁建筑面积</w:t>
            </w:r>
            <w:r>
              <w:rPr>
                <w:rFonts w:hint="eastAsia"/>
                <w:color w:val="000000"/>
                <w:sz w:val="24"/>
              </w:rPr>
              <w:t>约2500m</w:t>
            </w:r>
            <w:r>
              <w:rPr>
                <w:rFonts w:hint="eastAsia"/>
                <w:color w:val="000000"/>
                <w:sz w:val="24"/>
                <w:vertAlign w:val="superscript"/>
              </w:rPr>
              <w:t>2</w:t>
            </w:r>
            <w:r>
              <w:rPr>
                <w:color w:val="000000"/>
                <w:sz w:val="24"/>
              </w:rPr>
              <w:t>，类比同类</w:t>
            </w:r>
            <w:r>
              <w:rPr>
                <w:rFonts w:hint="eastAsia"/>
                <w:color w:val="000000"/>
                <w:sz w:val="24"/>
              </w:rPr>
              <w:t>房屋拆除</w:t>
            </w:r>
            <w:r>
              <w:rPr>
                <w:color w:val="000000"/>
                <w:sz w:val="24"/>
              </w:rPr>
              <w:t>工程，</w:t>
            </w:r>
            <w:r>
              <w:rPr>
                <w:rFonts w:hint="eastAsia"/>
                <w:color w:val="000000"/>
                <w:sz w:val="24"/>
              </w:rPr>
              <w:t>旧建筑拆除</w:t>
            </w:r>
            <w:r>
              <w:rPr>
                <w:color w:val="000000"/>
                <w:sz w:val="24"/>
              </w:rPr>
              <w:t>扬尘产生量约</w:t>
            </w:r>
            <w:r>
              <w:rPr>
                <w:rFonts w:hint="eastAsia"/>
                <w:color w:val="000000"/>
                <w:sz w:val="24"/>
              </w:rPr>
              <w:t>3.6</w:t>
            </w:r>
            <w:r>
              <w:rPr>
                <w:color w:val="000000"/>
                <w:sz w:val="24"/>
              </w:rPr>
              <w:t>吨。如果不重视拆迁工地管理，不采取有效措施防治扬尘污染，拆迁作业将造成灰尘飞舞，空气质量下降，本项目拆迁拆迁时间短，对居民点的影响是短暂的。</w:t>
            </w:r>
            <w:r>
              <w:rPr>
                <w:rFonts w:hint="eastAsia"/>
                <w:color w:val="000000"/>
                <w:sz w:val="24"/>
                <w:u w:val="single"/>
                <w:lang w:eastAsia="zh-CN"/>
              </w:rPr>
              <w:t>本环评建议建设单位在拆除过程中采取设置围挡的方式，同时采用湿式作业，定时进行洒水降尘，以进一步减少建筑物拆除粉尘对周边环境的影响。</w:t>
            </w:r>
          </w:p>
          <w:p>
            <w:pPr>
              <w:spacing w:line="360" w:lineRule="auto"/>
              <w:ind w:firstLine="480" w:firstLineChars="200"/>
              <w:rPr>
                <w:rFonts w:cs="宋体"/>
                <w:bCs/>
                <w:sz w:val="24"/>
              </w:rPr>
            </w:pPr>
            <w:r>
              <w:rPr>
                <w:rFonts w:hint="eastAsia" w:cs="宋体"/>
                <w:bCs/>
                <w:sz w:val="24"/>
              </w:rPr>
              <w:t>⑤</w:t>
            </w:r>
            <w:r>
              <w:rPr>
                <w:rFonts w:cs="宋体"/>
                <w:bCs/>
                <w:sz w:val="24"/>
              </w:rPr>
              <w:t>装修废气</w:t>
            </w:r>
          </w:p>
          <w:p>
            <w:pPr>
              <w:widowControl/>
              <w:spacing w:line="360" w:lineRule="auto"/>
              <w:ind w:firstLine="480" w:firstLineChars="200"/>
              <w:jc w:val="left"/>
              <w:rPr>
                <w:rFonts w:cs="宋体"/>
                <w:sz w:val="24"/>
              </w:rPr>
            </w:pPr>
            <w:r>
              <w:rPr>
                <w:rFonts w:hint="eastAsia" w:cs="宋体"/>
                <w:sz w:val="24"/>
              </w:rPr>
              <w:t>装修废气主要来自于房屋装修阶段，该废气的排放属无组织排放，其主要污染因子为二甲苯、甲苯、氨气和甲醛等，此外还有极少量的汽油、丁醇和丙醇等。由于住宅居民装修时间也有先后差异，因此，对周围环境的影响较难预测。本次评价只对该废气作定性分析。</w:t>
            </w:r>
          </w:p>
          <w:p>
            <w:pPr>
              <w:widowControl/>
              <w:spacing w:line="360" w:lineRule="auto"/>
              <w:ind w:firstLine="480" w:firstLineChars="200"/>
              <w:jc w:val="left"/>
              <w:rPr>
                <w:rFonts w:cs="宋体"/>
                <w:sz w:val="24"/>
              </w:rPr>
            </w:pPr>
            <w:r>
              <w:rPr>
                <w:rFonts w:hint="eastAsia" w:cs="宋体"/>
                <w:sz w:val="24"/>
              </w:rPr>
              <w:t>⑥废气环境影响分析及污染防治措施</w:t>
            </w:r>
          </w:p>
          <w:p>
            <w:pPr>
              <w:widowControl/>
              <w:spacing w:line="360" w:lineRule="auto"/>
              <w:ind w:firstLine="480" w:firstLineChars="200"/>
              <w:jc w:val="left"/>
              <w:rPr>
                <w:rFonts w:cs="宋体"/>
                <w:sz w:val="24"/>
              </w:rPr>
            </w:pPr>
            <w:r>
              <w:rPr>
                <w:rFonts w:hint="eastAsia" w:cs="宋体"/>
                <w:sz w:val="24"/>
              </w:rPr>
              <w:t>（1）扬尘</w:t>
            </w:r>
          </w:p>
          <w:p>
            <w:pPr>
              <w:autoSpaceDE w:val="0"/>
              <w:autoSpaceDN w:val="0"/>
              <w:adjustRightInd w:val="0"/>
              <w:snapToGrid w:val="0"/>
              <w:spacing w:line="360" w:lineRule="auto"/>
              <w:ind w:firstLine="480" w:firstLineChars="200"/>
              <w:textAlignment w:val="baseline"/>
              <w:rPr>
                <w:kern w:val="24"/>
                <w:sz w:val="24"/>
              </w:rPr>
            </w:pPr>
            <w:r>
              <w:rPr>
                <w:rFonts w:hint="eastAsia" w:cs="宋体"/>
                <w:kern w:val="24"/>
                <w:sz w:val="24"/>
              </w:rPr>
              <w:t>施工过程中产生的扬尘将对周围地区人群身体健康，以及景观等带来不利影响。另外施工机械和车辆燃烧柴油排放的废气污染对建设地块附近的环境空气质量有影响。</w:t>
            </w:r>
          </w:p>
          <w:p>
            <w:pPr>
              <w:spacing w:line="360" w:lineRule="auto"/>
              <w:ind w:firstLine="480" w:firstLineChars="200"/>
              <w:rPr>
                <w:rFonts w:cs="宋体"/>
                <w:sz w:val="24"/>
              </w:rPr>
            </w:pPr>
            <w:r>
              <w:rPr>
                <w:rFonts w:hint="eastAsia" w:cs="宋体"/>
                <w:sz w:val="24"/>
              </w:rPr>
              <w:t>扬尘防治措施主要是围挡、洒水和覆盖。</w:t>
            </w:r>
            <w:r>
              <w:rPr>
                <w:rFonts w:cs="宋体"/>
                <w:sz w:val="24"/>
              </w:rPr>
              <w:t>建设单位应在施工现场每一个大门口醒目位置按要求设置建筑施工扬尘防治公示牌</w:t>
            </w:r>
            <w:r>
              <w:rPr>
                <w:rFonts w:hint="eastAsia" w:cs="宋体"/>
                <w:sz w:val="24"/>
              </w:rPr>
              <w:t>；</w:t>
            </w:r>
            <w:r>
              <w:rPr>
                <w:rFonts w:cs="宋体"/>
                <w:sz w:val="24"/>
              </w:rPr>
              <w:t>房屋建筑工程（含拆除工程）施工现场四周应连续设置硬质密闭围挡，不得留有缺口，底边要封闭，不得有泥浆外漏。位于城市主干路段的围挡高度不低于2.5米，城市次干道路段不低于2米，其他路段不低于1.8米</w:t>
            </w:r>
            <w:r>
              <w:rPr>
                <w:rFonts w:hint="eastAsia" w:cs="宋体"/>
                <w:sz w:val="24"/>
              </w:rPr>
              <w:t>，</w:t>
            </w:r>
            <w:r>
              <w:rPr>
                <w:rFonts w:cs="宋体"/>
                <w:sz w:val="24"/>
              </w:rPr>
              <w:t>围挡应保持整洁、美观</w:t>
            </w:r>
            <w:r>
              <w:rPr>
                <w:rFonts w:hint="eastAsia" w:cs="宋体"/>
                <w:sz w:val="24"/>
              </w:rPr>
              <w:t>；</w:t>
            </w:r>
            <w:r>
              <w:rPr>
                <w:rFonts w:cs="宋体"/>
                <w:sz w:val="24"/>
              </w:rPr>
              <w:t>施工现场的围挡上方必须沿围挡加装喷雾系统，每隔2米设置1个高压雾化喷头，施工区域要能形成大量水雾，吸附工地上扬起的粉尘颗粒物；施工期间除雨天外每小时开动喷雾系统不少于30分钟，时间间隔为10分钟</w:t>
            </w:r>
            <w:r>
              <w:rPr>
                <w:rFonts w:hint="eastAsia" w:cs="宋体"/>
                <w:sz w:val="24"/>
              </w:rPr>
              <w:t>；</w:t>
            </w:r>
            <w:r>
              <w:rPr>
                <w:rFonts w:cs="宋体"/>
                <w:sz w:val="24"/>
              </w:rPr>
              <w:t>喷雾系统参数应满足规定标准</w:t>
            </w:r>
            <w:r>
              <w:rPr>
                <w:rFonts w:hint="eastAsia" w:cs="宋体"/>
                <w:sz w:val="24"/>
              </w:rPr>
              <w:t>；</w:t>
            </w:r>
            <w:r>
              <w:rPr>
                <w:rFonts w:cs="宋体"/>
                <w:sz w:val="24"/>
              </w:rPr>
              <w:t>施工现场的塔吊应安装喷淋系统</w:t>
            </w:r>
            <w:r>
              <w:rPr>
                <w:rFonts w:hint="eastAsia" w:cs="宋体"/>
                <w:sz w:val="24"/>
              </w:rPr>
              <w:t>；</w:t>
            </w:r>
            <w:r>
              <w:rPr>
                <w:rFonts w:cs="宋体"/>
                <w:sz w:val="24"/>
              </w:rPr>
              <w:t>施工现场必须配备不少于1台满足规定标准的可移动、风送式喷雾机，适时开启降尘</w:t>
            </w:r>
            <w:r>
              <w:rPr>
                <w:rFonts w:hint="eastAsia" w:cs="宋体"/>
                <w:sz w:val="24"/>
              </w:rPr>
              <w:t>；</w:t>
            </w:r>
            <w:r>
              <w:rPr>
                <w:rFonts w:cs="宋体"/>
                <w:sz w:val="24"/>
              </w:rPr>
              <w:t>施工现场所有车辆出口应按规定设置自动冲洗设施，包括冲洗平台、自动洗车机、过水槽、冲洗软管、冲洗枪、排水沟、循环用水装置等，必须收集洗车过程中产生的废水和泥浆，确保车辆不带泥上路、净车出场</w:t>
            </w:r>
            <w:r>
              <w:rPr>
                <w:rFonts w:hint="eastAsia" w:cs="宋体"/>
                <w:sz w:val="24"/>
              </w:rPr>
              <w:t>；</w:t>
            </w:r>
            <w:r>
              <w:rPr>
                <w:rFonts w:cs="宋体"/>
                <w:sz w:val="24"/>
              </w:rPr>
              <w:t>在非降雨期间，施工现场必须定期洒水降尘，洒水次数每天不得少于3次，确保施工现场道路保持潮湿状态，鼓励施工单位沿道路设置自动喷淋设施，实现自动洒水降尘</w:t>
            </w:r>
            <w:r>
              <w:rPr>
                <w:rFonts w:hint="eastAsia" w:cs="宋体"/>
                <w:sz w:val="24"/>
              </w:rPr>
              <w:t>；</w:t>
            </w:r>
            <w:r>
              <w:rPr>
                <w:rFonts w:cs="宋体"/>
                <w:sz w:val="24"/>
              </w:rPr>
              <w:t>施工现场围墙范围内所有闲置场地应进行硬化或绿化，闲置场地裸露地面的裸露时间不得超过7天。闲置时间在2个月以内的可采用满铺防尘网覆盖，闲置时间在2个月及以上的必须硬化或绿化</w:t>
            </w:r>
            <w:r>
              <w:rPr>
                <w:rFonts w:hint="eastAsia" w:cs="宋体"/>
                <w:sz w:val="24"/>
              </w:rPr>
              <w:t>。</w:t>
            </w:r>
          </w:p>
          <w:p>
            <w:pPr>
              <w:spacing w:line="360" w:lineRule="auto"/>
              <w:ind w:firstLine="480" w:firstLineChars="200"/>
              <w:rPr>
                <w:rFonts w:cs="宋体"/>
                <w:sz w:val="24"/>
              </w:rPr>
            </w:pPr>
            <w:r>
              <w:rPr>
                <w:rFonts w:hint="eastAsia" w:cs="宋体"/>
                <w:sz w:val="24"/>
              </w:rPr>
              <w:t>根据资料分析，洒水对控制施工扬尘很有效，特别是对施工近场（</w:t>
            </w:r>
            <w:r>
              <w:rPr>
                <w:rFonts w:cs="宋体"/>
                <w:sz w:val="24"/>
              </w:rPr>
              <w:t>30m</w:t>
            </w:r>
            <w:r>
              <w:rPr>
                <w:rFonts w:hint="eastAsia" w:cs="宋体"/>
                <w:sz w:val="24"/>
              </w:rPr>
              <w:t>以内）降尘效果达</w:t>
            </w:r>
            <w:r>
              <w:rPr>
                <w:rFonts w:cs="宋体"/>
                <w:sz w:val="24"/>
              </w:rPr>
              <w:t>60%</w:t>
            </w:r>
            <w:r>
              <w:rPr>
                <w:rFonts w:hint="eastAsia" w:cs="宋体"/>
                <w:sz w:val="24"/>
              </w:rPr>
              <w:t>以上，同时扬尘的影响范围也减</w:t>
            </w:r>
            <w:r>
              <w:rPr>
                <w:rFonts w:cs="宋体"/>
                <w:sz w:val="24"/>
              </w:rPr>
              <w:t>70%</w:t>
            </w:r>
            <w:r>
              <w:rPr>
                <w:rFonts w:hint="eastAsia" w:cs="宋体"/>
                <w:sz w:val="24"/>
              </w:rPr>
              <w:t>左右，严格按照上述措施治理后，拟建项目施工期扬尘对周围环境空气质量的影响较小。</w:t>
            </w:r>
          </w:p>
          <w:p>
            <w:pPr>
              <w:widowControl/>
              <w:spacing w:line="360" w:lineRule="auto"/>
              <w:ind w:firstLine="480" w:firstLineChars="200"/>
              <w:jc w:val="left"/>
              <w:rPr>
                <w:rFonts w:cs="宋体"/>
                <w:sz w:val="24"/>
              </w:rPr>
            </w:pPr>
            <w:r>
              <w:rPr>
                <w:rFonts w:hint="eastAsia" w:cs="宋体"/>
                <w:sz w:val="24"/>
              </w:rPr>
              <w:t>（</w:t>
            </w:r>
            <w:r>
              <w:rPr>
                <w:rFonts w:cs="宋体"/>
                <w:sz w:val="24"/>
              </w:rPr>
              <w:t>2</w:t>
            </w:r>
            <w:r>
              <w:rPr>
                <w:rFonts w:hint="eastAsia" w:cs="宋体"/>
                <w:sz w:val="24"/>
              </w:rPr>
              <w:t>）施工机械废气和装修废气</w:t>
            </w:r>
          </w:p>
          <w:p>
            <w:pPr>
              <w:widowControl/>
              <w:spacing w:line="360" w:lineRule="auto"/>
              <w:ind w:firstLine="480" w:firstLineChars="200"/>
              <w:jc w:val="left"/>
              <w:rPr>
                <w:rFonts w:cs="宋体"/>
                <w:sz w:val="24"/>
              </w:rPr>
            </w:pPr>
            <w:r>
              <w:rPr>
                <w:rFonts w:hint="eastAsia" w:cs="宋体"/>
                <w:sz w:val="24"/>
              </w:rPr>
              <w:t>施工机械和装修阶段产生的废气，在不采取措施的情况下即可实现达标排放，但是，为了避免施工机械故障等原因导致其废气的超标排放，本环评建议在施工期内多注意施工设备的维护，使其能够正常的运行，从而可以避免不必要的环境损失。项目装修过程会产生一定量的装修烟气，</w:t>
            </w:r>
            <w:r>
              <w:rPr>
                <w:rFonts w:cs="宋体"/>
                <w:sz w:val="24"/>
              </w:rPr>
              <w:t>但这种污染源较分散且为流动性，污染物排放量不大，表现为局部和间歇性，故对周边大气环境的影响程度较轻</w:t>
            </w:r>
            <w:r>
              <w:rPr>
                <w:rFonts w:hint="eastAsia" w:cs="宋体"/>
                <w:sz w:val="24"/>
              </w:rPr>
              <w:t>。</w:t>
            </w:r>
          </w:p>
          <w:p>
            <w:pPr>
              <w:widowControl/>
              <w:spacing w:line="360" w:lineRule="auto"/>
              <w:ind w:firstLine="480" w:firstLineChars="200"/>
              <w:jc w:val="left"/>
              <w:rPr>
                <w:rFonts w:cs="宋体"/>
                <w:sz w:val="24"/>
              </w:rPr>
            </w:pPr>
            <w:r>
              <w:rPr>
                <w:rFonts w:hint="eastAsia" w:cs="宋体"/>
                <w:sz w:val="24"/>
              </w:rPr>
              <w:t>综上所述，当施工单位严格执行本环评提出的措施之后，可以使其对大气环境质量影响降到最低，项目对大气影响将随着施工期的结束而结束，不会对项目周边的敏感点产生影响。</w:t>
            </w:r>
          </w:p>
          <w:p>
            <w:pPr>
              <w:adjustRightInd w:val="0"/>
              <w:snapToGrid w:val="0"/>
              <w:spacing w:line="360" w:lineRule="auto"/>
              <w:rPr>
                <w:b/>
                <w:spacing w:val="-10"/>
                <w:sz w:val="24"/>
              </w:rPr>
            </w:pPr>
            <w:r>
              <w:rPr>
                <w:rFonts w:hint="eastAsia"/>
                <w:b/>
                <w:spacing w:val="-10"/>
                <w:sz w:val="24"/>
              </w:rPr>
              <w:t>3、噪声</w:t>
            </w:r>
          </w:p>
          <w:p>
            <w:pPr>
              <w:spacing w:line="360" w:lineRule="auto"/>
              <w:ind w:firstLine="480" w:firstLineChars="200"/>
              <w:rPr>
                <w:rFonts w:cs="宋体"/>
                <w:sz w:val="24"/>
              </w:rPr>
            </w:pPr>
            <w:r>
              <w:rPr>
                <w:rFonts w:hint="eastAsia" w:cs="宋体"/>
                <w:sz w:val="24"/>
              </w:rPr>
              <w:t>噪声污染是施工期的主要环境问题，噪声源主要为施工机械产生的噪声。建筑施工阶段噪声源主要有装载机、打桩机和各种运输车辆，基本为移动式声源，无明显指向性，各种平地车、空压等基本属固定源安装队伍施工一般时间较短，声源数量少。</w:t>
            </w:r>
            <w:r>
              <w:rPr>
                <w:rFonts w:cs="宋体"/>
                <w:sz w:val="24"/>
              </w:rPr>
              <w:t>噪声源强约</w:t>
            </w:r>
            <w:r>
              <w:rPr>
                <w:rFonts w:hint="eastAsia" w:cs="宋体"/>
                <w:sz w:val="24"/>
              </w:rPr>
              <w:t>75</w:t>
            </w:r>
            <w:r>
              <w:rPr>
                <w:rFonts w:cs="宋体"/>
                <w:sz w:val="24"/>
              </w:rPr>
              <w:t>~</w:t>
            </w:r>
            <w:r>
              <w:rPr>
                <w:rFonts w:hint="eastAsia" w:cs="宋体"/>
                <w:sz w:val="24"/>
              </w:rPr>
              <w:t>105</w:t>
            </w:r>
            <w:r>
              <w:rPr>
                <w:rFonts w:cs="宋体"/>
                <w:sz w:val="24"/>
              </w:rPr>
              <w:t>dB（A）。</w:t>
            </w:r>
          </w:p>
          <w:p>
            <w:pPr>
              <w:spacing w:line="360" w:lineRule="auto"/>
              <w:ind w:firstLine="480" w:firstLineChars="200"/>
              <w:rPr>
                <w:rFonts w:cs="宋体"/>
                <w:sz w:val="24"/>
              </w:rPr>
            </w:pPr>
            <w:r>
              <w:rPr>
                <w:rFonts w:hint="eastAsia" w:cs="宋体"/>
                <w:sz w:val="24"/>
              </w:rPr>
              <w:t>建议施工单位采取以下措施以减轻噪声对周边环境的影响。</w:t>
            </w:r>
          </w:p>
          <w:p>
            <w:pPr>
              <w:spacing w:line="360" w:lineRule="auto"/>
              <w:ind w:firstLine="480" w:firstLineChars="200"/>
              <w:rPr>
                <w:rFonts w:cs="宋体"/>
                <w:sz w:val="24"/>
              </w:rPr>
            </w:pPr>
            <w:r>
              <w:rPr>
                <w:rFonts w:hint="eastAsia" w:cs="宋体"/>
                <w:sz w:val="24"/>
              </w:rPr>
              <w:t>（1）从源头上控制</w:t>
            </w:r>
          </w:p>
          <w:p>
            <w:pPr>
              <w:spacing w:line="360" w:lineRule="auto"/>
              <w:ind w:firstLine="480" w:firstLineChars="200"/>
              <w:rPr>
                <w:rFonts w:cs="宋体"/>
                <w:sz w:val="24"/>
              </w:rPr>
            </w:pPr>
            <w:r>
              <w:rPr>
                <w:rFonts w:hint="eastAsia" w:cs="宋体"/>
                <w:sz w:val="24"/>
              </w:rPr>
              <w:t>选用低噪声及振动的机械设备，如低噪声和振动的液压机械。同时在施工过程中设专人对设备进行定期保养和维护，并负责对现场工作人员进行培训，严格按操作规范使用各类机械。</w:t>
            </w:r>
          </w:p>
          <w:p>
            <w:pPr>
              <w:spacing w:line="360" w:lineRule="auto"/>
              <w:ind w:firstLine="480" w:firstLineChars="200"/>
              <w:rPr>
                <w:rFonts w:cs="宋体"/>
                <w:sz w:val="24"/>
              </w:rPr>
            </w:pPr>
            <w:r>
              <w:rPr>
                <w:rFonts w:hint="eastAsia" w:cs="宋体"/>
                <w:sz w:val="24"/>
              </w:rPr>
              <w:t>（2）合理布置施工设备</w:t>
            </w:r>
          </w:p>
          <w:p>
            <w:pPr>
              <w:spacing w:line="360" w:lineRule="auto"/>
              <w:ind w:firstLine="480" w:firstLineChars="200"/>
              <w:rPr>
                <w:rFonts w:cs="宋体"/>
                <w:sz w:val="24"/>
              </w:rPr>
            </w:pPr>
            <w:r>
              <w:rPr>
                <w:rFonts w:hint="eastAsia" w:cs="宋体"/>
                <w:sz w:val="24"/>
              </w:rPr>
              <w:t>合理布置施工设备，在不影响施工情况下将噪声设备尽量安置在远离环境敏感点一侧，通过距离和围墙等隔声装置进行噪声衰减。</w:t>
            </w:r>
          </w:p>
          <w:p>
            <w:pPr>
              <w:spacing w:line="360" w:lineRule="auto"/>
              <w:ind w:firstLine="480" w:firstLineChars="200"/>
              <w:rPr>
                <w:rFonts w:cs="宋体"/>
                <w:sz w:val="24"/>
              </w:rPr>
            </w:pPr>
            <w:r>
              <w:rPr>
                <w:rFonts w:hint="eastAsia" w:cs="宋体"/>
                <w:sz w:val="24"/>
              </w:rPr>
              <w:t>（3）合理安排时间</w:t>
            </w:r>
          </w:p>
          <w:p>
            <w:pPr>
              <w:spacing w:line="360" w:lineRule="auto"/>
              <w:ind w:firstLine="480" w:firstLineChars="200"/>
              <w:rPr>
                <w:rFonts w:cs="宋体"/>
                <w:sz w:val="24"/>
              </w:rPr>
            </w:pPr>
            <w:r>
              <w:rPr>
                <w:rFonts w:hint="eastAsia" w:cs="宋体"/>
                <w:sz w:val="24"/>
              </w:rPr>
              <w:t>科学管理、精心施工，加快施工进度，将噪声级较大的施工活动尽量安排在白天，夜间进行噪声级较小的施工活动，对主要噪声源在夜间（22：00-06：00）禁止施工，除工程必须并取得区级以上人民政府或环保部门证明，同时事先告知周围居民、单位，以取得谅解，严禁在22：00-6：00期间施工。</w:t>
            </w:r>
          </w:p>
          <w:p>
            <w:pPr>
              <w:spacing w:line="360" w:lineRule="auto"/>
              <w:ind w:firstLine="480" w:firstLineChars="200"/>
              <w:rPr>
                <w:rFonts w:cs="宋体"/>
                <w:sz w:val="24"/>
              </w:rPr>
            </w:pPr>
            <w:r>
              <w:rPr>
                <w:rFonts w:hint="eastAsia" w:cs="宋体"/>
                <w:sz w:val="24"/>
              </w:rPr>
              <w:t>（4）加强施工场地的噪声管理</w:t>
            </w:r>
          </w:p>
          <w:p>
            <w:pPr>
              <w:spacing w:line="360" w:lineRule="auto"/>
              <w:ind w:firstLine="480" w:firstLineChars="200"/>
              <w:rPr>
                <w:rFonts w:cs="宋体"/>
                <w:sz w:val="24"/>
              </w:rPr>
            </w:pPr>
            <w:r>
              <w:rPr>
                <w:rFonts w:hint="eastAsia" w:cs="宋体"/>
                <w:sz w:val="24"/>
              </w:rPr>
              <w:t>施工企业对施工噪声进行自律，文明施工，砂石等原料选择在白天运输、卸落，避免因施工噪声产生纠纷。</w:t>
            </w:r>
          </w:p>
          <w:p>
            <w:pPr>
              <w:spacing w:line="360" w:lineRule="auto"/>
              <w:ind w:firstLine="480" w:firstLineChars="200"/>
              <w:rPr>
                <w:rFonts w:cs="宋体"/>
                <w:sz w:val="24"/>
              </w:rPr>
            </w:pPr>
            <w:r>
              <w:rPr>
                <w:rFonts w:hint="eastAsia" w:cs="宋体"/>
                <w:sz w:val="24"/>
              </w:rPr>
              <w:t>（5）加强运输车辆的管理</w:t>
            </w:r>
          </w:p>
          <w:p>
            <w:pPr>
              <w:spacing w:line="360" w:lineRule="auto"/>
              <w:ind w:firstLine="480" w:firstLineChars="200"/>
              <w:rPr>
                <w:rFonts w:cs="宋体"/>
                <w:sz w:val="24"/>
              </w:rPr>
            </w:pPr>
            <w:r>
              <w:rPr>
                <w:rFonts w:hint="eastAsia" w:cs="宋体"/>
                <w:sz w:val="24"/>
              </w:rPr>
              <w:t>为减轻运输车辆的运输噪声对周边敏感点的影响，本环评建议建设单位加强车辆进入施工场地的管理，禁止鸣笛。</w:t>
            </w:r>
          </w:p>
          <w:p>
            <w:pPr>
              <w:spacing w:line="360" w:lineRule="auto"/>
              <w:ind w:firstLine="480" w:firstLineChars="200"/>
              <w:rPr>
                <w:rFonts w:cs="宋体"/>
                <w:sz w:val="24"/>
              </w:rPr>
            </w:pPr>
            <w:r>
              <w:rPr>
                <w:rFonts w:hint="eastAsia" w:cs="宋体"/>
                <w:sz w:val="24"/>
              </w:rPr>
              <w:t>以上各项措施是可行的，关键是在施工时要严格加强管理，切实落实各项治理措施，在此前提下，本项目在施工期对声环境质量的影响可降至最低。</w:t>
            </w:r>
          </w:p>
          <w:p>
            <w:pPr>
              <w:adjustRightInd w:val="0"/>
              <w:snapToGrid w:val="0"/>
              <w:spacing w:line="360" w:lineRule="auto"/>
              <w:rPr>
                <w:b/>
                <w:spacing w:val="-10"/>
                <w:sz w:val="24"/>
              </w:rPr>
            </w:pPr>
            <w:r>
              <w:rPr>
                <w:rFonts w:hint="eastAsia"/>
                <w:b/>
                <w:spacing w:val="-10"/>
                <w:sz w:val="24"/>
              </w:rPr>
              <w:t>4、固体废物</w:t>
            </w:r>
          </w:p>
          <w:p>
            <w:pPr>
              <w:spacing w:line="360" w:lineRule="auto"/>
              <w:ind w:firstLine="480" w:firstLineChars="200"/>
              <w:rPr>
                <w:sz w:val="24"/>
              </w:rPr>
            </w:pPr>
            <w:r>
              <w:rPr>
                <w:rFonts w:hint="eastAsia" w:cs="宋体"/>
                <w:sz w:val="24"/>
              </w:rPr>
              <w:t>本建设项目施工期固体废物的产生来源主要为施工过程中产生的建筑垃圾以及施工人员生活垃圾等。</w:t>
            </w:r>
          </w:p>
          <w:p>
            <w:pPr>
              <w:spacing w:line="360" w:lineRule="auto"/>
              <w:ind w:firstLine="480" w:firstLineChars="200"/>
              <w:rPr>
                <w:rFonts w:cs="宋体"/>
                <w:sz w:val="24"/>
              </w:rPr>
            </w:pPr>
            <w:r>
              <w:rPr>
                <w:rFonts w:hint="eastAsia" w:cs="宋体"/>
                <w:sz w:val="24"/>
              </w:rPr>
              <w:t>①建筑垃圾</w:t>
            </w:r>
          </w:p>
          <w:p>
            <w:pPr>
              <w:adjustRightInd w:val="0"/>
              <w:snapToGrid w:val="0"/>
              <w:spacing w:line="360" w:lineRule="auto"/>
              <w:ind w:firstLine="480" w:firstLineChars="200"/>
              <w:rPr>
                <w:bCs/>
                <w:sz w:val="24"/>
              </w:rPr>
            </w:pPr>
            <w:r>
              <w:rPr>
                <w:rFonts w:hint="eastAsia"/>
                <w:bCs/>
                <w:sz w:val="24"/>
              </w:rPr>
              <w:t>本项目建筑垃圾主要为原有建筑拆除产生建筑垃圾和新建综合楼及附属建筑等产生的建筑垃圾。垃圾的主要成分为废弃砖石、废弃钢材及边角料等。原有建筑拆除产生建筑垃圾按照1.3t/m</w:t>
            </w:r>
            <w:r>
              <w:rPr>
                <w:rFonts w:hint="eastAsia"/>
                <w:bCs/>
                <w:sz w:val="24"/>
                <w:vertAlign w:val="superscript"/>
              </w:rPr>
              <w:t>2</w:t>
            </w:r>
            <w:r>
              <w:rPr>
                <w:rFonts w:hint="eastAsia"/>
                <w:bCs/>
                <w:sz w:val="24"/>
              </w:rPr>
              <w:t>计算，项目需拆除原有建筑约2500m</w:t>
            </w:r>
            <w:r>
              <w:rPr>
                <w:rFonts w:hint="eastAsia"/>
                <w:bCs/>
                <w:sz w:val="24"/>
                <w:vertAlign w:val="superscript"/>
              </w:rPr>
              <w:t>2</w:t>
            </w:r>
            <w:r>
              <w:rPr>
                <w:rFonts w:hint="eastAsia"/>
                <w:bCs/>
                <w:sz w:val="24"/>
              </w:rPr>
              <w:t>，则施工期拆除原有建筑产生建筑垃圾约为3250t。建筑及装修垃圾产生量约4.4kg/m</w:t>
            </w:r>
            <w:r>
              <w:rPr>
                <w:rFonts w:hint="eastAsia"/>
                <w:bCs/>
                <w:sz w:val="24"/>
                <w:vertAlign w:val="superscript"/>
              </w:rPr>
              <w:t>2</w:t>
            </w:r>
            <w:r>
              <w:rPr>
                <w:rFonts w:hint="eastAsia"/>
                <w:bCs/>
                <w:sz w:val="24"/>
              </w:rPr>
              <w:t>，本项目总建筑面积</w:t>
            </w:r>
            <w:r>
              <w:rPr>
                <w:rFonts w:hint="eastAsia"/>
                <w:bCs/>
                <w:sz w:val="24"/>
                <w:lang w:eastAsia="zh-CN"/>
              </w:rPr>
              <w:t>2689.05</w:t>
            </w:r>
            <w:r>
              <w:rPr>
                <w:rFonts w:hint="eastAsia"/>
                <w:bCs/>
                <w:sz w:val="24"/>
              </w:rPr>
              <w:t>m</w:t>
            </w:r>
            <w:r>
              <w:rPr>
                <w:rFonts w:hint="eastAsia"/>
                <w:bCs/>
                <w:sz w:val="24"/>
                <w:vertAlign w:val="superscript"/>
              </w:rPr>
              <w:t>2</w:t>
            </w:r>
            <w:r>
              <w:rPr>
                <w:rFonts w:hint="eastAsia"/>
                <w:bCs/>
                <w:sz w:val="24"/>
              </w:rPr>
              <w:t>，施工期产生的建筑垃圾</w:t>
            </w:r>
            <w:r>
              <w:rPr>
                <w:rFonts w:hint="eastAsia"/>
                <w:bCs/>
                <w:sz w:val="24"/>
                <w:lang w:eastAsia="zh-CN"/>
              </w:rPr>
              <w:t>11.83t</w:t>
            </w:r>
            <w:r>
              <w:rPr>
                <w:rFonts w:hint="eastAsia"/>
                <w:bCs/>
                <w:sz w:val="24"/>
              </w:rPr>
              <w:t>。经集中收集后，由施工单位统一清运至渣土管理部门指定地点。</w:t>
            </w:r>
          </w:p>
          <w:p>
            <w:pPr>
              <w:spacing w:line="360" w:lineRule="auto"/>
              <w:ind w:firstLine="480" w:firstLineChars="200"/>
              <w:rPr>
                <w:rFonts w:cs="宋体"/>
                <w:sz w:val="24"/>
              </w:rPr>
            </w:pPr>
            <w:r>
              <w:rPr>
                <w:rFonts w:hint="eastAsia" w:cs="宋体"/>
                <w:sz w:val="24"/>
              </w:rPr>
              <w:t>②生活垃圾</w:t>
            </w:r>
          </w:p>
          <w:p>
            <w:pPr>
              <w:adjustRightInd w:val="0"/>
              <w:snapToGrid w:val="0"/>
              <w:spacing w:line="360" w:lineRule="auto"/>
              <w:ind w:firstLine="480" w:firstLineChars="200"/>
              <w:rPr>
                <w:bCs/>
                <w:sz w:val="24"/>
              </w:rPr>
            </w:pPr>
            <w:r>
              <w:rPr>
                <w:rFonts w:hint="eastAsia"/>
                <w:bCs/>
                <w:sz w:val="24"/>
              </w:rPr>
              <w:t>项目施工人数20人，生活垃圾产生系数以0.5kg/人·d计，施工期按180天计，则施工期生活垃圾产生量为1.8t。建筑单位采取定点堆放、即产即清的方法交由环卫部门收集处置。</w:t>
            </w:r>
          </w:p>
          <w:p>
            <w:pPr>
              <w:spacing w:line="360" w:lineRule="auto"/>
              <w:rPr>
                <w:b/>
                <w:bCs/>
                <w:sz w:val="24"/>
              </w:rPr>
            </w:pPr>
            <w:r>
              <w:rPr>
                <w:b/>
                <w:bCs/>
                <w:sz w:val="24"/>
              </w:rPr>
              <w:t>5</w:t>
            </w:r>
            <w:r>
              <w:rPr>
                <w:rFonts w:hint="eastAsia"/>
                <w:b/>
                <w:bCs/>
                <w:sz w:val="24"/>
              </w:rPr>
              <w:t>、</w:t>
            </w:r>
            <w:r>
              <w:rPr>
                <w:b/>
                <w:bCs/>
                <w:sz w:val="24"/>
              </w:rPr>
              <w:t>生态环境</w:t>
            </w:r>
          </w:p>
          <w:p>
            <w:pPr>
              <w:spacing w:line="360" w:lineRule="auto"/>
              <w:ind w:firstLine="480" w:firstLineChars="200"/>
              <w:rPr>
                <w:sz w:val="24"/>
              </w:rPr>
            </w:pPr>
            <w:r>
              <w:rPr>
                <w:sz w:val="24"/>
              </w:rPr>
              <w:t>本项目利用现有场地进行建设，不占用</w:t>
            </w:r>
            <w:r>
              <w:rPr>
                <w:rFonts w:hint="eastAsia"/>
                <w:sz w:val="24"/>
              </w:rPr>
              <w:t>医院</w:t>
            </w:r>
            <w:r>
              <w:rPr>
                <w:sz w:val="24"/>
              </w:rPr>
              <w:t>外土地，项目建设对生态的最大影响体现在建设期间，遇上暴雨天气，裸露地面会产生一定的水土流失。</w:t>
            </w:r>
          </w:p>
          <w:p>
            <w:pPr>
              <w:spacing w:line="360" w:lineRule="auto"/>
              <w:ind w:firstLine="480" w:firstLineChars="200"/>
              <w:rPr>
                <w:sz w:val="24"/>
              </w:rPr>
            </w:pPr>
            <w:r>
              <w:rPr>
                <w:sz w:val="24"/>
              </w:rPr>
              <w:t>本项目建设过程中，会扰动表土结构，破坏道路沿线原有地貌和植被，造成部分土地裸露，导致不同程度的土壤侵蚀、水土流失现象。这种现象尤其是在雨季或暴雨天气会变得更为突出。主要是项目建设时场地平整、施工车辆往来频繁，将造成表土流失。</w:t>
            </w:r>
          </w:p>
          <w:p>
            <w:pPr>
              <w:spacing w:line="360" w:lineRule="auto"/>
              <w:ind w:firstLine="480" w:firstLineChars="200"/>
              <w:rPr>
                <w:sz w:val="24"/>
              </w:rPr>
            </w:pPr>
            <w:r>
              <w:rPr>
                <w:sz w:val="24"/>
              </w:rPr>
              <w:t>场地开挖等活动将会使地表土松散，在大雨或暴雨天气下受地表径流的冲刷作用而发生水土流失，施工产生的弃土处置不当也可能发生水土流失。</w:t>
            </w:r>
          </w:p>
          <w:p>
            <w:pPr>
              <w:spacing w:line="360" w:lineRule="auto"/>
              <w:ind w:firstLine="480" w:firstLineChars="200"/>
              <w:rPr>
                <w:bCs/>
                <w:sz w:val="24"/>
              </w:rPr>
            </w:pPr>
            <w:r>
              <w:rPr>
                <w:bCs/>
                <w:sz w:val="24"/>
              </w:rPr>
              <w:t>本项目施工期的生态保护措施如下：</w:t>
            </w:r>
          </w:p>
          <w:p>
            <w:pPr>
              <w:spacing w:line="360" w:lineRule="auto"/>
              <w:ind w:firstLine="480" w:firstLineChars="200"/>
              <w:rPr>
                <w:bCs/>
                <w:sz w:val="24"/>
              </w:rPr>
            </w:pPr>
            <w:r>
              <w:rPr>
                <w:bCs/>
                <w:sz w:val="24"/>
              </w:rPr>
              <w:t>（1）在工程设计和施工方案实施时充分考虑裸露地表的水土保持问题。尽可能使土建大面积破土阶段避开雨季；</w:t>
            </w:r>
          </w:p>
          <w:p>
            <w:pPr>
              <w:spacing w:line="360" w:lineRule="auto"/>
              <w:ind w:firstLine="480" w:firstLineChars="200"/>
              <w:rPr>
                <w:bCs/>
                <w:sz w:val="24"/>
              </w:rPr>
            </w:pPr>
            <w:r>
              <w:rPr>
                <w:bCs/>
                <w:sz w:val="24"/>
              </w:rPr>
              <w:t>（2）减少施工面的裸露时间，进行及时的防护工作，施工单位在施工同时进行及时的水土保持；</w:t>
            </w:r>
          </w:p>
          <w:p>
            <w:pPr>
              <w:spacing w:line="360" w:lineRule="auto"/>
              <w:ind w:firstLine="480" w:firstLineChars="200"/>
              <w:rPr>
                <w:bCs/>
                <w:sz w:val="24"/>
              </w:rPr>
            </w:pPr>
            <w:r>
              <w:rPr>
                <w:bCs/>
                <w:sz w:val="24"/>
              </w:rPr>
              <w:t>（3）施工区地表水出口建设沉沙池并经常清理，地表水经沉降后方排放，同时沉砂池定期清理。</w:t>
            </w:r>
          </w:p>
          <w:p>
            <w:pPr>
              <w:spacing w:line="360" w:lineRule="auto"/>
              <w:ind w:firstLine="480" w:firstLineChars="200"/>
              <w:rPr>
                <w:bCs/>
                <w:sz w:val="24"/>
              </w:rPr>
            </w:pPr>
            <w:r>
              <w:rPr>
                <w:bCs/>
                <w:sz w:val="24"/>
              </w:rPr>
              <w:t>（4）严格限制在雨季施工时，禁止在暴雨时进行施工。</w:t>
            </w:r>
          </w:p>
          <w:p>
            <w:pPr>
              <w:spacing w:line="360" w:lineRule="auto"/>
              <w:ind w:firstLine="480" w:firstLineChars="200"/>
              <w:rPr>
                <w:bCs/>
                <w:sz w:val="24"/>
              </w:rPr>
            </w:pPr>
            <w:r>
              <w:rPr>
                <w:bCs/>
                <w:sz w:val="24"/>
              </w:rPr>
              <w:t>项目施工期间相对较短，随着施工的结束，施工期影响也随之消除。</w:t>
            </w:r>
          </w:p>
          <w:p>
            <w:pPr>
              <w:adjustRightInd w:val="0"/>
              <w:snapToGrid w:val="0"/>
              <w:spacing w:line="360" w:lineRule="auto"/>
              <w:ind w:firstLine="480" w:firstLineChars="200"/>
              <w:rPr>
                <w:sz w:val="24"/>
              </w:rPr>
            </w:pPr>
            <w:r>
              <w:rPr>
                <w:rFonts w:hint="eastAsia"/>
                <w:bCs/>
                <w:sz w:val="24"/>
              </w:rPr>
              <w:t>采取上述有效措施后项目施工期固体废物对周围环境影响不大。</w:t>
            </w:r>
          </w:p>
          <w:p>
            <w:pPr>
              <w:adjustRightInd w:val="0"/>
              <w:snapToGrid w:val="0"/>
              <w:rPr>
                <w:bCs/>
                <w:spacing w:val="-1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47" w:hRule="atLeast"/>
          <w:jc w:val="center"/>
        </w:trPr>
        <w:tc>
          <w:tcPr>
            <w:tcW w:w="746" w:type="dxa"/>
            <w:tcMar>
              <w:left w:w="28" w:type="dxa"/>
              <w:right w:w="28" w:type="dxa"/>
            </w:tcMar>
            <w:vAlign w:val="center"/>
          </w:tcPr>
          <w:p>
            <w:pPr>
              <w:adjustRightInd w:val="0"/>
              <w:snapToGrid w:val="0"/>
              <w:jc w:val="center"/>
              <w:rPr>
                <w:bCs/>
                <w:szCs w:val="21"/>
              </w:rPr>
            </w:pPr>
            <w:r>
              <w:rPr>
                <w:bCs/>
                <w:szCs w:val="21"/>
              </w:rPr>
              <w:t>运营</w:t>
            </w:r>
          </w:p>
          <w:p>
            <w:pPr>
              <w:adjustRightInd w:val="0"/>
              <w:snapToGrid w:val="0"/>
              <w:jc w:val="center"/>
              <w:rPr>
                <w:bCs/>
                <w:szCs w:val="21"/>
              </w:rPr>
            </w:pPr>
            <w:r>
              <w:rPr>
                <w:bCs/>
                <w:szCs w:val="21"/>
              </w:rPr>
              <w:t>期环</w:t>
            </w:r>
          </w:p>
          <w:p>
            <w:pPr>
              <w:adjustRightInd w:val="0"/>
              <w:snapToGrid w:val="0"/>
              <w:jc w:val="center"/>
              <w:rPr>
                <w:bCs/>
                <w:szCs w:val="21"/>
              </w:rPr>
            </w:pPr>
            <w:r>
              <w:rPr>
                <w:bCs/>
                <w:szCs w:val="21"/>
              </w:rPr>
              <w:t>境影</w:t>
            </w:r>
          </w:p>
          <w:p>
            <w:pPr>
              <w:adjustRightInd w:val="0"/>
              <w:snapToGrid w:val="0"/>
              <w:jc w:val="center"/>
              <w:rPr>
                <w:bCs/>
                <w:szCs w:val="21"/>
              </w:rPr>
            </w:pPr>
            <w:r>
              <w:rPr>
                <w:bCs/>
                <w:szCs w:val="21"/>
              </w:rPr>
              <w:t>响和</w:t>
            </w:r>
          </w:p>
          <w:p>
            <w:pPr>
              <w:adjustRightInd w:val="0"/>
              <w:snapToGrid w:val="0"/>
              <w:jc w:val="center"/>
              <w:rPr>
                <w:bCs/>
                <w:szCs w:val="21"/>
              </w:rPr>
            </w:pPr>
            <w:r>
              <w:rPr>
                <w:bCs/>
                <w:szCs w:val="21"/>
              </w:rPr>
              <w:t>保护</w:t>
            </w:r>
          </w:p>
          <w:p>
            <w:pPr>
              <w:adjustRightInd w:val="0"/>
              <w:snapToGrid w:val="0"/>
              <w:jc w:val="center"/>
              <w:rPr>
                <w:bCs/>
                <w:szCs w:val="21"/>
              </w:rPr>
            </w:pPr>
            <w:r>
              <w:rPr>
                <w:bCs/>
                <w:szCs w:val="21"/>
              </w:rPr>
              <w:t>措施</w:t>
            </w:r>
          </w:p>
        </w:tc>
        <w:tc>
          <w:tcPr>
            <w:tcW w:w="8162" w:type="dxa"/>
            <w:vAlign w:val="center"/>
          </w:tcPr>
          <w:p>
            <w:pPr>
              <w:adjustRightInd w:val="0"/>
              <w:snapToGrid w:val="0"/>
              <w:spacing w:line="360" w:lineRule="auto"/>
              <w:rPr>
                <w:b/>
                <w:spacing w:val="-10"/>
                <w:sz w:val="24"/>
              </w:rPr>
            </w:pPr>
            <w:r>
              <w:rPr>
                <w:rFonts w:hint="eastAsia"/>
                <w:b/>
                <w:spacing w:val="-10"/>
                <w:sz w:val="24"/>
              </w:rPr>
              <w:t>1、废气</w:t>
            </w:r>
          </w:p>
          <w:p>
            <w:pPr>
              <w:spacing w:line="360" w:lineRule="auto"/>
              <w:ind w:firstLine="480" w:firstLineChars="200"/>
              <w:rPr>
                <w:rFonts w:cs="宋体"/>
                <w:bCs/>
                <w:sz w:val="24"/>
              </w:rPr>
            </w:pPr>
            <w:r>
              <w:rPr>
                <w:rFonts w:cs="宋体"/>
                <w:bCs/>
                <w:sz w:val="24"/>
              </w:rPr>
              <w:t>本项目</w:t>
            </w:r>
            <w:r>
              <w:rPr>
                <w:rFonts w:hint="eastAsia" w:cs="宋体"/>
                <w:bCs/>
                <w:sz w:val="24"/>
              </w:rPr>
              <w:t>建有一套污水一体化处理设备，故</w:t>
            </w:r>
            <w:r>
              <w:rPr>
                <w:rFonts w:cs="宋体"/>
                <w:bCs/>
                <w:sz w:val="24"/>
              </w:rPr>
              <w:t>本项目产生的废气主要来源于</w:t>
            </w:r>
            <w:r>
              <w:rPr>
                <w:rFonts w:hint="eastAsia" w:cs="宋体"/>
                <w:bCs/>
                <w:sz w:val="24"/>
              </w:rPr>
              <w:t>一体化污水处理系统产生的恶臭、食堂油烟和发电机烟气。</w:t>
            </w:r>
          </w:p>
          <w:p>
            <w:pPr>
              <w:spacing w:line="360" w:lineRule="auto"/>
              <w:ind w:firstLine="480" w:firstLineChars="200"/>
              <w:rPr>
                <w:rFonts w:cs="宋体"/>
                <w:sz w:val="24"/>
              </w:rPr>
            </w:pPr>
            <w:r>
              <w:rPr>
                <w:rFonts w:hint="eastAsia" w:cs="宋体"/>
                <w:sz w:val="24"/>
              </w:rPr>
              <w:t>①食堂油烟</w:t>
            </w:r>
          </w:p>
          <w:p>
            <w:pPr>
              <w:spacing w:line="360" w:lineRule="auto"/>
              <w:ind w:firstLine="480" w:firstLineChars="200"/>
              <w:rPr>
                <w:rFonts w:cs="宋体"/>
                <w:bCs/>
                <w:sz w:val="24"/>
              </w:rPr>
            </w:pPr>
            <w:r>
              <w:rPr>
                <w:rFonts w:cs="宋体"/>
                <w:bCs/>
                <w:sz w:val="24"/>
              </w:rPr>
              <w:t>食堂营业时间约</w:t>
            </w:r>
            <w:r>
              <w:rPr>
                <w:rFonts w:hint="eastAsia" w:cs="宋体"/>
                <w:bCs/>
                <w:sz w:val="24"/>
              </w:rPr>
              <w:t>6小时/d，年营运365天，以液化石油气为燃料，提供卫生院职工</w:t>
            </w:r>
            <w:r>
              <w:rPr>
                <w:rFonts w:hint="eastAsia" w:cs="宋体"/>
                <w:bCs/>
                <w:sz w:val="24"/>
                <w:u w:val="single"/>
                <w:lang w:eastAsia="zh-CN"/>
              </w:rPr>
              <w:t>40人</w:t>
            </w:r>
            <w:r>
              <w:rPr>
                <w:rFonts w:hint="eastAsia" w:cs="宋体"/>
                <w:bCs/>
                <w:sz w:val="24"/>
              </w:rPr>
              <w:t>的餐饮，参照《饮食业油烟排放标准（试行）》GB18483-</w:t>
            </w:r>
            <w:r>
              <w:rPr>
                <w:rFonts w:cs="宋体"/>
                <w:bCs/>
                <w:sz w:val="24"/>
              </w:rPr>
              <w:t>2001划定其规模</w:t>
            </w:r>
            <w:r>
              <w:rPr>
                <w:rFonts w:hint="eastAsia" w:cs="宋体"/>
                <w:bCs/>
                <w:sz w:val="24"/>
              </w:rPr>
              <w:t>，</w:t>
            </w:r>
            <w:r>
              <w:rPr>
                <w:rFonts w:cs="宋体"/>
                <w:bCs/>
                <w:sz w:val="24"/>
              </w:rPr>
              <w:t>设置1个灶头</w:t>
            </w:r>
            <w:r>
              <w:rPr>
                <w:rFonts w:hint="eastAsia" w:cs="宋体"/>
                <w:bCs/>
                <w:sz w:val="24"/>
              </w:rPr>
              <w:t>。根据对居民用油情况的类比调查，目前居民人均食用油用量约为30g</w:t>
            </w:r>
            <w:r>
              <w:rPr>
                <w:rFonts w:cs="宋体"/>
                <w:bCs/>
                <w:sz w:val="24"/>
              </w:rPr>
              <w:t>/人</w:t>
            </w:r>
            <w:r>
              <w:rPr>
                <w:rFonts w:hint="eastAsia" w:cs="宋体"/>
                <w:bCs/>
                <w:sz w:val="24"/>
              </w:rPr>
              <w:t>·</w:t>
            </w:r>
            <w:r>
              <w:rPr>
                <w:rFonts w:cs="宋体"/>
                <w:bCs/>
                <w:sz w:val="24"/>
              </w:rPr>
              <w:t>d</w:t>
            </w:r>
            <w:r>
              <w:rPr>
                <w:rFonts w:hint="eastAsia" w:cs="宋体"/>
                <w:bCs/>
                <w:sz w:val="24"/>
              </w:rPr>
              <w:t>，则项目年耗油量为</w:t>
            </w:r>
            <w:r>
              <w:rPr>
                <w:rFonts w:hint="eastAsia" w:cs="宋体"/>
                <w:bCs/>
                <w:sz w:val="24"/>
                <w:u w:val="single"/>
                <w:lang w:val="en-US" w:eastAsia="zh-CN"/>
              </w:rPr>
              <w:t>438</w:t>
            </w:r>
            <w:r>
              <w:rPr>
                <w:rFonts w:hint="eastAsia" w:cs="宋体"/>
                <w:bCs/>
                <w:sz w:val="24"/>
                <w:u w:val="single"/>
              </w:rPr>
              <w:t>kg/a</w:t>
            </w:r>
            <w:r>
              <w:rPr>
                <w:rFonts w:hint="eastAsia" w:cs="宋体"/>
                <w:bCs/>
                <w:sz w:val="24"/>
              </w:rPr>
              <w:t>。油烟产生系数按照4%计，则食堂油烟产生量为</w:t>
            </w:r>
            <w:r>
              <w:rPr>
                <w:rFonts w:hint="eastAsia" w:cs="宋体"/>
                <w:bCs/>
                <w:sz w:val="24"/>
                <w:u w:val="single"/>
                <w:lang w:val="en-US" w:eastAsia="zh-CN"/>
              </w:rPr>
              <w:t>17.52</w:t>
            </w:r>
            <w:r>
              <w:rPr>
                <w:rFonts w:hint="eastAsia" w:cs="宋体"/>
                <w:bCs/>
                <w:sz w:val="24"/>
                <w:u w:val="single"/>
              </w:rPr>
              <w:t>kg</w:t>
            </w:r>
            <w:r>
              <w:rPr>
                <w:rFonts w:cs="宋体"/>
                <w:bCs/>
                <w:sz w:val="24"/>
                <w:u w:val="single"/>
              </w:rPr>
              <w:t>/a</w:t>
            </w:r>
            <w:r>
              <w:rPr>
                <w:rFonts w:hint="eastAsia" w:cs="宋体"/>
                <w:bCs/>
                <w:sz w:val="24"/>
              </w:rPr>
              <w:t>，项目</w:t>
            </w:r>
            <w:r>
              <w:rPr>
                <w:rFonts w:cs="宋体"/>
                <w:bCs/>
                <w:sz w:val="24"/>
              </w:rPr>
              <w:t>灶头基准排风量为</w:t>
            </w:r>
            <w:r>
              <w:rPr>
                <w:rFonts w:hint="eastAsia" w:cs="宋体"/>
                <w:bCs/>
                <w:sz w:val="24"/>
              </w:rPr>
              <w:t>2000m</w:t>
            </w:r>
            <w:r>
              <w:rPr>
                <w:rFonts w:cs="宋体"/>
                <w:bCs/>
                <w:sz w:val="24"/>
                <w:vertAlign w:val="superscript"/>
              </w:rPr>
              <w:t>3</w:t>
            </w:r>
            <w:r>
              <w:rPr>
                <w:rFonts w:cs="宋体"/>
                <w:bCs/>
                <w:sz w:val="24"/>
              </w:rPr>
              <w:t>/h</w:t>
            </w:r>
            <w:r>
              <w:rPr>
                <w:rFonts w:hint="eastAsia" w:cs="宋体"/>
                <w:bCs/>
                <w:sz w:val="24"/>
              </w:rPr>
              <w:t>。油烟经抽油烟机处理，最后引至屋顶排放。抽油烟机净化效率按</w:t>
            </w:r>
            <w:r>
              <w:rPr>
                <w:rFonts w:cs="宋体"/>
                <w:bCs/>
                <w:sz w:val="24"/>
              </w:rPr>
              <w:t>6</w:t>
            </w:r>
            <w:r>
              <w:rPr>
                <w:rFonts w:hint="eastAsia" w:cs="宋体"/>
                <w:bCs/>
                <w:sz w:val="24"/>
              </w:rPr>
              <w:t>0</w:t>
            </w:r>
            <w:r>
              <w:rPr>
                <w:rFonts w:cs="宋体"/>
                <w:bCs/>
                <w:sz w:val="24"/>
              </w:rPr>
              <w:t>%</w:t>
            </w:r>
            <w:r>
              <w:rPr>
                <w:rFonts w:hint="eastAsia" w:cs="宋体"/>
                <w:bCs/>
                <w:sz w:val="24"/>
              </w:rPr>
              <w:t>计算，油烟排放浓度</w:t>
            </w:r>
            <w:r>
              <w:rPr>
                <w:rFonts w:hint="eastAsia" w:cs="宋体"/>
                <w:bCs/>
                <w:sz w:val="24"/>
                <w:u w:val="single"/>
              </w:rPr>
              <w:t>为</w:t>
            </w:r>
            <w:r>
              <w:rPr>
                <w:rFonts w:hint="eastAsia" w:cs="宋体"/>
                <w:bCs/>
                <w:sz w:val="24"/>
                <w:u w:val="single"/>
                <w:lang w:val="en-US" w:eastAsia="zh-CN"/>
              </w:rPr>
              <w:t>1.6</w:t>
            </w:r>
            <w:r>
              <w:rPr>
                <w:rFonts w:cs="宋体"/>
                <w:bCs/>
                <w:sz w:val="24"/>
                <w:u w:val="single"/>
              </w:rPr>
              <w:t>mg/m</w:t>
            </w:r>
            <w:r>
              <w:rPr>
                <w:rFonts w:cs="宋体"/>
                <w:bCs/>
                <w:sz w:val="24"/>
                <w:u w:val="single"/>
                <w:vertAlign w:val="superscript"/>
              </w:rPr>
              <w:t>3</w:t>
            </w:r>
            <w:r>
              <w:rPr>
                <w:rFonts w:cs="宋体"/>
                <w:bCs/>
                <w:sz w:val="24"/>
              </w:rPr>
              <w:t>油烟排放符合</w:t>
            </w:r>
            <w:r>
              <w:rPr>
                <w:rFonts w:hint="eastAsia" w:cs="宋体"/>
                <w:bCs/>
                <w:sz w:val="24"/>
              </w:rPr>
              <w:t>《饮食业油烟排放标准（试行）》GB18483-</w:t>
            </w:r>
            <w:r>
              <w:rPr>
                <w:rFonts w:cs="宋体"/>
                <w:bCs/>
                <w:sz w:val="24"/>
              </w:rPr>
              <w:t>2001</w:t>
            </w:r>
            <w:r>
              <w:rPr>
                <w:rFonts w:hint="eastAsia" w:cs="宋体"/>
                <w:bCs/>
                <w:sz w:val="24"/>
              </w:rPr>
              <w:t>要求（2mg</w:t>
            </w:r>
            <w:r>
              <w:rPr>
                <w:rFonts w:cs="宋体"/>
                <w:bCs/>
                <w:sz w:val="24"/>
              </w:rPr>
              <w:t>/m</w:t>
            </w:r>
            <w:r>
              <w:rPr>
                <w:rFonts w:cs="宋体"/>
                <w:bCs/>
                <w:sz w:val="24"/>
                <w:vertAlign w:val="superscript"/>
              </w:rPr>
              <w:t>3</w:t>
            </w:r>
            <w:r>
              <w:rPr>
                <w:rFonts w:hint="eastAsia" w:cs="宋体"/>
                <w:bCs/>
                <w:sz w:val="24"/>
              </w:rPr>
              <w:t>）。</w:t>
            </w:r>
          </w:p>
          <w:p>
            <w:pPr>
              <w:pStyle w:val="34"/>
              <w:spacing w:before="120"/>
              <w:ind w:firstLine="422"/>
              <w:rPr>
                <w:sz w:val="21"/>
                <w:szCs w:val="16"/>
              </w:rPr>
            </w:pPr>
            <w:r>
              <w:rPr>
                <w:rFonts w:hint="eastAsia"/>
                <w:sz w:val="21"/>
                <w:szCs w:val="16"/>
              </w:rPr>
              <w:t>表4-3项目食堂油烟产排情况一览表</w:t>
            </w:r>
          </w:p>
          <w:tbl>
            <w:tblPr>
              <w:tblStyle w:val="27"/>
              <w:tblW w:w="7896" w:type="dxa"/>
              <w:tblInd w:w="0" w:type="dxa"/>
              <w:tblLayout w:type="fixed"/>
              <w:tblCellMar>
                <w:top w:w="0" w:type="dxa"/>
                <w:left w:w="0" w:type="dxa"/>
                <w:bottom w:w="0" w:type="dxa"/>
                <w:right w:w="0" w:type="dxa"/>
              </w:tblCellMar>
            </w:tblPr>
            <w:tblGrid>
              <w:gridCol w:w="725"/>
              <w:gridCol w:w="935"/>
              <w:gridCol w:w="830"/>
              <w:gridCol w:w="830"/>
              <w:gridCol w:w="830"/>
              <w:gridCol w:w="621"/>
              <w:gridCol w:w="705"/>
              <w:gridCol w:w="905"/>
              <w:gridCol w:w="1515"/>
            </w:tblGrid>
            <w:tr>
              <w:tblPrEx>
                <w:tblCellMar>
                  <w:top w:w="0" w:type="dxa"/>
                  <w:left w:w="0" w:type="dxa"/>
                  <w:bottom w:w="0" w:type="dxa"/>
                  <w:right w:w="0" w:type="dxa"/>
                </w:tblCellMar>
              </w:tblPrEx>
              <w:trPr>
                <w:trHeight w:val="81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Cs w:val="21"/>
                    </w:rPr>
                  </w:pPr>
                  <w:r>
                    <w:rPr>
                      <w:rStyle w:val="78"/>
                      <w:lang w:bidi="ar"/>
                    </w:rPr>
                    <w:t>就餐人数/</w:t>
                  </w:r>
                  <w:r>
                    <w:rPr>
                      <w:rStyle w:val="79"/>
                      <w:rFonts w:hint="default"/>
                      <w:lang w:bidi="ar"/>
                    </w:rPr>
                    <w:t>人</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食用油消耗系数</w:t>
                  </w:r>
                  <w:r>
                    <w:rPr>
                      <w:rStyle w:val="78"/>
                      <w:lang w:bidi="ar"/>
                    </w:rPr>
                    <w:t>/g/</w:t>
                  </w:r>
                  <w:r>
                    <w:rPr>
                      <w:rStyle w:val="79"/>
                      <w:rFonts w:hint="default"/>
                      <w:lang w:bidi="ar"/>
                    </w:rPr>
                    <w:t>人</w:t>
                  </w:r>
                  <w:r>
                    <w:rPr>
                      <w:rStyle w:val="78"/>
                      <w:lang w:bidi="ar"/>
                    </w:rPr>
                    <w:t>·d</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食用油消耗量</w:t>
                  </w:r>
                  <w:r>
                    <w:rPr>
                      <w:rStyle w:val="78"/>
                      <w:lang w:bidi="ar"/>
                    </w:rPr>
                    <w:t>/kg/a</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油烟产生系数</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油烟产生量/kg/a</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净化效率/%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szCs w:val="21"/>
                    </w:rPr>
                  </w:pPr>
                  <w:r>
                    <w:rPr>
                      <w:rStyle w:val="78"/>
                      <w:lang w:bidi="ar"/>
                    </w:rPr>
                    <w:t>风量/m</w:t>
                  </w:r>
                  <w:r>
                    <w:rPr>
                      <w:color w:val="000000"/>
                      <w:kern w:val="0"/>
                      <w:szCs w:val="21"/>
                      <w:vertAlign w:val="superscript"/>
                      <w:lang w:bidi="ar"/>
                    </w:rPr>
                    <w:t>3</w:t>
                  </w:r>
                  <w:r>
                    <w:rPr>
                      <w:rStyle w:val="78"/>
                      <w:lang w:bidi="ar"/>
                    </w:rPr>
                    <w:t>/h</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Cs w:val="21"/>
                    </w:rPr>
                  </w:pPr>
                  <w:r>
                    <w:rPr>
                      <w:color w:val="000000"/>
                      <w:kern w:val="0"/>
                      <w:szCs w:val="21"/>
                      <w:lang w:bidi="ar"/>
                    </w:rPr>
                    <w:t>油烟排放量/kg/a</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color w:val="000000"/>
                      <w:szCs w:val="21"/>
                    </w:rPr>
                  </w:pPr>
                  <w:r>
                    <w:rPr>
                      <w:rStyle w:val="78"/>
                      <w:lang w:bidi="ar"/>
                    </w:rPr>
                    <w:t>油烟排放浓度mg/m</w:t>
                  </w:r>
                  <w:r>
                    <w:rPr>
                      <w:color w:val="000000"/>
                      <w:kern w:val="0"/>
                      <w:szCs w:val="21"/>
                      <w:vertAlign w:val="superscript"/>
                      <w:lang w:bidi="ar"/>
                    </w:rPr>
                    <w:t>3</w:t>
                  </w:r>
                </w:p>
              </w:tc>
            </w:tr>
            <w:tr>
              <w:tblPrEx>
                <w:tblCellMar>
                  <w:top w:w="0" w:type="dxa"/>
                  <w:left w:w="0" w:type="dxa"/>
                  <w:bottom w:w="0" w:type="dxa"/>
                  <w:right w:w="0" w:type="dxa"/>
                </w:tblCellMar>
              </w:tblPrEx>
              <w:trPr>
                <w:trHeight w:val="31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color w:val="000000"/>
                      <w:szCs w:val="21"/>
                      <w:u w:val="single"/>
                    </w:rPr>
                  </w:pPr>
                  <w:r>
                    <w:rPr>
                      <w:rFonts w:hint="default" w:ascii="Times New Roman" w:hAnsi="Times New Roman" w:eastAsia="宋体" w:cs="Times New Roman"/>
                      <w:i w:val="0"/>
                      <w:iCs w:val="0"/>
                      <w:color w:val="000000"/>
                      <w:kern w:val="0"/>
                      <w:sz w:val="21"/>
                      <w:szCs w:val="21"/>
                      <w:u w:val="single"/>
                      <w:lang w:val="en-US" w:eastAsia="zh-CN" w:bidi="ar"/>
                    </w:rPr>
                    <w:t>40</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color w:val="000000"/>
                      <w:szCs w:val="21"/>
                      <w:u w:val="single"/>
                    </w:rPr>
                  </w:pPr>
                  <w:r>
                    <w:rPr>
                      <w:rFonts w:hint="default" w:ascii="Times New Roman" w:hAnsi="Times New Roman" w:eastAsia="宋体" w:cs="Times New Roman"/>
                      <w:i w:val="0"/>
                      <w:iCs w:val="0"/>
                      <w:color w:val="000000"/>
                      <w:kern w:val="0"/>
                      <w:sz w:val="21"/>
                      <w:szCs w:val="21"/>
                      <w:u w:val="single"/>
                      <w:lang w:val="en-US" w:eastAsia="zh-CN" w:bidi="ar"/>
                    </w:rPr>
                    <w:t>30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eastAsia="宋体"/>
                      <w:color w:val="000000"/>
                      <w:szCs w:val="21"/>
                      <w:u w:val="single"/>
                      <w:lang w:eastAsia="zh-CN"/>
                    </w:rPr>
                  </w:pPr>
                  <w:r>
                    <w:rPr>
                      <w:rFonts w:hint="default" w:ascii="Times New Roman" w:hAnsi="Times New Roman" w:eastAsia="宋体" w:cs="Times New Roman"/>
                      <w:i w:val="0"/>
                      <w:iCs w:val="0"/>
                      <w:color w:val="000000"/>
                      <w:kern w:val="0"/>
                      <w:sz w:val="21"/>
                      <w:szCs w:val="21"/>
                      <w:u w:val="single"/>
                      <w:lang w:val="en-US" w:eastAsia="zh-CN" w:bidi="ar"/>
                    </w:rPr>
                    <w:t>438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color w:val="000000"/>
                      <w:szCs w:val="21"/>
                      <w:u w:val="single"/>
                    </w:rPr>
                  </w:pPr>
                  <w:r>
                    <w:rPr>
                      <w:rFonts w:hint="default" w:ascii="Times New Roman" w:hAnsi="Times New Roman" w:eastAsia="宋体" w:cs="Times New Roman"/>
                      <w:i w:val="0"/>
                      <w:iCs w:val="0"/>
                      <w:color w:val="000000"/>
                      <w:kern w:val="0"/>
                      <w:sz w:val="21"/>
                      <w:szCs w:val="21"/>
                      <w:u w:val="single"/>
                      <w:lang w:val="en-US" w:eastAsia="zh-CN" w:bidi="ar"/>
                    </w:rPr>
                    <w:t>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color w:val="000000"/>
                      <w:szCs w:val="21"/>
                      <w:u w:val="single"/>
                    </w:rPr>
                  </w:pPr>
                  <w:r>
                    <w:rPr>
                      <w:rFonts w:hint="default" w:ascii="Times New Roman" w:hAnsi="Times New Roman" w:eastAsia="宋体" w:cs="Times New Roman"/>
                      <w:i w:val="0"/>
                      <w:iCs w:val="0"/>
                      <w:color w:val="000000"/>
                      <w:kern w:val="0"/>
                      <w:sz w:val="21"/>
                      <w:szCs w:val="21"/>
                      <w:u w:val="single"/>
                      <w:lang w:val="en-US" w:eastAsia="zh-CN" w:bidi="ar"/>
                    </w:rPr>
                    <w:t>17.52</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color w:val="000000"/>
                      <w:szCs w:val="21"/>
                      <w:u w:val="single"/>
                    </w:rPr>
                  </w:pPr>
                  <w:r>
                    <w:rPr>
                      <w:rFonts w:hint="default" w:ascii="Times New Roman" w:hAnsi="Times New Roman" w:eastAsia="宋体" w:cs="Times New Roman"/>
                      <w:i w:val="0"/>
                      <w:iCs w:val="0"/>
                      <w:color w:val="000000"/>
                      <w:kern w:val="0"/>
                      <w:sz w:val="21"/>
                      <w:szCs w:val="21"/>
                      <w:u w:val="single"/>
                      <w:lang w:val="en-US" w:eastAsia="zh-CN" w:bidi="ar"/>
                    </w:rPr>
                    <w:t>60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color w:val="000000"/>
                      <w:szCs w:val="21"/>
                      <w:u w:val="single"/>
                    </w:rPr>
                  </w:pPr>
                  <w:r>
                    <w:rPr>
                      <w:rFonts w:hint="default" w:ascii="Times New Roman" w:hAnsi="Times New Roman" w:eastAsia="宋体" w:cs="Times New Roman"/>
                      <w:i w:val="0"/>
                      <w:iCs w:val="0"/>
                      <w:color w:val="000000"/>
                      <w:kern w:val="0"/>
                      <w:sz w:val="21"/>
                      <w:szCs w:val="21"/>
                      <w:u w:val="single"/>
                      <w:lang w:val="en-US" w:eastAsia="zh-CN" w:bidi="ar"/>
                    </w:rPr>
                    <w:t>2000</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color w:val="000000"/>
                      <w:szCs w:val="21"/>
                      <w:u w:val="single"/>
                    </w:rPr>
                  </w:pPr>
                  <w:r>
                    <w:rPr>
                      <w:rFonts w:hint="default" w:ascii="Times New Roman" w:hAnsi="Times New Roman" w:eastAsia="宋体" w:cs="Times New Roman"/>
                      <w:i w:val="0"/>
                      <w:iCs w:val="0"/>
                      <w:color w:val="000000"/>
                      <w:kern w:val="0"/>
                      <w:sz w:val="21"/>
                      <w:szCs w:val="21"/>
                      <w:u w:val="single"/>
                      <w:lang w:val="en-US" w:eastAsia="zh-CN" w:bidi="ar"/>
                    </w:rPr>
                    <w:t>7.008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color w:val="000000"/>
                      <w:szCs w:val="21"/>
                      <w:u w:val="single"/>
                    </w:rPr>
                  </w:pPr>
                  <w:r>
                    <w:rPr>
                      <w:rFonts w:hint="default" w:ascii="Times New Roman" w:hAnsi="Times New Roman" w:eastAsia="宋体" w:cs="Times New Roman"/>
                      <w:i w:val="0"/>
                      <w:iCs w:val="0"/>
                      <w:color w:val="000000"/>
                      <w:kern w:val="0"/>
                      <w:sz w:val="21"/>
                      <w:szCs w:val="21"/>
                      <w:u w:val="single"/>
                      <w:lang w:val="en-US" w:eastAsia="zh-CN" w:bidi="ar"/>
                    </w:rPr>
                    <w:t>1.6</w:t>
                  </w:r>
                </w:p>
              </w:tc>
            </w:tr>
          </w:tbl>
          <w:p>
            <w:pPr>
              <w:spacing w:line="360" w:lineRule="auto"/>
              <w:ind w:firstLine="480" w:firstLineChars="200"/>
              <w:rPr>
                <w:rFonts w:cs="宋体"/>
                <w:sz w:val="24"/>
              </w:rPr>
            </w:pPr>
            <w:r>
              <w:rPr>
                <w:rFonts w:hint="eastAsia" w:cs="宋体"/>
                <w:sz w:val="24"/>
              </w:rPr>
              <w:t>②备用发电机废气</w:t>
            </w:r>
          </w:p>
          <w:p>
            <w:pPr>
              <w:tabs>
                <w:tab w:val="left" w:pos="0"/>
              </w:tabs>
              <w:spacing w:line="360" w:lineRule="auto"/>
              <w:ind w:firstLine="496" w:firstLineChars="207"/>
              <w:rPr>
                <w:sz w:val="24"/>
              </w:rPr>
            </w:pPr>
            <w:r>
              <w:rPr>
                <w:sz w:val="24"/>
              </w:rPr>
              <w:t>本项目设置了1台5</w:t>
            </w:r>
            <w:r>
              <w:rPr>
                <w:rFonts w:hint="eastAsia"/>
                <w:sz w:val="24"/>
              </w:rPr>
              <w:t>8.5</w:t>
            </w:r>
            <w:r>
              <w:rPr>
                <w:sz w:val="24"/>
              </w:rPr>
              <w:t>KW备用</w:t>
            </w:r>
            <w:r>
              <w:rPr>
                <w:rFonts w:hint="eastAsia"/>
                <w:sz w:val="24"/>
              </w:rPr>
              <w:t>柴油</w:t>
            </w:r>
            <w:r>
              <w:rPr>
                <w:sz w:val="24"/>
              </w:rPr>
              <w:t>发电机，</w:t>
            </w:r>
            <w:r>
              <w:rPr>
                <w:rFonts w:hint="eastAsia"/>
                <w:sz w:val="24"/>
              </w:rPr>
              <w:t>其使用频率较低，废气经发电机自带的净化装置净化后排放，不会对周边环境造成较大影响。</w:t>
            </w:r>
          </w:p>
          <w:p>
            <w:pPr>
              <w:spacing w:line="360" w:lineRule="auto"/>
              <w:ind w:firstLine="480" w:firstLineChars="200"/>
              <w:rPr>
                <w:rFonts w:cs="宋体"/>
                <w:sz w:val="24"/>
              </w:rPr>
            </w:pPr>
            <w:r>
              <w:rPr>
                <w:rFonts w:hint="eastAsia" w:cs="宋体"/>
                <w:sz w:val="24"/>
              </w:rPr>
              <w:t>③一体化污水处理系统恶臭</w:t>
            </w:r>
          </w:p>
          <w:p>
            <w:pPr>
              <w:spacing w:line="360" w:lineRule="auto"/>
              <w:ind w:firstLine="480" w:firstLineChars="200"/>
              <w:rPr>
                <w:rFonts w:cs="宋体"/>
                <w:bCs/>
                <w:sz w:val="24"/>
              </w:rPr>
            </w:pPr>
            <w:r>
              <w:rPr>
                <w:rFonts w:cs="宋体"/>
                <w:bCs/>
                <w:sz w:val="24"/>
              </w:rPr>
              <w:t>项目废水处理站产生的恶臭气体成分主要是H</w:t>
            </w:r>
            <w:r>
              <w:rPr>
                <w:rFonts w:cs="宋体"/>
                <w:bCs/>
                <w:sz w:val="24"/>
                <w:vertAlign w:val="subscript"/>
              </w:rPr>
              <w:t>2</w:t>
            </w:r>
            <w:r>
              <w:rPr>
                <w:rFonts w:cs="宋体"/>
                <w:bCs/>
                <w:sz w:val="24"/>
              </w:rPr>
              <w:t>S和NH</w:t>
            </w:r>
            <w:r>
              <w:rPr>
                <w:rFonts w:cs="宋体"/>
                <w:bCs/>
                <w:sz w:val="24"/>
                <w:vertAlign w:val="subscript"/>
              </w:rPr>
              <w:t>3</w:t>
            </w:r>
            <w:r>
              <w:rPr>
                <w:rFonts w:hint="eastAsia" w:cs="宋体"/>
                <w:bCs/>
                <w:sz w:val="24"/>
              </w:rPr>
              <w:t>。恶臭气体的产生量随污水水质、气温（或水温）及曝气量的不同而变化，有机废水产生的恶臭量大于一般工业废水，夏秋季较多。本项目污水处理系统为一体化设施，处理过程及反应过程封闭化、自动化，设置有废水消毒处理间，医疗废水消毒采用缓释消毒器。</w:t>
            </w:r>
          </w:p>
          <w:p>
            <w:pPr>
              <w:spacing w:line="360" w:lineRule="auto"/>
              <w:ind w:firstLine="480" w:firstLineChars="200"/>
              <w:rPr>
                <w:rFonts w:cs="宋体"/>
                <w:bCs/>
                <w:sz w:val="24"/>
              </w:rPr>
            </w:pPr>
            <w:r>
              <w:rPr>
                <w:sz w:val="24"/>
              </w:rPr>
              <w:t>本次评价采用美国EPA对城市污水处理厂恶臭污染物产生情况的研究中相关系数对恶臭气体产生情况进行计算，每处理1gBOD</w:t>
            </w:r>
            <w:r>
              <w:rPr>
                <w:sz w:val="24"/>
                <w:vertAlign w:val="subscript"/>
              </w:rPr>
              <w:t>5</w:t>
            </w:r>
            <w:r>
              <w:rPr>
                <w:sz w:val="24"/>
              </w:rPr>
              <w:t>可产生0.0031gNH</w:t>
            </w:r>
            <w:r>
              <w:rPr>
                <w:sz w:val="24"/>
                <w:vertAlign w:val="subscript"/>
              </w:rPr>
              <w:t>3</w:t>
            </w:r>
            <w:r>
              <w:rPr>
                <w:sz w:val="24"/>
              </w:rPr>
              <w:t>和0.00012gH</w:t>
            </w:r>
            <w:r>
              <w:rPr>
                <w:sz w:val="24"/>
                <w:vertAlign w:val="subscript"/>
              </w:rPr>
              <w:t>2</w:t>
            </w:r>
            <w:r>
              <w:rPr>
                <w:sz w:val="24"/>
              </w:rPr>
              <w:t>S，根据分析，本项目BOD</w:t>
            </w:r>
            <w:r>
              <w:rPr>
                <w:sz w:val="24"/>
                <w:vertAlign w:val="subscript"/>
              </w:rPr>
              <w:t>5</w:t>
            </w:r>
            <w:r>
              <w:rPr>
                <w:sz w:val="24"/>
              </w:rPr>
              <w:t>的去除量为</w:t>
            </w:r>
            <w:r>
              <w:rPr>
                <w:rFonts w:hint="eastAsia"/>
                <w:sz w:val="24"/>
                <w:u w:val="single"/>
                <w:lang w:eastAsia="zh-CN"/>
              </w:rPr>
              <w:t>0.2388</w:t>
            </w:r>
            <w:r>
              <w:rPr>
                <w:sz w:val="24"/>
              </w:rPr>
              <w:t>t/a。据此计算项目污水处理过程恶臭气体产生量为</w:t>
            </w:r>
            <w:r>
              <w:rPr>
                <w:sz w:val="24"/>
                <w:u w:val="single"/>
              </w:rPr>
              <w:t>NH</w:t>
            </w:r>
            <w:r>
              <w:rPr>
                <w:sz w:val="24"/>
                <w:u w:val="single"/>
                <w:vertAlign w:val="subscript"/>
              </w:rPr>
              <w:t>3</w:t>
            </w:r>
            <w:r>
              <w:rPr>
                <w:rFonts w:hint="eastAsia"/>
                <w:sz w:val="24"/>
                <w:u w:val="single"/>
                <w:lang w:eastAsia="zh-CN"/>
              </w:rPr>
              <w:t>0.7</w:t>
            </w:r>
            <w:r>
              <w:rPr>
                <w:rFonts w:hint="eastAsia"/>
                <w:sz w:val="24"/>
                <w:u w:val="single"/>
                <w:lang w:val="en-US" w:eastAsia="zh-CN"/>
              </w:rPr>
              <w:t>4</w:t>
            </w:r>
            <w:r>
              <w:rPr>
                <w:rFonts w:hint="eastAsia"/>
                <w:sz w:val="24"/>
                <w:u w:val="single"/>
              </w:rPr>
              <w:t>kg</w:t>
            </w:r>
            <w:r>
              <w:rPr>
                <w:sz w:val="24"/>
                <w:u w:val="single"/>
              </w:rPr>
              <w:t>/a、H</w:t>
            </w:r>
            <w:r>
              <w:rPr>
                <w:sz w:val="24"/>
                <w:u w:val="single"/>
                <w:vertAlign w:val="subscript"/>
              </w:rPr>
              <w:t>2</w:t>
            </w:r>
            <w:r>
              <w:rPr>
                <w:sz w:val="24"/>
                <w:u w:val="single"/>
              </w:rPr>
              <w:t>S</w:t>
            </w:r>
            <w:r>
              <w:rPr>
                <w:rFonts w:hint="eastAsia"/>
                <w:sz w:val="24"/>
                <w:u w:val="single"/>
                <w:lang w:eastAsia="zh-CN"/>
              </w:rPr>
              <w:t>0.028</w:t>
            </w:r>
            <w:r>
              <w:rPr>
                <w:rFonts w:hint="eastAsia"/>
                <w:sz w:val="24"/>
                <w:u w:val="single"/>
                <w:lang w:val="en-US" w:eastAsia="zh-CN"/>
              </w:rPr>
              <w:t>7</w:t>
            </w:r>
            <w:r>
              <w:rPr>
                <w:rFonts w:hint="eastAsia"/>
                <w:sz w:val="24"/>
                <w:u w:val="single"/>
              </w:rPr>
              <w:t>kg</w:t>
            </w:r>
            <w:r>
              <w:rPr>
                <w:sz w:val="24"/>
                <w:u w:val="single"/>
              </w:rPr>
              <w:t>/a</w:t>
            </w:r>
            <w:r>
              <w:rPr>
                <w:sz w:val="24"/>
              </w:rPr>
              <w:t>。</w:t>
            </w:r>
            <w:r>
              <w:rPr>
                <w:rFonts w:hint="eastAsia" w:cs="宋体"/>
                <w:bCs/>
                <w:sz w:val="24"/>
              </w:rPr>
              <w:t>项目项目总体臭气产生量较小。</w:t>
            </w:r>
          </w:p>
          <w:p>
            <w:pPr>
              <w:adjustRightInd w:val="0"/>
              <w:snapToGrid w:val="0"/>
              <w:jc w:val="center"/>
              <w:rPr>
                <w:rFonts w:hint="eastAsia" w:eastAsia="宋体" w:cs="宋体"/>
                <w:bCs/>
                <w:sz w:val="24"/>
                <w:lang w:eastAsia="zh-CN"/>
              </w:rPr>
            </w:pPr>
            <w:r>
              <w:rPr>
                <w:rFonts w:hint="eastAsia"/>
                <w:b/>
                <w:szCs w:val="21"/>
              </w:rPr>
              <w:t>表4-4废水处理站臭气产生情况一览表</w:t>
            </w:r>
          </w:p>
          <w:tbl>
            <w:tblPr>
              <w:tblStyle w:val="27"/>
              <w:tblW w:w="7978" w:type="dxa"/>
              <w:tblInd w:w="0" w:type="dxa"/>
              <w:tblLayout w:type="fixed"/>
              <w:tblCellMar>
                <w:top w:w="0" w:type="dxa"/>
                <w:left w:w="108" w:type="dxa"/>
                <w:bottom w:w="0" w:type="dxa"/>
                <w:right w:w="108" w:type="dxa"/>
              </w:tblCellMar>
            </w:tblPr>
            <w:tblGrid>
              <w:gridCol w:w="1205"/>
              <w:gridCol w:w="1109"/>
              <w:gridCol w:w="1217"/>
              <w:gridCol w:w="1109"/>
              <w:gridCol w:w="1217"/>
              <w:gridCol w:w="904"/>
              <w:gridCol w:w="1217"/>
            </w:tblGrid>
            <w:tr>
              <w:tblPrEx>
                <w:tblCellMar>
                  <w:top w:w="0" w:type="dxa"/>
                  <w:left w:w="108" w:type="dxa"/>
                  <w:bottom w:w="0" w:type="dxa"/>
                  <w:right w:w="108" w:type="dxa"/>
                </w:tblCellMar>
              </w:tblPrEx>
              <w:trPr>
                <w:trHeight w:val="566"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BOD</w:t>
                  </w:r>
                  <w:r>
                    <w:rPr>
                      <w:rFonts w:hint="eastAsia"/>
                      <w:color w:val="000000"/>
                      <w:kern w:val="0"/>
                      <w:szCs w:val="21"/>
                      <w:vertAlign w:val="subscript"/>
                      <w:lang w:bidi="ar"/>
                    </w:rPr>
                    <w:t>5</w:t>
                  </w:r>
                  <w:r>
                    <w:rPr>
                      <w:color w:val="000000"/>
                      <w:kern w:val="0"/>
                      <w:szCs w:val="21"/>
                      <w:lang w:bidi="ar"/>
                    </w:rPr>
                    <w:t>处理量（t/a）</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NH</w:t>
                  </w:r>
                  <w:r>
                    <w:rPr>
                      <w:color w:val="000000"/>
                      <w:kern w:val="0"/>
                      <w:szCs w:val="21"/>
                      <w:vertAlign w:val="subscript"/>
                      <w:lang w:bidi="ar"/>
                    </w:rPr>
                    <w:t>3</w:t>
                  </w:r>
                  <w:r>
                    <w:rPr>
                      <w:color w:val="000000"/>
                      <w:kern w:val="0"/>
                      <w:szCs w:val="21"/>
                      <w:lang w:bidi="ar"/>
                    </w:rPr>
                    <w:t>产生系数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NH</w:t>
                  </w:r>
                  <w:r>
                    <w:rPr>
                      <w:color w:val="000000"/>
                      <w:kern w:val="0"/>
                      <w:szCs w:val="21"/>
                      <w:vertAlign w:val="subscript"/>
                      <w:lang w:bidi="ar"/>
                    </w:rPr>
                    <w:t>3</w:t>
                  </w:r>
                  <w:r>
                    <w:rPr>
                      <w:color w:val="000000"/>
                      <w:kern w:val="0"/>
                      <w:szCs w:val="21"/>
                      <w:lang w:bidi="ar"/>
                    </w:rPr>
                    <w:t>产生量（kg/a）</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NH</w:t>
                  </w:r>
                  <w:r>
                    <w:rPr>
                      <w:color w:val="000000"/>
                      <w:kern w:val="0"/>
                      <w:szCs w:val="21"/>
                      <w:vertAlign w:val="subscript"/>
                      <w:lang w:bidi="ar"/>
                    </w:rPr>
                    <w:t>3</w:t>
                  </w:r>
                  <w:r>
                    <w:rPr>
                      <w:color w:val="000000"/>
                      <w:kern w:val="0"/>
                      <w:szCs w:val="21"/>
                      <w:lang w:bidi="ar"/>
                    </w:rPr>
                    <w:t>产生速率（g/h）</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H</w:t>
                  </w:r>
                  <w:r>
                    <w:rPr>
                      <w:color w:val="000000"/>
                      <w:kern w:val="0"/>
                      <w:szCs w:val="21"/>
                      <w:vertAlign w:val="subscript"/>
                      <w:lang w:bidi="ar"/>
                    </w:rPr>
                    <w:t>2</w:t>
                  </w:r>
                  <w:r>
                    <w:rPr>
                      <w:color w:val="000000"/>
                      <w:kern w:val="0"/>
                      <w:szCs w:val="21"/>
                      <w:lang w:bidi="ar"/>
                    </w:rPr>
                    <w:t>S产生系数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H</w:t>
                  </w:r>
                  <w:r>
                    <w:rPr>
                      <w:color w:val="000000"/>
                      <w:kern w:val="0"/>
                      <w:szCs w:val="21"/>
                      <w:vertAlign w:val="subscript"/>
                      <w:lang w:bidi="ar"/>
                    </w:rPr>
                    <w:t>2</w:t>
                  </w:r>
                  <w:r>
                    <w:rPr>
                      <w:color w:val="000000"/>
                      <w:kern w:val="0"/>
                      <w:szCs w:val="21"/>
                      <w:lang w:bidi="ar"/>
                    </w:rPr>
                    <w:t>S产生量（kg/a）</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rPr>
                  </w:pPr>
                  <w:r>
                    <w:rPr>
                      <w:color w:val="000000"/>
                      <w:kern w:val="0"/>
                      <w:szCs w:val="21"/>
                      <w:lang w:bidi="ar"/>
                    </w:rPr>
                    <w:t>H</w:t>
                  </w:r>
                  <w:r>
                    <w:rPr>
                      <w:color w:val="000000"/>
                      <w:kern w:val="0"/>
                      <w:szCs w:val="21"/>
                      <w:vertAlign w:val="subscript"/>
                      <w:lang w:bidi="ar"/>
                    </w:rPr>
                    <w:t>2</w:t>
                  </w:r>
                  <w:r>
                    <w:rPr>
                      <w:color w:val="000000"/>
                      <w:kern w:val="0"/>
                      <w:szCs w:val="21"/>
                      <w:lang w:bidi="ar"/>
                    </w:rPr>
                    <w:t>S产生速率（g/h）</w:t>
                  </w:r>
                </w:p>
              </w:tc>
            </w:tr>
            <w:tr>
              <w:tblPrEx>
                <w:tblCellMar>
                  <w:top w:w="0" w:type="dxa"/>
                  <w:left w:w="108" w:type="dxa"/>
                  <w:bottom w:w="0" w:type="dxa"/>
                  <w:right w:w="108" w:type="dxa"/>
                </w:tblCellMar>
              </w:tblPrEx>
              <w:trPr>
                <w:trHeight w:val="296"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rFonts w:hint="eastAsia"/>
                      <w:u w:val="single"/>
                      <w:lang w:eastAsia="zh-CN"/>
                    </w:rPr>
                  </w:pPr>
                  <w:r>
                    <w:rPr>
                      <w:rFonts w:hint="eastAsia"/>
                      <w:u w:val="single"/>
                      <w:lang w:val="en-US" w:eastAsia="zh-CN"/>
                    </w:rPr>
                    <w:t xml:space="preserve">0.2388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rFonts w:hint="eastAsia"/>
                      <w:u w:val="single"/>
                      <w:lang w:eastAsia="zh-CN"/>
                    </w:rPr>
                  </w:pPr>
                  <w:r>
                    <w:rPr>
                      <w:rFonts w:hint="eastAsia"/>
                      <w:u w:val="single"/>
                      <w:lang w:val="en-US" w:eastAsia="zh-CN"/>
                    </w:rPr>
                    <w:t xml:space="preserve">0.0031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rFonts w:hint="eastAsia"/>
                      <w:u w:val="single"/>
                      <w:lang w:eastAsia="zh-CN"/>
                    </w:rPr>
                  </w:pPr>
                  <w:r>
                    <w:rPr>
                      <w:rFonts w:hint="eastAsia"/>
                      <w:u w:val="single"/>
                      <w:lang w:val="en-US" w:eastAsia="zh-CN"/>
                    </w:rPr>
                    <w:t xml:space="preserve">0.74029 </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rFonts w:hint="eastAsia"/>
                      <w:u w:val="single"/>
                      <w:lang w:eastAsia="zh-CN"/>
                    </w:rPr>
                  </w:pPr>
                  <w:r>
                    <w:rPr>
                      <w:rFonts w:hint="eastAsia"/>
                      <w:u w:val="single"/>
                      <w:lang w:val="en-US" w:eastAsia="zh-CN"/>
                    </w:rPr>
                    <w:t xml:space="preserve">0.08451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rFonts w:hint="eastAsia"/>
                      <w:u w:val="single"/>
                      <w:lang w:eastAsia="zh-CN"/>
                    </w:rPr>
                  </w:pPr>
                  <w:r>
                    <w:rPr>
                      <w:rFonts w:hint="eastAsia"/>
                      <w:u w:val="single"/>
                      <w:lang w:val="en-US" w:eastAsia="zh-CN"/>
                    </w:rPr>
                    <w:t xml:space="preserve">0.00012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rFonts w:hint="eastAsia"/>
                      <w:u w:val="single"/>
                      <w:lang w:eastAsia="zh-CN"/>
                    </w:rPr>
                  </w:pPr>
                  <w:r>
                    <w:rPr>
                      <w:rFonts w:hint="eastAsia"/>
                      <w:u w:val="single"/>
                      <w:lang w:val="en-US" w:eastAsia="zh-CN"/>
                    </w:rPr>
                    <w:t xml:space="preserve">0.02866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rFonts w:hint="eastAsia"/>
                      <w:u w:val="single"/>
                      <w:lang w:eastAsia="zh-CN"/>
                    </w:rPr>
                  </w:pPr>
                  <w:r>
                    <w:rPr>
                      <w:rFonts w:hint="eastAsia"/>
                      <w:u w:val="single"/>
                      <w:lang w:val="en-US" w:eastAsia="zh-CN"/>
                    </w:rPr>
                    <w:t xml:space="preserve">0.003271 </w:t>
                  </w:r>
                </w:p>
              </w:tc>
            </w:tr>
          </w:tbl>
          <w:p>
            <w:pPr>
              <w:adjustRightInd w:val="0"/>
              <w:snapToGrid w:val="0"/>
              <w:jc w:val="center"/>
              <w:rPr>
                <w:b/>
                <w:szCs w:val="21"/>
              </w:rPr>
            </w:pPr>
            <w:r>
              <w:rPr>
                <w:rFonts w:hint="eastAsia"/>
                <w:b/>
                <w:szCs w:val="21"/>
              </w:rPr>
              <w:t>表4-5项目废气污染源源强核算结果</w:t>
            </w:r>
          </w:p>
          <w:tbl>
            <w:tblPr>
              <w:tblStyle w:val="2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9"/>
              <w:gridCol w:w="422"/>
              <w:gridCol w:w="381"/>
              <w:gridCol w:w="819"/>
              <w:gridCol w:w="572"/>
              <w:gridCol w:w="601"/>
              <w:gridCol w:w="504"/>
              <w:gridCol w:w="721"/>
              <w:gridCol w:w="698"/>
              <w:gridCol w:w="723"/>
              <w:gridCol w:w="571"/>
              <w:gridCol w:w="600"/>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3" w:hRule="atLeast"/>
              </w:trPr>
              <w:tc>
                <w:tcPr>
                  <w:tcW w:w="404" w:type="pct"/>
                  <w:vMerge w:val="restart"/>
                  <w:vAlign w:val="center"/>
                </w:tcPr>
                <w:p>
                  <w:pPr>
                    <w:pStyle w:val="77"/>
                    <w:keepNext/>
                  </w:pPr>
                  <w:r>
                    <w:rPr>
                      <w:rFonts w:hint="eastAsia"/>
                    </w:rPr>
                    <w:t>工序/生产线</w:t>
                  </w:r>
                </w:p>
              </w:tc>
              <w:tc>
                <w:tcPr>
                  <w:tcW w:w="267" w:type="pct"/>
                  <w:vMerge w:val="restart"/>
                  <w:vAlign w:val="center"/>
                </w:tcPr>
                <w:p>
                  <w:pPr>
                    <w:pStyle w:val="77"/>
                    <w:keepNext/>
                  </w:pPr>
                  <w:r>
                    <w:rPr>
                      <w:rFonts w:hint="eastAsia"/>
                    </w:rPr>
                    <w:t>污染源</w:t>
                  </w:r>
                </w:p>
              </w:tc>
              <w:tc>
                <w:tcPr>
                  <w:tcW w:w="241" w:type="pct"/>
                  <w:vMerge w:val="restart"/>
                  <w:vAlign w:val="center"/>
                </w:tcPr>
                <w:p>
                  <w:pPr>
                    <w:pStyle w:val="77"/>
                    <w:keepNext/>
                  </w:pPr>
                  <w:r>
                    <w:rPr>
                      <w:rFonts w:hint="eastAsia"/>
                    </w:rPr>
                    <w:t>污染物</w:t>
                  </w:r>
                </w:p>
              </w:tc>
              <w:tc>
                <w:tcPr>
                  <w:tcW w:w="1262" w:type="pct"/>
                  <w:gridSpan w:val="3"/>
                  <w:vAlign w:val="center"/>
                </w:tcPr>
                <w:p>
                  <w:pPr>
                    <w:pStyle w:val="77"/>
                    <w:keepNext/>
                  </w:pPr>
                  <w:r>
                    <w:rPr>
                      <w:rFonts w:hint="eastAsia"/>
                    </w:rPr>
                    <w:t>污染物产生</w:t>
                  </w:r>
                </w:p>
              </w:tc>
              <w:tc>
                <w:tcPr>
                  <w:tcW w:w="1218" w:type="pct"/>
                  <w:gridSpan w:val="3"/>
                </w:tcPr>
                <w:p>
                  <w:pPr>
                    <w:pStyle w:val="77"/>
                    <w:keepNext/>
                  </w:pPr>
                  <w:r>
                    <w:rPr>
                      <w:rFonts w:hint="eastAsia"/>
                    </w:rPr>
                    <w:t>治理措施</w:t>
                  </w:r>
                </w:p>
              </w:tc>
              <w:tc>
                <w:tcPr>
                  <w:tcW w:w="1199" w:type="pct"/>
                  <w:gridSpan w:val="3"/>
                  <w:vAlign w:val="center"/>
                </w:tcPr>
                <w:p>
                  <w:pPr>
                    <w:pStyle w:val="77"/>
                    <w:keepNext/>
                  </w:pPr>
                  <w:r>
                    <w:rPr>
                      <w:rFonts w:hint="eastAsia"/>
                    </w:rPr>
                    <w:t>污染物</w:t>
                  </w:r>
                  <w:r>
                    <w:t>排放</w:t>
                  </w:r>
                </w:p>
              </w:tc>
              <w:tc>
                <w:tcPr>
                  <w:tcW w:w="406" w:type="pct"/>
                  <w:vMerge w:val="restart"/>
                  <w:vAlign w:val="center"/>
                </w:tcPr>
                <w:p>
                  <w:pPr>
                    <w:pStyle w:val="77"/>
                    <w:keepNext/>
                  </w:pPr>
                  <w:r>
                    <w:rPr>
                      <w:rFonts w:hint="eastAsia"/>
                    </w:rPr>
                    <w:t>排放时间/h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2" w:hRule="atLeast"/>
              </w:trPr>
              <w:tc>
                <w:tcPr>
                  <w:tcW w:w="404" w:type="pct"/>
                  <w:vMerge w:val="continue"/>
                  <w:vAlign w:val="center"/>
                </w:tcPr>
                <w:p>
                  <w:pPr>
                    <w:pStyle w:val="77"/>
                    <w:keepNext/>
                  </w:pPr>
                </w:p>
              </w:tc>
              <w:tc>
                <w:tcPr>
                  <w:tcW w:w="267" w:type="pct"/>
                  <w:vMerge w:val="continue"/>
                  <w:vAlign w:val="center"/>
                </w:tcPr>
                <w:p>
                  <w:pPr>
                    <w:pStyle w:val="77"/>
                    <w:keepNext/>
                  </w:pPr>
                </w:p>
              </w:tc>
              <w:tc>
                <w:tcPr>
                  <w:tcW w:w="241" w:type="pct"/>
                  <w:vMerge w:val="continue"/>
                  <w:vAlign w:val="center"/>
                </w:tcPr>
                <w:p>
                  <w:pPr>
                    <w:pStyle w:val="77"/>
                    <w:keepNext/>
                  </w:pPr>
                </w:p>
              </w:tc>
              <w:tc>
                <w:tcPr>
                  <w:tcW w:w="518" w:type="pct"/>
                  <w:vAlign w:val="center"/>
                </w:tcPr>
                <w:p>
                  <w:pPr>
                    <w:pStyle w:val="77"/>
                    <w:keepNext/>
                  </w:pPr>
                  <w:r>
                    <w:rPr>
                      <w:rFonts w:hint="eastAsia"/>
                    </w:rPr>
                    <w:t>废气产生量</w:t>
                  </w:r>
                </w:p>
              </w:tc>
              <w:tc>
                <w:tcPr>
                  <w:tcW w:w="362" w:type="pct"/>
                  <w:vAlign w:val="center"/>
                </w:tcPr>
                <w:p>
                  <w:pPr>
                    <w:pStyle w:val="77"/>
                    <w:keepNext/>
                  </w:pPr>
                  <w:r>
                    <w:rPr>
                      <w:rFonts w:hint="eastAsia"/>
                    </w:rPr>
                    <w:t>产生浓度</w:t>
                  </w:r>
                </w:p>
              </w:tc>
              <w:tc>
                <w:tcPr>
                  <w:tcW w:w="380" w:type="pct"/>
                  <w:vAlign w:val="center"/>
                </w:tcPr>
                <w:p>
                  <w:pPr>
                    <w:pStyle w:val="77"/>
                    <w:keepNext/>
                  </w:pPr>
                  <w:r>
                    <w:rPr>
                      <w:rFonts w:hint="eastAsia"/>
                    </w:rPr>
                    <w:t>产生速率</w:t>
                  </w:r>
                </w:p>
              </w:tc>
              <w:tc>
                <w:tcPr>
                  <w:tcW w:w="319" w:type="pct"/>
                  <w:vAlign w:val="center"/>
                </w:tcPr>
                <w:p>
                  <w:pPr>
                    <w:pStyle w:val="77"/>
                    <w:keepNext/>
                  </w:pPr>
                  <w:r>
                    <w:rPr>
                      <w:rFonts w:hint="eastAsia"/>
                    </w:rPr>
                    <w:t>工艺</w:t>
                  </w:r>
                </w:p>
              </w:tc>
              <w:tc>
                <w:tcPr>
                  <w:tcW w:w="456" w:type="pct"/>
                  <w:vAlign w:val="center"/>
                </w:tcPr>
                <w:p>
                  <w:pPr>
                    <w:pStyle w:val="77"/>
                    <w:keepNext/>
                  </w:pPr>
                  <w:r>
                    <w:t>收集效率</w:t>
                  </w:r>
                  <w:r>
                    <w:rPr>
                      <w:rFonts w:hint="eastAsia"/>
                    </w:rPr>
                    <w:t>/</w:t>
                  </w:r>
                  <w:r>
                    <w:t>%</w:t>
                  </w:r>
                </w:p>
              </w:tc>
              <w:tc>
                <w:tcPr>
                  <w:tcW w:w="442" w:type="pct"/>
                  <w:vAlign w:val="center"/>
                </w:tcPr>
                <w:p>
                  <w:pPr>
                    <w:pStyle w:val="77"/>
                    <w:keepNext/>
                  </w:pPr>
                  <w:r>
                    <w:rPr>
                      <w:rFonts w:hint="eastAsia"/>
                    </w:rPr>
                    <w:t>处理效率/</w:t>
                  </w:r>
                  <w:r>
                    <w:t>%</w:t>
                  </w:r>
                </w:p>
              </w:tc>
              <w:tc>
                <w:tcPr>
                  <w:tcW w:w="458" w:type="pct"/>
                  <w:vAlign w:val="center"/>
                </w:tcPr>
                <w:p>
                  <w:pPr>
                    <w:pStyle w:val="77"/>
                    <w:keepNext/>
                  </w:pPr>
                  <w:r>
                    <w:rPr>
                      <w:rFonts w:hint="eastAsia"/>
                    </w:rPr>
                    <w:t>废气排放量</w:t>
                  </w:r>
                </w:p>
              </w:tc>
              <w:tc>
                <w:tcPr>
                  <w:tcW w:w="361" w:type="pct"/>
                  <w:vAlign w:val="center"/>
                </w:tcPr>
                <w:p>
                  <w:pPr>
                    <w:pStyle w:val="77"/>
                    <w:keepNext/>
                  </w:pPr>
                  <w:r>
                    <w:rPr>
                      <w:rFonts w:hint="eastAsia"/>
                    </w:rPr>
                    <w:t>排放浓度</w:t>
                  </w:r>
                </w:p>
              </w:tc>
              <w:tc>
                <w:tcPr>
                  <w:tcW w:w="380" w:type="pct"/>
                  <w:vAlign w:val="center"/>
                </w:tcPr>
                <w:p>
                  <w:pPr>
                    <w:pStyle w:val="77"/>
                    <w:keepNext/>
                  </w:pPr>
                  <w:r>
                    <w:rPr>
                      <w:rFonts w:hint="eastAsia"/>
                    </w:rPr>
                    <w:t>排放速率</w:t>
                  </w:r>
                </w:p>
              </w:tc>
              <w:tc>
                <w:tcPr>
                  <w:tcW w:w="406" w:type="pct"/>
                  <w:vMerge w:val="continue"/>
                  <w:vAlign w:val="center"/>
                </w:tcPr>
                <w:p>
                  <w:pPr>
                    <w:pStyle w:val="77"/>
                    <w:keepNex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04" w:type="pct"/>
                  <w:vAlign w:val="center"/>
                </w:tcPr>
                <w:p>
                  <w:pPr>
                    <w:pStyle w:val="77"/>
                  </w:pPr>
                  <w:r>
                    <w:rPr>
                      <w:rFonts w:hint="eastAsia"/>
                    </w:rPr>
                    <w:t>厨房</w:t>
                  </w:r>
                </w:p>
              </w:tc>
              <w:tc>
                <w:tcPr>
                  <w:tcW w:w="267" w:type="pct"/>
                  <w:vAlign w:val="center"/>
                </w:tcPr>
                <w:p>
                  <w:pPr>
                    <w:pStyle w:val="77"/>
                  </w:pPr>
                  <w:r>
                    <w:rPr>
                      <w:rFonts w:hint="eastAsia"/>
                    </w:rPr>
                    <w:t>P1</w:t>
                  </w:r>
                </w:p>
              </w:tc>
              <w:tc>
                <w:tcPr>
                  <w:tcW w:w="241" w:type="pct"/>
                  <w:vAlign w:val="center"/>
                </w:tcPr>
                <w:p>
                  <w:pPr>
                    <w:pStyle w:val="77"/>
                  </w:pPr>
                  <w:r>
                    <w:rPr>
                      <w:rFonts w:hint="eastAsia"/>
                    </w:rPr>
                    <w:t>厨房油烟</w:t>
                  </w:r>
                </w:p>
              </w:tc>
              <w:tc>
                <w:tcPr>
                  <w:tcW w:w="518" w:type="pct"/>
                  <w:vAlign w:val="center"/>
                </w:tcPr>
                <w:p>
                  <w:pPr>
                    <w:pStyle w:val="77"/>
                    <w:rPr>
                      <w:u w:val="single"/>
                    </w:rPr>
                  </w:pPr>
                  <w:r>
                    <w:rPr>
                      <w:rFonts w:hint="eastAsia"/>
                      <w:u w:val="single"/>
                      <w:lang w:val="en-US" w:eastAsia="zh-CN"/>
                    </w:rPr>
                    <w:t>17.52</w:t>
                  </w:r>
                  <w:r>
                    <w:rPr>
                      <w:rFonts w:hint="eastAsia"/>
                      <w:u w:val="single"/>
                    </w:rPr>
                    <w:t>kg/a</w:t>
                  </w:r>
                </w:p>
              </w:tc>
              <w:tc>
                <w:tcPr>
                  <w:tcW w:w="362" w:type="pct"/>
                  <w:vAlign w:val="center"/>
                </w:tcPr>
                <w:p>
                  <w:pPr>
                    <w:pStyle w:val="77"/>
                    <w:rPr>
                      <w:u w:val="single"/>
                    </w:rPr>
                  </w:pPr>
                  <w:r>
                    <w:rPr>
                      <w:rFonts w:hint="eastAsia"/>
                      <w:u w:val="single"/>
                      <w:lang w:val="en-US" w:eastAsia="zh-CN"/>
                    </w:rPr>
                    <w:t>4.0</w:t>
                  </w:r>
                  <w:r>
                    <w:rPr>
                      <w:rFonts w:hint="eastAsia"/>
                      <w:u w:val="single"/>
                    </w:rPr>
                    <w:t>mg/m</w:t>
                  </w:r>
                  <w:r>
                    <w:rPr>
                      <w:u w:val="single"/>
                      <w:vertAlign w:val="superscript"/>
                    </w:rPr>
                    <w:t>3</w:t>
                  </w:r>
                </w:p>
              </w:tc>
              <w:tc>
                <w:tcPr>
                  <w:tcW w:w="380" w:type="pct"/>
                  <w:vAlign w:val="center"/>
                </w:tcPr>
                <w:p>
                  <w:pPr>
                    <w:pStyle w:val="77"/>
                    <w:rPr>
                      <w:u w:val="single"/>
                    </w:rPr>
                  </w:pPr>
                  <w:r>
                    <w:rPr>
                      <w:rFonts w:hint="eastAsia"/>
                      <w:u w:val="single"/>
                      <w:lang w:val="en-US" w:eastAsia="zh-CN"/>
                    </w:rPr>
                    <w:t>8</w:t>
                  </w:r>
                  <w:r>
                    <w:rPr>
                      <w:rFonts w:hint="eastAsia"/>
                      <w:u w:val="single"/>
                    </w:rPr>
                    <w:t>g/h</w:t>
                  </w:r>
                </w:p>
              </w:tc>
              <w:tc>
                <w:tcPr>
                  <w:tcW w:w="319" w:type="pct"/>
                  <w:vAlign w:val="center"/>
                </w:tcPr>
                <w:p>
                  <w:pPr>
                    <w:pStyle w:val="77"/>
                    <w:rPr>
                      <w:rFonts w:hint="eastAsia" w:eastAsia="宋体"/>
                      <w:u w:val="single"/>
                      <w:lang w:eastAsia="zh-CN"/>
                    </w:rPr>
                  </w:pPr>
                  <w:r>
                    <w:rPr>
                      <w:rFonts w:hint="eastAsia"/>
                      <w:u w:val="single"/>
                      <w:lang w:eastAsia="zh-CN"/>
                    </w:rPr>
                    <w:t>油烟净化器</w:t>
                  </w:r>
                </w:p>
              </w:tc>
              <w:tc>
                <w:tcPr>
                  <w:tcW w:w="456" w:type="pct"/>
                  <w:vAlign w:val="center"/>
                </w:tcPr>
                <w:p>
                  <w:pPr>
                    <w:pStyle w:val="77"/>
                    <w:rPr>
                      <w:u w:val="single"/>
                    </w:rPr>
                  </w:pPr>
                  <w:r>
                    <w:rPr>
                      <w:rFonts w:hint="eastAsia"/>
                      <w:u w:val="single"/>
                    </w:rPr>
                    <w:t>/</w:t>
                  </w:r>
                </w:p>
              </w:tc>
              <w:tc>
                <w:tcPr>
                  <w:tcW w:w="442" w:type="pct"/>
                  <w:vAlign w:val="center"/>
                </w:tcPr>
                <w:p>
                  <w:pPr>
                    <w:pStyle w:val="77"/>
                    <w:rPr>
                      <w:u w:val="single"/>
                    </w:rPr>
                  </w:pPr>
                  <w:r>
                    <w:rPr>
                      <w:rFonts w:hint="eastAsia"/>
                      <w:u w:val="single"/>
                    </w:rPr>
                    <w:t>60</w:t>
                  </w:r>
                </w:p>
              </w:tc>
              <w:tc>
                <w:tcPr>
                  <w:tcW w:w="458" w:type="pct"/>
                  <w:vAlign w:val="center"/>
                </w:tcPr>
                <w:p>
                  <w:pPr>
                    <w:pStyle w:val="77"/>
                    <w:rPr>
                      <w:rFonts w:hint="eastAsia" w:eastAsia="宋体"/>
                      <w:u w:val="single"/>
                      <w:lang w:eastAsia="zh-CN"/>
                    </w:rPr>
                  </w:pPr>
                  <w:r>
                    <w:rPr>
                      <w:rFonts w:hint="eastAsia"/>
                      <w:u w:val="single"/>
                      <w:lang w:eastAsia="zh-CN"/>
                    </w:rPr>
                    <w:t>7.008</w:t>
                  </w:r>
                  <w:r>
                    <w:rPr>
                      <w:rFonts w:hint="eastAsia"/>
                      <w:u w:val="single"/>
                    </w:rPr>
                    <w:t>kg/</w:t>
                  </w:r>
                  <w:r>
                    <w:rPr>
                      <w:rFonts w:hint="eastAsia"/>
                      <w:u w:val="single"/>
                      <w:lang w:val="en-US" w:eastAsia="zh-CN"/>
                    </w:rPr>
                    <w:t>a</w:t>
                  </w:r>
                </w:p>
              </w:tc>
              <w:tc>
                <w:tcPr>
                  <w:tcW w:w="361" w:type="pct"/>
                  <w:vAlign w:val="center"/>
                </w:tcPr>
                <w:p>
                  <w:pPr>
                    <w:pStyle w:val="77"/>
                    <w:rPr>
                      <w:u w:val="single"/>
                    </w:rPr>
                  </w:pPr>
                  <w:r>
                    <w:rPr>
                      <w:rFonts w:hint="eastAsia"/>
                      <w:u w:val="single"/>
                      <w:lang w:val="en-US" w:eastAsia="zh-CN"/>
                    </w:rPr>
                    <w:t>1.6</w:t>
                  </w:r>
                  <w:r>
                    <w:rPr>
                      <w:rFonts w:hint="eastAsia"/>
                      <w:u w:val="single"/>
                    </w:rPr>
                    <w:t>mg/m</w:t>
                  </w:r>
                  <w:r>
                    <w:rPr>
                      <w:u w:val="single"/>
                      <w:vertAlign w:val="superscript"/>
                    </w:rPr>
                    <w:t>3</w:t>
                  </w:r>
                </w:p>
              </w:tc>
              <w:tc>
                <w:tcPr>
                  <w:tcW w:w="380" w:type="pct"/>
                  <w:vAlign w:val="center"/>
                </w:tcPr>
                <w:p>
                  <w:pPr>
                    <w:pStyle w:val="77"/>
                    <w:rPr>
                      <w:u w:val="single"/>
                    </w:rPr>
                  </w:pPr>
                  <w:r>
                    <w:rPr>
                      <w:rFonts w:hint="eastAsia"/>
                      <w:u w:val="single"/>
                      <w:lang w:val="en-US" w:eastAsia="zh-CN"/>
                    </w:rPr>
                    <w:t>3.2</w:t>
                  </w:r>
                  <w:r>
                    <w:rPr>
                      <w:rFonts w:hint="eastAsia"/>
                      <w:u w:val="single"/>
                    </w:rPr>
                    <w:t>g/h</w:t>
                  </w:r>
                </w:p>
              </w:tc>
              <w:tc>
                <w:tcPr>
                  <w:tcW w:w="406" w:type="pct"/>
                  <w:vAlign w:val="center"/>
                </w:tcPr>
                <w:p>
                  <w:pPr>
                    <w:pStyle w:val="77"/>
                    <w:rPr>
                      <w:u w:val="single"/>
                    </w:rPr>
                  </w:pPr>
                  <w:r>
                    <w:rPr>
                      <w:rFonts w:hint="eastAsia"/>
                      <w:u w:val="single"/>
                    </w:rPr>
                    <w:t>2190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04" w:type="pct"/>
                  <w:vAlign w:val="center"/>
                </w:tcPr>
                <w:p>
                  <w:pPr>
                    <w:pStyle w:val="77"/>
                  </w:pPr>
                  <w:r>
                    <w:rPr>
                      <w:rFonts w:hint="eastAsia"/>
                    </w:rPr>
                    <w:t>污水处理站</w:t>
                  </w:r>
                </w:p>
              </w:tc>
              <w:tc>
                <w:tcPr>
                  <w:tcW w:w="267" w:type="pct"/>
                  <w:vAlign w:val="center"/>
                </w:tcPr>
                <w:p>
                  <w:pPr>
                    <w:pStyle w:val="77"/>
                  </w:pPr>
                  <w:r>
                    <w:rPr>
                      <w:rFonts w:hint="eastAsia"/>
                    </w:rPr>
                    <w:t>P2</w:t>
                  </w:r>
                </w:p>
              </w:tc>
              <w:tc>
                <w:tcPr>
                  <w:tcW w:w="241" w:type="pct"/>
                  <w:vAlign w:val="center"/>
                </w:tcPr>
                <w:p>
                  <w:pPr>
                    <w:pStyle w:val="77"/>
                  </w:pPr>
                  <w:r>
                    <w:rPr>
                      <w:rFonts w:hint="eastAsia"/>
                    </w:rPr>
                    <w:t>臭气</w:t>
                  </w:r>
                </w:p>
              </w:tc>
              <w:tc>
                <w:tcPr>
                  <w:tcW w:w="518" w:type="pct"/>
                  <w:vAlign w:val="center"/>
                </w:tcPr>
                <w:p>
                  <w:pPr>
                    <w:pStyle w:val="77"/>
                    <w:rPr>
                      <w:u w:val="single"/>
                    </w:rPr>
                  </w:pPr>
                  <w:r>
                    <w:rPr>
                      <w:rFonts w:hint="eastAsia"/>
                      <w:u w:val="single"/>
                    </w:rPr>
                    <w:t>NH</w:t>
                  </w:r>
                  <w:r>
                    <w:rPr>
                      <w:rFonts w:hint="eastAsia"/>
                      <w:u w:val="single"/>
                      <w:vertAlign w:val="subscript"/>
                    </w:rPr>
                    <w:t>3</w:t>
                  </w:r>
                  <w:r>
                    <w:rPr>
                      <w:rFonts w:hint="eastAsia"/>
                      <w:u w:val="single"/>
                    </w:rPr>
                    <w:t>：</w:t>
                  </w:r>
                  <w:r>
                    <w:rPr>
                      <w:rFonts w:hint="eastAsia"/>
                      <w:u w:val="single"/>
                      <w:lang w:eastAsia="zh-CN"/>
                    </w:rPr>
                    <w:t>0.74</w:t>
                  </w:r>
                  <w:r>
                    <w:rPr>
                      <w:rFonts w:hint="eastAsia"/>
                      <w:u w:val="single"/>
                    </w:rPr>
                    <w:t>kg/a</w:t>
                  </w:r>
                </w:p>
                <w:p>
                  <w:pPr>
                    <w:pStyle w:val="77"/>
                    <w:rPr>
                      <w:rFonts w:hint="eastAsia" w:eastAsia="宋体"/>
                      <w:u w:val="single"/>
                      <w:lang w:eastAsia="zh-CN"/>
                    </w:rPr>
                  </w:pPr>
                  <w:r>
                    <w:rPr>
                      <w:rFonts w:hint="eastAsia"/>
                      <w:u w:val="single"/>
                    </w:rPr>
                    <w:t>H</w:t>
                  </w:r>
                  <w:r>
                    <w:rPr>
                      <w:rFonts w:hint="eastAsia"/>
                      <w:u w:val="single"/>
                      <w:vertAlign w:val="subscript"/>
                    </w:rPr>
                    <w:t>2</w:t>
                  </w:r>
                  <w:r>
                    <w:rPr>
                      <w:rFonts w:hint="eastAsia"/>
                      <w:u w:val="single"/>
                    </w:rPr>
                    <w:t>S:</w:t>
                  </w:r>
                  <w:r>
                    <w:rPr>
                      <w:rFonts w:hint="eastAsia"/>
                      <w:u w:val="single"/>
                      <w:lang w:eastAsia="zh-CN"/>
                    </w:rPr>
                    <w:t>0.0287</w:t>
                  </w:r>
                  <w:r>
                    <w:rPr>
                      <w:rFonts w:hint="eastAsia"/>
                      <w:u w:val="single"/>
                    </w:rPr>
                    <w:t>kg/a</w:t>
                  </w:r>
                </w:p>
              </w:tc>
              <w:tc>
                <w:tcPr>
                  <w:tcW w:w="362" w:type="pct"/>
                  <w:vAlign w:val="center"/>
                </w:tcPr>
                <w:p>
                  <w:pPr>
                    <w:pStyle w:val="77"/>
                    <w:rPr>
                      <w:u w:val="single"/>
                    </w:rPr>
                  </w:pPr>
                  <w:r>
                    <w:rPr>
                      <w:rFonts w:hint="eastAsia"/>
                      <w:u w:val="single"/>
                    </w:rPr>
                    <w:t>/</w:t>
                  </w:r>
                </w:p>
              </w:tc>
              <w:tc>
                <w:tcPr>
                  <w:tcW w:w="380" w:type="pct"/>
                  <w:vAlign w:val="center"/>
                </w:tcPr>
                <w:p>
                  <w:pPr>
                    <w:pStyle w:val="77"/>
                    <w:rPr>
                      <w:u w:val="single"/>
                    </w:rPr>
                  </w:pPr>
                  <w:r>
                    <w:rPr>
                      <w:rFonts w:hint="eastAsia"/>
                      <w:u w:val="single"/>
                    </w:rPr>
                    <w:t>NH</w:t>
                  </w:r>
                  <w:r>
                    <w:rPr>
                      <w:rFonts w:hint="eastAsia"/>
                      <w:u w:val="single"/>
                      <w:vertAlign w:val="subscript"/>
                    </w:rPr>
                    <w:t>3</w:t>
                  </w:r>
                  <w:r>
                    <w:rPr>
                      <w:rFonts w:hint="eastAsia"/>
                      <w:u w:val="single"/>
                    </w:rPr>
                    <w:t>：</w:t>
                  </w:r>
                  <w:r>
                    <w:rPr>
                      <w:rFonts w:hint="eastAsia"/>
                      <w:u w:val="single"/>
                      <w:lang w:eastAsia="zh-CN"/>
                    </w:rPr>
                    <w:t>0.08451</w:t>
                  </w:r>
                  <w:r>
                    <w:rPr>
                      <w:rFonts w:hint="eastAsia"/>
                      <w:u w:val="single"/>
                    </w:rPr>
                    <w:t>g/h</w:t>
                  </w:r>
                </w:p>
                <w:p>
                  <w:pPr>
                    <w:pStyle w:val="77"/>
                    <w:rPr>
                      <w:rFonts w:hint="eastAsia" w:eastAsia="宋体"/>
                      <w:u w:val="single"/>
                      <w:lang w:eastAsia="zh-CN"/>
                    </w:rPr>
                  </w:pPr>
                  <w:r>
                    <w:rPr>
                      <w:rFonts w:hint="eastAsia"/>
                      <w:u w:val="single"/>
                      <w:lang w:val="en-US" w:eastAsia="zh-CN"/>
                    </w:rPr>
                    <w:t>,</w:t>
                  </w:r>
                  <w:r>
                    <w:rPr>
                      <w:rFonts w:hint="eastAsia"/>
                      <w:u w:val="single"/>
                    </w:rPr>
                    <w:t>H</w:t>
                  </w:r>
                  <w:r>
                    <w:rPr>
                      <w:rFonts w:hint="eastAsia"/>
                      <w:u w:val="single"/>
                      <w:vertAlign w:val="subscript"/>
                    </w:rPr>
                    <w:t>2</w:t>
                  </w:r>
                  <w:r>
                    <w:rPr>
                      <w:rFonts w:hint="eastAsia"/>
                      <w:u w:val="single"/>
                    </w:rPr>
                    <w:t>S:0.</w:t>
                  </w:r>
                  <w:r>
                    <w:rPr>
                      <w:rFonts w:hint="eastAsia"/>
                      <w:u w:val="single"/>
                      <w:lang w:eastAsia="zh-CN"/>
                    </w:rPr>
                    <w:t>003271</w:t>
                  </w:r>
                  <w:r>
                    <w:rPr>
                      <w:rFonts w:hint="eastAsia"/>
                      <w:u w:val="single"/>
                    </w:rPr>
                    <w:t>g/h</w:t>
                  </w:r>
                </w:p>
              </w:tc>
              <w:tc>
                <w:tcPr>
                  <w:tcW w:w="319" w:type="pct"/>
                  <w:vAlign w:val="center"/>
                </w:tcPr>
                <w:p>
                  <w:pPr>
                    <w:pStyle w:val="77"/>
                    <w:rPr>
                      <w:u w:val="single"/>
                    </w:rPr>
                  </w:pPr>
                  <w:r>
                    <w:rPr>
                      <w:rFonts w:hint="eastAsia"/>
                      <w:u w:val="single"/>
                    </w:rPr>
                    <w:t>/</w:t>
                  </w:r>
                </w:p>
              </w:tc>
              <w:tc>
                <w:tcPr>
                  <w:tcW w:w="456" w:type="pct"/>
                  <w:vAlign w:val="center"/>
                </w:tcPr>
                <w:p>
                  <w:pPr>
                    <w:pStyle w:val="77"/>
                    <w:rPr>
                      <w:u w:val="single"/>
                    </w:rPr>
                  </w:pPr>
                  <w:r>
                    <w:rPr>
                      <w:rFonts w:hint="eastAsia"/>
                      <w:u w:val="single"/>
                    </w:rPr>
                    <w:t>/</w:t>
                  </w:r>
                </w:p>
              </w:tc>
              <w:tc>
                <w:tcPr>
                  <w:tcW w:w="442" w:type="pct"/>
                  <w:vAlign w:val="center"/>
                </w:tcPr>
                <w:p>
                  <w:pPr>
                    <w:pStyle w:val="77"/>
                    <w:rPr>
                      <w:u w:val="single"/>
                    </w:rPr>
                  </w:pPr>
                  <w:r>
                    <w:rPr>
                      <w:rFonts w:hint="eastAsia"/>
                      <w:u w:val="single"/>
                    </w:rPr>
                    <w:t>/</w:t>
                  </w:r>
                </w:p>
              </w:tc>
              <w:tc>
                <w:tcPr>
                  <w:tcW w:w="458" w:type="pct"/>
                  <w:vAlign w:val="center"/>
                </w:tcPr>
                <w:p>
                  <w:pPr>
                    <w:pStyle w:val="77"/>
                    <w:rPr>
                      <w:u w:val="single"/>
                    </w:rPr>
                  </w:pPr>
                  <w:r>
                    <w:rPr>
                      <w:rFonts w:hint="eastAsia"/>
                      <w:u w:val="single"/>
                    </w:rPr>
                    <w:t>NH</w:t>
                  </w:r>
                  <w:r>
                    <w:rPr>
                      <w:rFonts w:hint="eastAsia"/>
                      <w:u w:val="single"/>
                      <w:vertAlign w:val="subscript"/>
                    </w:rPr>
                    <w:t>3</w:t>
                  </w:r>
                  <w:r>
                    <w:rPr>
                      <w:rFonts w:hint="eastAsia"/>
                      <w:u w:val="single"/>
                    </w:rPr>
                    <w:t>：</w:t>
                  </w:r>
                  <w:r>
                    <w:rPr>
                      <w:rFonts w:hint="eastAsia"/>
                      <w:u w:val="single"/>
                      <w:lang w:eastAsia="zh-CN"/>
                    </w:rPr>
                    <w:t>0.74</w:t>
                  </w:r>
                  <w:r>
                    <w:rPr>
                      <w:rFonts w:hint="eastAsia"/>
                      <w:u w:val="single"/>
                    </w:rPr>
                    <w:t>kg/a</w:t>
                  </w:r>
                </w:p>
                <w:p>
                  <w:pPr>
                    <w:pStyle w:val="77"/>
                    <w:rPr>
                      <w:rFonts w:hint="eastAsia" w:eastAsia="宋体"/>
                      <w:u w:val="single"/>
                      <w:lang w:eastAsia="zh-CN"/>
                    </w:rPr>
                  </w:pPr>
                  <w:r>
                    <w:rPr>
                      <w:rFonts w:hint="eastAsia"/>
                      <w:u w:val="single"/>
                    </w:rPr>
                    <w:t>H</w:t>
                  </w:r>
                  <w:r>
                    <w:rPr>
                      <w:rFonts w:hint="eastAsia"/>
                      <w:u w:val="single"/>
                      <w:vertAlign w:val="subscript"/>
                    </w:rPr>
                    <w:t>2</w:t>
                  </w:r>
                  <w:r>
                    <w:rPr>
                      <w:rFonts w:hint="eastAsia"/>
                      <w:u w:val="single"/>
                    </w:rPr>
                    <w:t>S:</w:t>
                  </w:r>
                  <w:r>
                    <w:rPr>
                      <w:rFonts w:hint="eastAsia"/>
                      <w:u w:val="single"/>
                      <w:lang w:eastAsia="zh-CN"/>
                    </w:rPr>
                    <w:t>0.0287</w:t>
                  </w:r>
                  <w:r>
                    <w:rPr>
                      <w:rFonts w:hint="eastAsia"/>
                      <w:u w:val="single"/>
                    </w:rPr>
                    <w:t>kg/a</w:t>
                  </w:r>
                </w:p>
              </w:tc>
              <w:tc>
                <w:tcPr>
                  <w:tcW w:w="361" w:type="pct"/>
                  <w:vAlign w:val="center"/>
                </w:tcPr>
                <w:p>
                  <w:pPr>
                    <w:pStyle w:val="77"/>
                    <w:rPr>
                      <w:u w:val="single"/>
                    </w:rPr>
                  </w:pPr>
                  <w:r>
                    <w:rPr>
                      <w:rFonts w:hint="eastAsia"/>
                      <w:u w:val="single"/>
                    </w:rPr>
                    <w:t>/</w:t>
                  </w:r>
                </w:p>
              </w:tc>
              <w:tc>
                <w:tcPr>
                  <w:tcW w:w="380" w:type="pct"/>
                  <w:vAlign w:val="center"/>
                </w:tcPr>
                <w:p>
                  <w:pPr>
                    <w:pStyle w:val="77"/>
                    <w:rPr>
                      <w:u w:val="single"/>
                    </w:rPr>
                  </w:pPr>
                  <w:r>
                    <w:rPr>
                      <w:rFonts w:hint="eastAsia"/>
                      <w:u w:val="single"/>
                    </w:rPr>
                    <w:t>NH</w:t>
                  </w:r>
                  <w:r>
                    <w:rPr>
                      <w:rFonts w:hint="eastAsia"/>
                      <w:u w:val="single"/>
                      <w:vertAlign w:val="subscript"/>
                    </w:rPr>
                    <w:t>3</w:t>
                  </w:r>
                  <w:r>
                    <w:rPr>
                      <w:rFonts w:hint="eastAsia"/>
                      <w:u w:val="single"/>
                    </w:rPr>
                    <w:t>：</w:t>
                  </w:r>
                  <w:r>
                    <w:rPr>
                      <w:rFonts w:hint="eastAsia"/>
                      <w:u w:val="single"/>
                      <w:lang w:eastAsia="zh-CN"/>
                    </w:rPr>
                    <w:t>0.08451</w:t>
                  </w:r>
                  <w:r>
                    <w:rPr>
                      <w:rFonts w:hint="eastAsia"/>
                      <w:u w:val="single"/>
                    </w:rPr>
                    <w:t>g/h</w:t>
                  </w:r>
                </w:p>
                <w:p>
                  <w:pPr>
                    <w:pStyle w:val="77"/>
                    <w:rPr>
                      <w:rFonts w:hint="eastAsia" w:eastAsia="宋体"/>
                      <w:u w:val="single"/>
                      <w:lang w:eastAsia="zh-CN"/>
                    </w:rPr>
                  </w:pPr>
                  <w:r>
                    <w:rPr>
                      <w:rFonts w:hint="eastAsia"/>
                      <w:u w:val="single"/>
                      <w:lang w:val="en-US" w:eastAsia="zh-CN"/>
                    </w:rPr>
                    <w:t>,</w:t>
                  </w:r>
                  <w:r>
                    <w:rPr>
                      <w:rFonts w:hint="eastAsia"/>
                      <w:u w:val="single"/>
                    </w:rPr>
                    <w:t>H</w:t>
                  </w:r>
                  <w:r>
                    <w:rPr>
                      <w:rFonts w:hint="eastAsia"/>
                      <w:u w:val="single"/>
                      <w:vertAlign w:val="subscript"/>
                    </w:rPr>
                    <w:t>2</w:t>
                  </w:r>
                  <w:r>
                    <w:rPr>
                      <w:rFonts w:hint="eastAsia"/>
                      <w:u w:val="single"/>
                    </w:rPr>
                    <w:t>S:0.</w:t>
                  </w:r>
                  <w:r>
                    <w:rPr>
                      <w:rFonts w:hint="eastAsia"/>
                      <w:u w:val="single"/>
                      <w:lang w:eastAsia="zh-CN"/>
                    </w:rPr>
                    <w:t>003271</w:t>
                  </w:r>
                  <w:r>
                    <w:rPr>
                      <w:rFonts w:hint="eastAsia"/>
                      <w:u w:val="single"/>
                    </w:rPr>
                    <w:t>g/h</w:t>
                  </w:r>
                </w:p>
              </w:tc>
              <w:tc>
                <w:tcPr>
                  <w:tcW w:w="406" w:type="pct"/>
                  <w:vAlign w:val="center"/>
                </w:tcPr>
                <w:p>
                  <w:pPr>
                    <w:pStyle w:val="77"/>
                    <w:rPr>
                      <w:rFonts w:hint="eastAsia" w:eastAsia="宋体"/>
                      <w:u w:val="single"/>
                      <w:lang w:eastAsia="zh-CN"/>
                    </w:rPr>
                  </w:pPr>
                  <w:r>
                    <w:rPr>
                      <w:rFonts w:hint="eastAsia"/>
                      <w:u w:val="single"/>
                      <w:lang w:eastAsia="zh-CN"/>
                    </w:rPr>
                    <w:t>6570</w:t>
                  </w:r>
                </w:p>
              </w:tc>
            </w:tr>
          </w:tbl>
          <w:p>
            <w:pPr>
              <w:spacing w:line="360" w:lineRule="auto"/>
              <w:rPr>
                <w:b/>
                <w:bCs/>
                <w:sz w:val="24"/>
              </w:rPr>
            </w:pPr>
            <w:r>
              <w:rPr>
                <w:b/>
                <w:bCs/>
                <w:sz w:val="24"/>
              </w:rPr>
              <w:t>2</w:t>
            </w:r>
            <w:r>
              <w:rPr>
                <w:rFonts w:hint="eastAsia"/>
                <w:b/>
                <w:bCs/>
                <w:sz w:val="24"/>
              </w:rPr>
              <w:t>、</w:t>
            </w:r>
            <w:r>
              <w:rPr>
                <w:rFonts w:hint="eastAsia" w:cs="宋体"/>
                <w:b/>
                <w:bCs/>
                <w:sz w:val="24"/>
              </w:rPr>
              <w:t>废水</w:t>
            </w:r>
          </w:p>
          <w:p>
            <w:pPr>
              <w:spacing w:line="360" w:lineRule="auto"/>
              <w:ind w:firstLine="480" w:firstLineChars="200"/>
              <w:rPr>
                <w:rFonts w:cs="宋体"/>
                <w:bCs/>
                <w:sz w:val="24"/>
              </w:rPr>
            </w:pPr>
            <w:r>
              <w:rPr>
                <w:rFonts w:hint="eastAsia" w:cs="宋体"/>
                <w:bCs/>
                <w:sz w:val="24"/>
              </w:rPr>
              <w:t>本项目设放射科，使用DR摄像系统</w:t>
            </w:r>
            <w:r>
              <w:rPr>
                <w:rFonts w:hint="eastAsia" w:cs="宋体"/>
                <w:bCs/>
                <w:sz w:val="24"/>
                <w:lang w:eastAsia="zh-CN"/>
              </w:rPr>
              <w:t>，此部分内容另行委托第三方做环评</w:t>
            </w:r>
            <w:r>
              <w:rPr>
                <w:rFonts w:hint="eastAsia" w:cs="宋体"/>
                <w:bCs/>
                <w:sz w:val="24"/>
              </w:rPr>
              <w:t>；检验科使用生化剂，未使用酸碱类腐蚀性或含重金属、氰化物等有毒有害物质。故项目产生的医疗废水均为一般医疗废水，无特殊医疗废水。</w:t>
            </w:r>
          </w:p>
          <w:p>
            <w:pPr>
              <w:spacing w:line="360" w:lineRule="auto"/>
              <w:ind w:firstLine="480" w:firstLineChars="200"/>
              <w:rPr>
                <w:rFonts w:cs="宋体"/>
                <w:bCs/>
                <w:sz w:val="24"/>
              </w:rPr>
            </w:pPr>
            <w:r>
              <w:rPr>
                <w:rFonts w:hint="eastAsia" w:cs="宋体"/>
                <w:bCs/>
                <w:sz w:val="24"/>
              </w:rPr>
              <w:t>本项目</w:t>
            </w:r>
            <w:r>
              <w:rPr>
                <w:rFonts w:cs="宋体"/>
                <w:bCs/>
                <w:sz w:val="24"/>
              </w:rPr>
              <w:t>废水主要为职工办公生活废水</w:t>
            </w:r>
            <w:r>
              <w:rPr>
                <w:rFonts w:hint="eastAsia" w:cs="宋体"/>
                <w:bCs/>
                <w:sz w:val="24"/>
              </w:rPr>
              <w:t>、</w:t>
            </w:r>
            <w:r>
              <w:rPr>
                <w:rFonts w:cs="宋体"/>
                <w:bCs/>
                <w:sz w:val="24"/>
              </w:rPr>
              <w:t>医疗废水</w:t>
            </w:r>
            <w:r>
              <w:rPr>
                <w:rFonts w:hint="eastAsia" w:cs="宋体"/>
                <w:bCs/>
                <w:sz w:val="24"/>
              </w:rPr>
              <w:t>等。具体情况如下表表4-6所示。</w:t>
            </w:r>
          </w:p>
          <w:p>
            <w:pPr>
              <w:pStyle w:val="34"/>
              <w:spacing w:before="120"/>
              <w:ind w:firstLine="422"/>
              <w:rPr>
                <w:sz w:val="21"/>
                <w:szCs w:val="16"/>
              </w:rPr>
            </w:pPr>
            <w:r>
              <w:rPr>
                <w:rFonts w:hint="eastAsia"/>
                <w:sz w:val="21"/>
                <w:szCs w:val="16"/>
              </w:rPr>
              <w:t>表4-6项目用排水量汇总一览表</w:t>
            </w:r>
          </w:p>
          <w:tbl>
            <w:tblPr>
              <w:tblStyle w:val="27"/>
              <w:tblW w:w="8056" w:type="dxa"/>
              <w:tblInd w:w="0" w:type="dxa"/>
              <w:tblLayout w:type="fixed"/>
              <w:tblCellMar>
                <w:top w:w="0" w:type="dxa"/>
                <w:left w:w="108" w:type="dxa"/>
                <w:bottom w:w="0" w:type="dxa"/>
                <w:right w:w="108" w:type="dxa"/>
              </w:tblCellMar>
            </w:tblPr>
            <w:tblGrid>
              <w:gridCol w:w="463"/>
              <w:gridCol w:w="1139"/>
              <w:gridCol w:w="731"/>
              <w:gridCol w:w="643"/>
              <w:gridCol w:w="744"/>
              <w:gridCol w:w="744"/>
              <w:gridCol w:w="744"/>
              <w:gridCol w:w="744"/>
              <w:gridCol w:w="918"/>
              <w:gridCol w:w="1186"/>
            </w:tblGrid>
            <w:tr>
              <w:tblPrEx>
                <w:tblCellMar>
                  <w:top w:w="0" w:type="dxa"/>
                  <w:left w:w="108" w:type="dxa"/>
                  <w:bottom w:w="0" w:type="dxa"/>
                  <w:right w:w="108"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用水项目</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用水单耗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规模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日用水量（m</w:t>
                  </w:r>
                  <w:r>
                    <w:rPr>
                      <w:color w:val="000000"/>
                      <w:kern w:val="0"/>
                      <w:szCs w:val="21"/>
                      <w:u w:val="single"/>
                      <w:vertAlign w:val="superscript"/>
                      <w:lang w:bidi="ar"/>
                    </w:rPr>
                    <w:t>3</w:t>
                  </w:r>
                  <w:r>
                    <w:rPr>
                      <w:color w:val="000000"/>
                      <w:kern w:val="0"/>
                      <w:szCs w:val="21"/>
                      <w:u w:val="single"/>
                      <w:lang w:bidi="ar"/>
                    </w:rPr>
                    <w:t>/d）</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年用水量（m</w:t>
                  </w:r>
                  <w:r>
                    <w:rPr>
                      <w:color w:val="000000"/>
                      <w:kern w:val="0"/>
                      <w:szCs w:val="21"/>
                      <w:u w:val="single"/>
                      <w:vertAlign w:val="superscript"/>
                      <w:lang w:bidi="ar"/>
                    </w:rPr>
                    <w:t>3</w:t>
                  </w:r>
                  <w:r>
                    <w:rPr>
                      <w:color w:val="000000"/>
                      <w:kern w:val="0"/>
                      <w:szCs w:val="21"/>
                      <w:u w:val="single"/>
                      <w:lang w:bidi="ar"/>
                    </w:rPr>
                    <w:t>/a）</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污水产生系数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日排水量（m</w:t>
                  </w:r>
                  <w:r>
                    <w:rPr>
                      <w:color w:val="000000"/>
                      <w:kern w:val="0"/>
                      <w:szCs w:val="21"/>
                      <w:u w:val="single"/>
                      <w:vertAlign w:val="superscript"/>
                      <w:lang w:bidi="ar"/>
                    </w:rPr>
                    <w:t>3</w:t>
                  </w:r>
                  <w:r>
                    <w:rPr>
                      <w:color w:val="000000"/>
                      <w:kern w:val="0"/>
                      <w:szCs w:val="21"/>
                      <w:u w:val="single"/>
                      <w:lang w:bidi="ar"/>
                    </w:rPr>
                    <w:t>/d）</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年排水量（m</w:t>
                  </w:r>
                  <w:r>
                    <w:rPr>
                      <w:color w:val="000000"/>
                      <w:kern w:val="0"/>
                      <w:szCs w:val="21"/>
                      <w:u w:val="single"/>
                      <w:vertAlign w:val="superscript"/>
                      <w:lang w:bidi="ar"/>
                    </w:rPr>
                    <w:t>3</w:t>
                  </w:r>
                  <w:r>
                    <w:rPr>
                      <w:color w:val="000000"/>
                      <w:kern w:val="0"/>
                      <w:szCs w:val="21"/>
                      <w:u w:val="single"/>
                      <w:lang w:bidi="ar"/>
                    </w:rPr>
                    <w:t>/a）</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备注</w:t>
                  </w:r>
                </w:p>
              </w:tc>
            </w:tr>
            <w:tr>
              <w:tblPrEx>
                <w:tblCellMar>
                  <w:top w:w="0" w:type="dxa"/>
                  <w:left w:w="108" w:type="dxa"/>
                  <w:bottom w:w="0" w:type="dxa"/>
                  <w:right w:w="108" w:type="dxa"/>
                </w:tblCellMar>
              </w:tblPrEx>
              <w:trPr>
                <w:trHeight w:val="765"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医务人员办公生活污水</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38</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1.52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554.8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1.216</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443.84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单耗单位L/人·天</w:t>
                  </w:r>
                </w:p>
              </w:tc>
            </w:tr>
            <w:tr>
              <w:tblPrEx>
                <w:tblCellMar>
                  <w:top w:w="0" w:type="dxa"/>
                  <w:left w:w="108" w:type="dxa"/>
                  <w:bottom w:w="0" w:type="dxa"/>
                  <w:right w:w="108" w:type="dxa"/>
                </w:tblCellMar>
              </w:tblPrEx>
              <w:trPr>
                <w:trHeight w:val="525"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门诊医疗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15</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0.6</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219</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0.48</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175.2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单耗单位</w:t>
                  </w:r>
                  <w:r>
                    <w:rPr>
                      <w:rFonts w:hint="default"/>
                      <w:u w:val="single"/>
                      <w:lang w:val="en-US" w:eastAsia="zh-CN"/>
                    </w:rPr>
                    <w:t>L/</w:t>
                  </w:r>
                  <w:r>
                    <w:rPr>
                      <w:rFonts w:hint="eastAsia"/>
                      <w:u w:val="single"/>
                      <w:lang w:val="en-US" w:eastAsia="zh-CN"/>
                    </w:rPr>
                    <w:t>人</w:t>
                  </w:r>
                  <w:r>
                    <w:rPr>
                      <w:rFonts w:hint="default"/>
                      <w:u w:val="single"/>
                      <w:lang w:val="en-US" w:eastAsia="zh-CN"/>
                    </w:rPr>
                    <w:t>•</w:t>
                  </w:r>
                  <w:r>
                    <w:rPr>
                      <w:rFonts w:hint="eastAsia"/>
                      <w:u w:val="single"/>
                      <w:lang w:val="en-US" w:eastAsia="zh-CN"/>
                    </w:rPr>
                    <w:t>次</w:t>
                  </w:r>
                </w:p>
              </w:tc>
            </w:tr>
            <w:tr>
              <w:tblPrEx>
                <w:tblCellMar>
                  <w:top w:w="0" w:type="dxa"/>
                  <w:left w:w="108" w:type="dxa"/>
                  <w:bottom w:w="0" w:type="dxa"/>
                  <w:right w:w="108" w:type="dxa"/>
                </w:tblCellMar>
              </w:tblPrEx>
              <w:trPr>
                <w:trHeight w:val="525"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住院病房</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375</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60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22.5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8212.5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18</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6570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单耗单位</w:t>
                  </w:r>
                  <w:r>
                    <w:rPr>
                      <w:rFonts w:hint="default"/>
                      <w:u w:val="single"/>
                      <w:lang w:val="en-US" w:eastAsia="zh-CN"/>
                    </w:rPr>
                    <w:t>L/</w:t>
                  </w:r>
                  <w:r>
                    <w:rPr>
                      <w:rFonts w:hint="eastAsia"/>
                      <w:u w:val="single"/>
                      <w:lang w:val="en-US" w:eastAsia="zh-CN"/>
                    </w:rPr>
                    <w:t>床</w:t>
                  </w:r>
                  <w:r>
                    <w:rPr>
                      <w:rFonts w:hint="default"/>
                      <w:u w:val="single"/>
                      <w:lang w:val="en-US" w:eastAsia="zh-CN"/>
                    </w:rPr>
                    <w:t>·d</w:t>
                  </w:r>
                </w:p>
              </w:tc>
            </w:tr>
            <w:tr>
              <w:tblPrEx>
                <w:tblCellMar>
                  <w:top w:w="0" w:type="dxa"/>
                  <w:left w:w="108" w:type="dxa"/>
                  <w:bottom w:w="0" w:type="dxa"/>
                  <w:right w:w="108" w:type="dxa"/>
                </w:tblCellMar>
              </w:tblPrEx>
              <w:trPr>
                <w:trHeight w:val="525"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Cs w:val="21"/>
                      <w:u w:val="single"/>
                    </w:rPr>
                  </w:pPr>
                  <w:r>
                    <w:rPr>
                      <w:color w:val="000000"/>
                      <w:kern w:val="0"/>
                      <w:szCs w:val="21"/>
                      <w:u w:val="single"/>
                      <w:lang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食堂废水</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25</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365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0.8</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292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单耗单位</w:t>
                  </w:r>
                  <w:r>
                    <w:rPr>
                      <w:rFonts w:hint="default"/>
                      <w:u w:val="single"/>
                      <w:lang w:val="en-US" w:eastAsia="zh-CN"/>
                    </w:rPr>
                    <w:t>L/</w:t>
                  </w:r>
                  <w:r>
                    <w:rPr>
                      <w:rFonts w:hint="eastAsia"/>
                      <w:u w:val="single"/>
                      <w:lang w:val="en-US" w:eastAsia="zh-CN"/>
                    </w:rPr>
                    <w:t>人</w:t>
                  </w:r>
                  <w:r>
                    <w:rPr>
                      <w:rFonts w:hint="default"/>
                      <w:u w:val="single"/>
                      <w:lang w:val="en-US" w:eastAsia="zh-CN"/>
                    </w:rPr>
                    <w:t>·d</w:t>
                  </w:r>
                </w:p>
              </w:tc>
            </w:tr>
            <w:tr>
              <w:tblPrEx>
                <w:tblCellMar>
                  <w:top w:w="0" w:type="dxa"/>
                  <w:left w:w="108" w:type="dxa"/>
                  <w:bottom w:w="0" w:type="dxa"/>
                  <w:right w:w="108" w:type="dxa"/>
                </w:tblCellMar>
              </w:tblPrEx>
              <w:trPr>
                <w:trHeight w:val="54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rPr>
                      <w:u w:val="single"/>
                    </w:rPr>
                  </w:pPr>
                  <w:r>
                    <w:rPr>
                      <w:u w:val="single"/>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洗衣房废水</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73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0.16</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58.4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本项目病人被服外委给第三方洗涤</w:t>
                  </w:r>
                </w:p>
              </w:tc>
            </w:tr>
            <w:tr>
              <w:tblPrEx>
                <w:tblCellMar>
                  <w:top w:w="0" w:type="dxa"/>
                  <w:left w:w="108" w:type="dxa"/>
                  <w:bottom w:w="0" w:type="dxa"/>
                  <w:right w:w="108" w:type="dxa"/>
                </w:tblCellMar>
              </w:tblPrEx>
              <w:trPr>
                <w:trHeight w:val="51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rPr>
                      <w:u w:val="single"/>
                    </w:rPr>
                  </w:pPr>
                  <w:r>
                    <w:rPr>
                      <w:u w:val="single"/>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绿化</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60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500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30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90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r>
                    <w:rPr>
                      <w:rFonts w:hint="eastAsia"/>
                      <w:u w:val="single"/>
                      <w:lang w:val="en-US" w:eastAsia="zh-CN"/>
                    </w:rPr>
                    <w:t>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单耗单位L/m</w:t>
                  </w:r>
                  <w:r>
                    <w:rPr>
                      <w:rFonts w:hint="eastAsia"/>
                      <w:u w:val="single"/>
                      <w:vertAlign w:val="superscript"/>
                      <w:lang w:val="en-US" w:eastAsia="zh-CN"/>
                    </w:rPr>
                    <w:t>2</w:t>
                  </w:r>
                  <w:r>
                    <w:rPr>
                      <w:rFonts w:hint="eastAsia"/>
                      <w:u w:val="single"/>
                      <w:lang w:val="en-US" w:eastAsia="zh-CN"/>
                    </w:rPr>
                    <w:t>·月</w:t>
                  </w:r>
                </w:p>
              </w:tc>
            </w:tr>
            <w:tr>
              <w:tblPrEx>
                <w:tblCellMar>
                  <w:top w:w="0" w:type="dxa"/>
                  <w:left w:w="108" w:type="dxa"/>
                  <w:bottom w:w="0" w:type="dxa"/>
                  <w:right w:w="108"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rPr>
                      <w:u w:val="single"/>
                    </w:rPr>
                  </w:pPr>
                  <w:r>
                    <w:rPr>
                      <w:u w:val="single"/>
                    </w:rPr>
                    <w:t>7</w:t>
                  </w:r>
                </w:p>
              </w:tc>
              <w:tc>
                <w:tcPr>
                  <w:tcW w:w="25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eastAsia"/>
                      <w:u w:val="single"/>
                      <w:lang w:val="en-US" w:eastAsia="zh-CN"/>
                    </w:rPr>
                    <w:t>合计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55.82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9514.3</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20.656</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bidi w:val="0"/>
                    <w:rPr>
                      <w:u w:val="single"/>
                    </w:rPr>
                  </w:pPr>
                  <w:r>
                    <w:rPr>
                      <w:rFonts w:hint="default"/>
                      <w:u w:val="single"/>
                      <w:lang w:val="en-US" w:eastAsia="zh-CN"/>
                    </w:rPr>
                    <w:t>7539.44</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6"/>
                    <w:bidi w:val="0"/>
                    <w:rPr>
                      <w:u w:val="single"/>
                    </w:rPr>
                  </w:pPr>
                </w:p>
              </w:tc>
            </w:tr>
          </w:tbl>
          <w:p>
            <w:pPr>
              <w:spacing w:line="360" w:lineRule="auto"/>
              <w:ind w:firstLine="480" w:firstLineChars="200"/>
              <w:jc w:val="left"/>
              <w:rPr>
                <w:sz w:val="24"/>
              </w:rPr>
            </w:pPr>
            <w:r>
              <w:rPr>
                <w:sz w:val="24"/>
              </w:rPr>
              <w:t>项目</w:t>
            </w:r>
            <w:r>
              <w:rPr>
                <w:rFonts w:hint="eastAsia"/>
                <w:sz w:val="24"/>
              </w:rPr>
              <w:t>营运后</w:t>
            </w:r>
            <w:r>
              <w:rPr>
                <w:sz w:val="24"/>
              </w:rPr>
              <w:t>废水总产生量为</w:t>
            </w:r>
            <w:r>
              <w:rPr>
                <w:rFonts w:hint="eastAsia"/>
                <w:sz w:val="24"/>
                <w:u w:val="single"/>
                <w:lang w:eastAsia="zh-CN"/>
              </w:rPr>
              <w:t>20.66</w:t>
            </w:r>
            <w:r>
              <w:rPr>
                <w:rFonts w:hint="eastAsia"/>
                <w:sz w:val="24"/>
                <w:u w:val="single"/>
              </w:rPr>
              <w:t>m</w:t>
            </w:r>
            <w:r>
              <w:rPr>
                <w:sz w:val="24"/>
                <w:u w:val="single"/>
                <w:vertAlign w:val="superscript"/>
              </w:rPr>
              <w:t>3</w:t>
            </w:r>
            <w:r>
              <w:rPr>
                <w:sz w:val="24"/>
                <w:u w:val="single"/>
              </w:rPr>
              <w:t>/d，年污水量最大为</w:t>
            </w:r>
            <w:r>
              <w:rPr>
                <w:rFonts w:hint="eastAsia"/>
                <w:sz w:val="24"/>
                <w:u w:val="single"/>
                <w:lang w:eastAsia="zh-CN"/>
              </w:rPr>
              <w:t>7539.44</w:t>
            </w:r>
            <w:r>
              <w:rPr>
                <w:sz w:val="24"/>
                <w:u w:val="single"/>
              </w:rPr>
              <w:t>m</w:t>
            </w:r>
            <w:r>
              <w:rPr>
                <w:sz w:val="24"/>
                <w:u w:val="single"/>
                <w:vertAlign w:val="superscript"/>
              </w:rPr>
              <w:t>3</w:t>
            </w:r>
            <w:r>
              <w:rPr>
                <w:sz w:val="24"/>
                <w:u w:val="single"/>
              </w:rPr>
              <w:t>/a。</w:t>
            </w:r>
            <w:r>
              <w:rPr>
                <w:sz w:val="24"/>
              </w:rPr>
              <w:t>污水中主要有COD</w:t>
            </w:r>
            <w:r>
              <w:rPr>
                <w:sz w:val="24"/>
                <w:vertAlign w:val="subscript"/>
              </w:rPr>
              <w:t>Cr</w:t>
            </w:r>
            <w:r>
              <w:rPr>
                <w:sz w:val="24"/>
              </w:rPr>
              <w:t>、BOD</w:t>
            </w:r>
            <w:r>
              <w:rPr>
                <w:sz w:val="24"/>
                <w:vertAlign w:val="subscript"/>
              </w:rPr>
              <w:t>5</w:t>
            </w:r>
            <w:r>
              <w:rPr>
                <w:sz w:val="24"/>
              </w:rPr>
              <w:t>、氨氮、粪大肠菌群等污染因子，</w:t>
            </w:r>
            <w:r>
              <w:rPr>
                <w:rFonts w:hint="eastAsia"/>
                <w:sz w:val="24"/>
              </w:rPr>
              <w:t>产生</w:t>
            </w:r>
            <w:r>
              <w:rPr>
                <w:sz w:val="24"/>
              </w:rPr>
              <w:t>浓度</w:t>
            </w:r>
            <w:r>
              <w:rPr>
                <w:rFonts w:hint="eastAsia"/>
                <w:sz w:val="24"/>
              </w:rPr>
              <w:t>以该医院现有工程正常运行时的进水口的监测数据为准，</w:t>
            </w:r>
            <w:r>
              <w:rPr>
                <w:sz w:val="24"/>
              </w:rPr>
              <w:t>分别为</w:t>
            </w:r>
            <w:r>
              <w:rPr>
                <w:rFonts w:hint="eastAsia"/>
                <w:sz w:val="24"/>
                <w:lang w:val="en-US" w:eastAsia="zh-CN"/>
              </w:rPr>
              <w:t>106</w:t>
            </w:r>
            <w:r>
              <w:rPr>
                <w:rFonts w:hint="eastAsia"/>
                <w:sz w:val="24"/>
              </w:rPr>
              <w:t>m</w:t>
            </w:r>
            <w:r>
              <w:rPr>
                <w:sz w:val="24"/>
              </w:rPr>
              <w:t>g/L、</w:t>
            </w:r>
            <w:r>
              <w:rPr>
                <w:rFonts w:hint="eastAsia"/>
                <w:sz w:val="24"/>
                <w:lang w:val="en-US" w:eastAsia="zh-CN"/>
              </w:rPr>
              <w:t>35.3</w:t>
            </w:r>
            <w:r>
              <w:rPr>
                <w:rFonts w:hint="eastAsia"/>
                <w:sz w:val="24"/>
              </w:rPr>
              <w:t>m</w:t>
            </w:r>
            <w:r>
              <w:rPr>
                <w:sz w:val="24"/>
              </w:rPr>
              <w:t>g/L、</w:t>
            </w:r>
            <w:r>
              <w:rPr>
                <w:rFonts w:hint="eastAsia"/>
                <w:sz w:val="24"/>
                <w:lang w:val="en-US" w:eastAsia="zh-CN"/>
              </w:rPr>
              <w:t>53.2</w:t>
            </w:r>
            <w:r>
              <w:rPr>
                <w:rFonts w:hint="eastAsia"/>
                <w:sz w:val="24"/>
              </w:rPr>
              <w:t>m</w:t>
            </w:r>
            <w:r>
              <w:rPr>
                <w:sz w:val="24"/>
              </w:rPr>
              <w:t>g/L、</w:t>
            </w:r>
            <w:r>
              <w:rPr>
                <w:rFonts w:hint="eastAsia"/>
                <w:sz w:val="24"/>
                <w:lang w:val="en-US" w:eastAsia="zh-CN"/>
              </w:rPr>
              <w:t>2.4</w:t>
            </w:r>
            <w:r>
              <w:rPr>
                <w:sz w:val="24"/>
              </w:rPr>
              <w:t>×10</w:t>
            </w:r>
            <w:r>
              <w:rPr>
                <w:rFonts w:hint="eastAsia"/>
                <w:sz w:val="24"/>
                <w:vertAlign w:val="superscript"/>
              </w:rPr>
              <w:t>4</w:t>
            </w:r>
            <w:r>
              <w:rPr>
                <w:sz w:val="24"/>
              </w:rPr>
              <w:t>（个/L），COD</w:t>
            </w:r>
            <w:r>
              <w:rPr>
                <w:sz w:val="24"/>
                <w:vertAlign w:val="subscript"/>
              </w:rPr>
              <w:t>Cr</w:t>
            </w:r>
            <w:r>
              <w:rPr>
                <w:sz w:val="24"/>
              </w:rPr>
              <w:t>、BOD</w:t>
            </w:r>
            <w:r>
              <w:rPr>
                <w:sz w:val="24"/>
                <w:vertAlign w:val="subscript"/>
              </w:rPr>
              <w:t>5</w:t>
            </w:r>
            <w:r>
              <w:rPr>
                <w:sz w:val="24"/>
              </w:rPr>
              <w:t>、氨氮、粪大肠菌群产生量分别为</w:t>
            </w:r>
            <w:r>
              <w:rPr>
                <w:rFonts w:hint="eastAsia"/>
                <w:sz w:val="24"/>
                <w:u w:val="single"/>
                <w:lang w:val="en-US" w:eastAsia="zh-CN"/>
              </w:rPr>
              <w:t>0.80</w:t>
            </w:r>
            <w:r>
              <w:rPr>
                <w:sz w:val="24"/>
                <w:u w:val="single"/>
              </w:rPr>
              <w:t>t/a、</w:t>
            </w:r>
            <w:r>
              <w:rPr>
                <w:rFonts w:hint="eastAsia"/>
                <w:sz w:val="24"/>
                <w:u w:val="single"/>
              </w:rPr>
              <w:t>0.</w:t>
            </w:r>
            <w:r>
              <w:rPr>
                <w:rFonts w:hint="eastAsia"/>
                <w:sz w:val="24"/>
                <w:u w:val="single"/>
                <w:lang w:val="en-US" w:eastAsia="zh-CN"/>
              </w:rPr>
              <w:t>27</w:t>
            </w:r>
            <w:r>
              <w:rPr>
                <w:rFonts w:hint="eastAsia"/>
                <w:sz w:val="24"/>
                <w:u w:val="single"/>
              </w:rPr>
              <w:t>t</w:t>
            </w:r>
            <w:r>
              <w:rPr>
                <w:sz w:val="24"/>
                <w:u w:val="single"/>
              </w:rPr>
              <w:t>/a、</w:t>
            </w:r>
            <w:r>
              <w:rPr>
                <w:rFonts w:hint="eastAsia"/>
                <w:sz w:val="24"/>
                <w:u w:val="single"/>
              </w:rPr>
              <w:t>0.</w:t>
            </w:r>
            <w:r>
              <w:rPr>
                <w:rFonts w:hint="eastAsia"/>
                <w:sz w:val="24"/>
                <w:u w:val="single"/>
                <w:lang w:val="en-US" w:eastAsia="zh-CN"/>
              </w:rPr>
              <w:t>40</w:t>
            </w:r>
            <w:r>
              <w:rPr>
                <w:sz w:val="24"/>
                <w:u w:val="single"/>
              </w:rPr>
              <w:t>t/a、</w:t>
            </w:r>
            <w:r>
              <w:rPr>
                <w:rFonts w:hint="eastAsia"/>
                <w:sz w:val="24"/>
                <w:u w:val="single"/>
                <w:lang w:val="en-US" w:eastAsia="zh-CN"/>
              </w:rPr>
              <w:t>2.4</w:t>
            </w:r>
            <w:r>
              <w:rPr>
                <w:rFonts w:hint="eastAsia"/>
                <w:sz w:val="24"/>
                <w:u w:val="single"/>
              </w:rPr>
              <w:t>×</w:t>
            </w:r>
            <w:r>
              <w:rPr>
                <w:sz w:val="24"/>
                <w:u w:val="single"/>
              </w:rPr>
              <w:t>10</w:t>
            </w:r>
            <w:r>
              <w:rPr>
                <w:rFonts w:hint="eastAsia"/>
                <w:sz w:val="24"/>
                <w:u w:val="single"/>
                <w:vertAlign w:val="superscript"/>
              </w:rPr>
              <w:t>8</w:t>
            </w:r>
            <w:r>
              <w:rPr>
                <w:sz w:val="24"/>
                <w:u w:val="single"/>
              </w:rPr>
              <w:t>个/a。</w:t>
            </w:r>
          </w:p>
          <w:p>
            <w:pPr>
              <w:spacing w:line="360" w:lineRule="auto"/>
              <w:ind w:firstLine="480" w:firstLineChars="200"/>
              <w:rPr>
                <w:rFonts w:cs="宋体"/>
                <w:bCs/>
                <w:sz w:val="24"/>
              </w:rPr>
            </w:pPr>
            <w:r>
              <w:rPr>
                <w:rFonts w:hint="eastAsia" w:cs="宋体"/>
                <w:bCs/>
                <w:sz w:val="24"/>
              </w:rPr>
              <w:t>（1）废水处理规模符合性分析</w:t>
            </w:r>
          </w:p>
          <w:p>
            <w:pPr>
              <w:spacing w:line="360" w:lineRule="auto"/>
              <w:ind w:firstLine="480" w:firstLineChars="200"/>
              <w:rPr>
                <w:rFonts w:hint="eastAsia" w:eastAsia="宋体" w:cs="宋体"/>
                <w:bCs/>
                <w:sz w:val="24"/>
                <w:lang w:eastAsia="zh-CN"/>
              </w:rPr>
            </w:pPr>
            <w:r>
              <w:rPr>
                <w:rFonts w:hint="eastAsia" w:cs="宋体"/>
                <w:bCs/>
                <w:sz w:val="24"/>
              </w:rPr>
              <w:t>根据表4-6，增加床位至</w:t>
            </w:r>
            <w:r>
              <w:rPr>
                <w:rFonts w:hint="eastAsia" w:cs="宋体"/>
                <w:bCs/>
                <w:sz w:val="24"/>
                <w:lang w:eastAsia="zh-CN"/>
              </w:rPr>
              <w:t>60张</w:t>
            </w:r>
            <w:r>
              <w:rPr>
                <w:rFonts w:hint="eastAsia" w:cs="宋体"/>
                <w:bCs/>
                <w:sz w:val="24"/>
              </w:rPr>
              <w:t>后本项目污水排放量为</w:t>
            </w:r>
            <w:r>
              <w:rPr>
                <w:rFonts w:hint="eastAsia" w:cs="宋体"/>
                <w:bCs/>
                <w:sz w:val="24"/>
                <w:lang w:eastAsia="zh-CN"/>
              </w:rPr>
              <w:t>20.66</w:t>
            </w:r>
            <w:r>
              <w:rPr>
                <w:rFonts w:hint="eastAsia" w:cs="宋体"/>
                <w:bCs/>
                <w:sz w:val="24"/>
              </w:rPr>
              <w:t>m</w:t>
            </w:r>
            <w:r>
              <w:rPr>
                <w:rFonts w:hint="eastAsia" w:cs="宋体"/>
                <w:bCs/>
                <w:sz w:val="24"/>
                <w:vertAlign w:val="superscript"/>
              </w:rPr>
              <w:t>3</w:t>
            </w:r>
            <w:r>
              <w:rPr>
                <w:rFonts w:hint="eastAsia" w:cs="宋体"/>
                <w:bCs/>
                <w:sz w:val="24"/>
              </w:rPr>
              <w:t>/d</w:t>
            </w:r>
            <w:r>
              <w:rPr>
                <w:rFonts w:hint="eastAsia" w:cs="宋体"/>
                <w:bCs/>
                <w:sz w:val="24"/>
                <w:lang w:eastAsia="zh-CN"/>
              </w:rPr>
              <w:t>（按照最大排水量计算）</w:t>
            </w:r>
            <w:r>
              <w:rPr>
                <w:rFonts w:hint="eastAsia" w:cs="宋体"/>
                <w:bCs/>
                <w:sz w:val="24"/>
              </w:rPr>
              <w:t>，</w:t>
            </w:r>
            <w:r>
              <w:rPr>
                <w:rFonts w:hint="eastAsia" w:cs="宋体"/>
                <w:bCs/>
                <w:sz w:val="24"/>
                <w:lang w:eastAsia="zh-CN"/>
              </w:rPr>
              <w:t>7539.44</w:t>
            </w:r>
            <w:r>
              <w:rPr>
                <w:rFonts w:hint="eastAsia" w:cs="宋体"/>
                <w:bCs/>
                <w:sz w:val="24"/>
              </w:rPr>
              <w:t>m</w:t>
            </w:r>
            <w:r>
              <w:rPr>
                <w:rFonts w:hint="eastAsia" w:cs="宋体"/>
                <w:bCs/>
                <w:sz w:val="24"/>
                <w:vertAlign w:val="superscript"/>
              </w:rPr>
              <w:t>3</w:t>
            </w:r>
            <w:r>
              <w:rPr>
                <w:rFonts w:hint="eastAsia" w:cs="宋体"/>
                <w:bCs/>
                <w:sz w:val="24"/>
              </w:rPr>
              <w:t>/a。本项目污水处理站的日处理规模为</w:t>
            </w:r>
            <w:r>
              <w:rPr>
                <w:rFonts w:hint="eastAsia" w:cs="宋体"/>
                <w:bCs/>
                <w:sz w:val="24"/>
                <w:lang w:eastAsia="zh-CN"/>
              </w:rPr>
              <w:t>20.71m</w:t>
            </w:r>
            <w:r>
              <w:rPr>
                <w:rFonts w:hint="eastAsia" w:cs="宋体"/>
                <w:bCs/>
                <w:sz w:val="24"/>
                <w:vertAlign w:val="superscript"/>
              </w:rPr>
              <w:t>3</w:t>
            </w:r>
            <w:r>
              <w:rPr>
                <w:rFonts w:hint="eastAsia" w:cs="宋体"/>
                <w:bCs/>
                <w:sz w:val="24"/>
              </w:rPr>
              <w:t>/d，大于本项目废水日排放量。</w:t>
            </w:r>
            <w:r>
              <w:rPr>
                <w:rFonts w:hint="eastAsia" w:cs="宋体"/>
                <w:bCs/>
                <w:sz w:val="24"/>
                <w:u w:val="single"/>
                <w:lang w:eastAsia="zh-CN"/>
              </w:rPr>
              <w:t>且据建设方用水量缴费单据可知，医院年用水量不到</w:t>
            </w:r>
            <w:r>
              <w:rPr>
                <w:rFonts w:hint="eastAsia" w:cs="宋体"/>
                <w:bCs/>
                <w:sz w:val="24"/>
                <w:u w:val="single"/>
                <w:lang w:val="en-US" w:eastAsia="zh-CN"/>
              </w:rPr>
              <w:t>5200</w:t>
            </w:r>
            <w:r>
              <w:rPr>
                <w:rFonts w:hint="eastAsia" w:cs="宋体"/>
                <w:bCs/>
                <w:sz w:val="24"/>
                <w:u w:val="single"/>
              </w:rPr>
              <w:t>m</w:t>
            </w:r>
            <w:r>
              <w:rPr>
                <w:rFonts w:hint="eastAsia" w:cs="宋体"/>
                <w:bCs/>
                <w:sz w:val="24"/>
                <w:u w:val="single"/>
                <w:vertAlign w:val="superscript"/>
              </w:rPr>
              <w:t>3</w:t>
            </w:r>
            <w:r>
              <w:rPr>
                <w:rFonts w:hint="eastAsia" w:cs="宋体"/>
                <w:bCs/>
                <w:sz w:val="24"/>
                <w:u w:val="single"/>
              </w:rPr>
              <w:t>/</w:t>
            </w:r>
            <w:r>
              <w:rPr>
                <w:rFonts w:hint="eastAsia" w:cs="宋体"/>
                <w:bCs/>
                <w:sz w:val="24"/>
                <w:u w:val="single"/>
                <w:lang w:val="en-US" w:eastAsia="zh-CN"/>
              </w:rPr>
              <w:t>a，即</w:t>
            </w:r>
            <w:r>
              <w:rPr>
                <w:rFonts w:hint="eastAsia" w:cs="宋体"/>
                <w:bCs/>
                <w:sz w:val="24"/>
                <w:u w:val="single"/>
                <w:lang w:eastAsia="zh-CN"/>
              </w:rPr>
              <w:t>日用水量不到</w:t>
            </w:r>
            <w:r>
              <w:rPr>
                <w:rFonts w:hint="eastAsia" w:cs="宋体"/>
                <w:bCs/>
                <w:sz w:val="24"/>
                <w:u w:val="single"/>
                <w:lang w:val="en-US" w:eastAsia="zh-CN"/>
              </w:rPr>
              <w:t>15</w:t>
            </w:r>
            <w:r>
              <w:rPr>
                <w:rFonts w:hint="eastAsia" w:cs="宋体"/>
                <w:bCs/>
                <w:sz w:val="24"/>
                <w:u w:val="single"/>
              </w:rPr>
              <w:t>m</w:t>
            </w:r>
            <w:r>
              <w:rPr>
                <w:rFonts w:hint="eastAsia" w:cs="宋体"/>
                <w:bCs/>
                <w:sz w:val="24"/>
                <w:u w:val="single"/>
                <w:vertAlign w:val="superscript"/>
              </w:rPr>
              <w:t>3</w:t>
            </w:r>
            <w:r>
              <w:rPr>
                <w:rFonts w:hint="eastAsia" w:cs="宋体"/>
                <w:bCs/>
                <w:sz w:val="24"/>
                <w:u w:val="single"/>
              </w:rPr>
              <w:t>/</w:t>
            </w:r>
            <w:r>
              <w:rPr>
                <w:rFonts w:hint="eastAsia" w:cs="宋体"/>
                <w:bCs/>
                <w:sz w:val="24"/>
                <w:u w:val="single"/>
                <w:lang w:val="en-US" w:eastAsia="zh-CN"/>
              </w:rPr>
              <w:t>d</w:t>
            </w:r>
            <w:r>
              <w:rPr>
                <w:rFonts w:hint="eastAsia" w:cs="宋体"/>
                <w:bCs/>
                <w:sz w:val="24"/>
                <w:u w:val="single"/>
                <w:lang w:eastAsia="zh-CN"/>
              </w:rPr>
              <w:t>，医院现有工程（</w:t>
            </w:r>
            <w:r>
              <w:rPr>
                <w:rFonts w:hint="eastAsia" w:cs="宋体"/>
                <w:bCs/>
                <w:sz w:val="24"/>
                <w:u w:val="single"/>
                <w:lang w:val="en-US" w:eastAsia="zh-CN"/>
              </w:rPr>
              <w:t>50张床位</w:t>
            </w:r>
            <w:r>
              <w:rPr>
                <w:rFonts w:hint="eastAsia" w:cs="宋体"/>
                <w:bCs/>
                <w:sz w:val="24"/>
                <w:u w:val="single"/>
                <w:lang w:eastAsia="zh-CN"/>
              </w:rPr>
              <w:t>）实际运行中废水日排放量不到</w:t>
            </w:r>
            <w:r>
              <w:rPr>
                <w:rFonts w:hint="eastAsia" w:cs="宋体"/>
                <w:bCs/>
                <w:sz w:val="24"/>
                <w:u w:val="single"/>
                <w:lang w:val="en-US" w:eastAsia="zh-CN"/>
              </w:rPr>
              <w:t>12</w:t>
            </w:r>
            <w:r>
              <w:rPr>
                <w:rFonts w:hint="eastAsia" w:cs="宋体"/>
                <w:bCs/>
                <w:sz w:val="24"/>
                <w:u w:val="single"/>
              </w:rPr>
              <w:t>m</w:t>
            </w:r>
            <w:r>
              <w:rPr>
                <w:rFonts w:hint="eastAsia" w:cs="宋体"/>
                <w:bCs/>
                <w:sz w:val="24"/>
                <w:u w:val="single"/>
                <w:vertAlign w:val="superscript"/>
              </w:rPr>
              <w:t>3</w:t>
            </w:r>
            <w:r>
              <w:rPr>
                <w:rFonts w:hint="eastAsia" w:cs="宋体"/>
                <w:bCs/>
                <w:sz w:val="24"/>
                <w:u w:val="single"/>
              </w:rPr>
              <w:t>/</w:t>
            </w:r>
            <w:r>
              <w:rPr>
                <w:rFonts w:hint="eastAsia" w:cs="宋体"/>
                <w:bCs/>
                <w:sz w:val="24"/>
                <w:u w:val="single"/>
                <w:lang w:val="en-US" w:eastAsia="zh-CN"/>
              </w:rPr>
              <w:t>d。增加至60张床位后则实际废水日排放量不到15</w:t>
            </w:r>
            <w:r>
              <w:rPr>
                <w:rFonts w:hint="eastAsia" w:cs="宋体"/>
                <w:bCs/>
                <w:sz w:val="24"/>
                <w:u w:val="single"/>
              </w:rPr>
              <w:t>m</w:t>
            </w:r>
            <w:r>
              <w:rPr>
                <w:rFonts w:hint="eastAsia" w:cs="宋体"/>
                <w:bCs/>
                <w:sz w:val="24"/>
                <w:u w:val="single"/>
                <w:vertAlign w:val="superscript"/>
              </w:rPr>
              <w:t>3</w:t>
            </w:r>
            <w:r>
              <w:rPr>
                <w:rFonts w:hint="eastAsia" w:cs="宋体"/>
                <w:bCs/>
                <w:sz w:val="24"/>
                <w:u w:val="single"/>
              </w:rPr>
              <w:t>/</w:t>
            </w:r>
            <w:r>
              <w:rPr>
                <w:rFonts w:hint="eastAsia" w:cs="宋体"/>
                <w:bCs/>
                <w:sz w:val="24"/>
                <w:u w:val="single"/>
                <w:lang w:val="en-US" w:eastAsia="zh-CN"/>
              </w:rPr>
              <w:t>d。</w:t>
            </w:r>
            <w:r>
              <w:rPr>
                <w:kern w:val="0"/>
                <w:sz w:val="24"/>
              </w:rPr>
              <w:t>规定床位数为</w:t>
            </w:r>
            <w:r>
              <w:rPr>
                <w:rFonts w:hint="eastAsia"/>
                <w:kern w:val="0"/>
                <w:sz w:val="24"/>
                <w:lang w:eastAsia="zh-CN"/>
              </w:rPr>
              <w:t>小于</w:t>
            </w:r>
            <w:r>
              <w:rPr>
                <w:rFonts w:hint="eastAsia"/>
                <w:kern w:val="0"/>
                <w:sz w:val="24"/>
              </w:rPr>
              <w:t>100张的</w:t>
            </w:r>
            <w:r>
              <w:rPr>
                <w:kern w:val="0"/>
                <w:sz w:val="24"/>
              </w:rPr>
              <w:t>医院，平均污水量为</w:t>
            </w:r>
            <w:r>
              <w:rPr>
                <w:rFonts w:hint="eastAsia"/>
                <w:kern w:val="0"/>
                <w:sz w:val="24"/>
                <w:lang w:val="en-US" w:eastAsia="zh-CN"/>
              </w:rPr>
              <w:t>200</w:t>
            </w:r>
            <w:r>
              <w:rPr>
                <w:kern w:val="0"/>
                <w:sz w:val="24"/>
              </w:rPr>
              <w:t>~</w:t>
            </w:r>
            <w:r>
              <w:rPr>
                <w:rFonts w:hint="eastAsia"/>
                <w:kern w:val="0"/>
                <w:sz w:val="24"/>
                <w:lang w:val="en-US" w:eastAsia="zh-CN"/>
              </w:rPr>
              <w:t>3</w:t>
            </w:r>
            <w:r>
              <w:rPr>
                <w:kern w:val="0"/>
                <w:sz w:val="24"/>
              </w:rPr>
              <w:t>00L/床.d，而本项目废水量根据床位数计算</w:t>
            </w:r>
            <w:r>
              <w:rPr>
                <w:rFonts w:hint="eastAsia"/>
                <w:kern w:val="0"/>
                <w:sz w:val="24"/>
              </w:rPr>
              <w:t>为</w:t>
            </w:r>
            <w:r>
              <w:rPr>
                <w:rFonts w:hint="eastAsia"/>
                <w:kern w:val="0"/>
                <w:sz w:val="24"/>
                <w:lang w:val="en-US" w:eastAsia="zh-CN"/>
              </w:rPr>
              <w:t>30</w:t>
            </w:r>
            <w:r>
              <w:rPr>
                <w:rFonts w:hint="eastAsia"/>
                <w:kern w:val="0"/>
                <w:sz w:val="24"/>
              </w:rPr>
              <w:t>0</w:t>
            </w:r>
            <w:r>
              <w:rPr>
                <w:kern w:val="0"/>
                <w:sz w:val="24"/>
              </w:rPr>
              <w:t>L/床.d</w:t>
            </w:r>
            <w:r>
              <w:rPr>
                <w:rFonts w:hint="eastAsia"/>
                <w:kern w:val="0"/>
                <w:sz w:val="24"/>
              </w:rPr>
              <w:t>，</w:t>
            </w:r>
            <w:r>
              <w:rPr>
                <w:kern w:val="0"/>
                <w:sz w:val="24"/>
              </w:rPr>
              <w:t>满足要求。</w:t>
            </w:r>
            <w:r>
              <w:rPr>
                <w:rFonts w:hint="eastAsia" w:cs="宋体"/>
                <w:bCs/>
                <w:sz w:val="24"/>
              </w:rPr>
              <w:t>因此，本项目扩建之后，污水处理站将能容纳医院所有废水。</w:t>
            </w:r>
          </w:p>
          <w:p>
            <w:pPr>
              <w:spacing w:line="360" w:lineRule="auto"/>
              <w:ind w:firstLine="480" w:firstLineChars="200"/>
              <w:rPr>
                <w:rFonts w:cs="宋体"/>
                <w:bCs/>
                <w:sz w:val="24"/>
              </w:rPr>
            </w:pPr>
            <w:r>
              <w:rPr>
                <w:rFonts w:hint="eastAsia" w:cs="宋体"/>
                <w:bCs/>
                <w:sz w:val="24"/>
              </w:rPr>
              <w:t>（2）污水处理工艺可行性分析</w:t>
            </w:r>
          </w:p>
          <w:p>
            <w:pPr>
              <w:spacing w:line="360" w:lineRule="auto"/>
              <w:ind w:firstLine="480" w:firstLineChars="200"/>
              <w:rPr>
                <w:rFonts w:hint="eastAsia" w:ascii="宋体" w:hAnsi="宋体" w:cs="宋体"/>
                <w:bCs/>
                <w:sz w:val="24"/>
                <w:u w:val="none"/>
              </w:rPr>
            </w:pPr>
            <w:r>
              <w:rPr>
                <w:rFonts w:hint="eastAsia" w:cs="宋体"/>
                <w:bCs/>
                <w:sz w:val="24"/>
              </w:rPr>
              <w:t>一体化污水处理设备处理工艺为：</w:t>
            </w:r>
            <w:r>
              <w:rPr>
                <w:rFonts w:hint="eastAsia" w:ascii="宋体" w:hAnsi="宋体" w:cs="宋体"/>
                <w:bCs/>
                <w:sz w:val="24"/>
              </w:rPr>
              <w:t>机械格栅→调节池→水解池→氧化池→沉淀池→消毒池</w:t>
            </w:r>
            <w:r>
              <w:rPr>
                <w:rFonts w:hint="eastAsia" w:ascii="宋体" w:hAnsi="宋体" w:cs="宋体"/>
                <w:bCs/>
                <w:sz w:val="24"/>
                <w:lang w:eastAsia="zh-CN"/>
              </w:rPr>
              <w:t>（二氧化氯消毒）</w:t>
            </w:r>
            <w:r>
              <w:rPr>
                <w:rFonts w:hint="eastAsia" w:ascii="宋体" w:hAnsi="宋体" w:cs="宋体"/>
                <w:bCs/>
                <w:sz w:val="24"/>
              </w:rPr>
              <w:t>→达标排放</w:t>
            </w:r>
            <w:r>
              <w:rPr>
                <w:rFonts w:hint="eastAsia" w:ascii="宋体" w:hAnsi="宋体" w:cs="宋体"/>
                <w:bCs/>
                <w:sz w:val="24"/>
                <w:u w:val="none"/>
              </w:rPr>
              <w:t>。</w:t>
            </w:r>
            <w:r>
              <w:rPr>
                <w:rFonts w:hint="eastAsia" w:ascii="宋体" w:hAnsi="宋体" w:cs="宋体"/>
                <w:bCs/>
                <w:sz w:val="24"/>
                <w:u w:val="none"/>
                <w:lang w:eastAsia="zh-CN"/>
              </w:rPr>
              <w:t>根据《医疗机构排污许可核发技术规范》，进入城镇污水处理厂的医疗废水：</w:t>
            </w:r>
            <w:r>
              <w:rPr>
                <w:rFonts w:hint="eastAsia" w:ascii="宋体" w:hAnsi="宋体" w:cs="宋体"/>
                <w:bCs/>
                <w:sz w:val="24"/>
                <w:u w:val="none"/>
                <w:lang w:val="en-US" w:eastAsia="zh-CN"/>
              </w:rPr>
              <w:t>一级处理/一级强化处理+消毒工艺。一级处理包括：筛滤法；沉淀法；气浮法；预曝气法。一级强化处理包括：化学混凝处理</w:t>
            </w:r>
            <w:bookmarkStart w:id="25" w:name="_GoBack"/>
            <w:bookmarkEnd w:id="25"/>
            <w:r>
              <w:rPr>
                <w:rFonts w:hint="eastAsia" w:ascii="宋体" w:hAnsi="宋体" w:cs="宋体"/>
                <w:bCs/>
                <w:sz w:val="24"/>
                <w:u w:val="none"/>
                <w:lang w:val="en-US" w:eastAsia="zh-CN"/>
              </w:rPr>
              <w:t>、机械过滤或不完全生物处理。消毒工艺：加氯消毒，臭氧法消毒，次氯酸钠法、二氧化氯法消毒、紫外线消毒等。本项目医疗废水经医院污水处理站处理之后进入三阳港镇污水处理厂进一步深度处理之后再排放至地表水体，因此本项目污水处理是可行的。</w:t>
            </w:r>
          </w:p>
          <w:p>
            <w:pPr>
              <w:spacing w:line="360" w:lineRule="auto"/>
              <w:jc w:val="left"/>
              <w:rPr>
                <w:bCs/>
                <w:sz w:val="24"/>
              </w:rPr>
            </w:pPr>
            <w:r>
              <w:rPr>
                <w:bCs/>
                <w:sz w:val="24"/>
              </w:rPr>
              <w:t>工艺流程说明：</w:t>
            </w:r>
          </w:p>
          <w:p>
            <w:pPr>
              <w:spacing w:line="360" w:lineRule="auto"/>
              <w:ind w:firstLine="480" w:firstLineChars="200"/>
              <w:jc w:val="left"/>
              <w:rPr>
                <w:sz w:val="24"/>
              </w:rPr>
            </w:pPr>
            <w:r>
              <w:rPr>
                <w:rFonts w:hint="eastAsia"/>
                <w:sz w:val="24"/>
              </w:rPr>
              <w:t>格栅：格栅主要由5mm间隙的不锈钢网制作，主要拦截大颗粒物，防止垃圾进入。</w:t>
            </w:r>
          </w:p>
          <w:p>
            <w:pPr>
              <w:spacing w:line="360" w:lineRule="auto"/>
              <w:ind w:firstLine="480" w:firstLineChars="200"/>
              <w:jc w:val="left"/>
              <w:rPr>
                <w:sz w:val="24"/>
              </w:rPr>
            </w:pPr>
            <w:r>
              <w:rPr>
                <w:rFonts w:hint="eastAsia"/>
                <w:sz w:val="24"/>
              </w:rPr>
              <w:t>调节池：主要调节水质水量，使污水进水均匀。有利于后续处理工艺的稳定运营。</w:t>
            </w:r>
          </w:p>
          <w:p>
            <w:pPr>
              <w:spacing w:line="360" w:lineRule="auto"/>
              <w:ind w:firstLine="480" w:firstLineChars="200"/>
              <w:jc w:val="left"/>
              <w:rPr>
                <w:sz w:val="24"/>
              </w:rPr>
            </w:pPr>
            <w:r>
              <w:rPr>
                <w:rFonts w:hint="eastAsia"/>
                <w:sz w:val="24"/>
              </w:rPr>
              <w:t>水解池：水解处理方法是一种介于好氧和厌氧处理法之间的方法，和其它工艺组合可以降低处理成本提高处理效率。将难生物降解的</w:t>
            </w:r>
            <w:r>
              <w:rPr>
                <w:rFonts w:hint="eastAsia"/>
                <w:sz w:val="24"/>
              </w:rPr>
              <w:fldChar w:fldCharType="begin"/>
            </w:r>
            <w:r>
              <w:rPr>
                <w:rFonts w:hint="eastAsia"/>
                <w:sz w:val="24"/>
              </w:rPr>
              <w:instrText xml:space="preserve"> HYPERLINK "https://baike.baidu.com/item/%E5%A4%A7%E5%88%86%E5%AD%90%E7%89%A9%E8%B4%A8/12583949" \t "https://baike.baidu.com/item/%E6%B0%B4%E8%A7%A3%E9%85%B8%E5%8C%96/_blank" </w:instrText>
            </w:r>
            <w:r>
              <w:rPr>
                <w:rFonts w:hint="eastAsia"/>
                <w:sz w:val="24"/>
              </w:rPr>
              <w:fldChar w:fldCharType="separate"/>
            </w:r>
            <w:r>
              <w:rPr>
                <w:rFonts w:hint="eastAsia"/>
                <w:sz w:val="24"/>
              </w:rPr>
              <w:t>大分子物质</w:t>
            </w:r>
            <w:r>
              <w:rPr>
                <w:rFonts w:hint="eastAsia"/>
                <w:sz w:val="24"/>
              </w:rPr>
              <w:fldChar w:fldCharType="end"/>
            </w:r>
            <w:r>
              <w:rPr>
                <w:rFonts w:hint="eastAsia"/>
                <w:sz w:val="24"/>
              </w:rPr>
              <w:t>转化为易生物降解的小分子物质的过程，从而改善废水的可生化性，为后续生化处理提供良好的水质环境。</w:t>
            </w:r>
          </w:p>
          <w:p>
            <w:pPr>
              <w:spacing w:line="360" w:lineRule="auto"/>
              <w:ind w:firstLine="480" w:firstLineChars="200"/>
              <w:jc w:val="left"/>
              <w:rPr>
                <w:sz w:val="24"/>
              </w:rPr>
            </w:pPr>
            <w:r>
              <w:rPr>
                <w:rFonts w:hint="eastAsia"/>
                <w:sz w:val="24"/>
              </w:rPr>
              <w:t>氧化池：待处理的废水经充氧后以一定流速流经填料，与生物膜接触，生物膜与悬浮的活性污泥共同作用，达到净化废水的作用。</w:t>
            </w:r>
          </w:p>
          <w:p>
            <w:pPr>
              <w:spacing w:line="360" w:lineRule="auto"/>
              <w:ind w:firstLine="480" w:firstLineChars="200"/>
              <w:jc w:val="left"/>
              <w:rPr>
                <w:rFonts w:ascii="Arial" w:hAnsi="Arial" w:cs="Arial"/>
                <w:color w:val="333333"/>
                <w:sz w:val="16"/>
                <w:szCs w:val="16"/>
                <w:shd w:val="clear" w:color="auto" w:fill="FFFFFF"/>
              </w:rPr>
            </w:pPr>
            <w:r>
              <w:rPr>
                <w:rFonts w:hint="eastAsia"/>
                <w:sz w:val="24"/>
              </w:rPr>
              <w:t>沉淀池：在混凝剂的作用下，将废水中的胶体和细微悬浮物凝聚成絮凝体，然后予以分离除去</w:t>
            </w:r>
            <w:r>
              <w:rPr>
                <w:rFonts w:ascii="Arial" w:hAnsi="Arial" w:cs="Arial"/>
                <w:color w:val="333333"/>
                <w:sz w:val="16"/>
                <w:szCs w:val="16"/>
                <w:shd w:val="clear" w:color="auto" w:fill="FFFFFF"/>
              </w:rPr>
              <w:t>。</w:t>
            </w:r>
          </w:p>
          <w:p>
            <w:pPr>
              <w:spacing w:line="360" w:lineRule="auto"/>
              <w:ind w:firstLine="480" w:firstLineChars="200"/>
              <w:jc w:val="left"/>
              <w:rPr>
                <w:bCs/>
                <w:sz w:val="24"/>
              </w:rPr>
            </w:pPr>
            <w:r>
              <w:rPr>
                <w:rFonts w:hint="eastAsia"/>
                <w:sz w:val="24"/>
              </w:rPr>
              <w:t>消毒池：医疗废水需消毒后才能排放按规范要求投加二氧化氯进行消毒。</w:t>
            </w:r>
            <w:r>
              <w:rPr>
                <w:bCs/>
                <w:sz w:val="24"/>
              </w:rPr>
              <w:t>本项目消毒工艺采用</w:t>
            </w:r>
            <w:r>
              <w:rPr>
                <w:rFonts w:hint="eastAsia"/>
                <w:bCs/>
                <w:sz w:val="24"/>
              </w:rPr>
              <w:t>二氧化氯消毒剂</w:t>
            </w:r>
            <w:r>
              <w:rPr>
                <w:bCs/>
                <w:sz w:val="24"/>
              </w:rPr>
              <w:t>消毒，该消毒工艺普遍用于</w:t>
            </w:r>
            <w:r>
              <w:rPr>
                <w:rFonts w:hint="eastAsia"/>
                <w:bCs/>
                <w:sz w:val="24"/>
              </w:rPr>
              <w:t>常德市小</w:t>
            </w:r>
            <w:r>
              <w:rPr>
                <w:bCs/>
                <w:sz w:val="24"/>
              </w:rPr>
              <w:t>规模医疗废水处理之中，类比</w:t>
            </w:r>
            <w:r>
              <w:rPr>
                <w:rFonts w:hint="eastAsia"/>
                <w:bCs/>
                <w:sz w:val="24"/>
              </w:rPr>
              <w:t>桃源县妇幼保健院</w:t>
            </w:r>
            <w:r>
              <w:rPr>
                <w:bCs/>
                <w:sz w:val="24"/>
              </w:rPr>
              <w:t>，其采取的消毒工艺也为</w:t>
            </w:r>
            <w:r>
              <w:rPr>
                <w:rFonts w:hint="eastAsia"/>
                <w:bCs/>
                <w:sz w:val="24"/>
              </w:rPr>
              <w:t>二氧化氯消毒剂</w:t>
            </w:r>
            <w:r>
              <w:rPr>
                <w:bCs/>
                <w:sz w:val="24"/>
              </w:rPr>
              <w:t>消毒，具有可类比性。</w:t>
            </w:r>
          </w:p>
          <w:p>
            <w:pPr>
              <w:spacing w:line="360" w:lineRule="auto"/>
              <w:ind w:firstLine="482" w:firstLineChars="200"/>
              <w:jc w:val="left"/>
              <w:rPr>
                <w:bCs/>
                <w:sz w:val="24"/>
                <w:u w:val="single"/>
              </w:rPr>
            </w:pPr>
            <w:r>
              <w:rPr>
                <w:b/>
                <w:sz w:val="24"/>
                <w:u w:val="single"/>
              </w:rPr>
              <w:t>对于污泥的处理：</w:t>
            </w:r>
            <w:r>
              <w:rPr>
                <w:bCs/>
                <w:sz w:val="24"/>
                <w:u w:val="single"/>
              </w:rPr>
              <w:t>通过污泥泵将污泥泵入污泥干化池，经过自然干化后，向其中投加石灰进行固化，最终</w:t>
            </w:r>
            <w:r>
              <w:rPr>
                <w:rFonts w:hint="eastAsia"/>
                <w:bCs/>
                <w:sz w:val="24"/>
                <w:u w:val="single"/>
                <w:lang w:eastAsia="zh-CN"/>
              </w:rPr>
              <w:t>交由第三方处置单位</w:t>
            </w:r>
            <w:r>
              <w:rPr>
                <w:bCs/>
                <w:sz w:val="24"/>
                <w:u w:val="single"/>
              </w:rPr>
              <w:t>代为处理。</w:t>
            </w:r>
          </w:p>
          <w:p>
            <w:pPr>
              <w:spacing w:line="360" w:lineRule="auto"/>
              <w:ind w:firstLine="482" w:firstLineChars="200"/>
              <w:jc w:val="left"/>
              <w:rPr>
                <w:rFonts w:hint="eastAsia" w:eastAsia="宋体"/>
                <w:sz w:val="24"/>
                <w:u w:val="none"/>
                <w:lang w:val="en-US" w:eastAsia="zh-CN"/>
              </w:rPr>
            </w:pPr>
            <w:r>
              <w:rPr>
                <w:rFonts w:hint="eastAsia"/>
                <w:b/>
                <w:bCs w:val="0"/>
                <w:sz w:val="24"/>
                <w:u w:val="single"/>
                <w:lang w:val="en-US" w:eastAsia="zh-CN"/>
              </w:rPr>
              <w:t>污水处理站第三方运营可行性分析：</w:t>
            </w:r>
            <w:r>
              <w:rPr>
                <w:rFonts w:hint="eastAsia"/>
                <w:bCs/>
                <w:sz w:val="24"/>
                <w:u w:val="single"/>
                <w:lang w:val="en-US" w:eastAsia="zh-CN"/>
              </w:rPr>
              <w:t xml:space="preserve">根据建设单位提供的第三方运营协议可知，本项目污水处理站全部交由湖南绿禾环保科技有限公司，包括运营设施设备的更换、维修、保养等工作（污泥的处置需另行委托第三方处置）。湖南绿禾环保科技有限公司成立于2012年09月10日，注册地位于长沙市芙蓉区芙蓉中路259号1109房，法定代表人为周尚。经营范围包括环保技术开发服务、咨询、交流服务；环境技术咨询服务；环境与生态监测；环境综合治理项目咨询、设计、施工及运营；安全生产技术服务；生态保护及环境治理业务服务；节能技术咨询、交流服务；清洁服务；环保材料的销售；环保低碳咨询；环保材料的研发；环保设施运营及管理；环境卫生管理。根据协议，湖南绿禾环保科技有限公司在协议期间将保证污水处理设备的正常运行，保证各项污染物达到《排污许可证申请与核发技术规范 医疗机构》（HJ1105-2020）中的要求，并且详细记录保存好设备运行、检测和维护情况，同时安排工作人员定期巡查设备、水池等。具体见附件。第三方运行单位可保证污水处理站的正常运行及达标排放，因此，三阳港镇中心卫生院委托第三方专业单位进行污水处理站的运营是可行的。 </w:t>
            </w:r>
          </w:p>
          <w:p>
            <w:pPr>
              <w:spacing w:line="360" w:lineRule="auto"/>
              <w:ind w:firstLine="482" w:firstLineChars="200"/>
              <w:rPr>
                <w:sz w:val="24"/>
              </w:rPr>
            </w:pPr>
            <w:r>
              <w:rPr>
                <w:rFonts w:hint="eastAsia"/>
                <w:b/>
                <w:sz w:val="24"/>
              </w:rPr>
              <w:t>消毒工序的可行性分析：</w:t>
            </w:r>
            <w:r>
              <w:rPr>
                <w:sz w:val="24"/>
              </w:rPr>
              <w:t>ClO</w:t>
            </w:r>
            <w:r>
              <w:rPr>
                <w:sz w:val="24"/>
                <w:vertAlign w:val="subscript"/>
              </w:rPr>
              <w:t>2</w:t>
            </w:r>
            <w:r>
              <w:rPr>
                <w:rFonts w:hint="eastAsia"/>
                <w:sz w:val="24"/>
              </w:rPr>
              <w:t>是</w:t>
            </w:r>
            <w:r>
              <w:rPr>
                <w:sz w:val="24"/>
              </w:rPr>
              <w:t>一种新型的氧化剂和消毒剂</w:t>
            </w:r>
            <w:r>
              <w:rPr>
                <w:rFonts w:hint="eastAsia"/>
                <w:sz w:val="24"/>
              </w:rPr>
              <w:t>，</w:t>
            </w:r>
            <w:r>
              <w:rPr>
                <w:sz w:val="24"/>
              </w:rPr>
              <w:t>以其高效、广谱、无残留、无副产物的消毒能力和脱色、除臭、除异味等强氧化能力已经成为水处理领域的佼佼者。ClO</w:t>
            </w:r>
            <w:r>
              <w:rPr>
                <w:sz w:val="24"/>
                <w:vertAlign w:val="subscript"/>
              </w:rPr>
              <w:t>2</w:t>
            </w:r>
            <w:r>
              <w:rPr>
                <w:sz w:val="24"/>
              </w:rPr>
              <w:t>颗粒溶于水后，基本不与水发生化学反应，也不以二聚或多聚状态存在。它在水中的扩散速度与渗透能力都比氯快，特别在低浓度时更突出。当细菌浓度在10</w:t>
            </w:r>
            <w:r>
              <w:rPr>
                <w:sz w:val="24"/>
                <w:vertAlign w:val="superscript"/>
              </w:rPr>
              <w:t>5</w:t>
            </w:r>
            <w:r>
              <w:rPr>
                <w:sz w:val="24"/>
              </w:rPr>
              <w:t>~10</w:t>
            </w:r>
            <w:r>
              <w:rPr>
                <w:sz w:val="24"/>
                <w:vertAlign w:val="superscript"/>
              </w:rPr>
              <w:t>6</w:t>
            </w:r>
            <w:r>
              <w:rPr>
                <w:sz w:val="24"/>
              </w:rPr>
              <w:t>个／mL时，0.5ppm的ClO</w:t>
            </w:r>
            <w:r>
              <w:rPr>
                <w:sz w:val="24"/>
                <w:vertAlign w:val="subscript"/>
              </w:rPr>
              <w:t>2</w:t>
            </w:r>
            <w:r>
              <w:rPr>
                <w:sz w:val="24"/>
              </w:rPr>
              <w:t>作用5分钟后即可杀灭99％以上的异养菌；而0.5ppm的Cl</w:t>
            </w:r>
            <w:r>
              <w:rPr>
                <w:sz w:val="24"/>
                <w:vertAlign w:val="subscript"/>
              </w:rPr>
              <w:t>2</w:t>
            </w:r>
            <w:r>
              <w:rPr>
                <w:sz w:val="24"/>
              </w:rPr>
              <w:t>的杀菌率最高只能达到75％，试验表明，0.5ppm的ClO</w:t>
            </w:r>
            <w:r>
              <w:rPr>
                <w:sz w:val="24"/>
                <w:vertAlign w:val="subscript"/>
              </w:rPr>
              <w:t>2</w:t>
            </w:r>
            <w:r>
              <w:rPr>
                <w:sz w:val="24"/>
              </w:rPr>
              <w:t>在12小时内对异养菌的杀灭率保持在99％以上，作用时间长达24小时杀菌率才下降为86.3%。二氧化氯除了对一般细菌有杀死作用外，对芽孢、病毒、异养菌、铁细菌、硫酸盐还原和真菌等均有很好的杀灭作用，且不易产生抗药性，尤其是对伤寒，甲肝、乙肝、脊髓灰质炎及艾滋病毒等也有良好的杀灭和抑制效果。ClO</w:t>
            </w:r>
            <w:r>
              <w:rPr>
                <w:sz w:val="24"/>
                <w:vertAlign w:val="subscript"/>
              </w:rPr>
              <w:t>2</w:t>
            </w:r>
            <w:r>
              <w:rPr>
                <w:sz w:val="24"/>
              </w:rPr>
              <w:t>对病毒的灭活比O</w:t>
            </w:r>
            <w:r>
              <w:rPr>
                <w:sz w:val="24"/>
                <w:vertAlign w:val="subscript"/>
              </w:rPr>
              <w:t>3</w:t>
            </w:r>
            <w:r>
              <w:rPr>
                <w:sz w:val="24"/>
              </w:rPr>
              <w:t>和Cl</w:t>
            </w:r>
            <w:r>
              <w:rPr>
                <w:sz w:val="24"/>
                <w:vertAlign w:val="subscript"/>
              </w:rPr>
              <w:t>2</w:t>
            </w:r>
            <w:r>
              <w:rPr>
                <w:sz w:val="24"/>
              </w:rPr>
              <w:t>更</w:t>
            </w:r>
            <w:r>
              <w:rPr>
                <w:rFonts w:hint="eastAsia"/>
                <w:sz w:val="24"/>
              </w:rPr>
              <w:t>被</w:t>
            </w:r>
            <w:r>
              <w:rPr>
                <w:sz w:val="24"/>
              </w:rPr>
              <w:t>有效。</w:t>
            </w:r>
          </w:p>
          <w:p>
            <w:pPr>
              <w:spacing w:line="360" w:lineRule="auto"/>
              <w:ind w:firstLine="480" w:firstLineChars="200"/>
              <w:rPr>
                <w:sz w:val="24"/>
              </w:rPr>
            </w:pPr>
            <w:r>
              <w:rPr>
                <w:rFonts w:hint="eastAsia"/>
                <w:sz w:val="24"/>
              </w:rPr>
              <w:t>二氧化氯消毒灭菌剂属实际无毒级产品，积累性试验结论为弱蓄积性物质。用其消毒的水体不会对口腔粘膜、皮膜和头皮产生损伤，其在急性毒性和遗传毒理学上都是绝对安全的。</w:t>
            </w:r>
            <w:r>
              <w:rPr>
                <w:sz w:val="24"/>
              </w:rPr>
              <w:t>低剂量的二氧化氯还具有很强的杀蠕虫效果。</w:t>
            </w:r>
            <w:r>
              <w:rPr>
                <w:rFonts w:hint="eastAsia"/>
                <w:sz w:val="24"/>
              </w:rPr>
              <w:t>到目前的研究为止，</w:t>
            </w:r>
            <w:r>
              <w:rPr>
                <w:sz w:val="24"/>
              </w:rPr>
              <w:t>ClO</w:t>
            </w:r>
            <w:r>
              <w:rPr>
                <w:sz w:val="24"/>
                <w:vertAlign w:val="subscript"/>
              </w:rPr>
              <w:t>2</w:t>
            </w:r>
            <w:r>
              <w:rPr>
                <w:rFonts w:hint="eastAsia"/>
                <w:sz w:val="24"/>
              </w:rPr>
              <w:t>产品都被证明是无毒害用的，并且ClO</w:t>
            </w:r>
            <w:r>
              <w:rPr>
                <w:rFonts w:hint="eastAsia"/>
                <w:sz w:val="24"/>
                <w:vertAlign w:val="subscript"/>
              </w:rPr>
              <w:t>2</w:t>
            </w:r>
            <w:r>
              <w:rPr>
                <w:rFonts w:hint="eastAsia"/>
                <w:sz w:val="24"/>
              </w:rPr>
              <w:t>使用剂量极低，因此用ClO</w:t>
            </w:r>
            <w:r>
              <w:rPr>
                <w:rFonts w:hint="eastAsia"/>
                <w:sz w:val="24"/>
                <w:vertAlign w:val="subscript"/>
              </w:rPr>
              <w:t>2</w:t>
            </w:r>
            <w:r>
              <w:rPr>
                <w:rFonts w:hint="eastAsia"/>
                <w:sz w:val="24"/>
              </w:rPr>
              <w:t>消毒十分安全，无残留毒性。其安全性是被世界卫生组织（WHO）定为AI级。</w:t>
            </w:r>
          </w:p>
          <w:p>
            <w:pPr>
              <w:spacing w:line="360" w:lineRule="auto"/>
              <w:ind w:firstLine="482" w:firstLineChars="200"/>
              <w:rPr>
                <w:rFonts w:hint="eastAsia" w:eastAsia="宋体"/>
                <w:sz w:val="24"/>
                <w:u w:val="single"/>
                <w:lang w:val="en-US" w:eastAsia="zh-CN"/>
              </w:rPr>
            </w:pPr>
            <w:r>
              <w:rPr>
                <w:rFonts w:hint="eastAsia"/>
                <w:b/>
                <w:bCs/>
                <w:sz w:val="24"/>
                <w:u w:val="single"/>
                <w:lang w:eastAsia="zh-CN"/>
              </w:rPr>
              <w:t>污水纳入三阳港镇污水处理厂可行性分析</w:t>
            </w:r>
            <w:r>
              <w:rPr>
                <w:rFonts w:hint="eastAsia"/>
                <w:sz w:val="24"/>
                <w:u w:val="single"/>
                <w:lang w:eastAsia="zh-CN"/>
              </w:rPr>
              <w:t>：根据环保局及建设单位提供的资料，桃源县三阳港镇污水处理厂于201</w:t>
            </w:r>
            <w:r>
              <w:rPr>
                <w:rFonts w:hint="eastAsia"/>
                <w:sz w:val="24"/>
                <w:u w:val="single"/>
                <w:lang w:val="en-US" w:eastAsia="zh-CN"/>
              </w:rPr>
              <w:t>9</w:t>
            </w:r>
            <w:r>
              <w:rPr>
                <w:rFonts w:hint="eastAsia"/>
                <w:sz w:val="24"/>
                <w:u w:val="single"/>
                <w:lang w:eastAsia="zh-CN"/>
              </w:rPr>
              <w:t>年建设，建设地点位于桃源县三阳港镇区外东侧八丁洲处，延溪河南侧，现状乡道旁，污水厂中心坐标</w:t>
            </w:r>
            <w:r>
              <w:rPr>
                <w:rFonts w:hint="eastAsia"/>
                <w:sz w:val="24"/>
                <w:u w:val="single"/>
                <w:lang w:val="en-US" w:eastAsia="zh-CN"/>
              </w:rPr>
              <w:t>E111.3679，N28.9672。</w:t>
            </w:r>
            <w:r>
              <w:rPr>
                <w:rFonts w:hint="eastAsia"/>
                <w:sz w:val="24"/>
                <w:u w:val="single"/>
                <w:lang w:eastAsia="zh-CN"/>
              </w:rPr>
              <w:t>占地面积约</w:t>
            </w:r>
            <w:r>
              <w:rPr>
                <w:rFonts w:hint="eastAsia"/>
                <w:sz w:val="24"/>
                <w:u w:val="single"/>
                <w:lang w:val="en-US" w:eastAsia="zh-CN"/>
              </w:rPr>
              <w:t>9.7</w:t>
            </w:r>
            <w:r>
              <w:rPr>
                <w:rFonts w:hint="eastAsia"/>
                <w:sz w:val="24"/>
                <w:u w:val="single"/>
                <w:lang w:eastAsia="zh-CN"/>
              </w:rPr>
              <w:t>亩。采用的污水处理工艺为：</w:t>
            </w:r>
            <w:r>
              <w:rPr>
                <w:rFonts w:hint="eastAsia"/>
                <w:sz w:val="24"/>
                <w:u w:val="single"/>
                <w:lang w:val="en-US" w:eastAsia="zh-CN"/>
              </w:rPr>
              <w:t>AO生物接触氧化工艺+一体化过滤器（含消毒）</w:t>
            </w:r>
            <w:r>
              <w:rPr>
                <w:rFonts w:hint="eastAsia"/>
                <w:sz w:val="24"/>
                <w:u w:val="single"/>
                <w:lang w:eastAsia="zh-CN"/>
              </w:rPr>
              <w:t>，其设计规模为</w:t>
            </w:r>
            <w:r>
              <w:rPr>
                <w:rFonts w:hint="eastAsia"/>
                <w:sz w:val="24"/>
                <w:u w:val="single"/>
                <w:lang w:val="en-US" w:eastAsia="zh-CN"/>
              </w:rPr>
              <w:t>3000m</w:t>
            </w:r>
            <w:r>
              <w:rPr>
                <w:rFonts w:hint="eastAsia"/>
                <w:sz w:val="24"/>
                <w:u w:val="single"/>
                <w:vertAlign w:val="superscript"/>
                <w:lang w:val="en-US" w:eastAsia="zh-CN"/>
              </w:rPr>
              <w:t>3</w:t>
            </w:r>
            <w:r>
              <w:rPr>
                <w:rFonts w:hint="eastAsia"/>
                <w:sz w:val="24"/>
                <w:u w:val="single"/>
                <w:vertAlign w:val="superscript"/>
                <w:lang w:eastAsia="zh-CN"/>
              </w:rPr>
              <w:t>/</w:t>
            </w:r>
            <w:r>
              <w:rPr>
                <w:rFonts w:hint="eastAsia"/>
                <w:sz w:val="24"/>
                <w:u w:val="single"/>
                <w:lang w:val="en-US" w:eastAsia="zh-CN"/>
              </w:rPr>
              <w:t>d（近期1500m</w:t>
            </w:r>
            <w:r>
              <w:rPr>
                <w:rFonts w:hint="eastAsia"/>
                <w:sz w:val="24"/>
                <w:u w:val="single"/>
                <w:vertAlign w:val="superscript"/>
                <w:lang w:val="en-US" w:eastAsia="zh-CN"/>
              </w:rPr>
              <w:t>3</w:t>
            </w:r>
            <w:r>
              <w:rPr>
                <w:rFonts w:hint="eastAsia"/>
                <w:sz w:val="24"/>
                <w:u w:val="single"/>
                <w:vertAlign w:val="superscript"/>
                <w:lang w:eastAsia="zh-CN"/>
              </w:rPr>
              <w:t>/</w:t>
            </w:r>
            <w:r>
              <w:rPr>
                <w:rFonts w:hint="eastAsia"/>
                <w:sz w:val="24"/>
                <w:u w:val="single"/>
                <w:lang w:val="en-US" w:eastAsia="zh-CN"/>
              </w:rPr>
              <w:t>d，远期3000m</w:t>
            </w:r>
            <w:r>
              <w:rPr>
                <w:rFonts w:hint="eastAsia"/>
                <w:sz w:val="24"/>
                <w:u w:val="single"/>
                <w:vertAlign w:val="superscript"/>
                <w:lang w:val="en-US" w:eastAsia="zh-CN"/>
              </w:rPr>
              <w:t>3</w:t>
            </w:r>
            <w:r>
              <w:rPr>
                <w:rFonts w:hint="eastAsia"/>
                <w:sz w:val="24"/>
                <w:u w:val="single"/>
                <w:vertAlign w:val="superscript"/>
                <w:lang w:eastAsia="zh-CN"/>
              </w:rPr>
              <w:t>/</w:t>
            </w:r>
            <w:r>
              <w:rPr>
                <w:rFonts w:hint="eastAsia"/>
                <w:sz w:val="24"/>
                <w:u w:val="single"/>
                <w:lang w:val="en-US" w:eastAsia="zh-CN"/>
              </w:rPr>
              <w:t>d）</w:t>
            </w:r>
            <w:r>
              <w:rPr>
                <w:rFonts w:hint="eastAsia"/>
                <w:sz w:val="24"/>
                <w:u w:val="single"/>
                <w:lang w:eastAsia="zh-CN"/>
              </w:rPr>
              <w:t>，三阳港镇中心卫生院污水排放量为</w:t>
            </w:r>
            <w:r>
              <w:rPr>
                <w:rFonts w:hint="eastAsia"/>
                <w:sz w:val="24"/>
                <w:u w:val="single"/>
                <w:lang w:val="en-US" w:eastAsia="zh-CN"/>
              </w:rPr>
              <w:t>20.66m</w:t>
            </w:r>
            <w:r>
              <w:rPr>
                <w:rFonts w:hint="eastAsia"/>
                <w:sz w:val="24"/>
                <w:u w:val="single"/>
                <w:vertAlign w:val="superscript"/>
                <w:lang w:val="en-US" w:eastAsia="zh-CN"/>
              </w:rPr>
              <w:t>3</w:t>
            </w:r>
            <w:r>
              <w:rPr>
                <w:rFonts w:hint="eastAsia"/>
                <w:sz w:val="24"/>
                <w:u w:val="single"/>
                <w:vertAlign w:val="superscript"/>
                <w:lang w:eastAsia="zh-CN"/>
              </w:rPr>
              <w:t>/</w:t>
            </w:r>
            <w:r>
              <w:rPr>
                <w:rFonts w:hint="eastAsia"/>
                <w:sz w:val="24"/>
                <w:u w:val="single"/>
                <w:lang w:val="en-US" w:eastAsia="zh-CN"/>
              </w:rPr>
              <w:t>d，仅占三阳港镇污水处理厂近期处理规模的1.38％。</w:t>
            </w:r>
            <w:r>
              <w:rPr>
                <w:rFonts w:hint="eastAsia"/>
                <w:sz w:val="24"/>
                <w:u w:val="single"/>
                <w:lang w:eastAsia="zh-CN"/>
              </w:rPr>
              <w:t>据了解， 三阳港镇污水处理厂近期建设内容已完成验收并投入使用，且三阳港镇中心卫生院已与该污水处理厂进行接管，根据医院污水处理站的出水水质监测数据可知，本医院的污水经一体化污水处理站处理后能达到三阳港镇污水处理厂的进水水质要求。因此，三阳港镇中心卫生院的污水纳入三阳港镇污水处理厂处理是可行的。</w:t>
            </w:r>
            <w:r>
              <w:rPr>
                <w:rFonts w:hint="eastAsia"/>
                <w:sz w:val="24"/>
                <w:u w:val="single"/>
                <w:lang w:val="en-US" w:eastAsia="zh-CN"/>
              </w:rPr>
              <w:t xml:space="preserve"> </w:t>
            </w:r>
          </w:p>
          <w:p>
            <w:pPr>
              <w:spacing w:line="360" w:lineRule="auto"/>
              <w:ind w:firstLine="480" w:firstLineChars="200"/>
              <w:rPr>
                <w:rFonts w:cs="宋体"/>
                <w:bCs/>
                <w:sz w:val="24"/>
              </w:rPr>
            </w:pPr>
            <w:r>
              <w:rPr>
                <w:rFonts w:hint="eastAsia" w:cs="宋体"/>
                <w:bCs/>
                <w:sz w:val="24"/>
              </w:rPr>
              <w:t>根据现有工程污水处理站的进出口水质监测数据可知污水处理站针对各污染物的处理效率及出水水质浓度。具体见下表所示。</w:t>
            </w:r>
          </w:p>
          <w:p>
            <w:pPr>
              <w:spacing w:line="360" w:lineRule="auto"/>
              <w:jc w:val="center"/>
              <w:rPr>
                <w:rStyle w:val="86"/>
              </w:rPr>
            </w:pPr>
            <w:r>
              <w:rPr>
                <w:rStyle w:val="86"/>
                <w:rFonts w:hint="eastAsia"/>
              </w:rPr>
              <w:t>表4-7污水处理站处理可行性分析一览表</w:t>
            </w:r>
          </w:p>
          <w:tbl>
            <w:tblPr>
              <w:tblStyle w:val="28"/>
              <w:tblW w:w="7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650"/>
              <w:gridCol w:w="1107"/>
              <w:gridCol w:w="1087"/>
              <w:gridCol w:w="1069"/>
              <w:gridCol w:w="1106"/>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97" w:type="dxa"/>
                </w:tcPr>
                <w:p>
                  <w:pPr>
                    <w:pStyle w:val="36"/>
                  </w:pPr>
                  <w:r>
                    <w:rPr>
                      <w:rFonts w:hint="eastAsia"/>
                    </w:rPr>
                    <w:t>序号</w:t>
                  </w:r>
                </w:p>
              </w:tc>
              <w:tc>
                <w:tcPr>
                  <w:tcW w:w="1650" w:type="dxa"/>
                </w:tcPr>
                <w:p>
                  <w:pPr>
                    <w:pStyle w:val="36"/>
                  </w:pPr>
                  <w:r>
                    <w:rPr>
                      <w:rFonts w:hint="eastAsia"/>
                    </w:rPr>
                    <w:t>污染因子</w:t>
                  </w:r>
                </w:p>
              </w:tc>
              <w:tc>
                <w:tcPr>
                  <w:tcW w:w="1107" w:type="dxa"/>
                </w:tcPr>
                <w:p>
                  <w:pPr>
                    <w:pStyle w:val="36"/>
                  </w:pPr>
                  <w:r>
                    <w:rPr>
                      <w:rFonts w:hint="eastAsia"/>
                    </w:rPr>
                    <w:t>产生浓度</w:t>
                  </w:r>
                </w:p>
              </w:tc>
              <w:tc>
                <w:tcPr>
                  <w:tcW w:w="1087" w:type="dxa"/>
                </w:tcPr>
                <w:p>
                  <w:pPr>
                    <w:pStyle w:val="36"/>
                  </w:pPr>
                  <w:r>
                    <w:rPr>
                      <w:rFonts w:hint="eastAsia"/>
                    </w:rPr>
                    <w:t>出水浓度</w:t>
                  </w:r>
                </w:p>
              </w:tc>
              <w:tc>
                <w:tcPr>
                  <w:tcW w:w="1069" w:type="dxa"/>
                </w:tcPr>
                <w:p>
                  <w:pPr>
                    <w:pStyle w:val="36"/>
                  </w:pPr>
                  <w:r>
                    <w:rPr>
                      <w:rFonts w:hint="eastAsia"/>
                    </w:rPr>
                    <w:t>出水标准</w:t>
                  </w:r>
                </w:p>
              </w:tc>
              <w:tc>
                <w:tcPr>
                  <w:tcW w:w="1106" w:type="dxa"/>
                </w:tcPr>
                <w:p>
                  <w:pPr>
                    <w:pStyle w:val="36"/>
                  </w:pPr>
                  <w:r>
                    <w:rPr>
                      <w:rFonts w:hint="eastAsia"/>
                    </w:rPr>
                    <w:t>处理效率</w:t>
                  </w:r>
                </w:p>
              </w:tc>
              <w:tc>
                <w:tcPr>
                  <w:tcW w:w="1119" w:type="dxa"/>
                </w:tcPr>
                <w:p>
                  <w:pPr>
                    <w:pStyle w:val="36"/>
                  </w:pPr>
                  <w:r>
                    <w:rPr>
                      <w:rFonts w:hint="eastAsia"/>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tcPr>
                <w:p>
                  <w:pPr>
                    <w:pStyle w:val="36"/>
                  </w:pPr>
                  <w:r>
                    <w:rPr>
                      <w:rFonts w:hint="eastAsia"/>
                    </w:rPr>
                    <w:t>1</w:t>
                  </w:r>
                </w:p>
              </w:tc>
              <w:tc>
                <w:tcPr>
                  <w:tcW w:w="1650" w:type="dxa"/>
                  <w:vAlign w:val="center"/>
                </w:tcPr>
                <w:p>
                  <w:pPr>
                    <w:widowControl/>
                    <w:jc w:val="center"/>
                    <w:textAlignment w:val="center"/>
                  </w:pPr>
                  <w:r>
                    <w:rPr>
                      <w:color w:val="000000"/>
                      <w:kern w:val="0"/>
                      <w:szCs w:val="21"/>
                      <w:lang w:bidi="ar"/>
                    </w:rPr>
                    <w:t>pH</w:t>
                  </w:r>
                  <w:r>
                    <w:rPr>
                      <w:rFonts w:hint="eastAsia" w:ascii="宋体" w:hAnsi="宋体" w:cs="宋体"/>
                      <w:color w:val="000000"/>
                      <w:kern w:val="0"/>
                      <w:szCs w:val="21"/>
                      <w:lang w:bidi="ar"/>
                    </w:rPr>
                    <w:t>值（无量纲）</w:t>
                  </w:r>
                </w:p>
              </w:tc>
              <w:tc>
                <w:tcPr>
                  <w:tcW w:w="1107" w:type="dxa"/>
                  <w:vAlign w:val="center"/>
                </w:tcPr>
                <w:p>
                  <w:pPr>
                    <w:pStyle w:val="36"/>
                    <w:bidi w:val="0"/>
                  </w:pPr>
                  <w:r>
                    <w:rPr>
                      <w:rFonts w:hint="eastAsia"/>
                      <w:lang w:val="en-US" w:eastAsia="zh-CN"/>
                    </w:rPr>
                    <w:t>6.49～6.87</w:t>
                  </w:r>
                </w:p>
              </w:tc>
              <w:tc>
                <w:tcPr>
                  <w:tcW w:w="1087" w:type="dxa"/>
                  <w:vAlign w:val="center"/>
                </w:tcPr>
                <w:p>
                  <w:pPr>
                    <w:pStyle w:val="36"/>
                    <w:bidi w:val="0"/>
                  </w:pPr>
                  <w:r>
                    <w:rPr>
                      <w:rFonts w:hint="eastAsia"/>
                      <w:lang w:val="en-US" w:eastAsia="zh-CN"/>
                    </w:rPr>
                    <w:t>6.19～6.71</w:t>
                  </w:r>
                </w:p>
              </w:tc>
              <w:tc>
                <w:tcPr>
                  <w:tcW w:w="1069" w:type="dxa"/>
                  <w:vAlign w:val="center"/>
                </w:tcPr>
                <w:p>
                  <w:pPr>
                    <w:widowControl/>
                    <w:jc w:val="center"/>
                    <w:textAlignment w:val="center"/>
                  </w:pPr>
                  <w:r>
                    <w:rPr>
                      <w:rFonts w:hint="eastAsia"/>
                      <w:color w:val="000000"/>
                      <w:kern w:val="0"/>
                      <w:szCs w:val="21"/>
                      <w:lang w:bidi="ar"/>
                    </w:rPr>
                    <w:t>6-9</w:t>
                  </w:r>
                </w:p>
              </w:tc>
              <w:tc>
                <w:tcPr>
                  <w:tcW w:w="1106" w:type="dxa"/>
                  <w:vAlign w:val="center"/>
                </w:tcPr>
                <w:p>
                  <w:pPr>
                    <w:pStyle w:val="36"/>
                  </w:pPr>
                  <w:r>
                    <w:rPr>
                      <w:rFonts w:hint="eastAsia"/>
                    </w:rPr>
                    <w:t>/</w:t>
                  </w:r>
                </w:p>
              </w:tc>
              <w:tc>
                <w:tcPr>
                  <w:tcW w:w="1119" w:type="dxa"/>
                </w:tcPr>
                <w:p>
                  <w:pPr>
                    <w:pStyle w:val="36"/>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97" w:type="dxa"/>
                </w:tcPr>
                <w:p>
                  <w:pPr>
                    <w:pStyle w:val="36"/>
                  </w:pPr>
                  <w:r>
                    <w:rPr>
                      <w:rFonts w:hint="eastAsia"/>
                    </w:rPr>
                    <w:t>2</w:t>
                  </w:r>
                </w:p>
              </w:tc>
              <w:tc>
                <w:tcPr>
                  <w:tcW w:w="1650" w:type="dxa"/>
                  <w:vAlign w:val="center"/>
                </w:tcPr>
                <w:p>
                  <w:pPr>
                    <w:widowControl/>
                    <w:jc w:val="center"/>
                    <w:textAlignment w:val="center"/>
                  </w:pPr>
                  <w:r>
                    <w:rPr>
                      <w:color w:val="000000"/>
                      <w:kern w:val="0"/>
                      <w:szCs w:val="21"/>
                      <w:lang w:bidi="ar"/>
                    </w:rPr>
                    <w:t>COD</w:t>
                  </w:r>
                  <w:r>
                    <w:rPr>
                      <w:rFonts w:hint="eastAsia" w:ascii="宋体" w:hAnsi="宋体" w:cs="宋体"/>
                      <w:color w:val="000000"/>
                      <w:kern w:val="0"/>
                      <w:szCs w:val="21"/>
                      <w:lang w:bidi="ar"/>
                    </w:rPr>
                    <w:t>（</w:t>
                  </w:r>
                  <w:r>
                    <w:rPr>
                      <w:color w:val="000000"/>
                      <w:kern w:val="0"/>
                      <w:szCs w:val="21"/>
                      <w:lang w:bidi="ar"/>
                    </w:rPr>
                    <w:t>mg/L</w:t>
                  </w:r>
                  <w:r>
                    <w:rPr>
                      <w:rFonts w:hint="eastAsia" w:ascii="宋体" w:hAnsi="宋体" w:cs="宋体"/>
                      <w:color w:val="000000"/>
                      <w:kern w:val="0"/>
                      <w:szCs w:val="21"/>
                      <w:lang w:bidi="ar"/>
                    </w:rPr>
                    <w:t>）</w:t>
                  </w:r>
                </w:p>
              </w:tc>
              <w:tc>
                <w:tcPr>
                  <w:tcW w:w="1107" w:type="dxa"/>
                  <w:vAlign w:val="center"/>
                </w:tcPr>
                <w:p>
                  <w:pPr>
                    <w:pStyle w:val="36"/>
                    <w:bidi w:val="0"/>
                  </w:pPr>
                  <w:r>
                    <w:rPr>
                      <w:rFonts w:hint="eastAsia"/>
                      <w:lang w:val="en-US" w:eastAsia="zh-CN"/>
                    </w:rPr>
                    <w:t xml:space="preserve">106 </w:t>
                  </w:r>
                </w:p>
              </w:tc>
              <w:tc>
                <w:tcPr>
                  <w:tcW w:w="1087" w:type="dxa"/>
                  <w:vAlign w:val="center"/>
                </w:tcPr>
                <w:p>
                  <w:pPr>
                    <w:pStyle w:val="36"/>
                    <w:bidi w:val="0"/>
                  </w:pPr>
                  <w:r>
                    <w:rPr>
                      <w:rFonts w:hint="eastAsia"/>
                      <w:lang w:val="en-US" w:eastAsia="zh-CN"/>
                    </w:rPr>
                    <w:t xml:space="preserve">17 </w:t>
                  </w:r>
                </w:p>
              </w:tc>
              <w:tc>
                <w:tcPr>
                  <w:tcW w:w="1069" w:type="dxa"/>
                  <w:vAlign w:val="center"/>
                </w:tcPr>
                <w:p>
                  <w:pPr>
                    <w:widowControl/>
                    <w:jc w:val="center"/>
                    <w:textAlignment w:val="center"/>
                  </w:pPr>
                  <w:r>
                    <w:rPr>
                      <w:rFonts w:hint="eastAsia"/>
                      <w:color w:val="000000"/>
                      <w:kern w:val="0"/>
                      <w:szCs w:val="21"/>
                      <w:lang w:bidi="ar"/>
                    </w:rPr>
                    <w:t>240</w:t>
                  </w:r>
                </w:p>
              </w:tc>
              <w:tc>
                <w:tcPr>
                  <w:tcW w:w="1106" w:type="dxa"/>
                  <w:vAlign w:val="center"/>
                </w:tcPr>
                <w:p>
                  <w:pPr>
                    <w:pStyle w:val="36"/>
                    <w:bidi w:val="0"/>
                    <w:rPr>
                      <w:rFonts w:hint="eastAsia"/>
                      <w:lang w:eastAsia="zh-CN"/>
                    </w:rPr>
                  </w:pPr>
                  <w:r>
                    <w:rPr>
                      <w:rFonts w:hint="eastAsia"/>
                      <w:lang w:val="en-US" w:eastAsia="zh-CN"/>
                    </w:rPr>
                    <w:t xml:space="preserve">0.8401 </w:t>
                  </w:r>
                </w:p>
              </w:tc>
              <w:tc>
                <w:tcPr>
                  <w:tcW w:w="1119" w:type="dxa"/>
                </w:tcPr>
                <w:p>
                  <w:pPr>
                    <w:pStyle w:val="36"/>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97" w:type="dxa"/>
                </w:tcPr>
                <w:p>
                  <w:pPr>
                    <w:pStyle w:val="36"/>
                  </w:pPr>
                  <w:r>
                    <w:rPr>
                      <w:rFonts w:hint="eastAsia"/>
                    </w:rPr>
                    <w:t>3</w:t>
                  </w:r>
                </w:p>
              </w:tc>
              <w:tc>
                <w:tcPr>
                  <w:tcW w:w="1650" w:type="dxa"/>
                  <w:vAlign w:val="center"/>
                </w:tcPr>
                <w:p>
                  <w:pPr>
                    <w:widowControl/>
                    <w:jc w:val="center"/>
                    <w:textAlignment w:val="center"/>
                  </w:pPr>
                  <w:r>
                    <w:rPr>
                      <w:color w:val="000000"/>
                      <w:kern w:val="0"/>
                      <w:szCs w:val="21"/>
                      <w:lang w:bidi="ar"/>
                    </w:rPr>
                    <w:t>氨氮</w:t>
                  </w:r>
                  <w:r>
                    <w:rPr>
                      <w:rFonts w:hint="eastAsia" w:ascii="宋体" w:hAnsi="宋体" w:cs="宋体"/>
                      <w:color w:val="000000"/>
                      <w:kern w:val="0"/>
                      <w:szCs w:val="21"/>
                      <w:lang w:bidi="ar"/>
                    </w:rPr>
                    <w:t>（</w:t>
                  </w:r>
                  <w:r>
                    <w:rPr>
                      <w:color w:val="000000"/>
                      <w:kern w:val="0"/>
                      <w:szCs w:val="21"/>
                      <w:lang w:bidi="ar"/>
                    </w:rPr>
                    <w:t>mg/L</w:t>
                  </w:r>
                  <w:r>
                    <w:rPr>
                      <w:rFonts w:hint="eastAsia" w:ascii="宋体" w:hAnsi="宋体" w:cs="宋体"/>
                      <w:color w:val="000000"/>
                      <w:kern w:val="0"/>
                      <w:szCs w:val="21"/>
                      <w:lang w:bidi="ar"/>
                    </w:rPr>
                    <w:t>）</w:t>
                  </w:r>
                </w:p>
              </w:tc>
              <w:tc>
                <w:tcPr>
                  <w:tcW w:w="1107" w:type="dxa"/>
                  <w:vAlign w:val="center"/>
                </w:tcPr>
                <w:p>
                  <w:pPr>
                    <w:pStyle w:val="36"/>
                    <w:bidi w:val="0"/>
                  </w:pPr>
                  <w:r>
                    <w:rPr>
                      <w:rFonts w:hint="eastAsia"/>
                      <w:lang w:val="en-US" w:eastAsia="zh-CN"/>
                    </w:rPr>
                    <w:t xml:space="preserve">53.2 </w:t>
                  </w:r>
                </w:p>
              </w:tc>
              <w:tc>
                <w:tcPr>
                  <w:tcW w:w="1087" w:type="dxa"/>
                  <w:vAlign w:val="center"/>
                </w:tcPr>
                <w:p>
                  <w:pPr>
                    <w:pStyle w:val="36"/>
                    <w:bidi w:val="0"/>
                  </w:pPr>
                  <w:r>
                    <w:rPr>
                      <w:rFonts w:hint="eastAsia"/>
                      <w:lang w:val="en-US" w:eastAsia="zh-CN"/>
                    </w:rPr>
                    <w:t>0.065</w:t>
                  </w:r>
                </w:p>
              </w:tc>
              <w:tc>
                <w:tcPr>
                  <w:tcW w:w="1069" w:type="dxa"/>
                  <w:vAlign w:val="center"/>
                </w:tcPr>
                <w:p>
                  <w:pPr>
                    <w:widowControl/>
                    <w:jc w:val="center"/>
                    <w:textAlignment w:val="center"/>
                  </w:pPr>
                  <w:r>
                    <w:rPr>
                      <w:rFonts w:hint="eastAsia"/>
                      <w:color w:val="000000"/>
                      <w:kern w:val="0"/>
                      <w:szCs w:val="21"/>
                      <w:lang w:bidi="ar"/>
                    </w:rPr>
                    <w:t>30</w:t>
                  </w:r>
                </w:p>
              </w:tc>
              <w:tc>
                <w:tcPr>
                  <w:tcW w:w="1106" w:type="dxa"/>
                  <w:vAlign w:val="center"/>
                </w:tcPr>
                <w:p>
                  <w:pPr>
                    <w:pStyle w:val="36"/>
                    <w:bidi w:val="0"/>
                    <w:rPr>
                      <w:rFonts w:hint="eastAsia"/>
                      <w:lang w:eastAsia="zh-CN"/>
                    </w:rPr>
                  </w:pPr>
                  <w:r>
                    <w:rPr>
                      <w:rFonts w:hint="eastAsia"/>
                      <w:lang w:val="en-US" w:eastAsia="zh-CN"/>
                    </w:rPr>
                    <w:t xml:space="preserve">0.9988 </w:t>
                  </w:r>
                </w:p>
              </w:tc>
              <w:tc>
                <w:tcPr>
                  <w:tcW w:w="1119" w:type="dxa"/>
                </w:tcPr>
                <w:p>
                  <w:pPr>
                    <w:pStyle w:val="36"/>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97" w:type="dxa"/>
                </w:tcPr>
                <w:p>
                  <w:pPr>
                    <w:pStyle w:val="36"/>
                  </w:pPr>
                  <w:r>
                    <w:rPr>
                      <w:rFonts w:hint="eastAsia"/>
                    </w:rPr>
                    <w:t>4</w:t>
                  </w:r>
                </w:p>
              </w:tc>
              <w:tc>
                <w:tcPr>
                  <w:tcW w:w="1650" w:type="dxa"/>
                  <w:vAlign w:val="center"/>
                </w:tcPr>
                <w:p>
                  <w:pPr>
                    <w:widowControl/>
                    <w:jc w:val="center"/>
                    <w:textAlignment w:val="center"/>
                  </w:pPr>
                  <w:r>
                    <w:rPr>
                      <w:color w:val="000000"/>
                      <w:kern w:val="0"/>
                      <w:szCs w:val="21"/>
                      <w:lang w:bidi="ar"/>
                    </w:rPr>
                    <w:t>石油类</w:t>
                  </w:r>
                  <w:r>
                    <w:rPr>
                      <w:rFonts w:hint="eastAsia" w:ascii="宋体" w:hAnsi="宋体" w:cs="宋体"/>
                      <w:color w:val="000000"/>
                      <w:kern w:val="0"/>
                      <w:szCs w:val="21"/>
                      <w:lang w:bidi="ar"/>
                    </w:rPr>
                    <w:t>（</w:t>
                  </w:r>
                  <w:r>
                    <w:rPr>
                      <w:color w:val="000000"/>
                      <w:kern w:val="0"/>
                      <w:szCs w:val="21"/>
                      <w:lang w:bidi="ar"/>
                    </w:rPr>
                    <w:t>mg/L</w:t>
                  </w:r>
                  <w:r>
                    <w:rPr>
                      <w:rFonts w:hint="eastAsia" w:ascii="宋体" w:hAnsi="宋体" w:cs="宋体"/>
                      <w:color w:val="000000"/>
                      <w:kern w:val="0"/>
                      <w:szCs w:val="21"/>
                      <w:lang w:bidi="ar"/>
                    </w:rPr>
                    <w:t>）</w:t>
                  </w:r>
                </w:p>
              </w:tc>
              <w:tc>
                <w:tcPr>
                  <w:tcW w:w="1107" w:type="dxa"/>
                  <w:vAlign w:val="center"/>
                </w:tcPr>
                <w:p>
                  <w:pPr>
                    <w:pStyle w:val="36"/>
                    <w:bidi w:val="0"/>
                  </w:pPr>
                  <w:r>
                    <w:rPr>
                      <w:rFonts w:hint="eastAsia"/>
                      <w:lang w:val="en-US" w:eastAsia="zh-CN"/>
                    </w:rPr>
                    <w:t>/</w:t>
                  </w:r>
                </w:p>
              </w:tc>
              <w:tc>
                <w:tcPr>
                  <w:tcW w:w="1087" w:type="dxa"/>
                  <w:vAlign w:val="center"/>
                </w:tcPr>
                <w:p>
                  <w:pPr>
                    <w:pStyle w:val="36"/>
                    <w:bidi w:val="0"/>
                  </w:pPr>
                  <w:r>
                    <w:rPr>
                      <w:rFonts w:hint="eastAsia"/>
                      <w:lang w:val="en-US" w:eastAsia="zh-CN"/>
                    </w:rPr>
                    <w:t>/</w:t>
                  </w:r>
                </w:p>
              </w:tc>
              <w:tc>
                <w:tcPr>
                  <w:tcW w:w="1069" w:type="dxa"/>
                  <w:vAlign w:val="center"/>
                </w:tcPr>
                <w:p>
                  <w:pPr>
                    <w:widowControl/>
                    <w:jc w:val="center"/>
                    <w:textAlignment w:val="center"/>
                  </w:pPr>
                  <w:r>
                    <w:rPr>
                      <w:rFonts w:hint="eastAsia"/>
                      <w:color w:val="000000"/>
                      <w:kern w:val="0"/>
                      <w:szCs w:val="21"/>
                      <w:lang w:bidi="ar"/>
                    </w:rPr>
                    <w:t>20</w:t>
                  </w:r>
                </w:p>
              </w:tc>
              <w:tc>
                <w:tcPr>
                  <w:tcW w:w="1106" w:type="dxa"/>
                  <w:vAlign w:val="center"/>
                </w:tcPr>
                <w:p>
                  <w:pPr>
                    <w:pStyle w:val="36"/>
                    <w:bidi w:val="0"/>
                  </w:pPr>
                  <w:r>
                    <w:rPr>
                      <w:rFonts w:hint="eastAsia"/>
                      <w:lang w:val="en-US" w:eastAsia="zh-CN"/>
                    </w:rPr>
                    <w:t>/</w:t>
                  </w:r>
                </w:p>
              </w:tc>
              <w:tc>
                <w:tcPr>
                  <w:tcW w:w="1119" w:type="dxa"/>
                </w:tcPr>
                <w:p>
                  <w:pPr>
                    <w:pStyle w:val="36"/>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97" w:type="dxa"/>
                </w:tcPr>
                <w:p>
                  <w:pPr>
                    <w:pStyle w:val="36"/>
                  </w:pPr>
                  <w:r>
                    <w:rPr>
                      <w:rFonts w:hint="eastAsia"/>
                    </w:rPr>
                    <w:t>5</w:t>
                  </w:r>
                </w:p>
              </w:tc>
              <w:tc>
                <w:tcPr>
                  <w:tcW w:w="1650" w:type="dxa"/>
                  <w:vAlign w:val="center"/>
                </w:tcPr>
                <w:p>
                  <w:pPr>
                    <w:widowControl/>
                    <w:jc w:val="center"/>
                    <w:textAlignment w:val="center"/>
                  </w:pPr>
                  <w:r>
                    <w:rPr>
                      <w:color w:val="000000"/>
                      <w:kern w:val="0"/>
                      <w:szCs w:val="21"/>
                      <w:lang w:bidi="ar"/>
                    </w:rPr>
                    <w:t>BOD</w:t>
                  </w:r>
                  <w:r>
                    <w:rPr>
                      <w:color w:val="000000"/>
                      <w:kern w:val="0"/>
                      <w:szCs w:val="21"/>
                      <w:vertAlign w:val="subscript"/>
                      <w:lang w:bidi="ar"/>
                    </w:rPr>
                    <w:t>5</w:t>
                  </w:r>
                  <w:r>
                    <w:rPr>
                      <w:rFonts w:hint="eastAsia" w:ascii="宋体" w:hAnsi="宋体" w:cs="宋体"/>
                      <w:color w:val="000000"/>
                      <w:kern w:val="0"/>
                      <w:szCs w:val="21"/>
                      <w:lang w:bidi="ar"/>
                    </w:rPr>
                    <w:t>（</w:t>
                  </w:r>
                  <w:r>
                    <w:rPr>
                      <w:color w:val="000000"/>
                      <w:kern w:val="0"/>
                      <w:szCs w:val="21"/>
                      <w:lang w:bidi="ar"/>
                    </w:rPr>
                    <w:t>mg/L</w:t>
                  </w:r>
                  <w:r>
                    <w:rPr>
                      <w:rFonts w:hint="eastAsia" w:ascii="宋体" w:hAnsi="宋体" w:cs="宋体"/>
                      <w:color w:val="000000"/>
                      <w:kern w:val="0"/>
                      <w:szCs w:val="21"/>
                      <w:lang w:bidi="ar"/>
                    </w:rPr>
                    <w:t>）</w:t>
                  </w:r>
                </w:p>
              </w:tc>
              <w:tc>
                <w:tcPr>
                  <w:tcW w:w="1107" w:type="dxa"/>
                  <w:vAlign w:val="center"/>
                </w:tcPr>
                <w:p>
                  <w:pPr>
                    <w:pStyle w:val="36"/>
                    <w:bidi w:val="0"/>
                  </w:pPr>
                  <w:r>
                    <w:rPr>
                      <w:rFonts w:hint="eastAsia"/>
                      <w:lang w:val="en-US" w:eastAsia="zh-CN"/>
                    </w:rPr>
                    <w:t xml:space="preserve">35.3 </w:t>
                  </w:r>
                </w:p>
              </w:tc>
              <w:tc>
                <w:tcPr>
                  <w:tcW w:w="1087" w:type="dxa"/>
                  <w:vAlign w:val="center"/>
                </w:tcPr>
                <w:p>
                  <w:pPr>
                    <w:pStyle w:val="36"/>
                    <w:bidi w:val="0"/>
                  </w:pPr>
                  <w:r>
                    <w:rPr>
                      <w:rFonts w:hint="eastAsia"/>
                      <w:lang w:val="en-US" w:eastAsia="zh-CN"/>
                    </w:rPr>
                    <w:t xml:space="preserve">3.1 </w:t>
                  </w:r>
                </w:p>
              </w:tc>
              <w:tc>
                <w:tcPr>
                  <w:tcW w:w="1069" w:type="dxa"/>
                  <w:vAlign w:val="center"/>
                </w:tcPr>
                <w:p>
                  <w:pPr>
                    <w:widowControl/>
                    <w:jc w:val="center"/>
                    <w:textAlignment w:val="center"/>
                  </w:pPr>
                  <w:r>
                    <w:rPr>
                      <w:rFonts w:hint="eastAsia"/>
                      <w:color w:val="000000"/>
                      <w:kern w:val="0"/>
                      <w:szCs w:val="21"/>
                      <w:lang w:bidi="ar"/>
                    </w:rPr>
                    <w:t>100</w:t>
                  </w:r>
                </w:p>
              </w:tc>
              <w:tc>
                <w:tcPr>
                  <w:tcW w:w="1106" w:type="dxa"/>
                  <w:vAlign w:val="center"/>
                </w:tcPr>
                <w:p>
                  <w:pPr>
                    <w:pStyle w:val="36"/>
                    <w:bidi w:val="0"/>
                    <w:rPr>
                      <w:rFonts w:hint="eastAsia"/>
                      <w:lang w:eastAsia="zh-CN"/>
                    </w:rPr>
                  </w:pPr>
                  <w:r>
                    <w:rPr>
                      <w:rFonts w:hint="eastAsia"/>
                      <w:lang w:val="en-US" w:eastAsia="zh-CN"/>
                    </w:rPr>
                    <w:t xml:space="preserve">0.9131 </w:t>
                  </w:r>
                </w:p>
              </w:tc>
              <w:tc>
                <w:tcPr>
                  <w:tcW w:w="1119" w:type="dxa"/>
                </w:tcPr>
                <w:p>
                  <w:pPr>
                    <w:pStyle w:val="36"/>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97" w:type="dxa"/>
                </w:tcPr>
                <w:p>
                  <w:pPr>
                    <w:pStyle w:val="36"/>
                  </w:pPr>
                  <w:r>
                    <w:rPr>
                      <w:rFonts w:hint="eastAsia"/>
                    </w:rPr>
                    <w:t>6</w:t>
                  </w:r>
                </w:p>
              </w:tc>
              <w:tc>
                <w:tcPr>
                  <w:tcW w:w="1650" w:type="dxa"/>
                  <w:vAlign w:val="center"/>
                </w:tcPr>
                <w:p>
                  <w:pPr>
                    <w:widowControl/>
                    <w:jc w:val="center"/>
                    <w:textAlignment w:val="center"/>
                  </w:pPr>
                  <w:r>
                    <w:rPr>
                      <w:color w:val="000000"/>
                      <w:kern w:val="0"/>
                      <w:szCs w:val="21"/>
                      <w:lang w:bidi="ar"/>
                    </w:rPr>
                    <w:t>余氯</w:t>
                  </w:r>
                  <w:r>
                    <w:rPr>
                      <w:rFonts w:hint="eastAsia" w:ascii="宋体" w:hAnsi="宋体" w:cs="宋体"/>
                      <w:color w:val="000000"/>
                      <w:kern w:val="0"/>
                      <w:szCs w:val="21"/>
                      <w:lang w:bidi="ar"/>
                    </w:rPr>
                    <w:t>（</w:t>
                  </w:r>
                  <w:r>
                    <w:rPr>
                      <w:color w:val="000000"/>
                      <w:kern w:val="0"/>
                      <w:szCs w:val="21"/>
                      <w:lang w:bidi="ar"/>
                    </w:rPr>
                    <w:t>mg/L</w:t>
                  </w:r>
                  <w:r>
                    <w:rPr>
                      <w:rFonts w:hint="eastAsia" w:ascii="宋体" w:hAnsi="宋体" w:cs="宋体"/>
                      <w:color w:val="000000"/>
                      <w:kern w:val="0"/>
                      <w:szCs w:val="21"/>
                      <w:lang w:bidi="ar"/>
                    </w:rPr>
                    <w:t>）</w:t>
                  </w:r>
                </w:p>
              </w:tc>
              <w:tc>
                <w:tcPr>
                  <w:tcW w:w="1107" w:type="dxa"/>
                  <w:vAlign w:val="center"/>
                </w:tcPr>
                <w:p>
                  <w:pPr>
                    <w:pStyle w:val="36"/>
                    <w:bidi w:val="0"/>
                  </w:pPr>
                  <w:r>
                    <w:rPr>
                      <w:rFonts w:hint="eastAsia"/>
                      <w:lang w:val="en-US" w:eastAsia="zh-CN"/>
                    </w:rPr>
                    <w:t>/</w:t>
                  </w:r>
                </w:p>
              </w:tc>
              <w:tc>
                <w:tcPr>
                  <w:tcW w:w="1087" w:type="dxa"/>
                  <w:vAlign w:val="center"/>
                </w:tcPr>
                <w:p>
                  <w:pPr>
                    <w:pStyle w:val="36"/>
                    <w:bidi w:val="0"/>
                  </w:pPr>
                  <w:r>
                    <w:rPr>
                      <w:rFonts w:hint="eastAsia"/>
                      <w:lang w:val="en-US" w:eastAsia="zh-CN"/>
                    </w:rPr>
                    <w:t xml:space="preserve">0.012 </w:t>
                  </w:r>
                </w:p>
              </w:tc>
              <w:tc>
                <w:tcPr>
                  <w:tcW w:w="1069" w:type="dxa"/>
                  <w:vAlign w:val="center"/>
                </w:tcPr>
                <w:p>
                  <w:pPr>
                    <w:widowControl/>
                    <w:jc w:val="center"/>
                    <w:textAlignment w:val="center"/>
                  </w:pPr>
                  <w:r>
                    <w:rPr>
                      <w:rFonts w:hint="eastAsia"/>
                      <w:color w:val="000000"/>
                      <w:kern w:val="0"/>
                      <w:szCs w:val="21"/>
                      <w:lang w:bidi="ar"/>
                    </w:rPr>
                    <w:t>/</w:t>
                  </w:r>
                </w:p>
              </w:tc>
              <w:tc>
                <w:tcPr>
                  <w:tcW w:w="1106" w:type="dxa"/>
                  <w:vAlign w:val="center"/>
                </w:tcPr>
                <w:p>
                  <w:pPr>
                    <w:pStyle w:val="36"/>
                    <w:bidi w:val="0"/>
                  </w:pPr>
                  <w:r>
                    <w:rPr>
                      <w:rFonts w:hint="eastAsia"/>
                      <w:lang w:val="en-US" w:eastAsia="zh-CN"/>
                    </w:rPr>
                    <w:t>/</w:t>
                  </w:r>
                </w:p>
              </w:tc>
              <w:tc>
                <w:tcPr>
                  <w:tcW w:w="1119" w:type="dxa"/>
                </w:tcPr>
                <w:p>
                  <w:pPr>
                    <w:pStyle w:val="36"/>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97" w:type="dxa"/>
                </w:tcPr>
                <w:p>
                  <w:pPr>
                    <w:pStyle w:val="36"/>
                  </w:pPr>
                  <w:r>
                    <w:rPr>
                      <w:rFonts w:hint="eastAsia"/>
                    </w:rPr>
                    <w:t>7</w:t>
                  </w:r>
                </w:p>
              </w:tc>
              <w:tc>
                <w:tcPr>
                  <w:tcW w:w="1650" w:type="dxa"/>
                  <w:vAlign w:val="center"/>
                </w:tcPr>
                <w:p>
                  <w:pPr>
                    <w:widowControl/>
                    <w:jc w:val="center"/>
                    <w:textAlignment w:val="center"/>
                  </w:pPr>
                  <w:r>
                    <w:rPr>
                      <w:color w:val="000000"/>
                      <w:kern w:val="0"/>
                      <w:szCs w:val="21"/>
                      <w:lang w:bidi="ar"/>
                    </w:rPr>
                    <w:t>总磷</w:t>
                  </w:r>
                  <w:r>
                    <w:rPr>
                      <w:rFonts w:hint="eastAsia" w:ascii="宋体" w:hAnsi="宋体" w:cs="宋体"/>
                      <w:color w:val="000000"/>
                      <w:kern w:val="0"/>
                      <w:szCs w:val="21"/>
                      <w:lang w:bidi="ar"/>
                    </w:rPr>
                    <w:t>（</w:t>
                  </w:r>
                  <w:r>
                    <w:rPr>
                      <w:color w:val="000000"/>
                      <w:kern w:val="0"/>
                      <w:szCs w:val="21"/>
                      <w:lang w:bidi="ar"/>
                    </w:rPr>
                    <w:t>mg/L</w:t>
                  </w:r>
                  <w:r>
                    <w:rPr>
                      <w:rFonts w:hint="eastAsia" w:ascii="宋体" w:hAnsi="宋体" w:cs="宋体"/>
                      <w:color w:val="000000"/>
                      <w:kern w:val="0"/>
                      <w:szCs w:val="21"/>
                      <w:lang w:bidi="ar"/>
                    </w:rPr>
                    <w:t>）</w:t>
                  </w:r>
                </w:p>
              </w:tc>
              <w:tc>
                <w:tcPr>
                  <w:tcW w:w="1107" w:type="dxa"/>
                  <w:vAlign w:val="center"/>
                </w:tcPr>
                <w:p>
                  <w:pPr>
                    <w:pStyle w:val="36"/>
                    <w:bidi w:val="0"/>
                  </w:pPr>
                  <w:r>
                    <w:rPr>
                      <w:rFonts w:hint="eastAsia"/>
                      <w:lang w:val="en-US" w:eastAsia="zh-CN"/>
                    </w:rPr>
                    <w:t xml:space="preserve">2.57 </w:t>
                  </w:r>
                </w:p>
              </w:tc>
              <w:tc>
                <w:tcPr>
                  <w:tcW w:w="1087" w:type="dxa"/>
                  <w:vAlign w:val="center"/>
                </w:tcPr>
                <w:p>
                  <w:pPr>
                    <w:pStyle w:val="36"/>
                    <w:bidi w:val="0"/>
                  </w:pPr>
                  <w:r>
                    <w:rPr>
                      <w:rFonts w:hint="eastAsia"/>
                      <w:lang w:val="en-US" w:eastAsia="zh-CN"/>
                    </w:rPr>
                    <w:t xml:space="preserve">0.012 </w:t>
                  </w:r>
                </w:p>
              </w:tc>
              <w:tc>
                <w:tcPr>
                  <w:tcW w:w="1069" w:type="dxa"/>
                  <w:vAlign w:val="center"/>
                </w:tcPr>
                <w:p>
                  <w:pPr>
                    <w:widowControl/>
                    <w:jc w:val="center"/>
                    <w:textAlignment w:val="center"/>
                  </w:pPr>
                  <w:r>
                    <w:rPr>
                      <w:rFonts w:hint="eastAsia"/>
                      <w:color w:val="000000"/>
                      <w:kern w:val="0"/>
                      <w:szCs w:val="21"/>
                      <w:lang w:bidi="ar"/>
                    </w:rPr>
                    <w:t>2.5</w:t>
                  </w:r>
                </w:p>
              </w:tc>
              <w:tc>
                <w:tcPr>
                  <w:tcW w:w="1106" w:type="dxa"/>
                  <w:vAlign w:val="center"/>
                </w:tcPr>
                <w:p>
                  <w:pPr>
                    <w:pStyle w:val="36"/>
                    <w:bidi w:val="0"/>
                    <w:rPr>
                      <w:rFonts w:hint="eastAsia"/>
                      <w:lang w:eastAsia="zh-CN"/>
                    </w:rPr>
                  </w:pPr>
                  <w:r>
                    <w:rPr>
                      <w:rFonts w:hint="eastAsia"/>
                      <w:lang w:val="en-US" w:eastAsia="zh-CN"/>
                    </w:rPr>
                    <w:t xml:space="preserve">0.9955 </w:t>
                  </w:r>
                </w:p>
              </w:tc>
              <w:tc>
                <w:tcPr>
                  <w:tcW w:w="1119" w:type="dxa"/>
                </w:tcPr>
                <w:p>
                  <w:pPr>
                    <w:pStyle w:val="36"/>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97" w:type="dxa"/>
                </w:tcPr>
                <w:p>
                  <w:pPr>
                    <w:pStyle w:val="36"/>
                  </w:pPr>
                  <w:r>
                    <w:rPr>
                      <w:rFonts w:hint="eastAsia"/>
                    </w:rPr>
                    <w:t>8</w:t>
                  </w:r>
                </w:p>
              </w:tc>
              <w:tc>
                <w:tcPr>
                  <w:tcW w:w="1650" w:type="dxa"/>
                  <w:vAlign w:val="center"/>
                </w:tcPr>
                <w:p>
                  <w:pPr>
                    <w:widowControl/>
                    <w:jc w:val="center"/>
                    <w:textAlignment w:val="center"/>
                  </w:pPr>
                  <w:r>
                    <w:rPr>
                      <w:color w:val="000000"/>
                      <w:kern w:val="0"/>
                      <w:szCs w:val="21"/>
                      <w:lang w:bidi="ar"/>
                    </w:rPr>
                    <w:t>粪大肠菌群(MPN/L)</w:t>
                  </w:r>
                </w:p>
              </w:tc>
              <w:tc>
                <w:tcPr>
                  <w:tcW w:w="1107" w:type="dxa"/>
                  <w:vAlign w:val="center"/>
                </w:tcPr>
                <w:p>
                  <w:pPr>
                    <w:widowControl/>
                    <w:jc w:val="center"/>
                    <w:textAlignment w:val="center"/>
                  </w:pPr>
                  <w:r>
                    <w:rPr>
                      <w:rFonts w:hint="eastAsia"/>
                      <w:color w:val="000000"/>
                      <w:kern w:val="0"/>
                      <w:szCs w:val="21"/>
                      <w:lang w:val="en-US" w:eastAsia="zh-CN" w:bidi="ar"/>
                    </w:rPr>
                    <w:t>2.4</w:t>
                  </w:r>
                  <w:r>
                    <w:rPr>
                      <w:color w:val="000000"/>
                      <w:kern w:val="0"/>
                      <w:szCs w:val="21"/>
                      <w:lang w:bidi="ar"/>
                    </w:rPr>
                    <w:t>×10</w:t>
                  </w:r>
                  <w:r>
                    <w:rPr>
                      <w:color w:val="000000"/>
                      <w:kern w:val="0"/>
                      <w:szCs w:val="21"/>
                      <w:vertAlign w:val="superscript"/>
                      <w:lang w:bidi="ar"/>
                    </w:rPr>
                    <w:t>4</w:t>
                  </w:r>
                </w:p>
              </w:tc>
              <w:tc>
                <w:tcPr>
                  <w:tcW w:w="1087" w:type="dxa"/>
                  <w:vAlign w:val="center"/>
                </w:tcPr>
                <w:p>
                  <w:pPr>
                    <w:widowControl/>
                    <w:jc w:val="center"/>
                    <w:textAlignment w:val="center"/>
                    <w:rPr>
                      <w:rFonts w:hint="eastAsia" w:eastAsia="宋体"/>
                      <w:lang w:val="en-US" w:eastAsia="zh-CN"/>
                    </w:rPr>
                  </w:pPr>
                  <w:r>
                    <w:rPr>
                      <w:rFonts w:hint="eastAsia"/>
                      <w:color w:val="000000"/>
                      <w:kern w:val="0"/>
                      <w:szCs w:val="21"/>
                      <w:lang w:val="en-US" w:eastAsia="zh-CN" w:bidi="ar"/>
                    </w:rPr>
                    <w:t>1.7</w:t>
                  </w:r>
                  <w:r>
                    <w:rPr>
                      <w:color w:val="000000"/>
                      <w:kern w:val="0"/>
                      <w:szCs w:val="21"/>
                      <w:lang w:bidi="ar"/>
                    </w:rPr>
                    <w:t>×10</w:t>
                  </w:r>
                  <w:r>
                    <w:rPr>
                      <w:rFonts w:hint="eastAsia"/>
                      <w:color w:val="000000"/>
                      <w:kern w:val="0"/>
                      <w:szCs w:val="21"/>
                      <w:vertAlign w:val="superscript"/>
                      <w:lang w:val="en-US" w:eastAsia="zh-CN" w:bidi="ar"/>
                    </w:rPr>
                    <w:t>2</w:t>
                  </w:r>
                </w:p>
              </w:tc>
              <w:tc>
                <w:tcPr>
                  <w:tcW w:w="1069" w:type="dxa"/>
                  <w:vAlign w:val="center"/>
                </w:tcPr>
                <w:p>
                  <w:pPr>
                    <w:widowControl/>
                    <w:jc w:val="center"/>
                    <w:textAlignment w:val="center"/>
                  </w:pPr>
                  <w:r>
                    <w:rPr>
                      <w:rFonts w:hint="eastAsia"/>
                      <w:color w:val="000000"/>
                      <w:kern w:val="0"/>
                      <w:szCs w:val="21"/>
                      <w:lang w:bidi="ar"/>
                    </w:rPr>
                    <w:t>5000</w:t>
                  </w:r>
                </w:p>
              </w:tc>
              <w:tc>
                <w:tcPr>
                  <w:tcW w:w="1106" w:type="dxa"/>
                  <w:vAlign w:val="center"/>
                </w:tcPr>
                <w:p>
                  <w:pPr>
                    <w:pStyle w:val="36"/>
                  </w:pPr>
                  <w:r>
                    <w:rPr>
                      <w:rFonts w:hint="eastAsia"/>
                    </w:rPr>
                    <w:t>/</w:t>
                  </w:r>
                </w:p>
              </w:tc>
              <w:tc>
                <w:tcPr>
                  <w:tcW w:w="1119" w:type="dxa"/>
                </w:tcPr>
                <w:p>
                  <w:pPr>
                    <w:pStyle w:val="36"/>
                  </w:pPr>
                  <w:r>
                    <w:rPr>
                      <w:rFonts w:hint="eastAsia"/>
                    </w:rPr>
                    <w:t>是</w:t>
                  </w:r>
                </w:p>
              </w:tc>
            </w:tr>
          </w:tbl>
          <w:p>
            <w:pPr>
              <w:spacing w:line="360" w:lineRule="auto"/>
              <w:ind w:firstLine="480" w:firstLineChars="200"/>
              <w:rPr>
                <w:rFonts w:hAnsi="宋体"/>
                <w:sz w:val="24"/>
              </w:rPr>
            </w:pPr>
            <w:r>
              <w:rPr>
                <w:rFonts w:hint="eastAsia" w:hAnsi="宋体"/>
                <w:sz w:val="24"/>
              </w:rPr>
              <w:t>综上，本次改扩建后，项目废水经过</w:t>
            </w:r>
            <w:r>
              <w:rPr>
                <w:rFonts w:hint="eastAsia" w:cs="宋体"/>
                <w:bCs/>
                <w:sz w:val="24"/>
              </w:rPr>
              <w:t>一体化污水处理设备处理后能够</w:t>
            </w:r>
            <w:r>
              <w:rPr>
                <w:rFonts w:hint="eastAsia" w:hAnsi="宋体"/>
                <w:sz w:val="24"/>
              </w:rPr>
              <w:t>满足《医疗机构水污染物排放标准》（GB18466-2005）表2（预处理）标准及</w:t>
            </w:r>
            <w:r>
              <w:rPr>
                <w:rFonts w:hint="eastAsia" w:hAnsi="宋体"/>
                <w:sz w:val="24"/>
                <w:lang w:eastAsia="zh-CN"/>
              </w:rPr>
              <w:t>三阳港镇</w:t>
            </w:r>
            <w:r>
              <w:rPr>
                <w:rFonts w:hint="eastAsia" w:hAnsi="宋体"/>
                <w:sz w:val="24"/>
              </w:rPr>
              <w:t>污水厂进水水质要求，不会对周边地表水造成较大影响。</w:t>
            </w:r>
          </w:p>
          <w:p>
            <w:pPr>
              <w:spacing w:line="360" w:lineRule="auto"/>
              <w:rPr>
                <w:b/>
                <w:bCs/>
                <w:sz w:val="24"/>
              </w:rPr>
            </w:pPr>
            <w:r>
              <w:rPr>
                <w:b/>
                <w:bCs/>
                <w:sz w:val="24"/>
              </w:rPr>
              <w:t>3</w:t>
            </w:r>
            <w:r>
              <w:rPr>
                <w:rFonts w:hint="eastAsia"/>
                <w:b/>
                <w:bCs/>
                <w:sz w:val="24"/>
              </w:rPr>
              <w:t>、</w:t>
            </w:r>
            <w:r>
              <w:rPr>
                <w:rFonts w:hint="eastAsia" w:cs="宋体"/>
                <w:b/>
                <w:bCs/>
                <w:sz w:val="24"/>
              </w:rPr>
              <w:t>噪声</w:t>
            </w:r>
          </w:p>
          <w:p>
            <w:pPr>
              <w:adjustRightInd w:val="0"/>
              <w:snapToGrid w:val="0"/>
              <w:spacing w:line="360" w:lineRule="auto"/>
              <w:ind w:firstLine="470" w:firstLineChars="196"/>
              <w:rPr>
                <w:sz w:val="24"/>
              </w:rPr>
            </w:pPr>
            <w:r>
              <w:rPr>
                <w:sz w:val="24"/>
              </w:rPr>
              <w:t>（1）噪声源强</w:t>
            </w:r>
          </w:p>
          <w:p>
            <w:pPr>
              <w:adjustRightInd w:val="0"/>
              <w:snapToGrid w:val="0"/>
              <w:spacing w:line="360" w:lineRule="auto"/>
              <w:ind w:firstLine="470" w:firstLineChars="196"/>
              <w:rPr>
                <w:sz w:val="24"/>
              </w:rPr>
            </w:pPr>
            <w:r>
              <w:rPr>
                <w:sz w:val="24"/>
              </w:rPr>
              <w:t>项目一体化污水处理系统设置于地下</w:t>
            </w:r>
            <w:r>
              <w:rPr>
                <w:rFonts w:hint="eastAsia"/>
                <w:sz w:val="24"/>
              </w:rPr>
              <w:t>，</w:t>
            </w:r>
            <w:r>
              <w:rPr>
                <w:sz w:val="24"/>
              </w:rPr>
              <w:t>营运期噪声主要来源于</w:t>
            </w:r>
            <w:r>
              <w:rPr>
                <w:rFonts w:hint="eastAsia"/>
                <w:sz w:val="24"/>
              </w:rPr>
              <w:t>单体式空调外机</w:t>
            </w:r>
            <w:r>
              <w:rPr>
                <w:sz w:val="24"/>
              </w:rPr>
              <w:t>运行时所产生的噪声</w:t>
            </w:r>
            <w:r>
              <w:rPr>
                <w:rFonts w:hint="eastAsia"/>
                <w:sz w:val="24"/>
              </w:rPr>
              <w:t>、备用发电机运行噪声</w:t>
            </w:r>
            <w:r>
              <w:rPr>
                <w:sz w:val="24"/>
              </w:rPr>
              <w:t>和</w:t>
            </w:r>
            <w:r>
              <w:rPr>
                <w:rFonts w:hint="eastAsia"/>
                <w:sz w:val="24"/>
              </w:rPr>
              <w:t>污水处理站运行噪声</w:t>
            </w:r>
            <w:r>
              <w:rPr>
                <w:sz w:val="24"/>
              </w:rPr>
              <w:t>，噪声源强为</w:t>
            </w:r>
            <w:r>
              <w:rPr>
                <w:rFonts w:hint="eastAsia"/>
                <w:sz w:val="24"/>
              </w:rPr>
              <w:t>60</w:t>
            </w:r>
            <w:r>
              <w:rPr>
                <w:sz w:val="24"/>
              </w:rPr>
              <w:t>～</w:t>
            </w:r>
            <w:r>
              <w:rPr>
                <w:rFonts w:hint="eastAsia"/>
                <w:sz w:val="24"/>
              </w:rPr>
              <w:t>90</w:t>
            </w:r>
            <w:r>
              <w:rPr>
                <w:sz w:val="24"/>
              </w:rPr>
              <w:t>dB。项目噪声污染源分析结果见下表。</w:t>
            </w:r>
          </w:p>
          <w:p>
            <w:pPr>
              <w:adjustRightInd w:val="0"/>
              <w:snapToGrid w:val="0"/>
              <w:jc w:val="center"/>
              <w:rPr>
                <w:b/>
                <w:szCs w:val="21"/>
              </w:rPr>
            </w:pPr>
            <w:r>
              <w:rPr>
                <w:rFonts w:hint="eastAsia"/>
                <w:b/>
                <w:szCs w:val="21"/>
              </w:rPr>
              <w:t>表4-8项目主要噪声源及噪声级单位：dB（A）</w:t>
            </w:r>
          </w:p>
          <w:tbl>
            <w:tblPr>
              <w:tblStyle w:val="27"/>
              <w:tblW w:w="7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3668"/>
              <w:gridCol w:w="2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Align w:val="center"/>
                </w:tcPr>
                <w:p>
                  <w:pPr>
                    <w:adjustRightInd w:val="0"/>
                    <w:snapToGrid w:val="0"/>
                    <w:jc w:val="center"/>
                    <w:rPr>
                      <w:b/>
                      <w:bCs/>
                      <w:szCs w:val="21"/>
                    </w:rPr>
                  </w:pPr>
                  <w:r>
                    <w:rPr>
                      <w:rFonts w:hint="eastAsia"/>
                      <w:b/>
                      <w:bCs/>
                      <w:szCs w:val="21"/>
                    </w:rPr>
                    <w:t>序号</w:t>
                  </w:r>
                </w:p>
              </w:tc>
              <w:tc>
                <w:tcPr>
                  <w:tcW w:w="3668" w:type="dxa"/>
                  <w:vAlign w:val="center"/>
                </w:tcPr>
                <w:p>
                  <w:pPr>
                    <w:adjustRightInd w:val="0"/>
                    <w:snapToGrid w:val="0"/>
                    <w:jc w:val="center"/>
                    <w:rPr>
                      <w:b/>
                      <w:bCs/>
                      <w:szCs w:val="21"/>
                    </w:rPr>
                  </w:pPr>
                  <w:r>
                    <w:rPr>
                      <w:rFonts w:hint="eastAsia"/>
                      <w:b/>
                      <w:bCs/>
                      <w:szCs w:val="21"/>
                    </w:rPr>
                    <w:t>设备名称</w:t>
                  </w:r>
                </w:p>
              </w:tc>
              <w:tc>
                <w:tcPr>
                  <w:tcW w:w="2912" w:type="dxa"/>
                  <w:vAlign w:val="center"/>
                </w:tcPr>
                <w:p>
                  <w:pPr>
                    <w:adjustRightInd w:val="0"/>
                    <w:snapToGrid w:val="0"/>
                    <w:jc w:val="center"/>
                    <w:rPr>
                      <w:b/>
                      <w:bCs/>
                      <w:szCs w:val="21"/>
                    </w:rPr>
                  </w:pPr>
                  <w:r>
                    <w:rPr>
                      <w:rFonts w:hint="eastAsia"/>
                      <w:b/>
                      <w:bCs/>
                      <w:szCs w:val="21"/>
                    </w:rPr>
                    <w:t>噪声声压级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Align w:val="center"/>
                </w:tcPr>
                <w:p>
                  <w:pPr>
                    <w:adjustRightInd w:val="0"/>
                    <w:snapToGrid w:val="0"/>
                    <w:jc w:val="center"/>
                    <w:rPr>
                      <w:szCs w:val="21"/>
                    </w:rPr>
                  </w:pPr>
                  <w:r>
                    <w:rPr>
                      <w:rFonts w:hint="eastAsia"/>
                      <w:szCs w:val="21"/>
                    </w:rPr>
                    <w:t>1</w:t>
                  </w:r>
                </w:p>
              </w:tc>
              <w:tc>
                <w:tcPr>
                  <w:tcW w:w="3668" w:type="dxa"/>
                  <w:vAlign w:val="center"/>
                </w:tcPr>
                <w:p>
                  <w:pPr>
                    <w:adjustRightInd w:val="0"/>
                    <w:snapToGrid w:val="0"/>
                    <w:jc w:val="center"/>
                    <w:rPr>
                      <w:szCs w:val="21"/>
                    </w:rPr>
                  </w:pPr>
                  <w:r>
                    <w:rPr>
                      <w:rFonts w:hint="eastAsia"/>
                      <w:szCs w:val="21"/>
                    </w:rPr>
                    <w:t>空调外机</w:t>
                  </w:r>
                </w:p>
              </w:tc>
              <w:tc>
                <w:tcPr>
                  <w:tcW w:w="2912" w:type="dxa"/>
                  <w:vAlign w:val="center"/>
                </w:tcPr>
                <w:p>
                  <w:pPr>
                    <w:adjustRightInd w:val="0"/>
                    <w:snapToGrid w:val="0"/>
                    <w:jc w:val="center"/>
                    <w:rPr>
                      <w:szCs w:val="21"/>
                    </w:rPr>
                  </w:pPr>
                  <w:r>
                    <w:rPr>
                      <w:rFonts w:hint="eastAsia"/>
                      <w:szCs w:val="21"/>
                    </w:rPr>
                    <w:t>65~</w:t>
                  </w:r>
                  <w:r>
                    <w:rPr>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Align w:val="center"/>
                </w:tcPr>
                <w:p>
                  <w:pPr>
                    <w:adjustRightInd w:val="0"/>
                    <w:snapToGrid w:val="0"/>
                    <w:jc w:val="center"/>
                    <w:rPr>
                      <w:szCs w:val="21"/>
                    </w:rPr>
                  </w:pPr>
                  <w:r>
                    <w:rPr>
                      <w:rFonts w:hint="eastAsia"/>
                      <w:szCs w:val="21"/>
                    </w:rPr>
                    <w:t>2</w:t>
                  </w:r>
                </w:p>
              </w:tc>
              <w:tc>
                <w:tcPr>
                  <w:tcW w:w="3668" w:type="dxa"/>
                  <w:vAlign w:val="center"/>
                </w:tcPr>
                <w:p>
                  <w:pPr>
                    <w:adjustRightInd w:val="0"/>
                    <w:snapToGrid w:val="0"/>
                    <w:jc w:val="center"/>
                    <w:rPr>
                      <w:szCs w:val="21"/>
                    </w:rPr>
                  </w:pPr>
                  <w:r>
                    <w:rPr>
                      <w:rFonts w:hint="eastAsia"/>
                      <w:szCs w:val="21"/>
                    </w:rPr>
                    <w:t>污水处理站水泵</w:t>
                  </w:r>
                </w:p>
              </w:tc>
              <w:tc>
                <w:tcPr>
                  <w:tcW w:w="2912" w:type="dxa"/>
                  <w:vAlign w:val="center"/>
                </w:tcPr>
                <w:p>
                  <w:pPr>
                    <w:adjustRightInd w:val="0"/>
                    <w:snapToGrid w:val="0"/>
                    <w:jc w:val="center"/>
                    <w:rPr>
                      <w:szCs w:val="21"/>
                    </w:rPr>
                  </w:pPr>
                  <w:r>
                    <w:rPr>
                      <w:rFonts w:hint="eastAsia"/>
                      <w:szCs w:val="21"/>
                    </w:rPr>
                    <w:t>60~8</w:t>
                  </w: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Align w:val="center"/>
                </w:tcPr>
                <w:p>
                  <w:pPr>
                    <w:adjustRightInd w:val="0"/>
                    <w:snapToGrid w:val="0"/>
                    <w:jc w:val="center"/>
                    <w:rPr>
                      <w:szCs w:val="21"/>
                    </w:rPr>
                  </w:pPr>
                  <w:r>
                    <w:rPr>
                      <w:rFonts w:hint="eastAsia"/>
                      <w:szCs w:val="21"/>
                    </w:rPr>
                    <w:t>3</w:t>
                  </w:r>
                </w:p>
              </w:tc>
              <w:tc>
                <w:tcPr>
                  <w:tcW w:w="3668" w:type="dxa"/>
                  <w:vAlign w:val="center"/>
                </w:tcPr>
                <w:p>
                  <w:pPr>
                    <w:adjustRightInd w:val="0"/>
                    <w:snapToGrid w:val="0"/>
                    <w:jc w:val="center"/>
                    <w:rPr>
                      <w:szCs w:val="21"/>
                    </w:rPr>
                  </w:pPr>
                  <w:r>
                    <w:rPr>
                      <w:rFonts w:hint="eastAsia"/>
                      <w:szCs w:val="21"/>
                    </w:rPr>
                    <w:t>备用柴油发电机</w:t>
                  </w:r>
                </w:p>
              </w:tc>
              <w:tc>
                <w:tcPr>
                  <w:tcW w:w="2912" w:type="dxa"/>
                  <w:vAlign w:val="center"/>
                </w:tcPr>
                <w:p>
                  <w:pPr>
                    <w:adjustRightInd w:val="0"/>
                    <w:snapToGrid w:val="0"/>
                    <w:jc w:val="center"/>
                    <w:rPr>
                      <w:szCs w:val="21"/>
                    </w:rPr>
                  </w:pPr>
                  <w:r>
                    <w:rPr>
                      <w:rFonts w:hint="eastAsia"/>
                      <w:szCs w:val="21"/>
                    </w:rPr>
                    <w:t>75-90</w:t>
                  </w:r>
                </w:p>
              </w:tc>
            </w:tr>
          </w:tbl>
          <w:p>
            <w:pPr>
              <w:adjustRightInd w:val="0"/>
              <w:snapToGrid w:val="0"/>
              <w:spacing w:line="360" w:lineRule="auto"/>
              <w:ind w:firstLine="470" w:firstLineChars="196"/>
              <w:rPr>
                <w:sz w:val="24"/>
              </w:rPr>
            </w:pPr>
            <w:r>
              <w:rPr>
                <w:sz w:val="24"/>
              </w:rPr>
              <w:t>（2）噪声预测</w:t>
            </w:r>
          </w:p>
          <w:p>
            <w:pPr>
              <w:adjustRightInd w:val="0"/>
              <w:snapToGrid w:val="0"/>
              <w:spacing w:line="360" w:lineRule="auto"/>
              <w:ind w:firstLine="470" w:firstLineChars="196"/>
              <w:rPr>
                <w:sz w:val="24"/>
              </w:rPr>
            </w:pPr>
            <w:r>
              <w:rPr>
                <w:sz w:val="24"/>
              </w:rPr>
              <w:t>本项目噪声预测模式采用《环境影响评价技术导则－声环境》（HJ2.4-2009）中推荐的噪声预测模式，公式如下：</w:t>
            </w:r>
          </w:p>
          <w:p>
            <w:pPr>
              <w:adjustRightInd w:val="0"/>
              <w:snapToGrid w:val="0"/>
              <w:spacing w:line="360" w:lineRule="auto"/>
              <w:ind w:firstLine="470" w:firstLineChars="196"/>
              <w:rPr>
                <w:sz w:val="24"/>
              </w:rPr>
            </w:pPr>
            <w:r>
              <w:rPr>
                <w:sz w:val="24"/>
              </w:rPr>
              <w:fldChar w:fldCharType="begin"/>
            </w:r>
            <w:r>
              <w:rPr>
                <w:sz w:val="24"/>
              </w:rPr>
              <w:instrText xml:space="preserve"> = 1 \* GB3 </w:instrText>
            </w:r>
            <w:r>
              <w:rPr>
                <w:sz w:val="24"/>
              </w:rPr>
              <w:fldChar w:fldCharType="separate"/>
            </w:r>
            <w:r>
              <w:rPr>
                <w:sz w:val="24"/>
              </w:rPr>
              <w:t>①</w:t>
            </w:r>
            <w:r>
              <w:rPr>
                <w:sz w:val="24"/>
              </w:rPr>
              <w:fldChar w:fldCharType="end"/>
            </w:r>
            <w:r>
              <w:rPr>
                <w:sz w:val="24"/>
              </w:rPr>
              <w:t>建设项目声源在预测点产生的等效声级贡献值Leqg计算公式：</w:t>
            </w:r>
          </w:p>
          <w:p>
            <w:pPr>
              <w:jc w:val="center"/>
            </w:pPr>
            <w:r>
              <w:drawing>
                <wp:inline distT="0" distB="0" distL="114300" distR="114300">
                  <wp:extent cx="2514600" cy="552450"/>
                  <wp:effectExtent l="0" t="0" r="0" b="0"/>
                  <wp:docPr id="75" name="图片 1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7" descr="1"/>
                          <pic:cNvPicPr>
                            <a:picLocks noChangeAspect="1"/>
                          </pic:cNvPicPr>
                        </pic:nvPicPr>
                        <pic:blipFill>
                          <a:blip r:embed="rId15"/>
                          <a:stretch>
                            <a:fillRect/>
                          </a:stretch>
                        </pic:blipFill>
                        <pic:spPr>
                          <a:xfrm>
                            <a:off x="0" y="0"/>
                            <a:ext cx="2514600" cy="552450"/>
                          </a:xfrm>
                          <a:prstGeom prst="rect">
                            <a:avLst/>
                          </a:prstGeom>
                          <a:noFill/>
                          <a:ln>
                            <a:noFill/>
                          </a:ln>
                        </pic:spPr>
                      </pic:pic>
                    </a:graphicData>
                  </a:graphic>
                </wp:inline>
              </w:drawing>
            </w:r>
          </w:p>
          <w:p>
            <w:pPr>
              <w:adjustRightInd w:val="0"/>
              <w:snapToGrid w:val="0"/>
              <w:spacing w:line="360" w:lineRule="auto"/>
              <w:ind w:firstLine="470" w:firstLineChars="196"/>
              <w:rPr>
                <w:sz w:val="24"/>
              </w:rPr>
            </w:pPr>
            <w:r>
              <w:rPr>
                <w:sz w:val="24"/>
              </w:rPr>
              <w:t>式中：</w:t>
            </w:r>
          </w:p>
          <w:p>
            <w:pPr>
              <w:adjustRightInd w:val="0"/>
              <w:snapToGrid w:val="0"/>
              <w:spacing w:line="360" w:lineRule="auto"/>
              <w:ind w:firstLine="470" w:firstLineChars="196"/>
              <w:rPr>
                <w:sz w:val="24"/>
              </w:rPr>
            </w:pPr>
            <w:r>
              <w:rPr>
                <w:sz w:val="24"/>
              </w:rPr>
              <w:t>Leqg—建设项目声源在预测点的等效声级贡献值，dB(A)；</w:t>
            </w:r>
          </w:p>
          <w:p>
            <w:pPr>
              <w:adjustRightInd w:val="0"/>
              <w:snapToGrid w:val="0"/>
              <w:spacing w:line="360" w:lineRule="auto"/>
              <w:ind w:firstLine="470" w:firstLineChars="196"/>
              <w:rPr>
                <w:sz w:val="24"/>
              </w:rPr>
            </w:pPr>
            <w:r>
              <w:rPr>
                <w:sz w:val="24"/>
              </w:rPr>
              <w:t>LAi—声源在预测点产生的A声级，dB(A)；</w:t>
            </w:r>
          </w:p>
          <w:p>
            <w:pPr>
              <w:adjustRightInd w:val="0"/>
              <w:snapToGrid w:val="0"/>
              <w:spacing w:line="360" w:lineRule="auto"/>
              <w:ind w:firstLine="470" w:firstLineChars="196"/>
              <w:rPr>
                <w:sz w:val="24"/>
              </w:rPr>
            </w:pPr>
            <w:r>
              <w:rPr>
                <w:sz w:val="24"/>
              </w:rPr>
              <w:t>T—预测计算的时间段，s；</w:t>
            </w:r>
          </w:p>
          <w:p>
            <w:pPr>
              <w:adjustRightInd w:val="0"/>
              <w:snapToGrid w:val="0"/>
              <w:spacing w:line="360" w:lineRule="auto"/>
              <w:ind w:firstLine="470" w:firstLineChars="196"/>
              <w:rPr>
                <w:sz w:val="24"/>
              </w:rPr>
            </w:pPr>
            <w:r>
              <w:rPr>
                <w:sz w:val="24"/>
              </w:rPr>
              <w:t>ti—i声源在T时段内的运行时间，s。</w:t>
            </w:r>
          </w:p>
          <w:p>
            <w:pPr>
              <w:adjustRightInd w:val="0"/>
              <w:snapToGrid w:val="0"/>
              <w:spacing w:line="360" w:lineRule="auto"/>
              <w:ind w:firstLine="470" w:firstLineChars="196"/>
              <w:rPr>
                <w:sz w:val="24"/>
              </w:rPr>
            </w:pPr>
            <w:r>
              <w:rPr>
                <w:sz w:val="24"/>
              </w:rPr>
              <w:fldChar w:fldCharType="begin"/>
            </w:r>
            <w:r>
              <w:rPr>
                <w:sz w:val="24"/>
              </w:rPr>
              <w:instrText xml:space="preserve"> = 2 \* GB3 </w:instrText>
            </w:r>
            <w:r>
              <w:rPr>
                <w:sz w:val="24"/>
              </w:rPr>
              <w:fldChar w:fldCharType="separate"/>
            </w:r>
            <w:r>
              <w:rPr>
                <w:sz w:val="24"/>
              </w:rPr>
              <w:t>②</w:t>
            </w:r>
            <w:r>
              <w:rPr>
                <w:sz w:val="24"/>
              </w:rPr>
              <w:fldChar w:fldCharType="end"/>
            </w:r>
            <w:r>
              <w:rPr>
                <w:sz w:val="24"/>
              </w:rPr>
              <w:t>预测点的预测等效声级(Leq)计算公式：</w:t>
            </w:r>
          </w:p>
          <w:p>
            <w:pPr>
              <w:jc w:val="center"/>
            </w:pPr>
            <w:r>
              <w:drawing>
                <wp:inline distT="0" distB="0" distL="114300" distR="114300">
                  <wp:extent cx="2486025" cy="419100"/>
                  <wp:effectExtent l="0" t="0" r="9525" b="0"/>
                  <wp:docPr id="72" name="图片 1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8" descr="2"/>
                          <pic:cNvPicPr>
                            <a:picLocks noChangeAspect="1"/>
                          </pic:cNvPicPr>
                        </pic:nvPicPr>
                        <pic:blipFill>
                          <a:blip r:embed="rId16"/>
                          <a:stretch>
                            <a:fillRect/>
                          </a:stretch>
                        </pic:blipFill>
                        <pic:spPr>
                          <a:xfrm>
                            <a:off x="0" y="0"/>
                            <a:ext cx="2486025" cy="419100"/>
                          </a:xfrm>
                          <a:prstGeom prst="rect">
                            <a:avLst/>
                          </a:prstGeom>
                          <a:noFill/>
                          <a:ln>
                            <a:noFill/>
                          </a:ln>
                        </pic:spPr>
                      </pic:pic>
                    </a:graphicData>
                  </a:graphic>
                </wp:inline>
              </w:drawing>
            </w:r>
          </w:p>
          <w:p>
            <w:pPr>
              <w:adjustRightInd w:val="0"/>
              <w:snapToGrid w:val="0"/>
              <w:spacing w:line="360" w:lineRule="auto"/>
              <w:ind w:firstLine="470" w:firstLineChars="196"/>
              <w:rPr>
                <w:sz w:val="24"/>
              </w:rPr>
            </w:pPr>
            <w:r>
              <w:rPr>
                <w:sz w:val="24"/>
              </w:rPr>
              <w:t>式中：</w:t>
            </w:r>
          </w:p>
          <w:p>
            <w:pPr>
              <w:adjustRightInd w:val="0"/>
              <w:snapToGrid w:val="0"/>
              <w:spacing w:line="360" w:lineRule="auto"/>
              <w:ind w:firstLine="470" w:firstLineChars="196"/>
              <w:rPr>
                <w:sz w:val="24"/>
              </w:rPr>
            </w:pPr>
            <w:r>
              <w:rPr>
                <w:sz w:val="24"/>
              </w:rPr>
              <w:t>Leqg—建设项目声源在预测点的等效声级贡献值，dB(A)；</w:t>
            </w:r>
          </w:p>
          <w:p>
            <w:pPr>
              <w:adjustRightInd w:val="0"/>
              <w:snapToGrid w:val="0"/>
              <w:spacing w:line="360" w:lineRule="auto"/>
              <w:ind w:firstLine="470" w:firstLineChars="196"/>
              <w:rPr>
                <w:sz w:val="24"/>
              </w:rPr>
            </w:pPr>
            <w:r>
              <w:rPr>
                <w:sz w:val="24"/>
              </w:rPr>
              <w:t>Leqb—预测点的背景值，dB(A)。</w:t>
            </w:r>
          </w:p>
          <w:p>
            <w:pPr>
              <w:adjustRightInd w:val="0"/>
              <w:snapToGrid w:val="0"/>
              <w:spacing w:line="360" w:lineRule="auto"/>
              <w:ind w:firstLine="470" w:firstLineChars="196"/>
              <w:rPr>
                <w:sz w:val="24"/>
              </w:rPr>
            </w:pPr>
            <w:r>
              <w:rPr>
                <w:sz w:val="24"/>
              </w:rPr>
              <w:t>（3）预测结果及分析</w:t>
            </w:r>
          </w:p>
          <w:p>
            <w:pPr>
              <w:adjustRightInd w:val="0"/>
              <w:snapToGrid w:val="0"/>
              <w:spacing w:line="360" w:lineRule="auto"/>
              <w:ind w:firstLine="470" w:firstLineChars="196"/>
              <w:rPr>
                <w:sz w:val="24"/>
              </w:rPr>
            </w:pPr>
            <w:r>
              <w:rPr>
                <w:sz w:val="24"/>
              </w:rPr>
              <w:t>对运营期噪声采用点源模式进行预测，点源衰减模式为：</w:t>
            </w:r>
          </w:p>
          <w:p>
            <w:pPr>
              <w:ind w:firstLine="480"/>
              <w:jc w:val="center"/>
            </w:pPr>
            <w:r>
              <w:t>Lp（r）=Lp（r0）-20lg（r/r0）-△L</w:t>
            </w:r>
          </w:p>
          <w:p>
            <w:pPr>
              <w:adjustRightInd w:val="0"/>
              <w:snapToGrid w:val="0"/>
              <w:spacing w:line="360" w:lineRule="auto"/>
              <w:ind w:firstLine="470" w:firstLineChars="196"/>
              <w:rPr>
                <w:sz w:val="24"/>
              </w:rPr>
            </w:pPr>
            <w:r>
              <w:rPr>
                <w:sz w:val="24"/>
              </w:rPr>
              <w:t>式中：</w:t>
            </w:r>
          </w:p>
          <w:p>
            <w:pPr>
              <w:adjustRightInd w:val="0"/>
              <w:snapToGrid w:val="0"/>
              <w:spacing w:line="360" w:lineRule="auto"/>
              <w:ind w:firstLine="470" w:firstLineChars="196"/>
              <w:rPr>
                <w:sz w:val="24"/>
              </w:rPr>
            </w:pPr>
            <w:r>
              <w:rPr>
                <w:sz w:val="24"/>
              </w:rPr>
              <w:t>Lp（r）—距离声源r处的倍频带声压级，dB；</w:t>
            </w:r>
          </w:p>
          <w:p>
            <w:pPr>
              <w:adjustRightInd w:val="0"/>
              <w:snapToGrid w:val="0"/>
              <w:spacing w:line="360" w:lineRule="auto"/>
              <w:ind w:firstLine="470" w:firstLineChars="196"/>
              <w:rPr>
                <w:sz w:val="24"/>
              </w:rPr>
            </w:pPr>
            <w:r>
              <w:rPr>
                <w:sz w:val="24"/>
              </w:rPr>
              <w:t>Lp（r0）—参考位置r0处的倍频带声压级，dB；</w:t>
            </w:r>
          </w:p>
          <w:p>
            <w:pPr>
              <w:adjustRightInd w:val="0"/>
              <w:snapToGrid w:val="0"/>
              <w:spacing w:line="360" w:lineRule="auto"/>
              <w:ind w:firstLine="470" w:firstLineChars="196"/>
              <w:rPr>
                <w:sz w:val="24"/>
              </w:rPr>
            </w:pPr>
            <w:r>
              <w:rPr>
                <w:sz w:val="24"/>
              </w:rPr>
              <w:t>r0—参考位置距离声源的距离，m；</w:t>
            </w:r>
          </w:p>
          <w:p>
            <w:pPr>
              <w:adjustRightInd w:val="0"/>
              <w:snapToGrid w:val="0"/>
              <w:spacing w:line="360" w:lineRule="auto"/>
              <w:ind w:firstLine="470" w:firstLineChars="196"/>
              <w:rPr>
                <w:sz w:val="24"/>
              </w:rPr>
            </w:pPr>
            <w:r>
              <w:rPr>
                <w:sz w:val="24"/>
              </w:rPr>
              <w:t>r—预测点距离声源的距离，m。</w:t>
            </w:r>
          </w:p>
          <w:p>
            <w:pPr>
              <w:adjustRightInd w:val="0"/>
              <w:snapToGrid w:val="0"/>
              <w:spacing w:line="360" w:lineRule="auto"/>
              <w:ind w:firstLine="470" w:firstLineChars="196"/>
              <w:rPr>
                <w:sz w:val="24"/>
              </w:rPr>
            </w:pPr>
            <w:r>
              <w:rPr>
                <w:sz w:val="24"/>
              </w:rPr>
              <w:t>△L—各种因素引起的衰减量（包括声屏障屏蔽、遮挡物、空气吸收、地面效应等引起的衰减量），本评价计算过程△L取2</w:t>
            </w:r>
            <w:r>
              <w:rPr>
                <w:rFonts w:hint="eastAsia"/>
                <w:sz w:val="24"/>
              </w:rPr>
              <w:t>5</w:t>
            </w:r>
            <w:r>
              <w:rPr>
                <w:sz w:val="24"/>
              </w:rPr>
              <w:t>dB（A）。得出结果见</w:t>
            </w:r>
            <w:r>
              <w:rPr>
                <w:rFonts w:hint="eastAsia"/>
                <w:sz w:val="24"/>
              </w:rPr>
              <w:t>下</w:t>
            </w:r>
            <w:r>
              <w:rPr>
                <w:sz w:val="24"/>
              </w:rPr>
              <w:t>表。</w:t>
            </w:r>
          </w:p>
          <w:p>
            <w:pPr>
              <w:adjustRightInd w:val="0"/>
              <w:snapToGrid w:val="0"/>
              <w:jc w:val="center"/>
              <w:rPr>
                <w:b/>
                <w:szCs w:val="21"/>
              </w:rPr>
            </w:pPr>
            <w:r>
              <w:rPr>
                <w:rFonts w:hint="eastAsia"/>
                <w:b/>
                <w:szCs w:val="21"/>
              </w:rPr>
              <w:t>表4-9项目厂界噪声预测结果单位：dB（A）</w:t>
            </w:r>
          </w:p>
          <w:tbl>
            <w:tblPr>
              <w:tblStyle w:val="27"/>
              <w:tblW w:w="79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5"/>
              <w:gridCol w:w="546"/>
              <w:gridCol w:w="645"/>
              <w:gridCol w:w="9"/>
              <w:gridCol w:w="674"/>
              <w:gridCol w:w="1082"/>
              <w:gridCol w:w="683"/>
              <w:gridCol w:w="659"/>
              <w:gridCol w:w="615"/>
              <w:gridCol w:w="676"/>
              <w:gridCol w:w="618"/>
              <w:gridCol w:w="576"/>
              <w:gridCol w:w="5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362" w:type="pct"/>
                  <w:tcBorders>
                    <w:top w:val="single" w:color="auto" w:sz="12" w:space="0"/>
                    <w:left w:val="single" w:color="auto" w:sz="12" w:space="0"/>
                    <w:bottom w:val="single" w:color="auto" w:sz="6" w:space="0"/>
                    <w:right w:val="single" w:color="auto" w:sz="6" w:space="0"/>
                  </w:tcBorders>
                  <w:vAlign w:val="center"/>
                </w:tcPr>
                <w:p>
                  <w:pPr>
                    <w:pStyle w:val="36"/>
                    <w:rPr>
                      <w:sz w:val="18"/>
                      <w:szCs w:val="21"/>
                    </w:rPr>
                  </w:pPr>
                  <w:r>
                    <w:rPr>
                      <w:sz w:val="18"/>
                      <w:szCs w:val="21"/>
                    </w:rPr>
                    <w:t>噪声源</w:t>
                  </w:r>
                </w:p>
              </w:tc>
              <w:tc>
                <w:tcPr>
                  <w:tcW w:w="344" w:type="pct"/>
                  <w:tcBorders>
                    <w:top w:val="single" w:color="auto" w:sz="12" w:space="0"/>
                    <w:left w:val="single" w:color="auto" w:sz="6" w:space="0"/>
                    <w:bottom w:val="single" w:color="auto" w:sz="6" w:space="0"/>
                    <w:right w:val="single" w:color="auto" w:sz="6" w:space="0"/>
                  </w:tcBorders>
                  <w:vAlign w:val="center"/>
                </w:tcPr>
                <w:p>
                  <w:pPr>
                    <w:pStyle w:val="36"/>
                    <w:rPr>
                      <w:sz w:val="18"/>
                      <w:szCs w:val="21"/>
                    </w:rPr>
                  </w:pPr>
                  <w:r>
                    <w:rPr>
                      <w:sz w:val="18"/>
                      <w:szCs w:val="21"/>
                    </w:rPr>
                    <w:t>综合</w:t>
                  </w:r>
                </w:p>
                <w:p>
                  <w:pPr>
                    <w:pStyle w:val="36"/>
                    <w:rPr>
                      <w:sz w:val="18"/>
                      <w:szCs w:val="21"/>
                    </w:rPr>
                  </w:pPr>
                  <w:r>
                    <w:rPr>
                      <w:sz w:val="18"/>
                      <w:szCs w:val="21"/>
                    </w:rPr>
                    <w:t>源强</w:t>
                  </w:r>
                </w:p>
              </w:tc>
              <w:tc>
                <w:tcPr>
                  <w:tcW w:w="412" w:type="pct"/>
                  <w:gridSpan w:val="2"/>
                  <w:tcBorders>
                    <w:top w:val="single" w:color="auto" w:sz="12" w:space="0"/>
                    <w:left w:val="single" w:color="auto" w:sz="6" w:space="0"/>
                    <w:bottom w:val="single" w:color="auto" w:sz="6" w:space="0"/>
                    <w:right w:val="single" w:color="auto" w:sz="6" w:space="0"/>
                  </w:tcBorders>
                  <w:vAlign w:val="center"/>
                </w:tcPr>
                <w:p>
                  <w:pPr>
                    <w:pStyle w:val="36"/>
                    <w:rPr>
                      <w:sz w:val="18"/>
                      <w:szCs w:val="21"/>
                    </w:rPr>
                  </w:pPr>
                  <w:r>
                    <w:rPr>
                      <w:sz w:val="18"/>
                      <w:szCs w:val="21"/>
                    </w:rPr>
                    <w:t>隔声</w:t>
                  </w:r>
                </w:p>
                <w:p>
                  <w:pPr>
                    <w:pStyle w:val="36"/>
                    <w:rPr>
                      <w:sz w:val="18"/>
                      <w:szCs w:val="21"/>
                    </w:rPr>
                  </w:pPr>
                  <w:r>
                    <w:rPr>
                      <w:sz w:val="18"/>
                      <w:szCs w:val="21"/>
                    </w:rPr>
                    <w:t>吸声</w:t>
                  </w:r>
                </w:p>
              </w:tc>
              <w:tc>
                <w:tcPr>
                  <w:tcW w:w="424" w:type="pct"/>
                  <w:tcBorders>
                    <w:top w:val="single" w:color="auto" w:sz="12" w:space="0"/>
                    <w:left w:val="single" w:color="auto" w:sz="6" w:space="0"/>
                    <w:bottom w:val="single" w:color="auto" w:sz="6" w:space="0"/>
                    <w:right w:val="single" w:color="auto" w:sz="6" w:space="0"/>
                  </w:tcBorders>
                  <w:vAlign w:val="center"/>
                </w:tcPr>
                <w:p>
                  <w:pPr>
                    <w:pStyle w:val="36"/>
                    <w:rPr>
                      <w:sz w:val="18"/>
                      <w:szCs w:val="21"/>
                    </w:rPr>
                  </w:pPr>
                  <w:r>
                    <w:rPr>
                      <w:sz w:val="18"/>
                      <w:szCs w:val="21"/>
                    </w:rPr>
                    <w:t>预测</w:t>
                  </w:r>
                </w:p>
                <w:p>
                  <w:pPr>
                    <w:pStyle w:val="36"/>
                    <w:rPr>
                      <w:sz w:val="18"/>
                      <w:szCs w:val="21"/>
                    </w:rPr>
                  </w:pPr>
                  <w:r>
                    <w:rPr>
                      <w:sz w:val="18"/>
                      <w:szCs w:val="21"/>
                    </w:rPr>
                    <w:t>源强</w:t>
                  </w:r>
                </w:p>
              </w:tc>
              <w:tc>
                <w:tcPr>
                  <w:tcW w:w="681" w:type="pct"/>
                  <w:tcBorders>
                    <w:top w:val="single" w:color="auto" w:sz="12" w:space="0"/>
                    <w:left w:val="single" w:color="auto" w:sz="6" w:space="0"/>
                    <w:bottom w:val="single" w:color="auto" w:sz="6" w:space="0"/>
                    <w:right w:val="single" w:color="auto" w:sz="6" w:space="0"/>
                  </w:tcBorders>
                  <w:vAlign w:val="center"/>
                </w:tcPr>
                <w:p>
                  <w:pPr>
                    <w:pStyle w:val="36"/>
                    <w:rPr>
                      <w:sz w:val="18"/>
                      <w:szCs w:val="21"/>
                    </w:rPr>
                  </w:pPr>
                  <w:r>
                    <w:rPr>
                      <w:sz w:val="18"/>
                      <w:szCs w:val="21"/>
                    </w:rPr>
                    <w:t>预测参数</w:t>
                  </w:r>
                </w:p>
              </w:tc>
              <w:tc>
                <w:tcPr>
                  <w:tcW w:w="430" w:type="pct"/>
                  <w:tcBorders>
                    <w:top w:val="single" w:color="auto" w:sz="12" w:space="0"/>
                    <w:left w:val="single" w:color="auto" w:sz="6" w:space="0"/>
                    <w:bottom w:val="single" w:color="auto" w:sz="6" w:space="0"/>
                    <w:right w:val="single" w:color="auto" w:sz="6" w:space="0"/>
                  </w:tcBorders>
                  <w:vAlign w:val="center"/>
                </w:tcPr>
                <w:p>
                  <w:pPr>
                    <w:pStyle w:val="36"/>
                    <w:rPr>
                      <w:sz w:val="18"/>
                      <w:szCs w:val="21"/>
                    </w:rPr>
                  </w:pPr>
                  <w:r>
                    <w:rPr>
                      <w:sz w:val="18"/>
                      <w:szCs w:val="21"/>
                    </w:rPr>
                    <w:t>东侧</w:t>
                  </w:r>
                </w:p>
              </w:tc>
              <w:tc>
                <w:tcPr>
                  <w:tcW w:w="415" w:type="pct"/>
                  <w:tcBorders>
                    <w:top w:val="single" w:color="auto" w:sz="12" w:space="0"/>
                    <w:left w:val="single" w:color="auto" w:sz="6" w:space="0"/>
                    <w:bottom w:val="single" w:color="auto" w:sz="6" w:space="0"/>
                    <w:right w:val="single" w:color="auto" w:sz="6" w:space="0"/>
                  </w:tcBorders>
                  <w:vAlign w:val="center"/>
                </w:tcPr>
                <w:p>
                  <w:pPr>
                    <w:pStyle w:val="36"/>
                    <w:rPr>
                      <w:sz w:val="18"/>
                      <w:szCs w:val="21"/>
                    </w:rPr>
                  </w:pPr>
                  <w:r>
                    <w:rPr>
                      <w:sz w:val="18"/>
                      <w:szCs w:val="21"/>
                    </w:rPr>
                    <w:t>南侧</w:t>
                  </w:r>
                </w:p>
              </w:tc>
              <w:tc>
                <w:tcPr>
                  <w:tcW w:w="387" w:type="pct"/>
                  <w:tcBorders>
                    <w:top w:val="single" w:color="auto" w:sz="12" w:space="0"/>
                    <w:left w:val="single" w:color="auto" w:sz="6" w:space="0"/>
                    <w:bottom w:val="single" w:color="auto" w:sz="6" w:space="0"/>
                    <w:right w:val="single" w:color="auto" w:sz="6" w:space="0"/>
                  </w:tcBorders>
                  <w:vAlign w:val="center"/>
                </w:tcPr>
                <w:p>
                  <w:pPr>
                    <w:pStyle w:val="36"/>
                    <w:rPr>
                      <w:sz w:val="18"/>
                      <w:szCs w:val="21"/>
                    </w:rPr>
                  </w:pPr>
                  <w:r>
                    <w:rPr>
                      <w:sz w:val="18"/>
                      <w:szCs w:val="21"/>
                    </w:rPr>
                    <w:t>西侧</w:t>
                  </w:r>
                </w:p>
              </w:tc>
              <w:tc>
                <w:tcPr>
                  <w:tcW w:w="426" w:type="pct"/>
                  <w:tcBorders>
                    <w:top w:val="single" w:color="auto" w:sz="12" w:space="0"/>
                    <w:left w:val="single" w:color="auto" w:sz="6" w:space="0"/>
                    <w:bottom w:val="single" w:color="auto" w:sz="6" w:space="0"/>
                    <w:right w:val="single" w:color="auto" w:sz="12" w:space="0"/>
                  </w:tcBorders>
                  <w:vAlign w:val="center"/>
                </w:tcPr>
                <w:p>
                  <w:pPr>
                    <w:pStyle w:val="36"/>
                    <w:rPr>
                      <w:sz w:val="18"/>
                      <w:szCs w:val="21"/>
                    </w:rPr>
                  </w:pPr>
                  <w:r>
                    <w:rPr>
                      <w:sz w:val="18"/>
                      <w:szCs w:val="21"/>
                    </w:rPr>
                    <w:t>北侧</w:t>
                  </w:r>
                </w:p>
              </w:tc>
              <w:tc>
                <w:tcPr>
                  <w:tcW w:w="389" w:type="pct"/>
                  <w:tcBorders>
                    <w:top w:val="single" w:color="auto" w:sz="12"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lang w:eastAsia="zh-CN"/>
                    </w:rPr>
                    <w:t>北</w:t>
                  </w:r>
                  <w:r>
                    <w:rPr>
                      <w:rFonts w:hint="eastAsia"/>
                      <w:sz w:val="18"/>
                      <w:szCs w:val="21"/>
                    </w:rPr>
                    <w:t>居民</w:t>
                  </w:r>
                </w:p>
              </w:tc>
              <w:tc>
                <w:tcPr>
                  <w:tcW w:w="362" w:type="pct"/>
                  <w:tcBorders>
                    <w:top w:val="single" w:color="auto" w:sz="12"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东南居民</w:t>
                  </w:r>
                </w:p>
              </w:tc>
              <w:tc>
                <w:tcPr>
                  <w:tcW w:w="362" w:type="pct"/>
                  <w:tcBorders>
                    <w:top w:val="single" w:color="auto" w:sz="12"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南居民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362" w:type="pct"/>
                  <w:vMerge w:val="restart"/>
                  <w:tcBorders>
                    <w:top w:val="single" w:color="auto" w:sz="6" w:space="0"/>
                    <w:left w:val="single" w:color="auto" w:sz="12" w:space="0"/>
                    <w:bottom w:val="single" w:color="auto" w:sz="6" w:space="0"/>
                    <w:right w:val="single" w:color="auto" w:sz="6" w:space="0"/>
                  </w:tcBorders>
                  <w:vAlign w:val="center"/>
                </w:tcPr>
                <w:p>
                  <w:pPr>
                    <w:pStyle w:val="36"/>
                    <w:rPr>
                      <w:sz w:val="18"/>
                      <w:szCs w:val="21"/>
                    </w:rPr>
                  </w:pPr>
                  <w:r>
                    <w:rPr>
                      <w:rFonts w:hint="eastAsia"/>
                      <w:sz w:val="18"/>
                      <w:szCs w:val="21"/>
                    </w:rPr>
                    <w:t>空调机</w:t>
                  </w:r>
                </w:p>
              </w:tc>
              <w:tc>
                <w:tcPr>
                  <w:tcW w:w="344" w:type="pct"/>
                  <w:vMerge w:val="restar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7</w:t>
                  </w:r>
                  <w:r>
                    <w:rPr>
                      <w:sz w:val="18"/>
                      <w:szCs w:val="21"/>
                    </w:rPr>
                    <w:t>0</w:t>
                  </w:r>
                </w:p>
              </w:tc>
              <w:tc>
                <w:tcPr>
                  <w:tcW w:w="412" w:type="pct"/>
                  <w:gridSpan w:val="2"/>
                  <w:vMerge w:val="restar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sz w:val="18"/>
                      <w:szCs w:val="21"/>
                    </w:rPr>
                    <w:t>15</w:t>
                  </w:r>
                </w:p>
              </w:tc>
              <w:tc>
                <w:tcPr>
                  <w:tcW w:w="424" w:type="pct"/>
                  <w:vMerge w:val="restar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5</w:t>
                  </w:r>
                  <w:r>
                    <w:rPr>
                      <w:sz w:val="18"/>
                      <w:szCs w:val="21"/>
                    </w:rPr>
                    <w:t>5</w:t>
                  </w:r>
                </w:p>
              </w:tc>
              <w:tc>
                <w:tcPr>
                  <w:tcW w:w="681"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sz w:val="18"/>
                      <w:szCs w:val="21"/>
                    </w:rPr>
                    <w:t>距离（m）</w:t>
                  </w:r>
                </w:p>
              </w:tc>
              <w:tc>
                <w:tcPr>
                  <w:tcW w:w="430"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8</w:t>
                  </w:r>
                </w:p>
              </w:tc>
              <w:tc>
                <w:tcPr>
                  <w:tcW w:w="415"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10</w:t>
                  </w:r>
                </w:p>
              </w:tc>
              <w:tc>
                <w:tcPr>
                  <w:tcW w:w="387"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15</w:t>
                  </w:r>
                </w:p>
              </w:tc>
              <w:tc>
                <w:tcPr>
                  <w:tcW w:w="426"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10</w:t>
                  </w:r>
                </w:p>
              </w:tc>
              <w:tc>
                <w:tcPr>
                  <w:tcW w:w="389"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20</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25</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362" w:type="pct"/>
                  <w:vMerge w:val="continue"/>
                  <w:tcBorders>
                    <w:top w:val="single" w:color="auto" w:sz="6" w:space="0"/>
                    <w:left w:val="single" w:color="auto" w:sz="12" w:space="0"/>
                    <w:bottom w:val="single" w:color="auto" w:sz="6" w:space="0"/>
                    <w:right w:val="single" w:color="auto" w:sz="6" w:space="0"/>
                  </w:tcBorders>
                  <w:vAlign w:val="center"/>
                </w:tcPr>
                <w:p>
                  <w:pPr>
                    <w:pStyle w:val="36"/>
                    <w:rPr>
                      <w:sz w:val="18"/>
                      <w:szCs w:val="21"/>
                    </w:rPr>
                  </w:pPr>
                </w:p>
              </w:tc>
              <w:tc>
                <w:tcPr>
                  <w:tcW w:w="344" w:type="pct"/>
                  <w:vMerge w:val="continue"/>
                  <w:tcBorders>
                    <w:top w:val="single" w:color="auto" w:sz="6" w:space="0"/>
                    <w:left w:val="single" w:color="auto" w:sz="6" w:space="0"/>
                    <w:bottom w:val="single" w:color="auto" w:sz="6" w:space="0"/>
                    <w:right w:val="single" w:color="auto" w:sz="6" w:space="0"/>
                  </w:tcBorders>
                  <w:vAlign w:val="center"/>
                </w:tcPr>
                <w:p>
                  <w:pPr>
                    <w:pStyle w:val="36"/>
                    <w:rPr>
                      <w:sz w:val="18"/>
                      <w:szCs w:val="21"/>
                    </w:rPr>
                  </w:pPr>
                </w:p>
              </w:tc>
              <w:tc>
                <w:tcPr>
                  <w:tcW w:w="412" w:type="pct"/>
                  <w:gridSpan w:val="2"/>
                  <w:vMerge w:val="continue"/>
                  <w:tcBorders>
                    <w:top w:val="single" w:color="auto" w:sz="6" w:space="0"/>
                    <w:left w:val="single" w:color="auto" w:sz="6" w:space="0"/>
                    <w:bottom w:val="single" w:color="auto" w:sz="6" w:space="0"/>
                    <w:right w:val="single" w:color="auto" w:sz="6" w:space="0"/>
                  </w:tcBorders>
                  <w:vAlign w:val="center"/>
                </w:tcPr>
                <w:p>
                  <w:pPr>
                    <w:pStyle w:val="36"/>
                    <w:rPr>
                      <w:sz w:val="18"/>
                      <w:szCs w:val="21"/>
                    </w:rPr>
                  </w:pPr>
                </w:p>
              </w:tc>
              <w:tc>
                <w:tcPr>
                  <w:tcW w:w="424" w:type="pct"/>
                  <w:vMerge w:val="continue"/>
                  <w:tcBorders>
                    <w:top w:val="single" w:color="auto" w:sz="6" w:space="0"/>
                    <w:left w:val="single" w:color="auto" w:sz="6" w:space="0"/>
                    <w:bottom w:val="single" w:color="auto" w:sz="6" w:space="0"/>
                    <w:right w:val="single" w:color="auto" w:sz="6" w:space="0"/>
                  </w:tcBorders>
                  <w:vAlign w:val="center"/>
                </w:tcPr>
                <w:p>
                  <w:pPr>
                    <w:pStyle w:val="36"/>
                    <w:rPr>
                      <w:sz w:val="18"/>
                      <w:szCs w:val="21"/>
                    </w:rPr>
                  </w:pPr>
                </w:p>
              </w:tc>
              <w:tc>
                <w:tcPr>
                  <w:tcW w:w="681"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sz w:val="18"/>
                      <w:szCs w:val="21"/>
                    </w:rPr>
                    <w:t>贡献值dB(A)</w:t>
                  </w:r>
                </w:p>
              </w:tc>
              <w:tc>
                <w:tcPr>
                  <w:tcW w:w="430"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36.9</w:t>
                  </w:r>
                </w:p>
              </w:tc>
              <w:tc>
                <w:tcPr>
                  <w:tcW w:w="415"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35</w:t>
                  </w:r>
                </w:p>
              </w:tc>
              <w:tc>
                <w:tcPr>
                  <w:tcW w:w="387"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31.5</w:t>
                  </w:r>
                </w:p>
              </w:tc>
              <w:tc>
                <w:tcPr>
                  <w:tcW w:w="426"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35</w:t>
                  </w:r>
                </w:p>
              </w:tc>
              <w:tc>
                <w:tcPr>
                  <w:tcW w:w="389"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29.0</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27.0</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31.5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362" w:type="pct"/>
                  <w:vMerge w:val="restart"/>
                  <w:tcBorders>
                    <w:top w:val="single" w:color="auto" w:sz="6" w:space="0"/>
                    <w:left w:val="single" w:color="auto" w:sz="12" w:space="0"/>
                    <w:bottom w:val="single" w:color="auto" w:sz="6" w:space="0"/>
                    <w:right w:val="single" w:color="auto" w:sz="6" w:space="0"/>
                  </w:tcBorders>
                  <w:vAlign w:val="center"/>
                </w:tcPr>
                <w:p>
                  <w:pPr>
                    <w:pStyle w:val="36"/>
                    <w:rPr>
                      <w:sz w:val="18"/>
                      <w:szCs w:val="21"/>
                    </w:rPr>
                  </w:pPr>
                  <w:r>
                    <w:rPr>
                      <w:sz w:val="18"/>
                      <w:szCs w:val="21"/>
                    </w:rPr>
                    <w:t>水泵</w:t>
                  </w:r>
                </w:p>
              </w:tc>
              <w:tc>
                <w:tcPr>
                  <w:tcW w:w="344" w:type="pct"/>
                  <w:vMerge w:val="restar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sz w:val="18"/>
                      <w:szCs w:val="21"/>
                    </w:rPr>
                    <w:t>80</w:t>
                  </w:r>
                </w:p>
              </w:tc>
              <w:tc>
                <w:tcPr>
                  <w:tcW w:w="412" w:type="pct"/>
                  <w:gridSpan w:val="2"/>
                  <w:vMerge w:val="continue"/>
                  <w:tcBorders>
                    <w:top w:val="single" w:color="auto" w:sz="6" w:space="0"/>
                    <w:left w:val="single" w:color="auto" w:sz="6" w:space="0"/>
                    <w:bottom w:val="single" w:color="auto" w:sz="6" w:space="0"/>
                    <w:right w:val="single" w:color="auto" w:sz="6" w:space="0"/>
                  </w:tcBorders>
                  <w:vAlign w:val="center"/>
                </w:tcPr>
                <w:p>
                  <w:pPr>
                    <w:pStyle w:val="36"/>
                    <w:rPr>
                      <w:sz w:val="18"/>
                      <w:szCs w:val="21"/>
                    </w:rPr>
                  </w:pPr>
                </w:p>
              </w:tc>
              <w:tc>
                <w:tcPr>
                  <w:tcW w:w="424" w:type="pct"/>
                  <w:vMerge w:val="restar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sz w:val="18"/>
                      <w:szCs w:val="21"/>
                    </w:rPr>
                    <w:t>65</w:t>
                  </w:r>
                </w:p>
              </w:tc>
              <w:tc>
                <w:tcPr>
                  <w:tcW w:w="681"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sz w:val="18"/>
                      <w:szCs w:val="21"/>
                    </w:rPr>
                    <w:t>距离（m）</w:t>
                  </w:r>
                </w:p>
              </w:tc>
              <w:tc>
                <w:tcPr>
                  <w:tcW w:w="430"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15</w:t>
                  </w:r>
                </w:p>
              </w:tc>
              <w:tc>
                <w:tcPr>
                  <w:tcW w:w="415"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110</w:t>
                  </w:r>
                </w:p>
              </w:tc>
              <w:tc>
                <w:tcPr>
                  <w:tcW w:w="387"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25</w:t>
                  </w:r>
                </w:p>
              </w:tc>
              <w:tc>
                <w:tcPr>
                  <w:tcW w:w="426"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25</w:t>
                  </w:r>
                </w:p>
              </w:tc>
              <w:tc>
                <w:tcPr>
                  <w:tcW w:w="389"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30</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125</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115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362" w:type="pct"/>
                  <w:vMerge w:val="continue"/>
                  <w:tcBorders>
                    <w:top w:val="single" w:color="auto" w:sz="6" w:space="0"/>
                    <w:left w:val="single" w:color="auto" w:sz="12" w:space="0"/>
                    <w:bottom w:val="single" w:color="auto" w:sz="6" w:space="0"/>
                    <w:right w:val="single" w:color="auto" w:sz="6" w:space="0"/>
                  </w:tcBorders>
                  <w:vAlign w:val="center"/>
                </w:tcPr>
                <w:p>
                  <w:pPr>
                    <w:pStyle w:val="36"/>
                    <w:rPr>
                      <w:sz w:val="18"/>
                      <w:szCs w:val="21"/>
                    </w:rPr>
                  </w:pPr>
                </w:p>
              </w:tc>
              <w:tc>
                <w:tcPr>
                  <w:tcW w:w="344" w:type="pct"/>
                  <w:vMerge w:val="continue"/>
                  <w:tcBorders>
                    <w:top w:val="single" w:color="auto" w:sz="6" w:space="0"/>
                    <w:left w:val="single" w:color="auto" w:sz="6" w:space="0"/>
                    <w:bottom w:val="single" w:color="auto" w:sz="6" w:space="0"/>
                    <w:right w:val="single" w:color="auto" w:sz="6" w:space="0"/>
                  </w:tcBorders>
                  <w:vAlign w:val="center"/>
                </w:tcPr>
                <w:p>
                  <w:pPr>
                    <w:pStyle w:val="36"/>
                    <w:rPr>
                      <w:sz w:val="18"/>
                      <w:szCs w:val="21"/>
                    </w:rPr>
                  </w:pPr>
                </w:p>
              </w:tc>
              <w:tc>
                <w:tcPr>
                  <w:tcW w:w="412" w:type="pct"/>
                  <w:gridSpan w:val="2"/>
                  <w:vMerge w:val="continue"/>
                  <w:tcBorders>
                    <w:top w:val="single" w:color="auto" w:sz="6" w:space="0"/>
                    <w:left w:val="single" w:color="auto" w:sz="6" w:space="0"/>
                    <w:bottom w:val="single" w:color="auto" w:sz="6" w:space="0"/>
                    <w:right w:val="single" w:color="auto" w:sz="6" w:space="0"/>
                  </w:tcBorders>
                  <w:vAlign w:val="center"/>
                </w:tcPr>
                <w:p>
                  <w:pPr>
                    <w:pStyle w:val="36"/>
                    <w:rPr>
                      <w:sz w:val="18"/>
                      <w:szCs w:val="21"/>
                    </w:rPr>
                  </w:pPr>
                </w:p>
              </w:tc>
              <w:tc>
                <w:tcPr>
                  <w:tcW w:w="424" w:type="pct"/>
                  <w:vMerge w:val="continue"/>
                  <w:tcBorders>
                    <w:top w:val="single" w:color="auto" w:sz="6" w:space="0"/>
                    <w:left w:val="single" w:color="auto" w:sz="6" w:space="0"/>
                    <w:bottom w:val="single" w:color="auto" w:sz="6" w:space="0"/>
                    <w:right w:val="single" w:color="auto" w:sz="6" w:space="0"/>
                  </w:tcBorders>
                  <w:vAlign w:val="center"/>
                </w:tcPr>
                <w:p>
                  <w:pPr>
                    <w:pStyle w:val="36"/>
                    <w:rPr>
                      <w:sz w:val="18"/>
                      <w:szCs w:val="21"/>
                    </w:rPr>
                  </w:pPr>
                </w:p>
              </w:tc>
              <w:tc>
                <w:tcPr>
                  <w:tcW w:w="681"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sz w:val="18"/>
                      <w:szCs w:val="21"/>
                    </w:rPr>
                    <w:t>贡献值dB(A)</w:t>
                  </w:r>
                </w:p>
              </w:tc>
              <w:tc>
                <w:tcPr>
                  <w:tcW w:w="430"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41.5</w:t>
                  </w:r>
                </w:p>
              </w:tc>
              <w:tc>
                <w:tcPr>
                  <w:tcW w:w="415"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24.2</w:t>
                  </w:r>
                </w:p>
              </w:tc>
              <w:tc>
                <w:tcPr>
                  <w:tcW w:w="387"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37.0</w:t>
                  </w:r>
                </w:p>
              </w:tc>
              <w:tc>
                <w:tcPr>
                  <w:tcW w:w="426"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37.0</w:t>
                  </w:r>
                </w:p>
              </w:tc>
              <w:tc>
                <w:tcPr>
                  <w:tcW w:w="389"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35.5</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23.1</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23.8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362" w:type="pct"/>
                  <w:vMerge w:val="restart"/>
                  <w:tcBorders>
                    <w:top w:val="single" w:color="auto" w:sz="6" w:space="0"/>
                    <w:left w:val="single" w:color="auto" w:sz="12" w:space="0"/>
                    <w:bottom w:val="single" w:color="auto" w:sz="6" w:space="0"/>
                    <w:right w:val="single" w:color="auto" w:sz="6" w:space="0"/>
                  </w:tcBorders>
                  <w:vAlign w:val="center"/>
                </w:tcPr>
                <w:p>
                  <w:pPr>
                    <w:pStyle w:val="36"/>
                    <w:rPr>
                      <w:sz w:val="18"/>
                      <w:szCs w:val="21"/>
                    </w:rPr>
                  </w:pPr>
                  <w:r>
                    <w:rPr>
                      <w:rFonts w:hint="eastAsia"/>
                      <w:sz w:val="18"/>
                      <w:szCs w:val="21"/>
                    </w:rPr>
                    <w:t>发电机</w:t>
                  </w:r>
                </w:p>
              </w:tc>
              <w:tc>
                <w:tcPr>
                  <w:tcW w:w="344" w:type="pct"/>
                  <w:vMerge w:val="restar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sz w:val="18"/>
                      <w:szCs w:val="21"/>
                    </w:rPr>
                    <w:t>90</w:t>
                  </w:r>
                </w:p>
              </w:tc>
              <w:tc>
                <w:tcPr>
                  <w:tcW w:w="412" w:type="pct"/>
                  <w:gridSpan w:val="2"/>
                  <w:vMerge w:val="continue"/>
                  <w:tcBorders>
                    <w:top w:val="single" w:color="auto" w:sz="6" w:space="0"/>
                    <w:left w:val="single" w:color="auto" w:sz="6" w:space="0"/>
                    <w:bottom w:val="single" w:color="auto" w:sz="6" w:space="0"/>
                    <w:right w:val="single" w:color="auto" w:sz="6" w:space="0"/>
                  </w:tcBorders>
                  <w:vAlign w:val="center"/>
                </w:tcPr>
                <w:p>
                  <w:pPr>
                    <w:pStyle w:val="36"/>
                    <w:rPr>
                      <w:sz w:val="18"/>
                      <w:szCs w:val="21"/>
                    </w:rPr>
                  </w:pPr>
                </w:p>
              </w:tc>
              <w:tc>
                <w:tcPr>
                  <w:tcW w:w="424" w:type="pct"/>
                  <w:vMerge w:val="restar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sz w:val="18"/>
                      <w:szCs w:val="21"/>
                    </w:rPr>
                    <w:t>75</w:t>
                  </w:r>
                </w:p>
              </w:tc>
              <w:tc>
                <w:tcPr>
                  <w:tcW w:w="681"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sz w:val="18"/>
                      <w:szCs w:val="21"/>
                    </w:rPr>
                    <w:t>距离（m）</w:t>
                  </w:r>
                </w:p>
              </w:tc>
              <w:tc>
                <w:tcPr>
                  <w:tcW w:w="430"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33</w:t>
                  </w:r>
                </w:p>
              </w:tc>
              <w:tc>
                <w:tcPr>
                  <w:tcW w:w="415"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93</w:t>
                  </w:r>
                </w:p>
              </w:tc>
              <w:tc>
                <w:tcPr>
                  <w:tcW w:w="387"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25</w:t>
                  </w:r>
                </w:p>
              </w:tc>
              <w:tc>
                <w:tcPr>
                  <w:tcW w:w="426"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35</w:t>
                  </w:r>
                </w:p>
              </w:tc>
              <w:tc>
                <w:tcPr>
                  <w:tcW w:w="389"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25</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115</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362" w:type="pct"/>
                  <w:vMerge w:val="continue"/>
                  <w:tcBorders>
                    <w:top w:val="single" w:color="auto" w:sz="6" w:space="0"/>
                    <w:left w:val="single" w:color="auto" w:sz="12" w:space="0"/>
                    <w:bottom w:val="single" w:color="auto" w:sz="6" w:space="0"/>
                    <w:right w:val="single" w:color="auto" w:sz="6" w:space="0"/>
                  </w:tcBorders>
                  <w:vAlign w:val="center"/>
                </w:tcPr>
                <w:p>
                  <w:pPr>
                    <w:pStyle w:val="36"/>
                    <w:rPr>
                      <w:sz w:val="18"/>
                      <w:szCs w:val="21"/>
                    </w:rPr>
                  </w:pPr>
                </w:p>
              </w:tc>
              <w:tc>
                <w:tcPr>
                  <w:tcW w:w="344" w:type="pct"/>
                  <w:vMerge w:val="continue"/>
                  <w:tcBorders>
                    <w:top w:val="single" w:color="auto" w:sz="6" w:space="0"/>
                    <w:left w:val="single" w:color="auto" w:sz="6" w:space="0"/>
                    <w:bottom w:val="single" w:color="auto" w:sz="6" w:space="0"/>
                    <w:right w:val="single" w:color="auto" w:sz="6" w:space="0"/>
                  </w:tcBorders>
                  <w:vAlign w:val="center"/>
                </w:tcPr>
                <w:p>
                  <w:pPr>
                    <w:pStyle w:val="36"/>
                    <w:rPr>
                      <w:sz w:val="18"/>
                      <w:szCs w:val="21"/>
                    </w:rPr>
                  </w:pPr>
                </w:p>
              </w:tc>
              <w:tc>
                <w:tcPr>
                  <w:tcW w:w="412" w:type="pct"/>
                  <w:gridSpan w:val="2"/>
                  <w:vMerge w:val="continue"/>
                  <w:tcBorders>
                    <w:top w:val="single" w:color="auto" w:sz="6" w:space="0"/>
                    <w:left w:val="single" w:color="auto" w:sz="6" w:space="0"/>
                    <w:bottom w:val="single" w:color="auto" w:sz="6" w:space="0"/>
                    <w:right w:val="single" w:color="auto" w:sz="6" w:space="0"/>
                  </w:tcBorders>
                  <w:vAlign w:val="center"/>
                </w:tcPr>
                <w:p>
                  <w:pPr>
                    <w:pStyle w:val="36"/>
                    <w:rPr>
                      <w:sz w:val="18"/>
                      <w:szCs w:val="21"/>
                    </w:rPr>
                  </w:pPr>
                </w:p>
              </w:tc>
              <w:tc>
                <w:tcPr>
                  <w:tcW w:w="424" w:type="pct"/>
                  <w:vMerge w:val="continue"/>
                  <w:tcBorders>
                    <w:top w:val="single" w:color="auto" w:sz="6" w:space="0"/>
                    <w:left w:val="single" w:color="auto" w:sz="6" w:space="0"/>
                    <w:bottom w:val="single" w:color="auto" w:sz="6" w:space="0"/>
                    <w:right w:val="single" w:color="auto" w:sz="6" w:space="0"/>
                  </w:tcBorders>
                  <w:vAlign w:val="center"/>
                </w:tcPr>
                <w:p>
                  <w:pPr>
                    <w:pStyle w:val="36"/>
                    <w:rPr>
                      <w:sz w:val="18"/>
                      <w:szCs w:val="21"/>
                    </w:rPr>
                  </w:pPr>
                </w:p>
              </w:tc>
              <w:tc>
                <w:tcPr>
                  <w:tcW w:w="681"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sz w:val="18"/>
                      <w:szCs w:val="21"/>
                    </w:rPr>
                    <w:t>贡献值dB(A)</w:t>
                  </w:r>
                </w:p>
              </w:tc>
              <w:tc>
                <w:tcPr>
                  <w:tcW w:w="430"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44.6</w:t>
                  </w:r>
                </w:p>
              </w:tc>
              <w:tc>
                <w:tcPr>
                  <w:tcW w:w="415"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35.6</w:t>
                  </w:r>
                </w:p>
              </w:tc>
              <w:tc>
                <w:tcPr>
                  <w:tcW w:w="387"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47.0</w:t>
                  </w:r>
                </w:p>
              </w:tc>
              <w:tc>
                <w:tcPr>
                  <w:tcW w:w="426"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44.1</w:t>
                  </w:r>
                </w:p>
              </w:tc>
              <w:tc>
                <w:tcPr>
                  <w:tcW w:w="389"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47</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33.8</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35.6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2225" w:type="pct"/>
                  <w:gridSpan w:val="6"/>
                  <w:tcBorders>
                    <w:top w:val="single" w:color="auto" w:sz="6" w:space="0"/>
                    <w:left w:val="single" w:color="auto" w:sz="12" w:space="0"/>
                    <w:bottom w:val="single" w:color="auto" w:sz="6" w:space="0"/>
                    <w:right w:val="single" w:color="auto" w:sz="6" w:space="0"/>
                  </w:tcBorders>
                  <w:vAlign w:val="center"/>
                </w:tcPr>
                <w:p>
                  <w:pPr>
                    <w:pStyle w:val="36"/>
                    <w:rPr>
                      <w:sz w:val="18"/>
                      <w:szCs w:val="21"/>
                    </w:rPr>
                  </w:pPr>
                  <w:r>
                    <w:rPr>
                      <w:rFonts w:hint="eastAsia"/>
                      <w:sz w:val="18"/>
                      <w:szCs w:val="21"/>
                    </w:rPr>
                    <w:t>贡献值</w:t>
                  </w:r>
                  <w:r>
                    <w:rPr>
                      <w:sz w:val="18"/>
                      <w:szCs w:val="21"/>
                    </w:rPr>
                    <w:t>叠加dB(A)</w:t>
                  </w:r>
                </w:p>
              </w:tc>
              <w:tc>
                <w:tcPr>
                  <w:tcW w:w="430"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46.8</w:t>
                  </w:r>
                </w:p>
              </w:tc>
              <w:tc>
                <w:tcPr>
                  <w:tcW w:w="415"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38.5</w:t>
                  </w:r>
                </w:p>
              </w:tc>
              <w:tc>
                <w:tcPr>
                  <w:tcW w:w="387"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49.3</w:t>
                  </w:r>
                </w:p>
              </w:tc>
              <w:tc>
                <w:tcPr>
                  <w:tcW w:w="426"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45.3</w:t>
                  </w:r>
                </w:p>
              </w:tc>
              <w:tc>
                <w:tcPr>
                  <w:tcW w:w="389"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47.4</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34.9</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37.2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112" w:type="pct"/>
                  <w:gridSpan w:val="3"/>
                  <w:vMerge w:val="restart"/>
                  <w:tcBorders>
                    <w:top w:val="single" w:color="auto" w:sz="6" w:space="0"/>
                    <w:left w:val="single" w:color="auto" w:sz="12" w:space="0"/>
                    <w:right w:val="single" w:color="auto" w:sz="6" w:space="0"/>
                  </w:tcBorders>
                  <w:vAlign w:val="center"/>
                </w:tcPr>
                <w:p>
                  <w:pPr>
                    <w:pStyle w:val="36"/>
                    <w:rPr>
                      <w:sz w:val="18"/>
                      <w:szCs w:val="21"/>
                    </w:rPr>
                  </w:pPr>
                  <w:r>
                    <w:rPr>
                      <w:rFonts w:hint="eastAsia"/>
                      <w:sz w:val="18"/>
                      <w:szCs w:val="21"/>
                    </w:rPr>
                    <w:t>背景值</w:t>
                  </w:r>
                  <w:r>
                    <w:rPr>
                      <w:sz w:val="18"/>
                      <w:szCs w:val="21"/>
                    </w:rPr>
                    <w:t>dB(A)</w:t>
                  </w:r>
                </w:p>
              </w:tc>
              <w:tc>
                <w:tcPr>
                  <w:tcW w:w="1112" w:type="pct"/>
                  <w:gridSpan w:val="3"/>
                  <w:tcBorders>
                    <w:top w:val="single" w:color="auto" w:sz="6" w:space="0"/>
                    <w:left w:val="single" w:color="auto" w:sz="12" w:space="0"/>
                    <w:bottom w:val="single" w:color="auto" w:sz="6" w:space="0"/>
                    <w:right w:val="single" w:color="auto" w:sz="6" w:space="0"/>
                  </w:tcBorders>
                  <w:vAlign w:val="center"/>
                </w:tcPr>
                <w:p>
                  <w:pPr>
                    <w:pStyle w:val="36"/>
                    <w:rPr>
                      <w:sz w:val="18"/>
                      <w:szCs w:val="21"/>
                    </w:rPr>
                  </w:pPr>
                  <w:r>
                    <w:rPr>
                      <w:rFonts w:hint="eastAsia"/>
                      <w:sz w:val="18"/>
                      <w:szCs w:val="21"/>
                    </w:rPr>
                    <w:t>昼间</w:t>
                  </w:r>
                </w:p>
              </w:tc>
              <w:tc>
                <w:tcPr>
                  <w:tcW w:w="430" w:type="pct"/>
                  <w:tcBorders>
                    <w:top w:val="single" w:color="auto" w:sz="6" w:space="0"/>
                    <w:left w:val="single" w:color="auto" w:sz="6" w:space="0"/>
                    <w:bottom w:val="single" w:color="auto" w:sz="6" w:space="0"/>
                    <w:right w:val="single" w:color="auto" w:sz="6" w:space="0"/>
                  </w:tcBorders>
                  <w:vAlign w:val="center"/>
                </w:tcPr>
                <w:p>
                  <w:pPr>
                    <w:pStyle w:val="67"/>
                    <w:rPr>
                      <w:sz w:val="15"/>
                      <w:szCs w:val="18"/>
                    </w:rPr>
                  </w:pPr>
                  <w:r>
                    <w:rPr>
                      <w:rFonts w:hint="eastAsia"/>
                      <w:sz w:val="18"/>
                      <w:szCs w:val="21"/>
                      <w:lang w:val="en-US" w:eastAsia="zh-CN"/>
                    </w:rPr>
                    <w:t>55</w:t>
                  </w:r>
                  <w:r>
                    <w:rPr>
                      <w:rFonts w:hint="eastAsia"/>
                      <w:sz w:val="18"/>
                      <w:szCs w:val="21"/>
                    </w:rPr>
                    <w:t>.4</w:t>
                  </w:r>
                </w:p>
              </w:tc>
              <w:tc>
                <w:tcPr>
                  <w:tcW w:w="415" w:type="pct"/>
                  <w:tcBorders>
                    <w:top w:val="single" w:color="auto" w:sz="6" w:space="0"/>
                    <w:left w:val="single" w:color="auto" w:sz="6" w:space="0"/>
                    <w:bottom w:val="single" w:color="auto" w:sz="6" w:space="0"/>
                    <w:right w:val="single" w:color="auto" w:sz="6" w:space="0"/>
                  </w:tcBorders>
                  <w:vAlign w:val="center"/>
                </w:tcPr>
                <w:p>
                  <w:pPr>
                    <w:pStyle w:val="67"/>
                    <w:rPr>
                      <w:sz w:val="13"/>
                      <w:szCs w:val="16"/>
                    </w:rPr>
                  </w:pPr>
                  <w:r>
                    <w:rPr>
                      <w:sz w:val="16"/>
                      <w:szCs w:val="20"/>
                    </w:rPr>
                    <w:t>58.5</w:t>
                  </w:r>
                </w:p>
              </w:tc>
              <w:tc>
                <w:tcPr>
                  <w:tcW w:w="387" w:type="pct"/>
                  <w:tcBorders>
                    <w:top w:val="single" w:color="auto" w:sz="6" w:space="0"/>
                    <w:left w:val="single" w:color="auto" w:sz="6" w:space="0"/>
                    <w:bottom w:val="single" w:color="auto" w:sz="6" w:space="0"/>
                    <w:right w:val="single" w:color="auto" w:sz="6" w:space="0"/>
                  </w:tcBorders>
                  <w:vAlign w:val="center"/>
                </w:tcPr>
                <w:p>
                  <w:pPr>
                    <w:pStyle w:val="67"/>
                    <w:rPr>
                      <w:sz w:val="15"/>
                      <w:szCs w:val="18"/>
                    </w:rPr>
                  </w:pPr>
                  <w:r>
                    <w:rPr>
                      <w:sz w:val="18"/>
                      <w:szCs w:val="21"/>
                    </w:rPr>
                    <w:t>55.2</w:t>
                  </w:r>
                </w:p>
              </w:tc>
              <w:tc>
                <w:tcPr>
                  <w:tcW w:w="426" w:type="pct"/>
                  <w:tcBorders>
                    <w:top w:val="single" w:color="auto" w:sz="6" w:space="0"/>
                    <w:left w:val="single" w:color="auto" w:sz="6" w:space="0"/>
                    <w:bottom w:val="single" w:color="auto" w:sz="6" w:space="0"/>
                    <w:right w:val="single" w:color="auto" w:sz="12" w:space="0"/>
                  </w:tcBorders>
                  <w:vAlign w:val="center"/>
                </w:tcPr>
                <w:p>
                  <w:pPr>
                    <w:pStyle w:val="67"/>
                    <w:rPr>
                      <w:sz w:val="15"/>
                      <w:szCs w:val="18"/>
                    </w:rPr>
                  </w:pPr>
                  <w:r>
                    <w:rPr>
                      <w:sz w:val="18"/>
                      <w:szCs w:val="21"/>
                    </w:rPr>
                    <w:t>57.9</w:t>
                  </w:r>
                </w:p>
              </w:tc>
              <w:tc>
                <w:tcPr>
                  <w:tcW w:w="389" w:type="pct"/>
                  <w:tcBorders>
                    <w:top w:val="single" w:color="auto" w:sz="6" w:space="0"/>
                    <w:left w:val="single" w:color="auto" w:sz="6" w:space="0"/>
                    <w:bottom w:val="single" w:color="auto" w:sz="6" w:space="0"/>
                    <w:right w:val="single" w:color="auto" w:sz="12" w:space="0"/>
                  </w:tcBorders>
                  <w:vAlign w:val="center"/>
                </w:tcPr>
                <w:p>
                  <w:pPr>
                    <w:pStyle w:val="67"/>
                    <w:rPr>
                      <w:sz w:val="15"/>
                      <w:szCs w:val="18"/>
                    </w:rPr>
                  </w:pPr>
                  <w:r>
                    <w:rPr>
                      <w:rFonts w:hint="eastAsia"/>
                      <w:sz w:val="18"/>
                      <w:szCs w:val="21"/>
                    </w:rPr>
                    <w:t>52.3</w:t>
                  </w:r>
                </w:p>
              </w:tc>
              <w:tc>
                <w:tcPr>
                  <w:tcW w:w="362" w:type="pct"/>
                  <w:tcBorders>
                    <w:top w:val="single" w:color="auto" w:sz="6" w:space="0"/>
                    <w:left w:val="single" w:color="auto" w:sz="6" w:space="0"/>
                    <w:bottom w:val="single" w:color="auto" w:sz="6" w:space="0"/>
                    <w:right w:val="single" w:color="auto" w:sz="12" w:space="0"/>
                  </w:tcBorders>
                  <w:vAlign w:val="center"/>
                </w:tcPr>
                <w:p>
                  <w:pPr>
                    <w:pStyle w:val="67"/>
                    <w:rPr>
                      <w:sz w:val="15"/>
                      <w:szCs w:val="18"/>
                    </w:rPr>
                  </w:pPr>
                  <w:r>
                    <w:rPr>
                      <w:rFonts w:hint="eastAsia"/>
                      <w:sz w:val="18"/>
                      <w:szCs w:val="21"/>
                    </w:rPr>
                    <w:t>46.8</w:t>
                  </w:r>
                </w:p>
              </w:tc>
              <w:tc>
                <w:tcPr>
                  <w:tcW w:w="362" w:type="pct"/>
                  <w:tcBorders>
                    <w:top w:val="single" w:color="auto" w:sz="6" w:space="0"/>
                    <w:left w:val="single" w:color="auto" w:sz="6" w:space="0"/>
                    <w:bottom w:val="single" w:color="auto" w:sz="6" w:space="0"/>
                    <w:right w:val="single" w:color="auto" w:sz="12" w:space="0"/>
                  </w:tcBorders>
                  <w:vAlign w:val="center"/>
                </w:tcPr>
                <w:p>
                  <w:pPr>
                    <w:pStyle w:val="67"/>
                    <w:rPr>
                      <w:sz w:val="15"/>
                      <w:szCs w:val="18"/>
                    </w:rPr>
                  </w:pPr>
                  <w:r>
                    <w:rPr>
                      <w:rFonts w:hint="eastAsia"/>
                      <w:sz w:val="18"/>
                      <w:szCs w:val="21"/>
                    </w:rPr>
                    <w:t>58.1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112" w:type="pct"/>
                  <w:gridSpan w:val="3"/>
                  <w:vMerge w:val="continue"/>
                  <w:tcBorders>
                    <w:left w:val="single" w:color="auto" w:sz="12" w:space="0"/>
                    <w:bottom w:val="single" w:color="auto" w:sz="6" w:space="0"/>
                    <w:right w:val="single" w:color="auto" w:sz="6" w:space="0"/>
                  </w:tcBorders>
                  <w:vAlign w:val="center"/>
                </w:tcPr>
                <w:p>
                  <w:pPr>
                    <w:pStyle w:val="36"/>
                    <w:rPr>
                      <w:sz w:val="18"/>
                      <w:szCs w:val="21"/>
                    </w:rPr>
                  </w:pPr>
                </w:p>
              </w:tc>
              <w:tc>
                <w:tcPr>
                  <w:tcW w:w="1112" w:type="pct"/>
                  <w:gridSpan w:val="3"/>
                  <w:tcBorders>
                    <w:top w:val="single" w:color="auto" w:sz="6" w:space="0"/>
                    <w:left w:val="single" w:color="auto" w:sz="12" w:space="0"/>
                    <w:bottom w:val="single" w:color="auto" w:sz="6" w:space="0"/>
                    <w:right w:val="single" w:color="auto" w:sz="6" w:space="0"/>
                  </w:tcBorders>
                  <w:vAlign w:val="center"/>
                </w:tcPr>
                <w:p>
                  <w:pPr>
                    <w:pStyle w:val="36"/>
                    <w:rPr>
                      <w:sz w:val="18"/>
                      <w:szCs w:val="21"/>
                    </w:rPr>
                  </w:pPr>
                  <w:r>
                    <w:rPr>
                      <w:rFonts w:hint="eastAsia"/>
                      <w:sz w:val="18"/>
                      <w:szCs w:val="21"/>
                    </w:rPr>
                    <w:t>夜间</w:t>
                  </w:r>
                </w:p>
              </w:tc>
              <w:tc>
                <w:tcPr>
                  <w:tcW w:w="430" w:type="pct"/>
                  <w:tcBorders>
                    <w:top w:val="single" w:color="auto" w:sz="6" w:space="0"/>
                    <w:left w:val="single" w:color="auto" w:sz="6" w:space="0"/>
                    <w:bottom w:val="single" w:color="auto" w:sz="6" w:space="0"/>
                    <w:right w:val="single" w:color="auto" w:sz="6" w:space="0"/>
                  </w:tcBorders>
                  <w:vAlign w:val="center"/>
                </w:tcPr>
                <w:p>
                  <w:pPr>
                    <w:pStyle w:val="67"/>
                    <w:rPr>
                      <w:sz w:val="15"/>
                      <w:szCs w:val="18"/>
                    </w:rPr>
                  </w:pPr>
                  <w:r>
                    <w:rPr>
                      <w:sz w:val="18"/>
                      <w:szCs w:val="21"/>
                    </w:rPr>
                    <w:t>45.2</w:t>
                  </w:r>
                </w:p>
              </w:tc>
              <w:tc>
                <w:tcPr>
                  <w:tcW w:w="415" w:type="pct"/>
                  <w:tcBorders>
                    <w:top w:val="single" w:color="auto" w:sz="6" w:space="0"/>
                    <w:left w:val="single" w:color="auto" w:sz="6" w:space="0"/>
                    <w:bottom w:val="single" w:color="auto" w:sz="6" w:space="0"/>
                    <w:right w:val="single" w:color="auto" w:sz="6" w:space="0"/>
                  </w:tcBorders>
                  <w:vAlign w:val="center"/>
                </w:tcPr>
                <w:p>
                  <w:pPr>
                    <w:pStyle w:val="67"/>
                    <w:rPr>
                      <w:sz w:val="13"/>
                      <w:szCs w:val="16"/>
                    </w:rPr>
                  </w:pPr>
                  <w:r>
                    <w:rPr>
                      <w:sz w:val="16"/>
                      <w:szCs w:val="20"/>
                    </w:rPr>
                    <w:t>48.7</w:t>
                  </w:r>
                </w:p>
              </w:tc>
              <w:tc>
                <w:tcPr>
                  <w:tcW w:w="387" w:type="pct"/>
                  <w:tcBorders>
                    <w:top w:val="single" w:color="auto" w:sz="6" w:space="0"/>
                    <w:left w:val="single" w:color="auto" w:sz="6" w:space="0"/>
                    <w:bottom w:val="single" w:color="auto" w:sz="6" w:space="0"/>
                    <w:right w:val="single" w:color="auto" w:sz="6" w:space="0"/>
                  </w:tcBorders>
                  <w:vAlign w:val="center"/>
                </w:tcPr>
                <w:p>
                  <w:pPr>
                    <w:pStyle w:val="67"/>
                    <w:rPr>
                      <w:sz w:val="15"/>
                      <w:szCs w:val="18"/>
                    </w:rPr>
                  </w:pPr>
                  <w:r>
                    <w:rPr>
                      <w:sz w:val="18"/>
                      <w:szCs w:val="21"/>
                    </w:rPr>
                    <w:t>45.1</w:t>
                  </w:r>
                </w:p>
              </w:tc>
              <w:tc>
                <w:tcPr>
                  <w:tcW w:w="426" w:type="pct"/>
                  <w:tcBorders>
                    <w:top w:val="single" w:color="auto" w:sz="6" w:space="0"/>
                    <w:left w:val="single" w:color="auto" w:sz="6" w:space="0"/>
                    <w:bottom w:val="single" w:color="auto" w:sz="6" w:space="0"/>
                    <w:right w:val="single" w:color="auto" w:sz="12" w:space="0"/>
                  </w:tcBorders>
                  <w:vAlign w:val="center"/>
                </w:tcPr>
                <w:p>
                  <w:pPr>
                    <w:pStyle w:val="67"/>
                    <w:rPr>
                      <w:sz w:val="15"/>
                      <w:szCs w:val="18"/>
                    </w:rPr>
                  </w:pPr>
                  <w:r>
                    <w:rPr>
                      <w:sz w:val="18"/>
                      <w:szCs w:val="21"/>
                    </w:rPr>
                    <w:t>47.9</w:t>
                  </w:r>
                </w:p>
              </w:tc>
              <w:tc>
                <w:tcPr>
                  <w:tcW w:w="389" w:type="pct"/>
                  <w:tcBorders>
                    <w:top w:val="single" w:color="auto" w:sz="6" w:space="0"/>
                    <w:left w:val="single" w:color="auto" w:sz="6" w:space="0"/>
                    <w:bottom w:val="single" w:color="auto" w:sz="6" w:space="0"/>
                    <w:right w:val="single" w:color="auto" w:sz="12" w:space="0"/>
                  </w:tcBorders>
                  <w:vAlign w:val="center"/>
                </w:tcPr>
                <w:p>
                  <w:pPr>
                    <w:pStyle w:val="67"/>
                    <w:rPr>
                      <w:sz w:val="15"/>
                      <w:szCs w:val="18"/>
                    </w:rPr>
                  </w:pPr>
                  <w:r>
                    <w:rPr>
                      <w:rFonts w:hint="eastAsia"/>
                      <w:sz w:val="18"/>
                      <w:szCs w:val="21"/>
                    </w:rPr>
                    <w:t>44.8</w:t>
                  </w:r>
                </w:p>
              </w:tc>
              <w:tc>
                <w:tcPr>
                  <w:tcW w:w="362" w:type="pct"/>
                  <w:tcBorders>
                    <w:top w:val="single" w:color="auto" w:sz="6" w:space="0"/>
                    <w:left w:val="single" w:color="auto" w:sz="6" w:space="0"/>
                    <w:bottom w:val="single" w:color="auto" w:sz="6" w:space="0"/>
                    <w:right w:val="single" w:color="auto" w:sz="12" w:space="0"/>
                  </w:tcBorders>
                  <w:vAlign w:val="center"/>
                </w:tcPr>
                <w:p>
                  <w:pPr>
                    <w:pStyle w:val="67"/>
                    <w:rPr>
                      <w:sz w:val="15"/>
                      <w:szCs w:val="18"/>
                    </w:rPr>
                  </w:pPr>
                  <w:r>
                    <w:rPr>
                      <w:rFonts w:hint="eastAsia"/>
                      <w:sz w:val="18"/>
                      <w:szCs w:val="21"/>
                    </w:rPr>
                    <w:t>45.4</w:t>
                  </w:r>
                </w:p>
              </w:tc>
              <w:tc>
                <w:tcPr>
                  <w:tcW w:w="362" w:type="pct"/>
                  <w:tcBorders>
                    <w:top w:val="single" w:color="auto" w:sz="6" w:space="0"/>
                    <w:left w:val="single" w:color="auto" w:sz="6" w:space="0"/>
                    <w:bottom w:val="single" w:color="auto" w:sz="6" w:space="0"/>
                    <w:right w:val="single" w:color="auto" w:sz="12" w:space="0"/>
                  </w:tcBorders>
                  <w:vAlign w:val="center"/>
                </w:tcPr>
                <w:p>
                  <w:pPr>
                    <w:pStyle w:val="67"/>
                    <w:rPr>
                      <w:sz w:val="15"/>
                      <w:szCs w:val="18"/>
                    </w:rPr>
                  </w:pPr>
                  <w:r>
                    <w:rPr>
                      <w:rFonts w:hint="eastAsia"/>
                      <w:sz w:val="18"/>
                      <w:szCs w:val="21"/>
                    </w:rPr>
                    <w:t>46.4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112" w:type="pct"/>
                  <w:gridSpan w:val="3"/>
                  <w:vMerge w:val="restart"/>
                  <w:tcBorders>
                    <w:top w:val="single" w:color="auto" w:sz="6" w:space="0"/>
                    <w:left w:val="single" w:color="auto" w:sz="12" w:space="0"/>
                    <w:right w:val="single" w:color="auto" w:sz="6" w:space="0"/>
                  </w:tcBorders>
                  <w:vAlign w:val="center"/>
                </w:tcPr>
                <w:p>
                  <w:pPr>
                    <w:pStyle w:val="36"/>
                    <w:rPr>
                      <w:sz w:val="18"/>
                      <w:szCs w:val="21"/>
                    </w:rPr>
                  </w:pPr>
                  <w:r>
                    <w:rPr>
                      <w:rFonts w:hint="eastAsia"/>
                      <w:sz w:val="18"/>
                      <w:szCs w:val="21"/>
                    </w:rPr>
                    <w:t>预测值</w:t>
                  </w:r>
                  <w:r>
                    <w:rPr>
                      <w:sz w:val="18"/>
                      <w:szCs w:val="21"/>
                    </w:rPr>
                    <w:t>dB(A)</w:t>
                  </w:r>
                </w:p>
              </w:tc>
              <w:tc>
                <w:tcPr>
                  <w:tcW w:w="1112" w:type="pct"/>
                  <w:gridSpan w:val="3"/>
                  <w:tcBorders>
                    <w:top w:val="single" w:color="auto" w:sz="6" w:space="0"/>
                    <w:left w:val="single" w:color="auto" w:sz="12" w:space="0"/>
                    <w:bottom w:val="single" w:color="auto" w:sz="6" w:space="0"/>
                    <w:right w:val="single" w:color="auto" w:sz="6" w:space="0"/>
                  </w:tcBorders>
                  <w:vAlign w:val="center"/>
                </w:tcPr>
                <w:p>
                  <w:pPr>
                    <w:pStyle w:val="36"/>
                    <w:rPr>
                      <w:sz w:val="18"/>
                      <w:szCs w:val="21"/>
                    </w:rPr>
                  </w:pPr>
                  <w:r>
                    <w:rPr>
                      <w:rFonts w:hint="eastAsia"/>
                      <w:sz w:val="18"/>
                      <w:szCs w:val="21"/>
                    </w:rPr>
                    <w:t>昼间</w:t>
                  </w:r>
                </w:p>
              </w:tc>
              <w:tc>
                <w:tcPr>
                  <w:tcW w:w="430"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56.0</w:t>
                  </w:r>
                </w:p>
              </w:tc>
              <w:tc>
                <w:tcPr>
                  <w:tcW w:w="415"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58.5</w:t>
                  </w:r>
                </w:p>
              </w:tc>
              <w:tc>
                <w:tcPr>
                  <w:tcW w:w="387"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55.9</w:t>
                  </w:r>
                </w:p>
              </w:tc>
              <w:tc>
                <w:tcPr>
                  <w:tcW w:w="426"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58.1</w:t>
                  </w:r>
                </w:p>
              </w:tc>
              <w:tc>
                <w:tcPr>
                  <w:tcW w:w="389"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53.5</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47.1</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58.1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112" w:type="pct"/>
                  <w:gridSpan w:val="3"/>
                  <w:vMerge w:val="continue"/>
                  <w:tcBorders>
                    <w:left w:val="single" w:color="auto" w:sz="12" w:space="0"/>
                    <w:bottom w:val="single" w:color="auto" w:sz="6" w:space="0"/>
                    <w:right w:val="single" w:color="auto" w:sz="6" w:space="0"/>
                  </w:tcBorders>
                  <w:vAlign w:val="center"/>
                </w:tcPr>
                <w:p>
                  <w:pPr>
                    <w:pStyle w:val="36"/>
                    <w:rPr>
                      <w:sz w:val="18"/>
                      <w:szCs w:val="21"/>
                    </w:rPr>
                  </w:pPr>
                </w:p>
              </w:tc>
              <w:tc>
                <w:tcPr>
                  <w:tcW w:w="1112" w:type="pct"/>
                  <w:gridSpan w:val="3"/>
                  <w:tcBorders>
                    <w:top w:val="single" w:color="auto" w:sz="6" w:space="0"/>
                    <w:left w:val="single" w:color="auto" w:sz="12" w:space="0"/>
                    <w:bottom w:val="single" w:color="auto" w:sz="6" w:space="0"/>
                    <w:right w:val="single" w:color="auto" w:sz="6" w:space="0"/>
                  </w:tcBorders>
                  <w:vAlign w:val="center"/>
                </w:tcPr>
                <w:p>
                  <w:pPr>
                    <w:pStyle w:val="36"/>
                    <w:rPr>
                      <w:sz w:val="18"/>
                      <w:szCs w:val="21"/>
                    </w:rPr>
                  </w:pPr>
                  <w:r>
                    <w:rPr>
                      <w:rFonts w:hint="eastAsia"/>
                      <w:sz w:val="18"/>
                      <w:szCs w:val="21"/>
                    </w:rPr>
                    <w:t>夜间</w:t>
                  </w:r>
                </w:p>
              </w:tc>
              <w:tc>
                <w:tcPr>
                  <w:tcW w:w="430"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49.1</w:t>
                  </w:r>
                </w:p>
              </w:tc>
              <w:tc>
                <w:tcPr>
                  <w:tcW w:w="415"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49.1</w:t>
                  </w:r>
                </w:p>
              </w:tc>
              <w:tc>
                <w:tcPr>
                  <w:tcW w:w="387"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49.5</w:t>
                  </w:r>
                </w:p>
              </w:tc>
              <w:tc>
                <w:tcPr>
                  <w:tcW w:w="426"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49.8</w:t>
                  </w:r>
                </w:p>
              </w:tc>
              <w:tc>
                <w:tcPr>
                  <w:tcW w:w="389"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49.3</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45.8</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46.9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112" w:type="pct"/>
                  <w:gridSpan w:val="3"/>
                  <w:vMerge w:val="restart"/>
                  <w:tcBorders>
                    <w:top w:val="single" w:color="auto" w:sz="6" w:space="0"/>
                    <w:left w:val="single" w:color="auto" w:sz="12" w:space="0"/>
                    <w:right w:val="single" w:color="auto" w:sz="6" w:space="0"/>
                  </w:tcBorders>
                  <w:vAlign w:val="center"/>
                </w:tcPr>
                <w:p>
                  <w:pPr>
                    <w:pStyle w:val="36"/>
                    <w:rPr>
                      <w:sz w:val="18"/>
                      <w:szCs w:val="21"/>
                    </w:rPr>
                  </w:pPr>
                  <w:r>
                    <w:rPr>
                      <w:rFonts w:hint="eastAsia"/>
                      <w:sz w:val="18"/>
                      <w:szCs w:val="21"/>
                    </w:rPr>
                    <w:t>标准值</w:t>
                  </w:r>
                  <w:r>
                    <w:rPr>
                      <w:sz w:val="18"/>
                      <w:szCs w:val="21"/>
                    </w:rPr>
                    <w:t>dB(A)</w:t>
                  </w:r>
                </w:p>
              </w:tc>
              <w:tc>
                <w:tcPr>
                  <w:tcW w:w="1112" w:type="pct"/>
                  <w:gridSpan w:val="3"/>
                  <w:tcBorders>
                    <w:top w:val="single" w:color="auto" w:sz="6" w:space="0"/>
                    <w:left w:val="single" w:color="auto" w:sz="12" w:space="0"/>
                    <w:bottom w:val="single" w:color="auto" w:sz="6" w:space="0"/>
                    <w:right w:val="single" w:color="auto" w:sz="6" w:space="0"/>
                  </w:tcBorders>
                  <w:vAlign w:val="center"/>
                </w:tcPr>
                <w:p>
                  <w:pPr>
                    <w:pStyle w:val="36"/>
                    <w:rPr>
                      <w:sz w:val="18"/>
                      <w:szCs w:val="21"/>
                    </w:rPr>
                  </w:pPr>
                  <w:r>
                    <w:rPr>
                      <w:rFonts w:hint="eastAsia"/>
                      <w:sz w:val="18"/>
                      <w:szCs w:val="21"/>
                    </w:rPr>
                    <w:t>昼间</w:t>
                  </w:r>
                </w:p>
              </w:tc>
              <w:tc>
                <w:tcPr>
                  <w:tcW w:w="430"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60</w:t>
                  </w:r>
                </w:p>
              </w:tc>
              <w:tc>
                <w:tcPr>
                  <w:tcW w:w="415"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60</w:t>
                  </w:r>
                </w:p>
              </w:tc>
              <w:tc>
                <w:tcPr>
                  <w:tcW w:w="387"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60</w:t>
                  </w:r>
                </w:p>
              </w:tc>
              <w:tc>
                <w:tcPr>
                  <w:tcW w:w="426"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60</w:t>
                  </w:r>
                </w:p>
              </w:tc>
              <w:tc>
                <w:tcPr>
                  <w:tcW w:w="389"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60</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60</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112" w:type="pct"/>
                  <w:gridSpan w:val="3"/>
                  <w:vMerge w:val="continue"/>
                  <w:tcBorders>
                    <w:left w:val="single" w:color="auto" w:sz="12" w:space="0"/>
                    <w:bottom w:val="single" w:color="auto" w:sz="6" w:space="0"/>
                    <w:right w:val="single" w:color="auto" w:sz="6" w:space="0"/>
                  </w:tcBorders>
                  <w:vAlign w:val="center"/>
                </w:tcPr>
                <w:p>
                  <w:pPr>
                    <w:pStyle w:val="36"/>
                    <w:rPr>
                      <w:sz w:val="18"/>
                      <w:szCs w:val="21"/>
                    </w:rPr>
                  </w:pPr>
                </w:p>
              </w:tc>
              <w:tc>
                <w:tcPr>
                  <w:tcW w:w="1112" w:type="pct"/>
                  <w:gridSpan w:val="3"/>
                  <w:tcBorders>
                    <w:top w:val="single" w:color="auto" w:sz="6" w:space="0"/>
                    <w:left w:val="single" w:color="auto" w:sz="12" w:space="0"/>
                    <w:bottom w:val="single" w:color="auto" w:sz="6" w:space="0"/>
                    <w:right w:val="single" w:color="auto" w:sz="6" w:space="0"/>
                  </w:tcBorders>
                  <w:vAlign w:val="center"/>
                </w:tcPr>
                <w:p>
                  <w:pPr>
                    <w:pStyle w:val="36"/>
                    <w:rPr>
                      <w:sz w:val="18"/>
                      <w:szCs w:val="21"/>
                    </w:rPr>
                  </w:pPr>
                  <w:r>
                    <w:rPr>
                      <w:rFonts w:hint="eastAsia"/>
                      <w:sz w:val="18"/>
                      <w:szCs w:val="21"/>
                    </w:rPr>
                    <w:t>夜间</w:t>
                  </w:r>
                </w:p>
              </w:tc>
              <w:tc>
                <w:tcPr>
                  <w:tcW w:w="430"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50</w:t>
                  </w:r>
                </w:p>
              </w:tc>
              <w:tc>
                <w:tcPr>
                  <w:tcW w:w="415"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50</w:t>
                  </w:r>
                </w:p>
              </w:tc>
              <w:tc>
                <w:tcPr>
                  <w:tcW w:w="387" w:type="pct"/>
                  <w:tcBorders>
                    <w:top w:val="single" w:color="auto" w:sz="6" w:space="0"/>
                    <w:left w:val="single" w:color="auto" w:sz="6" w:space="0"/>
                    <w:bottom w:val="single" w:color="auto" w:sz="6" w:space="0"/>
                    <w:right w:val="single" w:color="auto" w:sz="6" w:space="0"/>
                  </w:tcBorders>
                  <w:vAlign w:val="center"/>
                </w:tcPr>
                <w:p>
                  <w:pPr>
                    <w:pStyle w:val="36"/>
                    <w:rPr>
                      <w:sz w:val="18"/>
                      <w:szCs w:val="21"/>
                    </w:rPr>
                  </w:pPr>
                  <w:r>
                    <w:rPr>
                      <w:rFonts w:hint="eastAsia"/>
                      <w:sz w:val="18"/>
                      <w:szCs w:val="21"/>
                    </w:rPr>
                    <w:t>50</w:t>
                  </w:r>
                </w:p>
              </w:tc>
              <w:tc>
                <w:tcPr>
                  <w:tcW w:w="426"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50</w:t>
                  </w:r>
                </w:p>
              </w:tc>
              <w:tc>
                <w:tcPr>
                  <w:tcW w:w="389"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50</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50</w:t>
                  </w:r>
                </w:p>
              </w:tc>
              <w:tc>
                <w:tcPr>
                  <w:tcW w:w="362" w:type="pct"/>
                  <w:tcBorders>
                    <w:top w:val="single" w:color="auto" w:sz="6" w:space="0"/>
                    <w:left w:val="single" w:color="auto" w:sz="6" w:space="0"/>
                    <w:bottom w:val="single" w:color="auto" w:sz="6" w:space="0"/>
                    <w:right w:val="single" w:color="auto" w:sz="12" w:space="0"/>
                  </w:tcBorders>
                  <w:vAlign w:val="center"/>
                </w:tcPr>
                <w:p>
                  <w:pPr>
                    <w:pStyle w:val="36"/>
                    <w:rPr>
                      <w:sz w:val="18"/>
                      <w:szCs w:val="21"/>
                    </w:rPr>
                  </w:pPr>
                  <w:r>
                    <w:rPr>
                      <w:rFonts w:hint="eastAsia"/>
                      <w:sz w:val="18"/>
                      <w:szCs w:val="21"/>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2225" w:type="pct"/>
                  <w:gridSpan w:val="6"/>
                  <w:tcBorders>
                    <w:top w:val="single" w:color="auto" w:sz="6" w:space="0"/>
                    <w:left w:val="single" w:color="auto" w:sz="12" w:space="0"/>
                    <w:bottom w:val="single" w:color="auto" w:sz="12" w:space="0"/>
                    <w:right w:val="single" w:color="auto" w:sz="6" w:space="0"/>
                  </w:tcBorders>
                  <w:vAlign w:val="center"/>
                </w:tcPr>
                <w:p>
                  <w:pPr>
                    <w:pStyle w:val="36"/>
                    <w:rPr>
                      <w:sz w:val="18"/>
                      <w:szCs w:val="21"/>
                    </w:rPr>
                  </w:pPr>
                  <w:r>
                    <w:rPr>
                      <w:rFonts w:hint="eastAsia"/>
                      <w:sz w:val="18"/>
                      <w:szCs w:val="21"/>
                    </w:rPr>
                    <w:t>是否达标</w:t>
                  </w:r>
                </w:p>
              </w:tc>
              <w:tc>
                <w:tcPr>
                  <w:tcW w:w="430" w:type="pct"/>
                  <w:tcBorders>
                    <w:top w:val="single" w:color="auto" w:sz="6" w:space="0"/>
                    <w:left w:val="single" w:color="auto" w:sz="6" w:space="0"/>
                    <w:bottom w:val="single" w:color="auto" w:sz="12" w:space="0"/>
                    <w:right w:val="single" w:color="auto" w:sz="6" w:space="0"/>
                  </w:tcBorders>
                  <w:vAlign w:val="center"/>
                </w:tcPr>
                <w:p>
                  <w:pPr>
                    <w:pStyle w:val="36"/>
                    <w:rPr>
                      <w:sz w:val="18"/>
                      <w:szCs w:val="21"/>
                    </w:rPr>
                  </w:pPr>
                  <w:r>
                    <w:rPr>
                      <w:rFonts w:hint="eastAsia"/>
                      <w:sz w:val="18"/>
                      <w:szCs w:val="21"/>
                    </w:rPr>
                    <w:t>是</w:t>
                  </w:r>
                </w:p>
              </w:tc>
              <w:tc>
                <w:tcPr>
                  <w:tcW w:w="415" w:type="pct"/>
                  <w:tcBorders>
                    <w:top w:val="single" w:color="auto" w:sz="6" w:space="0"/>
                    <w:left w:val="single" w:color="auto" w:sz="6" w:space="0"/>
                    <w:bottom w:val="single" w:color="auto" w:sz="12" w:space="0"/>
                    <w:right w:val="single" w:color="auto" w:sz="6" w:space="0"/>
                  </w:tcBorders>
                  <w:vAlign w:val="center"/>
                </w:tcPr>
                <w:p>
                  <w:pPr>
                    <w:rPr>
                      <w:sz w:val="18"/>
                      <w:szCs w:val="21"/>
                    </w:rPr>
                  </w:pPr>
                  <w:r>
                    <w:rPr>
                      <w:rFonts w:hint="eastAsia"/>
                      <w:sz w:val="18"/>
                      <w:szCs w:val="21"/>
                    </w:rPr>
                    <w:t>是</w:t>
                  </w:r>
                </w:p>
              </w:tc>
              <w:tc>
                <w:tcPr>
                  <w:tcW w:w="387" w:type="pct"/>
                  <w:tcBorders>
                    <w:top w:val="single" w:color="auto" w:sz="6" w:space="0"/>
                    <w:left w:val="single" w:color="auto" w:sz="6" w:space="0"/>
                    <w:bottom w:val="single" w:color="auto" w:sz="12" w:space="0"/>
                    <w:right w:val="single" w:color="auto" w:sz="6" w:space="0"/>
                  </w:tcBorders>
                  <w:vAlign w:val="center"/>
                </w:tcPr>
                <w:p>
                  <w:pPr>
                    <w:rPr>
                      <w:sz w:val="18"/>
                      <w:szCs w:val="21"/>
                    </w:rPr>
                  </w:pPr>
                  <w:r>
                    <w:rPr>
                      <w:rFonts w:hint="eastAsia"/>
                      <w:sz w:val="18"/>
                      <w:szCs w:val="21"/>
                    </w:rPr>
                    <w:t>是</w:t>
                  </w:r>
                </w:p>
              </w:tc>
              <w:tc>
                <w:tcPr>
                  <w:tcW w:w="426" w:type="pct"/>
                  <w:tcBorders>
                    <w:top w:val="single" w:color="auto" w:sz="6" w:space="0"/>
                    <w:left w:val="single" w:color="auto" w:sz="6" w:space="0"/>
                    <w:bottom w:val="single" w:color="auto" w:sz="12" w:space="0"/>
                    <w:right w:val="single" w:color="auto" w:sz="12" w:space="0"/>
                  </w:tcBorders>
                  <w:vAlign w:val="center"/>
                </w:tcPr>
                <w:p>
                  <w:pPr>
                    <w:rPr>
                      <w:sz w:val="18"/>
                      <w:szCs w:val="21"/>
                    </w:rPr>
                  </w:pPr>
                  <w:r>
                    <w:rPr>
                      <w:rFonts w:hint="eastAsia"/>
                      <w:sz w:val="18"/>
                      <w:szCs w:val="21"/>
                    </w:rPr>
                    <w:t>是</w:t>
                  </w:r>
                </w:p>
              </w:tc>
              <w:tc>
                <w:tcPr>
                  <w:tcW w:w="389" w:type="pct"/>
                  <w:tcBorders>
                    <w:top w:val="single" w:color="auto" w:sz="6" w:space="0"/>
                    <w:left w:val="single" w:color="auto" w:sz="6" w:space="0"/>
                    <w:bottom w:val="single" w:color="auto" w:sz="12" w:space="0"/>
                    <w:right w:val="single" w:color="auto" w:sz="12" w:space="0"/>
                  </w:tcBorders>
                  <w:vAlign w:val="center"/>
                </w:tcPr>
                <w:p>
                  <w:pPr>
                    <w:rPr>
                      <w:sz w:val="18"/>
                      <w:szCs w:val="21"/>
                    </w:rPr>
                  </w:pPr>
                  <w:r>
                    <w:rPr>
                      <w:rFonts w:hint="eastAsia"/>
                      <w:sz w:val="18"/>
                      <w:szCs w:val="21"/>
                    </w:rPr>
                    <w:t>是</w:t>
                  </w:r>
                </w:p>
              </w:tc>
              <w:tc>
                <w:tcPr>
                  <w:tcW w:w="362" w:type="pct"/>
                  <w:tcBorders>
                    <w:top w:val="single" w:color="auto" w:sz="6" w:space="0"/>
                    <w:left w:val="single" w:color="auto" w:sz="6" w:space="0"/>
                    <w:bottom w:val="single" w:color="auto" w:sz="12" w:space="0"/>
                    <w:right w:val="single" w:color="auto" w:sz="12" w:space="0"/>
                  </w:tcBorders>
                  <w:vAlign w:val="center"/>
                </w:tcPr>
                <w:p>
                  <w:pPr>
                    <w:rPr>
                      <w:sz w:val="18"/>
                      <w:szCs w:val="21"/>
                    </w:rPr>
                  </w:pPr>
                  <w:r>
                    <w:rPr>
                      <w:rFonts w:hint="eastAsia"/>
                      <w:sz w:val="18"/>
                      <w:szCs w:val="21"/>
                    </w:rPr>
                    <w:t>是</w:t>
                  </w:r>
                </w:p>
              </w:tc>
              <w:tc>
                <w:tcPr>
                  <w:tcW w:w="362" w:type="pct"/>
                  <w:tcBorders>
                    <w:top w:val="single" w:color="auto" w:sz="6" w:space="0"/>
                    <w:left w:val="single" w:color="auto" w:sz="6" w:space="0"/>
                    <w:bottom w:val="single" w:color="auto" w:sz="12" w:space="0"/>
                    <w:right w:val="single" w:color="auto" w:sz="12" w:space="0"/>
                  </w:tcBorders>
                  <w:vAlign w:val="center"/>
                </w:tcPr>
                <w:p>
                  <w:pPr>
                    <w:rPr>
                      <w:sz w:val="18"/>
                      <w:szCs w:val="21"/>
                    </w:rPr>
                  </w:pPr>
                  <w:r>
                    <w:rPr>
                      <w:rFonts w:hint="eastAsia"/>
                      <w:sz w:val="18"/>
                      <w:szCs w:val="21"/>
                    </w:rPr>
                    <w:t>是</w:t>
                  </w:r>
                </w:p>
              </w:tc>
            </w:tr>
          </w:tbl>
          <w:p>
            <w:pPr>
              <w:spacing w:line="360" w:lineRule="auto"/>
              <w:ind w:firstLine="480" w:firstLineChars="200"/>
              <w:rPr>
                <w:sz w:val="24"/>
              </w:rPr>
            </w:pPr>
            <w:r>
              <w:rPr>
                <w:bCs/>
                <w:sz w:val="24"/>
              </w:rPr>
              <w:t>根据预测结果，项目生产过程产生的噪声经过减振、降噪、距离衰减后，厂界</w:t>
            </w:r>
            <w:r>
              <w:rPr>
                <w:rFonts w:hint="eastAsia"/>
                <w:bCs/>
                <w:sz w:val="24"/>
              </w:rPr>
              <w:t>东、南、西、北侧和周边50m范围内居民点</w:t>
            </w:r>
            <w:r>
              <w:rPr>
                <w:bCs/>
                <w:sz w:val="24"/>
              </w:rPr>
              <w:t>的</w:t>
            </w:r>
            <w:r>
              <w:rPr>
                <w:rFonts w:hint="eastAsia"/>
                <w:bCs/>
                <w:sz w:val="24"/>
              </w:rPr>
              <w:t>昼夜间</w:t>
            </w:r>
            <w:r>
              <w:rPr>
                <w:bCs/>
                <w:sz w:val="24"/>
              </w:rPr>
              <w:t>噪声贡献值均能够达到《工业企业厂界环境噪声排放标准》(GB12348-2008)中2类标准</w:t>
            </w:r>
            <w:r>
              <w:rPr>
                <w:rFonts w:hint="eastAsia"/>
                <w:bCs/>
                <w:sz w:val="24"/>
              </w:rPr>
              <w:t>，噪声对周边环境影响较小</w:t>
            </w:r>
            <w:r>
              <w:rPr>
                <w:bCs/>
                <w:sz w:val="24"/>
              </w:rPr>
              <w:t>。</w:t>
            </w:r>
          </w:p>
          <w:p>
            <w:pPr>
              <w:spacing w:line="360" w:lineRule="auto"/>
              <w:rPr>
                <w:b/>
                <w:bCs/>
                <w:sz w:val="24"/>
              </w:rPr>
            </w:pPr>
            <w:r>
              <w:rPr>
                <w:b/>
                <w:bCs/>
                <w:sz w:val="24"/>
              </w:rPr>
              <w:t>4</w:t>
            </w:r>
            <w:r>
              <w:rPr>
                <w:rFonts w:hint="eastAsia"/>
                <w:b/>
                <w:bCs/>
                <w:sz w:val="24"/>
              </w:rPr>
              <w:t>、</w:t>
            </w:r>
            <w:r>
              <w:rPr>
                <w:rFonts w:hint="eastAsia" w:cs="宋体"/>
                <w:b/>
                <w:bCs/>
                <w:sz w:val="24"/>
              </w:rPr>
              <w:t>固体废弃物</w:t>
            </w:r>
          </w:p>
          <w:p>
            <w:pPr>
              <w:spacing w:line="360" w:lineRule="auto"/>
              <w:ind w:firstLine="480" w:firstLineChars="200"/>
              <w:rPr>
                <w:sz w:val="24"/>
              </w:rPr>
            </w:pPr>
            <w:r>
              <w:rPr>
                <w:sz w:val="24"/>
              </w:rPr>
              <w:t>项目产生的固体废物主要有医疗废物</w:t>
            </w:r>
            <w:r>
              <w:rPr>
                <w:rFonts w:hint="eastAsia"/>
                <w:sz w:val="24"/>
              </w:rPr>
              <w:t>、</w:t>
            </w:r>
            <w:r>
              <w:rPr>
                <w:sz w:val="24"/>
              </w:rPr>
              <w:t>生活垃圾</w:t>
            </w:r>
            <w:r>
              <w:rPr>
                <w:rFonts w:hint="eastAsia"/>
                <w:sz w:val="24"/>
              </w:rPr>
              <w:t>、中药渣</w:t>
            </w:r>
            <w:r>
              <w:rPr>
                <w:sz w:val="24"/>
              </w:rPr>
              <w:t>和一体化污水处理系统污泥等</w:t>
            </w:r>
            <w:r>
              <w:rPr>
                <w:rFonts w:hint="eastAsia"/>
                <w:sz w:val="24"/>
              </w:rPr>
              <w:t>。</w:t>
            </w:r>
          </w:p>
          <w:p>
            <w:pPr>
              <w:spacing w:line="360" w:lineRule="auto"/>
              <w:ind w:firstLine="480" w:firstLineChars="200"/>
              <w:rPr>
                <w:sz w:val="24"/>
              </w:rPr>
            </w:pPr>
            <w:r>
              <w:rPr>
                <w:rFonts w:hint="eastAsia"/>
                <w:sz w:val="24"/>
              </w:rPr>
              <w:t>①医疗废物</w:t>
            </w:r>
          </w:p>
          <w:p>
            <w:pPr>
              <w:spacing w:line="360" w:lineRule="auto"/>
              <w:ind w:firstLine="480" w:firstLineChars="200"/>
              <w:rPr>
                <w:sz w:val="24"/>
              </w:rPr>
            </w:pPr>
            <w:r>
              <w:rPr>
                <w:sz w:val="24"/>
                <w:u w:val="single"/>
              </w:rPr>
              <w:t>本项目产生的医疗废物包含一次性医疗用品</w:t>
            </w:r>
            <w:r>
              <w:rPr>
                <w:rFonts w:hint="eastAsia"/>
                <w:sz w:val="24"/>
                <w:u w:val="single"/>
              </w:rPr>
              <w:t>、</w:t>
            </w:r>
            <w:r>
              <w:rPr>
                <w:sz w:val="24"/>
                <w:u w:val="single"/>
              </w:rPr>
              <w:t>一次性使用卫生用品</w:t>
            </w:r>
            <w:r>
              <w:rPr>
                <w:rFonts w:hint="eastAsia"/>
                <w:sz w:val="24"/>
                <w:u w:val="single"/>
              </w:rPr>
              <w:t>、</w:t>
            </w:r>
            <w:r>
              <w:rPr>
                <w:sz w:val="24"/>
                <w:u w:val="single"/>
              </w:rPr>
              <w:t>敷料类</w:t>
            </w:r>
            <w:r>
              <w:rPr>
                <w:rFonts w:hint="eastAsia"/>
                <w:sz w:val="24"/>
                <w:u w:val="single"/>
              </w:rPr>
              <w:t>、</w:t>
            </w:r>
            <w:r>
              <w:rPr>
                <w:sz w:val="24"/>
                <w:u w:val="single"/>
              </w:rPr>
              <w:t>检验器材和</w:t>
            </w:r>
            <w:r>
              <w:rPr>
                <w:rFonts w:hint="eastAsia"/>
                <w:sz w:val="24"/>
                <w:u w:val="single"/>
              </w:rPr>
              <w:t>化验</w:t>
            </w:r>
            <w:r>
              <w:rPr>
                <w:sz w:val="24"/>
                <w:u w:val="single"/>
              </w:rPr>
              <w:t>残余物</w:t>
            </w:r>
            <w:r>
              <w:rPr>
                <w:rFonts w:hint="eastAsia"/>
                <w:sz w:val="24"/>
                <w:u w:val="single"/>
              </w:rPr>
              <w:t>、</w:t>
            </w:r>
            <w:r>
              <w:rPr>
                <w:sz w:val="24"/>
                <w:u w:val="single"/>
              </w:rPr>
              <w:t>药品废弃物和药瓶以及各种废旧织物等</w:t>
            </w:r>
            <w:r>
              <w:rPr>
                <w:rFonts w:hint="eastAsia"/>
                <w:sz w:val="24"/>
                <w:u w:val="single"/>
              </w:rPr>
              <w:t>，</w:t>
            </w:r>
            <w:r>
              <w:rPr>
                <w:sz w:val="24"/>
                <w:u w:val="single"/>
              </w:rPr>
              <w:t>属于</w:t>
            </w:r>
            <w:r>
              <w:rPr>
                <w:rFonts w:hint="eastAsia"/>
                <w:sz w:val="24"/>
                <w:u w:val="single"/>
                <w:lang w:eastAsia="zh-CN"/>
              </w:rPr>
              <w:t>医疗废物中的损伤性废物、药物性废物和化学性废物，均属于危险性废物</w:t>
            </w:r>
            <w:r>
              <w:rPr>
                <w:rFonts w:hint="eastAsia"/>
                <w:sz w:val="24"/>
                <w:u w:val="single"/>
              </w:rPr>
              <w:t>。</w:t>
            </w:r>
            <w:r>
              <w:rPr>
                <w:rFonts w:hint="eastAsia"/>
                <w:sz w:val="24"/>
                <w:u w:val="single"/>
                <w:lang w:eastAsia="zh-CN"/>
              </w:rPr>
              <w:t>三阳港镇中心卫生院不设手术室不进行手术，因此无病理性废物产生。</w:t>
            </w:r>
            <w:r>
              <w:rPr>
                <w:sz w:val="24"/>
              </w:rPr>
              <w:t>根据</w:t>
            </w:r>
            <w:r>
              <w:rPr>
                <w:rFonts w:hint="eastAsia"/>
                <w:sz w:val="24"/>
              </w:rPr>
              <w:t>建设单位提供的常年医疗废物转移联单资料，</w:t>
            </w:r>
            <w:r>
              <w:rPr>
                <w:rFonts w:hint="eastAsia"/>
                <w:sz w:val="24"/>
                <w:lang w:eastAsia="zh-CN"/>
              </w:rPr>
              <w:t>三阳港镇</w:t>
            </w:r>
            <w:r>
              <w:rPr>
                <w:rFonts w:hint="eastAsia"/>
                <w:sz w:val="24"/>
              </w:rPr>
              <w:t>中心卫生院</w:t>
            </w:r>
            <w:r>
              <w:rPr>
                <w:sz w:val="24"/>
              </w:rPr>
              <w:t>医疗废物产生量约</w:t>
            </w:r>
            <w:r>
              <w:rPr>
                <w:rFonts w:hint="eastAsia"/>
                <w:sz w:val="24"/>
              </w:rPr>
              <w:t>为</w:t>
            </w:r>
            <w:r>
              <w:rPr>
                <w:rFonts w:hint="eastAsia"/>
                <w:sz w:val="24"/>
                <w:lang w:val="en-US" w:eastAsia="zh-CN"/>
              </w:rPr>
              <w:t>20</w:t>
            </w:r>
            <w:r>
              <w:rPr>
                <w:rFonts w:hint="eastAsia"/>
                <w:sz w:val="24"/>
              </w:rPr>
              <w:t>t/a。</w:t>
            </w:r>
            <w:r>
              <w:rPr>
                <w:sz w:val="24"/>
              </w:rPr>
              <w:t>本项目医疗垃圾全部分类集中收集，置于</w:t>
            </w:r>
            <w:r>
              <w:rPr>
                <w:rFonts w:hint="eastAsia"/>
                <w:sz w:val="24"/>
              </w:rPr>
              <w:t>医疗废物暂存间</w:t>
            </w:r>
            <w:r>
              <w:rPr>
                <w:sz w:val="24"/>
              </w:rPr>
              <w:t>，委托</w:t>
            </w:r>
            <w:r>
              <w:rPr>
                <w:rFonts w:hint="eastAsia"/>
                <w:sz w:val="24"/>
              </w:rPr>
              <w:t>委托常德市安邦医疗废物处置有限公司处置。</w:t>
            </w:r>
          </w:p>
          <w:p>
            <w:pPr>
              <w:spacing w:line="360" w:lineRule="auto"/>
              <w:ind w:firstLine="480" w:firstLineChars="200"/>
              <w:rPr>
                <w:spacing w:val="4"/>
                <w:kern w:val="0"/>
                <w:sz w:val="24"/>
                <w:szCs w:val="20"/>
              </w:rPr>
            </w:pPr>
            <w:r>
              <w:rPr>
                <w:rFonts w:hint="eastAsia"/>
                <w:sz w:val="24"/>
              </w:rPr>
              <w:t>②</w:t>
            </w:r>
            <w:r>
              <w:rPr>
                <w:rFonts w:hint="eastAsia"/>
                <w:spacing w:val="4"/>
                <w:kern w:val="0"/>
                <w:sz w:val="24"/>
                <w:szCs w:val="20"/>
              </w:rPr>
              <w:t>生活垃圾</w:t>
            </w:r>
          </w:p>
          <w:p>
            <w:pPr>
              <w:spacing w:line="360" w:lineRule="auto"/>
              <w:ind w:firstLine="496" w:firstLineChars="200"/>
              <w:rPr>
                <w:spacing w:val="4"/>
                <w:kern w:val="0"/>
                <w:sz w:val="24"/>
                <w:szCs w:val="20"/>
                <w:u w:val="single"/>
              </w:rPr>
            </w:pPr>
            <w:r>
              <w:rPr>
                <w:spacing w:val="4"/>
                <w:kern w:val="0"/>
                <w:sz w:val="24"/>
                <w:szCs w:val="20"/>
                <w:u w:val="single"/>
              </w:rPr>
              <w:t>住院病人</w:t>
            </w:r>
            <w:r>
              <w:rPr>
                <w:rFonts w:hint="eastAsia"/>
                <w:spacing w:val="4"/>
                <w:kern w:val="0"/>
                <w:sz w:val="24"/>
                <w:szCs w:val="20"/>
                <w:u w:val="single"/>
              </w:rPr>
              <w:t>生活垃圾</w:t>
            </w:r>
            <w:r>
              <w:rPr>
                <w:spacing w:val="4"/>
                <w:kern w:val="0"/>
                <w:sz w:val="24"/>
                <w:szCs w:val="20"/>
                <w:u w:val="single"/>
              </w:rPr>
              <w:t>按0.5kg/</w:t>
            </w:r>
            <w:r>
              <w:rPr>
                <w:rFonts w:hint="eastAsia"/>
                <w:spacing w:val="4"/>
                <w:kern w:val="0"/>
                <w:sz w:val="24"/>
                <w:szCs w:val="20"/>
                <w:u w:val="single"/>
              </w:rPr>
              <w:t>病床·</w:t>
            </w:r>
            <w:r>
              <w:rPr>
                <w:spacing w:val="4"/>
                <w:kern w:val="0"/>
                <w:sz w:val="24"/>
                <w:szCs w:val="20"/>
                <w:u w:val="single"/>
              </w:rPr>
              <w:t>d</w:t>
            </w:r>
            <w:r>
              <w:rPr>
                <w:rFonts w:hint="eastAsia"/>
                <w:spacing w:val="4"/>
                <w:kern w:val="0"/>
                <w:sz w:val="24"/>
                <w:szCs w:val="20"/>
                <w:u w:val="single"/>
              </w:rPr>
              <w:t>（含陪护人员）计，病床</w:t>
            </w:r>
            <w:r>
              <w:rPr>
                <w:rFonts w:hint="eastAsia"/>
                <w:spacing w:val="4"/>
                <w:kern w:val="0"/>
                <w:sz w:val="24"/>
                <w:szCs w:val="20"/>
                <w:u w:val="single"/>
                <w:lang w:val="en-US" w:eastAsia="zh-CN"/>
              </w:rPr>
              <w:t>6</w:t>
            </w:r>
            <w:r>
              <w:rPr>
                <w:rFonts w:hint="eastAsia"/>
                <w:spacing w:val="4"/>
                <w:kern w:val="0"/>
                <w:sz w:val="24"/>
                <w:szCs w:val="20"/>
                <w:u w:val="single"/>
                <w:lang w:eastAsia="zh-CN"/>
              </w:rPr>
              <w:t>0张</w:t>
            </w:r>
            <w:r>
              <w:rPr>
                <w:rFonts w:hint="eastAsia"/>
                <w:spacing w:val="4"/>
                <w:kern w:val="0"/>
                <w:sz w:val="24"/>
                <w:szCs w:val="20"/>
                <w:u w:val="single"/>
              </w:rPr>
              <w:t>，则产生生活垃圾</w:t>
            </w:r>
            <w:r>
              <w:rPr>
                <w:rFonts w:hint="eastAsia"/>
                <w:spacing w:val="4"/>
                <w:kern w:val="0"/>
                <w:sz w:val="24"/>
                <w:szCs w:val="20"/>
                <w:u w:val="single"/>
                <w:lang w:val="en-US" w:eastAsia="zh-CN"/>
              </w:rPr>
              <w:t>10.95</w:t>
            </w:r>
            <w:r>
              <w:rPr>
                <w:rFonts w:hint="eastAsia"/>
                <w:spacing w:val="4"/>
                <w:kern w:val="0"/>
                <w:sz w:val="24"/>
                <w:szCs w:val="20"/>
                <w:u w:val="single"/>
              </w:rPr>
              <w:t>t</w:t>
            </w:r>
            <w:r>
              <w:rPr>
                <w:spacing w:val="4"/>
                <w:kern w:val="0"/>
                <w:sz w:val="24"/>
                <w:szCs w:val="20"/>
                <w:u w:val="single"/>
              </w:rPr>
              <w:t>/a</w:t>
            </w:r>
            <w:r>
              <w:rPr>
                <w:rFonts w:hint="eastAsia"/>
                <w:spacing w:val="4"/>
                <w:kern w:val="0"/>
                <w:sz w:val="24"/>
                <w:szCs w:val="20"/>
                <w:u w:val="single"/>
              </w:rPr>
              <w:t>；</w:t>
            </w:r>
            <w:r>
              <w:rPr>
                <w:spacing w:val="4"/>
                <w:kern w:val="0"/>
                <w:sz w:val="24"/>
                <w:szCs w:val="20"/>
                <w:u w:val="single"/>
              </w:rPr>
              <w:t>门诊垃圾按0.1kg/</w:t>
            </w:r>
            <w:r>
              <w:rPr>
                <w:rFonts w:hint="eastAsia"/>
                <w:spacing w:val="4"/>
                <w:kern w:val="0"/>
                <w:sz w:val="24"/>
                <w:szCs w:val="20"/>
                <w:u w:val="single"/>
              </w:rPr>
              <w:t>人·</w:t>
            </w:r>
            <w:r>
              <w:rPr>
                <w:spacing w:val="4"/>
                <w:kern w:val="0"/>
                <w:sz w:val="24"/>
                <w:szCs w:val="20"/>
                <w:u w:val="single"/>
              </w:rPr>
              <w:t>d</w:t>
            </w:r>
            <w:r>
              <w:rPr>
                <w:rFonts w:hint="eastAsia"/>
                <w:spacing w:val="4"/>
                <w:kern w:val="0"/>
                <w:sz w:val="24"/>
                <w:szCs w:val="20"/>
                <w:u w:val="single"/>
              </w:rPr>
              <w:t>计，项目预计接纳门诊人次约</w:t>
            </w:r>
            <w:r>
              <w:rPr>
                <w:rFonts w:hint="eastAsia"/>
                <w:spacing w:val="4"/>
                <w:kern w:val="0"/>
                <w:sz w:val="24"/>
                <w:szCs w:val="20"/>
                <w:u w:val="single"/>
                <w:lang w:val="en-US" w:eastAsia="zh-CN"/>
              </w:rPr>
              <w:t>14600人</w:t>
            </w:r>
            <w:r>
              <w:rPr>
                <w:rFonts w:hint="eastAsia"/>
                <w:spacing w:val="4"/>
                <w:kern w:val="0"/>
                <w:sz w:val="24"/>
                <w:szCs w:val="20"/>
                <w:u w:val="single"/>
              </w:rPr>
              <w:t>次/年，产生生活垃圾</w:t>
            </w:r>
            <w:r>
              <w:rPr>
                <w:rFonts w:hint="eastAsia"/>
                <w:spacing w:val="4"/>
                <w:kern w:val="0"/>
                <w:sz w:val="24"/>
                <w:szCs w:val="20"/>
                <w:u w:val="single"/>
                <w:lang w:val="en-US" w:eastAsia="zh-CN"/>
              </w:rPr>
              <w:t>1.46</w:t>
            </w:r>
            <w:r>
              <w:rPr>
                <w:rFonts w:hint="eastAsia"/>
                <w:spacing w:val="4"/>
                <w:kern w:val="0"/>
                <w:sz w:val="24"/>
                <w:szCs w:val="20"/>
                <w:u w:val="single"/>
              </w:rPr>
              <w:t>t</w:t>
            </w:r>
            <w:r>
              <w:rPr>
                <w:spacing w:val="4"/>
                <w:kern w:val="0"/>
                <w:sz w:val="24"/>
                <w:szCs w:val="20"/>
                <w:u w:val="single"/>
              </w:rPr>
              <w:t>/a</w:t>
            </w:r>
            <w:r>
              <w:rPr>
                <w:rFonts w:hint="eastAsia"/>
                <w:spacing w:val="4"/>
                <w:kern w:val="0"/>
                <w:sz w:val="24"/>
                <w:szCs w:val="20"/>
                <w:u w:val="single"/>
              </w:rPr>
              <w:t>；卫生院职工</w:t>
            </w:r>
            <w:r>
              <w:rPr>
                <w:rFonts w:hint="eastAsia"/>
                <w:spacing w:val="4"/>
                <w:kern w:val="0"/>
                <w:sz w:val="24"/>
                <w:szCs w:val="20"/>
                <w:u w:val="single"/>
                <w:lang w:val="en-US" w:eastAsia="zh-CN"/>
              </w:rPr>
              <w:t>4</w:t>
            </w:r>
            <w:r>
              <w:rPr>
                <w:rFonts w:hint="eastAsia"/>
                <w:spacing w:val="4"/>
                <w:kern w:val="0"/>
                <w:sz w:val="24"/>
                <w:szCs w:val="20"/>
                <w:u w:val="single"/>
                <w:lang w:eastAsia="zh-CN"/>
              </w:rPr>
              <w:t>0人</w:t>
            </w:r>
            <w:r>
              <w:rPr>
                <w:rFonts w:hint="eastAsia"/>
                <w:spacing w:val="4"/>
                <w:kern w:val="0"/>
                <w:sz w:val="24"/>
                <w:szCs w:val="20"/>
                <w:u w:val="single"/>
              </w:rPr>
              <w:t>，生活垃圾按</w:t>
            </w:r>
            <w:r>
              <w:rPr>
                <w:spacing w:val="4"/>
                <w:kern w:val="0"/>
                <w:sz w:val="24"/>
                <w:szCs w:val="20"/>
                <w:u w:val="single"/>
              </w:rPr>
              <w:t>0.5kg/</w:t>
            </w:r>
            <w:r>
              <w:rPr>
                <w:rFonts w:hint="eastAsia"/>
                <w:spacing w:val="4"/>
                <w:kern w:val="0"/>
                <w:sz w:val="24"/>
                <w:szCs w:val="20"/>
                <w:u w:val="single"/>
              </w:rPr>
              <w:t>人·</w:t>
            </w:r>
            <w:r>
              <w:rPr>
                <w:spacing w:val="4"/>
                <w:kern w:val="0"/>
                <w:sz w:val="24"/>
                <w:szCs w:val="20"/>
                <w:u w:val="single"/>
              </w:rPr>
              <w:t>d计</w:t>
            </w:r>
            <w:r>
              <w:rPr>
                <w:rFonts w:hint="eastAsia"/>
                <w:spacing w:val="4"/>
                <w:kern w:val="0"/>
                <w:sz w:val="24"/>
                <w:szCs w:val="20"/>
                <w:u w:val="single"/>
              </w:rPr>
              <w:t>，</w:t>
            </w:r>
            <w:r>
              <w:rPr>
                <w:spacing w:val="4"/>
                <w:kern w:val="0"/>
                <w:sz w:val="24"/>
                <w:szCs w:val="20"/>
                <w:u w:val="single"/>
              </w:rPr>
              <w:t>产生的生活垃圾为</w:t>
            </w:r>
            <w:r>
              <w:rPr>
                <w:rFonts w:hint="eastAsia"/>
                <w:spacing w:val="4"/>
                <w:kern w:val="0"/>
                <w:sz w:val="24"/>
                <w:szCs w:val="20"/>
                <w:u w:val="single"/>
                <w:lang w:val="en-US" w:eastAsia="zh-CN"/>
              </w:rPr>
              <w:t>7.3</w:t>
            </w:r>
            <w:r>
              <w:rPr>
                <w:rFonts w:hint="eastAsia"/>
                <w:spacing w:val="4"/>
                <w:kern w:val="0"/>
                <w:sz w:val="24"/>
                <w:szCs w:val="20"/>
                <w:u w:val="single"/>
              </w:rPr>
              <w:t>t/a；故本项目产生生活垃圾总量为</w:t>
            </w:r>
            <w:r>
              <w:rPr>
                <w:rFonts w:hint="eastAsia"/>
                <w:spacing w:val="4"/>
                <w:kern w:val="0"/>
                <w:sz w:val="24"/>
                <w:szCs w:val="20"/>
                <w:u w:val="single"/>
                <w:lang w:val="en-US" w:eastAsia="zh-CN"/>
              </w:rPr>
              <w:t>19.71</w:t>
            </w:r>
            <w:r>
              <w:rPr>
                <w:rFonts w:hint="eastAsia"/>
                <w:spacing w:val="4"/>
                <w:kern w:val="0"/>
                <w:sz w:val="24"/>
                <w:szCs w:val="20"/>
                <w:u w:val="single"/>
              </w:rPr>
              <w:t>t/a。</w:t>
            </w:r>
          </w:p>
          <w:p>
            <w:pPr>
              <w:spacing w:line="360" w:lineRule="auto"/>
              <w:ind w:firstLine="496" w:firstLineChars="200"/>
              <w:rPr>
                <w:spacing w:val="4"/>
                <w:kern w:val="0"/>
                <w:sz w:val="24"/>
                <w:szCs w:val="20"/>
              </w:rPr>
            </w:pPr>
            <w:r>
              <w:rPr>
                <w:rFonts w:hint="eastAsia"/>
                <w:spacing w:val="4"/>
                <w:kern w:val="0"/>
                <w:sz w:val="24"/>
                <w:szCs w:val="20"/>
              </w:rPr>
              <w:t>③中药渣</w:t>
            </w:r>
          </w:p>
          <w:p>
            <w:pPr>
              <w:spacing w:line="360" w:lineRule="auto"/>
              <w:ind w:firstLine="496" w:firstLineChars="200"/>
              <w:rPr>
                <w:spacing w:val="4"/>
                <w:kern w:val="0"/>
                <w:sz w:val="24"/>
                <w:szCs w:val="20"/>
              </w:rPr>
            </w:pPr>
            <w:r>
              <w:rPr>
                <w:rFonts w:hint="eastAsia"/>
                <w:spacing w:val="4"/>
                <w:kern w:val="0"/>
                <w:sz w:val="24"/>
                <w:szCs w:val="20"/>
              </w:rPr>
              <w:t>根据建设单位提供的资料，中药渣产生量约为0.</w:t>
            </w:r>
            <w:r>
              <w:rPr>
                <w:rFonts w:hint="eastAsia"/>
                <w:spacing w:val="4"/>
                <w:kern w:val="0"/>
                <w:sz w:val="24"/>
                <w:szCs w:val="20"/>
                <w:lang w:val="en-US" w:eastAsia="zh-CN"/>
              </w:rPr>
              <w:t>15</w:t>
            </w:r>
            <w:r>
              <w:rPr>
                <w:rFonts w:hint="eastAsia"/>
                <w:spacing w:val="4"/>
                <w:kern w:val="0"/>
                <w:sz w:val="24"/>
                <w:szCs w:val="20"/>
              </w:rPr>
              <w:t>t/a。</w:t>
            </w:r>
          </w:p>
          <w:p>
            <w:pPr>
              <w:spacing w:line="360" w:lineRule="auto"/>
              <w:ind w:firstLine="496" w:firstLineChars="200"/>
              <w:rPr>
                <w:spacing w:val="4"/>
                <w:kern w:val="0"/>
                <w:sz w:val="24"/>
                <w:szCs w:val="20"/>
              </w:rPr>
            </w:pPr>
            <w:r>
              <w:rPr>
                <w:rFonts w:hint="eastAsia" w:ascii="宋体" w:hAnsi="宋体" w:cs="宋体"/>
                <w:spacing w:val="4"/>
                <w:kern w:val="0"/>
                <w:sz w:val="24"/>
                <w:szCs w:val="20"/>
              </w:rPr>
              <w:t>④</w:t>
            </w:r>
            <w:r>
              <w:rPr>
                <w:rFonts w:hint="eastAsia"/>
                <w:spacing w:val="4"/>
                <w:kern w:val="0"/>
                <w:sz w:val="24"/>
                <w:szCs w:val="20"/>
              </w:rPr>
              <w:t>污水处理系统污泥</w:t>
            </w:r>
          </w:p>
          <w:p>
            <w:pPr>
              <w:spacing w:line="360" w:lineRule="auto"/>
              <w:ind w:firstLine="496" w:firstLineChars="200"/>
              <w:rPr>
                <w:spacing w:val="4"/>
                <w:kern w:val="0"/>
                <w:sz w:val="24"/>
                <w:szCs w:val="20"/>
              </w:rPr>
            </w:pPr>
            <w:r>
              <w:rPr>
                <w:rFonts w:hint="eastAsia"/>
                <w:spacing w:val="4"/>
                <w:kern w:val="0"/>
                <w:sz w:val="24"/>
                <w:szCs w:val="20"/>
              </w:rPr>
              <w:t>项目废水经一体化污水处理系统处理后排入</w:t>
            </w:r>
            <w:r>
              <w:rPr>
                <w:rFonts w:hint="eastAsia"/>
                <w:spacing w:val="4"/>
                <w:kern w:val="0"/>
                <w:sz w:val="24"/>
                <w:szCs w:val="20"/>
                <w:lang w:eastAsia="zh-CN"/>
              </w:rPr>
              <w:t>三阳港镇</w:t>
            </w:r>
            <w:r>
              <w:rPr>
                <w:rFonts w:hint="eastAsia"/>
                <w:spacing w:val="4"/>
                <w:kern w:val="0"/>
                <w:sz w:val="24"/>
                <w:szCs w:val="20"/>
              </w:rPr>
              <w:t>污水处理厂，最终进入沅江。根据建设单位提供的资料，污泥产生量约为1.</w:t>
            </w:r>
            <w:r>
              <w:rPr>
                <w:rFonts w:hint="eastAsia"/>
                <w:spacing w:val="4"/>
                <w:kern w:val="0"/>
                <w:sz w:val="24"/>
                <w:szCs w:val="20"/>
                <w:lang w:val="en-US" w:eastAsia="zh-CN"/>
              </w:rPr>
              <w:t>1</w:t>
            </w:r>
            <w:r>
              <w:rPr>
                <w:rFonts w:hint="eastAsia"/>
                <w:spacing w:val="4"/>
                <w:kern w:val="0"/>
                <w:sz w:val="24"/>
                <w:szCs w:val="20"/>
              </w:rPr>
              <w:t>t/a。污水处理系统产生的污泥属于危险废物，建设方对污泥进行石灰固化后，用编织袋收集后委托有资质单位处理。</w:t>
            </w:r>
          </w:p>
          <w:p>
            <w:pPr>
              <w:spacing w:line="360" w:lineRule="auto"/>
              <w:ind w:firstLine="496" w:firstLineChars="200"/>
              <w:rPr>
                <w:spacing w:val="4"/>
                <w:kern w:val="0"/>
                <w:sz w:val="24"/>
                <w:szCs w:val="20"/>
              </w:rPr>
            </w:pPr>
            <w:r>
              <w:rPr>
                <w:rFonts w:hint="eastAsia"/>
                <w:spacing w:val="4"/>
                <w:kern w:val="0"/>
                <w:sz w:val="24"/>
                <w:szCs w:val="20"/>
              </w:rPr>
              <w:t>综上所述，该项目产生的固体废物均采取相应的处置措施，且措施均切实有效，不会对环境造成明显影响。</w:t>
            </w:r>
          </w:p>
          <w:p>
            <w:pPr>
              <w:autoSpaceDE w:val="0"/>
              <w:autoSpaceDN w:val="0"/>
              <w:adjustRightInd w:val="0"/>
              <w:spacing w:line="360" w:lineRule="auto"/>
              <w:rPr>
                <w:b/>
                <w:color w:val="000000"/>
                <w:sz w:val="24"/>
                <w:szCs w:val="32"/>
              </w:rPr>
            </w:pPr>
            <w:r>
              <w:rPr>
                <w:rFonts w:hint="eastAsia"/>
                <w:b/>
                <w:color w:val="000000"/>
                <w:sz w:val="24"/>
                <w:szCs w:val="32"/>
              </w:rPr>
              <w:t>5、本项目污染物</w:t>
            </w:r>
          </w:p>
          <w:p>
            <w:pPr>
              <w:adjustRightInd w:val="0"/>
              <w:snapToGrid w:val="0"/>
              <w:spacing w:line="360" w:lineRule="auto"/>
              <w:ind w:firstLine="480" w:firstLineChars="200"/>
              <w:rPr>
                <w:color w:val="000000"/>
                <w:sz w:val="24"/>
                <w:szCs w:val="32"/>
              </w:rPr>
            </w:pPr>
            <w:r>
              <w:rPr>
                <w:color w:val="000000"/>
                <w:sz w:val="24"/>
                <w:szCs w:val="32"/>
              </w:rPr>
              <w:t>本项目</w:t>
            </w:r>
            <w:r>
              <w:rPr>
                <w:rFonts w:hint="eastAsia"/>
                <w:color w:val="000000"/>
                <w:sz w:val="24"/>
                <w:szCs w:val="32"/>
              </w:rPr>
              <w:t>污染物源强汇总表详见</w:t>
            </w:r>
            <w:r>
              <w:rPr>
                <w:color w:val="000000"/>
                <w:sz w:val="24"/>
                <w:szCs w:val="32"/>
              </w:rPr>
              <w:t>表4-1</w:t>
            </w:r>
            <w:r>
              <w:rPr>
                <w:rFonts w:hint="eastAsia"/>
                <w:color w:val="000000"/>
                <w:sz w:val="24"/>
                <w:szCs w:val="32"/>
              </w:rPr>
              <w:t>0。</w:t>
            </w:r>
          </w:p>
          <w:p>
            <w:pPr>
              <w:adjustRightInd w:val="0"/>
              <w:snapToGrid w:val="0"/>
              <w:spacing w:line="360" w:lineRule="auto"/>
              <w:jc w:val="center"/>
              <w:rPr>
                <w:b/>
                <w:bCs/>
                <w:color w:val="000000"/>
                <w:szCs w:val="21"/>
              </w:rPr>
            </w:pPr>
            <w:r>
              <w:rPr>
                <w:rFonts w:hint="eastAsia"/>
                <w:b/>
                <w:bCs/>
                <w:color w:val="000000"/>
                <w:szCs w:val="21"/>
              </w:rPr>
              <w:t>表4-10本项目污染物产排情况一览表</w:t>
            </w:r>
          </w:p>
          <w:tbl>
            <w:tblPr>
              <w:tblStyle w:val="27"/>
              <w:tblW w:w="799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10"/>
              <w:gridCol w:w="1032"/>
              <w:gridCol w:w="1043"/>
              <w:gridCol w:w="993"/>
              <w:gridCol w:w="1080"/>
              <w:gridCol w:w="983"/>
              <w:gridCol w:w="18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jc w:val="center"/>
              </w:trPr>
              <w:tc>
                <w:tcPr>
                  <w:tcW w:w="1010" w:type="dxa"/>
                  <w:vMerge w:val="restart"/>
                  <w:noWrap/>
                  <w:tcMar>
                    <w:top w:w="15" w:type="dxa"/>
                    <w:left w:w="15" w:type="dxa"/>
                    <w:right w:w="15" w:type="dxa"/>
                  </w:tcMar>
                  <w:vAlign w:val="center"/>
                </w:tcPr>
                <w:p>
                  <w:pPr>
                    <w:pStyle w:val="87"/>
                    <w:rPr>
                      <w:color w:val="000000"/>
                    </w:rPr>
                  </w:pPr>
                  <w:r>
                    <w:rPr>
                      <w:color w:val="000000"/>
                    </w:rPr>
                    <w:t>污染源</w:t>
                  </w:r>
                </w:p>
              </w:tc>
              <w:tc>
                <w:tcPr>
                  <w:tcW w:w="1032" w:type="dxa"/>
                  <w:vMerge w:val="restart"/>
                  <w:noWrap/>
                  <w:tcMar>
                    <w:top w:w="15" w:type="dxa"/>
                    <w:left w:w="15" w:type="dxa"/>
                    <w:right w:w="15" w:type="dxa"/>
                  </w:tcMar>
                  <w:vAlign w:val="center"/>
                </w:tcPr>
                <w:p>
                  <w:pPr>
                    <w:pStyle w:val="87"/>
                    <w:rPr>
                      <w:color w:val="000000"/>
                    </w:rPr>
                  </w:pPr>
                  <w:r>
                    <w:rPr>
                      <w:color w:val="000000"/>
                    </w:rPr>
                    <w:t>污染物</w:t>
                  </w:r>
                </w:p>
              </w:tc>
              <w:tc>
                <w:tcPr>
                  <w:tcW w:w="2036" w:type="dxa"/>
                  <w:gridSpan w:val="2"/>
                  <w:noWrap/>
                  <w:tcMar>
                    <w:top w:w="15" w:type="dxa"/>
                    <w:left w:w="15" w:type="dxa"/>
                    <w:right w:w="15" w:type="dxa"/>
                  </w:tcMar>
                  <w:vAlign w:val="center"/>
                </w:tcPr>
                <w:p>
                  <w:pPr>
                    <w:pStyle w:val="87"/>
                    <w:rPr>
                      <w:color w:val="000000"/>
                    </w:rPr>
                  </w:pPr>
                  <w:r>
                    <w:rPr>
                      <w:rFonts w:hint="eastAsia"/>
                      <w:color w:val="000000"/>
                    </w:rPr>
                    <w:t>产生</w:t>
                  </w:r>
                </w:p>
              </w:tc>
              <w:tc>
                <w:tcPr>
                  <w:tcW w:w="2063" w:type="dxa"/>
                  <w:gridSpan w:val="2"/>
                  <w:noWrap/>
                  <w:tcMar>
                    <w:top w:w="15" w:type="dxa"/>
                    <w:left w:w="15" w:type="dxa"/>
                    <w:right w:w="15" w:type="dxa"/>
                  </w:tcMar>
                  <w:vAlign w:val="center"/>
                </w:tcPr>
                <w:p>
                  <w:pPr>
                    <w:pStyle w:val="87"/>
                    <w:rPr>
                      <w:color w:val="000000"/>
                    </w:rPr>
                  </w:pPr>
                  <w:r>
                    <w:rPr>
                      <w:rFonts w:hint="eastAsia"/>
                      <w:color w:val="000000"/>
                    </w:rPr>
                    <w:t>排放</w:t>
                  </w:r>
                </w:p>
              </w:tc>
              <w:tc>
                <w:tcPr>
                  <w:tcW w:w="1856" w:type="dxa"/>
                  <w:vMerge w:val="restart"/>
                  <w:noWrap/>
                  <w:tcMar>
                    <w:top w:w="15" w:type="dxa"/>
                    <w:left w:w="15" w:type="dxa"/>
                    <w:right w:w="15" w:type="dxa"/>
                  </w:tcMar>
                  <w:vAlign w:val="center"/>
                </w:tcPr>
                <w:p>
                  <w:pPr>
                    <w:pStyle w:val="87"/>
                    <w:rPr>
                      <w:color w:val="000000"/>
                    </w:rPr>
                  </w:pPr>
                  <w:r>
                    <w:rPr>
                      <w:color w:val="00000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jc w:val="center"/>
              </w:trPr>
              <w:tc>
                <w:tcPr>
                  <w:tcW w:w="1010" w:type="dxa"/>
                  <w:vMerge w:val="continue"/>
                  <w:noWrap/>
                  <w:tcMar>
                    <w:top w:w="15" w:type="dxa"/>
                    <w:left w:w="15" w:type="dxa"/>
                    <w:right w:w="15" w:type="dxa"/>
                  </w:tcMar>
                  <w:vAlign w:val="center"/>
                </w:tcPr>
                <w:p>
                  <w:pPr>
                    <w:pStyle w:val="87"/>
                    <w:rPr>
                      <w:color w:val="000000"/>
                    </w:rPr>
                  </w:pPr>
                </w:p>
              </w:tc>
              <w:tc>
                <w:tcPr>
                  <w:tcW w:w="1032" w:type="dxa"/>
                  <w:vMerge w:val="continue"/>
                  <w:noWrap/>
                  <w:tcMar>
                    <w:top w:w="15" w:type="dxa"/>
                    <w:left w:w="15" w:type="dxa"/>
                    <w:right w:w="15" w:type="dxa"/>
                  </w:tcMar>
                  <w:vAlign w:val="center"/>
                </w:tcPr>
                <w:p>
                  <w:pPr>
                    <w:pStyle w:val="87"/>
                    <w:rPr>
                      <w:color w:val="000000"/>
                    </w:rPr>
                  </w:pPr>
                </w:p>
              </w:tc>
              <w:tc>
                <w:tcPr>
                  <w:tcW w:w="1043" w:type="dxa"/>
                  <w:noWrap/>
                  <w:tcMar>
                    <w:top w:w="15" w:type="dxa"/>
                    <w:left w:w="15" w:type="dxa"/>
                    <w:right w:w="15" w:type="dxa"/>
                  </w:tcMar>
                  <w:vAlign w:val="center"/>
                </w:tcPr>
                <w:p>
                  <w:pPr>
                    <w:pStyle w:val="87"/>
                    <w:rPr>
                      <w:color w:val="000000"/>
                    </w:rPr>
                  </w:pPr>
                  <w:r>
                    <w:rPr>
                      <w:rFonts w:hint="eastAsia"/>
                      <w:color w:val="000000"/>
                    </w:rPr>
                    <w:t>产生</w:t>
                  </w:r>
                  <w:r>
                    <w:rPr>
                      <w:color w:val="000000"/>
                    </w:rPr>
                    <w:t>浓度(mg/L)</w:t>
                  </w:r>
                </w:p>
              </w:tc>
              <w:tc>
                <w:tcPr>
                  <w:tcW w:w="993" w:type="dxa"/>
                  <w:noWrap/>
                  <w:tcMar>
                    <w:top w:w="15" w:type="dxa"/>
                    <w:left w:w="15" w:type="dxa"/>
                    <w:right w:w="15" w:type="dxa"/>
                  </w:tcMar>
                  <w:vAlign w:val="center"/>
                </w:tcPr>
                <w:p>
                  <w:pPr>
                    <w:pStyle w:val="87"/>
                    <w:rPr>
                      <w:color w:val="000000"/>
                    </w:rPr>
                  </w:pPr>
                  <w:r>
                    <w:rPr>
                      <w:rFonts w:hint="eastAsia"/>
                      <w:color w:val="000000"/>
                    </w:rPr>
                    <w:t>产生</w:t>
                  </w:r>
                  <w:r>
                    <w:rPr>
                      <w:color w:val="000000"/>
                    </w:rPr>
                    <w:t>量(t/a)</w:t>
                  </w:r>
                </w:p>
              </w:tc>
              <w:tc>
                <w:tcPr>
                  <w:tcW w:w="1080" w:type="dxa"/>
                  <w:noWrap/>
                  <w:tcMar>
                    <w:top w:w="15" w:type="dxa"/>
                    <w:left w:w="15" w:type="dxa"/>
                    <w:right w:w="15" w:type="dxa"/>
                  </w:tcMar>
                  <w:vAlign w:val="center"/>
                </w:tcPr>
                <w:p>
                  <w:pPr>
                    <w:pStyle w:val="87"/>
                    <w:rPr>
                      <w:color w:val="000000"/>
                    </w:rPr>
                  </w:pPr>
                  <w:r>
                    <w:rPr>
                      <w:rFonts w:hint="eastAsia"/>
                      <w:color w:val="000000"/>
                    </w:rPr>
                    <w:t>排放</w:t>
                  </w:r>
                  <w:r>
                    <w:rPr>
                      <w:color w:val="000000"/>
                    </w:rPr>
                    <w:t>浓度(mg/L)</w:t>
                  </w:r>
                </w:p>
              </w:tc>
              <w:tc>
                <w:tcPr>
                  <w:tcW w:w="983" w:type="dxa"/>
                  <w:noWrap/>
                  <w:tcMar>
                    <w:top w:w="15" w:type="dxa"/>
                    <w:left w:w="15" w:type="dxa"/>
                    <w:right w:w="15" w:type="dxa"/>
                  </w:tcMar>
                  <w:vAlign w:val="center"/>
                </w:tcPr>
                <w:p>
                  <w:pPr>
                    <w:pStyle w:val="87"/>
                    <w:rPr>
                      <w:color w:val="000000"/>
                    </w:rPr>
                  </w:pPr>
                  <w:r>
                    <w:rPr>
                      <w:color w:val="000000"/>
                    </w:rPr>
                    <w:t>排放量(t/a)</w:t>
                  </w:r>
                </w:p>
              </w:tc>
              <w:tc>
                <w:tcPr>
                  <w:tcW w:w="1856" w:type="dxa"/>
                  <w:vMerge w:val="continue"/>
                  <w:noWrap/>
                  <w:tcMar>
                    <w:top w:w="15" w:type="dxa"/>
                    <w:left w:w="15" w:type="dxa"/>
                    <w:right w:w="15" w:type="dxa"/>
                  </w:tcMar>
                  <w:vAlign w:val="center"/>
                </w:tcPr>
                <w:p>
                  <w:pPr>
                    <w:pStyle w:val="87"/>
                    <w:rPr>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jc w:val="center"/>
              </w:trPr>
              <w:tc>
                <w:tcPr>
                  <w:tcW w:w="1010" w:type="dxa"/>
                  <w:vMerge w:val="restart"/>
                  <w:noWrap/>
                  <w:tcMar>
                    <w:top w:w="15" w:type="dxa"/>
                    <w:left w:w="15" w:type="dxa"/>
                    <w:right w:w="15" w:type="dxa"/>
                  </w:tcMar>
                  <w:vAlign w:val="center"/>
                </w:tcPr>
                <w:p>
                  <w:pPr>
                    <w:pStyle w:val="87"/>
                    <w:rPr>
                      <w:color w:val="000000"/>
                    </w:rPr>
                  </w:pPr>
                  <w:r>
                    <w:rPr>
                      <w:color w:val="000000"/>
                    </w:rPr>
                    <w:t>综合废水</w:t>
                  </w:r>
                </w:p>
              </w:tc>
              <w:tc>
                <w:tcPr>
                  <w:tcW w:w="1032" w:type="dxa"/>
                  <w:noWrap/>
                  <w:tcMar>
                    <w:top w:w="15" w:type="dxa"/>
                    <w:left w:w="15" w:type="dxa"/>
                    <w:right w:w="15" w:type="dxa"/>
                  </w:tcMar>
                  <w:vAlign w:val="center"/>
                </w:tcPr>
                <w:p>
                  <w:pPr>
                    <w:pStyle w:val="87"/>
                    <w:rPr>
                      <w:color w:val="000000"/>
                    </w:rPr>
                  </w:pPr>
                  <w:r>
                    <w:rPr>
                      <w:color w:val="000000"/>
                    </w:rPr>
                    <w:t>废水量</w:t>
                  </w:r>
                </w:p>
              </w:tc>
              <w:tc>
                <w:tcPr>
                  <w:tcW w:w="104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99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sz w:val="20"/>
                      <w:szCs w:val="20"/>
                      <w:u w:val="single"/>
                      <w:lang w:eastAsia="zh-CN"/>
                    </w:rPr>
                  </w:pPr>
                  <w:r>
                    <w:rPr>
                      <w:rFonts w:hint="default" w:ascii="Times New Roman" w:hAnsi="Times New Roman" w:eastAsia="宋体" w:cs="Times New Roman"/>
                      <w:i w:val="0"/>
                      <w:iCs w:val="0"/>
                      <w:color w:val="000000"/>
                      <w:kern w:val="0"/>
                      <w:sz w:val="20"/>
                      <w:szCs w:val="20"/>
                      <w:u w:val="single"/>
                      <w:lang w:val="en-US" w:eastAsia="zh-CN" w:bidi="ar"/>
                    </w:rPr>
                    <w:t>7539.44</w:t>
                  </w:r>
                </w:p>
              </w:tc>
              <w:tc>
                <w:tcPr>
                  <w:tcW w:w="108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98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sz w:val="20"/>
                      <w:szCs w:val="20"/>
                      <w:u w:val="single"/>
                      <w:lang w:eastAsia="zh-CN"/>
                    </w:rPr>
                  </w:pPr>
                  <w:r>
                    <w:rPr>
                      <w:rFonts w:hint="default" w:ascii="Times New Roman" w:hAnsi="Times New Roman" w:eastAsia="宋体" w:cs="Times New Roman"/>
                      <w:i w:val="0"/>
                      <w:iCs w:val="0"/>
                      <w:color w:val="000000"/>
                      <w:kern w:val="0"/>
                      <w:sz w:val="20"/>
                      <w:szCs w:val="20"/>
                      <w:u w:val="single"/>
                      <w:lang w:val="en-US" w:eastAsia="zh-CN" w:bidi="ar"/>
                    </w:rPr>
                    <w:t>7539.44</w:t>
                  </w:r>
                </w:p>
              </w:tc>
              <w:tc>
                <w:tcPr>
                  <w:tcW w:w="1856" w:type="dxa"/>
                  <w:vMerge w:val="restart"/>
                  <w:noWrap/>
                  <w:tcMar>
                    <w:top w:w="15" w:type="dxa"/>
                    <w:left w:w="15" w:type="dxa"/>
                    <w:right w:w="15" w:type="dxa"/>
                  </w:tcMar>
                  <w:vAlign w:val="center"/>
                </w:tcPr>
                <w:p>
                  <w:pPr>
                    <w:pStyle w:val="87"/>
                    <w:rPr>
                      <w:rFonts w:hint="eastAsia" w:eastAsia="宋体"/>
                      <w:color w:val="000000"/>
                      <w:lang w:eastAsia="zh-CN"/>
                    </w:rPr>
                  </w:pPr>
                  <w:r>
                    <w:rPr>
                      <w:rFonts w:hint="eastAsia"/>
                      <w:color w:val="000000"/>
                      <w:u w:val="none"/>
                    </w:rPr>
                    <w:t>处理达标后</w:t>
                  </w:r>
                  <w:r>
                    <w:rPr>
                      <w:rFonts w:hint="eastAsia"/>
                      <w:color w:val="000000"/>
                      <w:u w:val="none"/>
                      <w:lang w:eastAsia="zh-CN"/>
                    </w:rPr>
                    <w:t>进入三阳港镇污水处理厂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jc w:val="center"/>
              </w:trPr>
              <w:tc>
                <w:tcPr>
                  <w:tcW w:w="1010" w:type="dxa"/>
                  <w:vMerge w:val="continue"/>
                  <w:noWrap/>
                  <w:tcMar>
                    <w:top w:w="15" w:type="dxa"/>
                    <w:left w:w="15" w:type="dxa"/>
                    <w:right w:w="15" w:type="dxa"/>
                  </w:tcMar>
                  <w:vAlign w:val="center"/>
                </w:tcPr>
                <w:p>
                  <w:pPr>
                    <w:pStyle w:val="87"/>
                    <w:rPr>
                      <w:color w:val="000000"/>
                    </w:rPr>
                  </w:pPr>
                </w:p>
              </w:tc>
              <w:tc>
                <w:tcPr>
                  <w:tcW w:w="1032" w:type="dxa"/>
                  <w:noWrap/>
                  <w:tcMar>
                    <w:top w:w="15" w:type="dxa"/>
                    <w:left w:w="15" w:type="dxa"/>
                    <w:right w:w="15" w:type="dxa"/>
                  </w:tcMar>
                  <w:vAlign w:val="center"/>
                </w:tcPr>
                <w:p>
                  <w:pPr>
                    <w:widowControl/>
                    <w:jc w:val="center"/>
                    <w:textAlignment w:val="center"/>
                    <w:rPr>
                      <w:color w:val="000000"/>
                    </w:rPr>
                  </w:pPr>
                  <w:r>
                    <w:rPr>
                      <w:color w:val="000000"/>
                      <w:kern w:val="0"/>
                      <w:szCs w:val="21"/>
                      <w:lang w:bidi="ar"/>
                    </w:rPr>
                    <w:t>pH</w:t>
                  </w:r>
                  <w:r>
                    <w:rPr>
                      <w:rFonts w:hint="eastAsia" w:ascii="宋体" w:hAnsi="宋体" w:cs="宋体"/>
                      <w:color w:val="000000"/>
                      <w:kern w:val="0"/>
                      <w:szCs w:val="21"/>
                      <w:lang w:bidi="ar"/>
                    </w:rPr>
                    <w:t>值（无量纲）</w:t>
                  </w:r>
                </w:p>
              </w:tc>
              <w:tc>
                <w:tcPr>
                  <w:tcW w:w="104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6.49～6.87</w:t>
                  </w:r>
                </w:p>
              </w:tc>
              <w:tc>
                <w:tcPr>
                  <w:tcW w:w="99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108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6.19～6.71</w:t>
                  </w:r>
                </w:p>
              </w:tc>
              <w:tc>
                <w:tcPr>
                  <w:tcW w:w="98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1856" w:type="dxa"/>
                  <w:vMerge w:val="continue"/>
                  <w:noWrap/>
                  <w:tcMar>
                    <w:top w:w="15" w:type="dxa"/>
                    <w:left w:w="15" w:type="dxa"/>
                    <w:right w:w="15" w:type="dxa"/>
                  </w:tcMar>
                  <w:vAlign w:val="center"/>
                </w:tcPr>
                <w:p>
                  <w:pPr>
                    <w:pStyle w:val="87"/>
                    <w:rPr>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1010" w:type="dxa"/>
                  <w:vMerge w:val="continue"/>
                  <w:noWrap/>
                  <w:tcMar>
                    <w:top w:w="15" w:type="dxa"/>
                    <w:left w:w="15" w:type="dxa"/>
                    <w:right w:w="15" w:type="dxa"/>
                  </w:tcMar>
                  <w:vAlign w:val="center"/>
                </w:tcPr>
                <w:p>
                  <w:pPr>
                    <w:pStyle w:val="87"/>
                    <w:rPr>
                      <w:color w:val="000000"/>
                    </w:rPr>
                  </w:pPr>
                </w:p>
              </w:tc>
              <w:tc>
                <w:tcPr>
                  <w:tcW w:w="1032" w:type="dxa"/>
                  <w:noWrap/>
                  <w:tcMar>
                    <w:top w:w="15" w:type="dxa"/>
                    <w:left w:w="15" w:type="dxa"/>
                    <w:right w:w="15" w:type="dxa"/>
                  </w:tcMar>
                  <w:vAlign w:val="center"/>
                </w:tcPr>
                <w:p>
                  <w:pPr>
                    <w:widowControl/>
                    <w:jc w:val="center"/>
                    <w:textAlignment w:val="center"/>
                    <w:rPr>
                      <w:color w:val="000000"/>
                    </w:rPr>
                  </w:pPr>
                  <w:r>
                    <w:rPr>
                      <w:color w:val="000000"/>
                      <w:kern w:val="0"/>
                      <w:szCs w:val="21"/>
                      <w:lang w:bidi="ar"/>
                    </w:rPr>
                    <w:t>COD</w:t>
                  </w:r>
                  <w:r>
                    <w:rPr>
                      <w:rFonts w:hint="eastAsia" w:ascii="宋体" w:hAnsi="宋体" w:cs="宋体"/>
                      <w:color w:val="000000"/>
                      <w:kern w:val="0"/>
                      <w:szCs w:val="21"/>
                      <w:lang w:bidi="ar"/>
                    </w:rPr>
                    <w:t>（</w:t>
                  </w:r>
                  <w:r>
                    <w:rPr>
                      <w:color w:val="000000"/>
                      <w:kern w:val="0"/>
                      <w:szCs w:val="21"/>
                      <w:lang w:bidi="ar"/>
                    </w:rPr>
                    <w:t>mg/L</w:t>
                  </w:r>
                  <w:r>
                    <w:rPr>
                      <w:rFonts w:hint="eastAsia" w:ascii="宋体" w:hAnsi="宋体" w:cs="宋体"/>
                      <w:color w:val="000000"/>
                      <w:kern w:val="0"/>
                      <w:szCs w:val="21"/>
                      <w:lang w:bidi="ar"/>
                    </w:rPr>
                    <w:t>）</w:t>
                  </w:r>
                </w:p>
              </w:tc>
              <w:tc>
                <w:tcPr>
                  <w:tcW w:w="104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106</w:t>
                  </w:r>
                </w:p>
              </w:tc>
              <w:tc>
                <w:tcPr>
                  <w:tcW w:w="99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0.7992</w:t>
                  </w:r>
                </w:p>
              </w:tc>
              <w:tc>
                <w:tcPr>
                  <w:tcW w:w="108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17</w:t>
                  </w:r>
                </w:p>
              </w:tc>
              <w:tc>
                <w:tcPr>
                  <w:tcW w:w="98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lang w:eastAsia="zh-CN"/>
                    </w:rPr>
                  </w:pPr>
                  <w:r>
                    <w:rPr>
                      <w:rFonts w:hint="default" w:ascii="Times New Roman" w:hAnsi="Times New Roman" w:eastAsia="宋体" w:cs="Times New Roman"/>
                      <w:i w:val="0"/>
                      <w:iCs w:val="0"/>
                      <w:color w:val="000000"/>
                      <w:kern w:val="0"/>
                      <w:sz w:val="20"/>
                      <w:szCs w:val="20"/>
                      <w:u w:val="single"/>
                      <w:lang w:val="en-US" w:eastAsia="zh-CN" w:bidi="ar"/>
                    </w:rPr>
                    <w:t>0.1282</w:t>
                  </w:r>
                </w:p>
              </w:tc>
              <w:tc>
                <w:tcPr>
                  <w:tcW w:w="1856" w:type="dxa"/>
                  <w:vMerge w:val="continue"/>
                  <w:noWrap/>
                  <w:tcMar>
                    <w:top w:w="15" w:type="dxa"/>
                    <w:left w:w="15" w:type="dxa"/>
                    <w:right w:w="15" w:type="dxa"/>
                  </w:tcMar>
                  <w:vAlign w:val="center"/>
                </w:tcPr>
                <w:p>
                  <w:pPr>
                    <w:pStyle w:val="87"/>
                    <w:rPr>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jc w:val="center"/>
              </w:trPr>
              <w:tc>
                <w:tcPr>
                  <w:tcW w:w="1010" w:type="dxa"/>
                  <w:vMerge w:val="continue"/>
                  <w:noWrap/>
                  <w:tcMar>
                    <w:top w:w="15" w:type="dxa"/>
                    <w:left w:w="15" w:type="dxa"/>
                    <w:right w:w="15" w:type="dxa"/>
                  </w:tcMar>
                  <w:vAlign w:val="center"/>
                </w:tcPr>
                <w:p>
                  <w:pPr>
                    <w:pStyle w:val="87"/>
                    <w:rPr>
                      <w:color w:val="000000"/>
                    </w:rPr>
                  </w:pPr>
                </w:p>
              </w:tc>
              <w:tc>
                <w:tcPr>
                  <w:tcW w:w="1032" w:type="dxa"/>
                  <w:noWrap/>
                  <w:tcMar>
                    <w:top w:w="15" w:type="dxa"/>
                    <w:left w:w="15" w:type="dxa"/>
                    <w:right w:w="15" w:type="dxa"/>
                  </w:tcMar>
                  <w:vAlign w:val="center"/>
                </w:tcPr>
                <w:p>
                  <w:pPr>
                    <w:widowControl/>
                    <w:jc w:val="center"/>
                    <w:textAlignment w:val="center"/>
                    <w:rPr>
                      <w:color w:val="000000"/>
                    </w:rPr>
                  </w:pPr>
                  <w:r>
                    <w:rPr>
                      <w:color w:val="000000"/>
                      <w:kern w:val="0"/>
                      <w:szCs w:val="21"/>
                      <w:lang w:bidi="ar"/>
                    </w:rPr>
                    <w:t>氨氮</w:t>
                  </w:r>
                  <w:r>
                    <w:rPr>
                      <w:rFonts w:hint="eastAsia" w:ascii="宋体" w:hAnsi="宋体" w:cs="宋体"/>
                      <w:color w:val="000000"/>
                      <w:kern w:val="0"/>
                      <w:szCs w:val="21"/>
                      <w:lang w:bidi="ar"/>
                    </w:rPr>
                    <w:t>（</w:t>
                  </w:r>
                  <w:r>
                    <w:rPr>
                      <w:color w:val="000000"/>
                      <w:kern w:val="0"/>
                      <w:szCs w:val="21"/>
                      <w:lang w:bidi="ar"/>
                    </w:rPr>
                    <w:t>mg/L</w:t>
                  </w:r>
                  <w:r>
                    <w:rPr>
                      <w:rFonts w:hint="eastAsia" w:ascii="宋体" w:hAnsi="宋体" w:cs="宋体"/>
                      <w:color w:val="000000"/>
                      <w:kern w:val="0"/>
                      <w:szCs w:val="21"/>
                      <w:lang w:bidi="ar"/>
                    </w:rPr>
                    <w:t>）</w:t>
                  </w:r>
                </w:p>
              </w:tc>
              <w:tc>
                <w:tcPr>
                  <w:tcW w:w="104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53.2</w:t>
                  </w:r>
                </w:p>
              </w:tc>
              <w:tc>
                <w:tcPr>
                  <w:tcW w:w="99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0.4011</w:t>
                  </w:r>
                </w:p>
              </w:tc>
              <w:tc>
                <w:tcPr>
                  <w:tcW w:w="108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0.065</w:t>
                  </w:r>
                </w:p>
              </w:tc>
              <w:tc>
                <w:tcPr>
                  <w:tcW w:w="98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lang w:eastAsia="zh-CN"/>
                    </w:rPr>
                  </w:pPr>
                  <w:r>
                    <w:rPr>
                      <w:rFonts w:hint="default" w:ascii="Times New Roman" w:hAnsi="Times New Roman" w:eastAsia="宋体" w:cs="Times New Roman"/>
                      <w:i w:val="0"/>
                      <w:iCs w:val="0"/>
                      <w:color w:val="000000"/>
                      <w:kern w:val="0"/>
                      <w:sz w:val="20"/>
                      <w:szCs w:val="20"/>
                      <w:u w:val="single"/>
                      <w:lang w:val="en-US" w:eastAsia="zh-CN" w:bidi="ar"/>
                    </w:rPr>
                    <w:t>0.0005</w:t>
                  </w:r>
                </w:p>
              </w:tc>
              <w:tc>
                <w:tcPr>
                  <w:tcW w:w="1856" w:type="dxa"/>
                  <w:vMerge w:val="continue"/>
                  <w:noWrap/>
                  <w:tcMar>
                    <w:top w:w="15" w:type="dxa"/>
                    <w:left w:w="15" w:type="dxa"/>
                    <w:right w:w="15" w:type="dxa"/>
                  </w:tcMar>
                  <w:vAlign w:val="center"/>
                </w:tcPr>
                <w:p>
                  <w:pPr>
                    <w:pStyle w:val="87"/>
                    <w:rPr>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jc w:val="center"/>
              </w:trPr>
              <w:tc>
                <w:tcPr>
                  <w:tcW w:w="1010" w:type="dxa"/>
                  <w:vMerge w:val="continue"/>
                  <w:noWrap/>
                  <w:tcMar>
                    <w:top w:w="15" w:type="dxa"/>
                    <w:left w:w="15" w:type="dxa"/>
                    <w:right w:w="15" w:type="dxa"/>
                  </w:tcMar>
                  <w:vAlign w:val="center"/>
                </w:tcPr>
                <w:p>
                  <w:pPr>
                    <w:pStyle w:val="87"/>
                    <w:rPr>
                      <w:color w:val="000000"/>
                    </w:rPr>
                  </w:pPr>
                </w:p>
              </w:tc>
              <w:tc>
                <w:tcPr>
                  <w:tcW w:w="1032" w:type="dxa"/>
                  <w:noWrap/>
                  <w:tcMar>
                    <w:top w:w="15" w:type="dxa"/>
                    <w:left w:w="15" w:type="dxa"/>
                    <w:right w:w="15" w:type="dxa"/>
                  </w:tcMar>
                  <w:vAlign w:val="center"/>
                </w:tcPr>
                <w:p>
                  <w:pPr>
                    <w:widowControl/>
                    <w:jc w:val="center"/>
                    <w:textAlignment w:val="center"/>
                    <w:rPr>
                      <w:color w:val="000000"/>
                    </w:rPr>
                  </w:pPr>
                  <w:r>
                    <w:rPr>
                      <w:color w:val="000000"/>
                      <w:kern w:val="0"/>
                      <w:szCs w:val="21"/>
                      <w:lang w:bidi="ar"/>
                    </w:rPr>
                    <w:t>BOD</w:t>
                  </w:r>
                  <w:r>
                    <w:rPr>
                      <w:color w:val="000000"/>
                      <w:kern w:val="0"/>
                      <w:szCs w:val="21"/>
                      <w:vertAlign w:val="subscript"/>
                      <w:lang w:bidi="ar"/>
                    </w:rPr>
                    <w:t>5</w:t>
                  </w:r>
                  <w:r>
                    <w:rPr>
                      <w:rFonts w:hint="eastAsia" w:ascii="宋体" w:hAnsi="宋体" w:cs="宋体"/>
                      <w:color w:val="000000"/>
                      <w:kern w:val="0"/>
                      <w:szCs w:val="21"/>
                      <w:lang w:bidi="ar"/>
                    </w:rPr>
                    <w:t>（</w:t>
                  </w:r>
                  <w:r>
                    <w:rPr>
                      <w:color w:val="000000"/>
                      <w:kern w:val="0"/>
                      <w:szCs w:val="21"/>
                      <w:lang w:bidi="ar"/>
                    </w:rPr>
                    <w:t>mg/L</w:t>
                  </w:r>
                  <w:r>
                    <w:rPr>
                      <w:rFonts w:hint="eastAsia" w:ascii="宋体" w:hAnsi="宋体" w:cs="宋体"/>
                      <w:color w:val="000000"/>
                      <w:kern w:val="0"/>
                      <w:szCs w:val="21"/>
                      <w:lang w:bidi="ar"/>
                    </w:rPr>
                    <w:t>）</w:t>
                  </w:r>
                </w:p>
              </w:tc>
              <w:tc>
                <w:tcPr>
                  <w:tcW w:w="104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35.3</w:t>
                  </w:r>
                </w:p>
              </w:tc>
              <w:tc>
                <w:tcPr>
                  <w:tcW w:w="99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0.2661</w:t>
                  </w:r>
                </w:p>
              </w:tc>
              <w:tc>
                <w:tcPr>
                  <w:tcW w:w="108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3.1</w:t>
                  </w:r>
                </w:p>
              </w:tc>
              <w:tc>
                <w:tcPr>
                  <w:tcW w:w="98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lang w:eastAsia="zh-CN"/>
                    </w:rPr>
                  </w:pPr>
                  <w:r>
                    <w:rPr>
                      <w:rFonts w:hint="default" w:ascii="Times New Roman" w:hAnsi="Times New Roman" w:eastAsia="宋体" w:cs="Times New Roman"/>
                      <w:i w:val="0"/>
                      <w:iCs w:val="0"/>
                      <w:color w:val="000000"/>
                      <w:kern w:val="0"/>
                      <w:sz w:val="20"/>
                      <w:szCs w:val="20"/>
                      <w:u w:val="single"/>
                      <w:lang w:val="en-US" w:eastAsia="zh-CN" w:bidi="ar"/>
                    </w:rPr>
                    <w:t>0.0234</w:t>
                  </w:r>
                </w:p>
              </w:tc>
              <w:tc>
                <w:tcPr>
                  <w:tcW w:w="1856" w:type="dxa"/>
                  <w:vMerge w:val="continue"/>
                  <w:noWrap/>
                  <w:tcMar>
                    <w:top w:w="15" w:type="dxa"/>
                    <w:left w:w="15" w:type="dxa"/>
                    <w:right w:w="15" w:type="dxa"/>
                  </w:tcMar>
                  <w:vAlign w:val="center"/>
                </w:tcPr>
                <w:p>
                  <w:pPr>
                    <w:pStyle w:val="87"/>
                    <w:rPr>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jc w:val="center"/>
              </w:trPr>
              <w:tc>
                <w:tcPr>
                  <w:tcW w:w="1010" w:type="dxa"/>
                  <w:vMerge w:val="continue"/>
                  <w:noWrap/>
                  <w:tcMar>
                    <w:top w:w="15" w:type="dxa"/>
                    <w:left w:w="15" w:type="dxa"/>
                    <w:right w:w="15" w:type="dxa"/>
                  </w:tcMar>
                  <w:vAlign w:val="center"/>
                </w:tcPr>
                <w:p>
                  <w:pPr>
                    <w:pStyle w:val="87"/>
                    <w:rPr>
                      <w:color w:val="000000"/>
                    </w:rPr>
                  </w:pPr>
                </w:p>
              </w:tc>
              <w:tc>
                <w:tcPr>
                  <w:tcW w:w="1032" w:type="dxa"/>
                  <w:noWrap/>
                  <w:tcMar>
                    <w:top w:w="15" w:type="dxa"/>
                    <w:left w:w="15" w:type="dxa"/>
                    <w:right w:w="15" w:type="dxa"/>
                  </w:tcMar>
                  <w:vAlign w:val="center"/>
                </w:tcPr>
                <w:p>
                  <w:pPr>
                    <w:widowControl/>
                    <w:jc w:val="center"/>
                    <w:textAlignment w:val="center"/>
                    <w:rPr>
                      <w:color w:val="000000"/>
                    </w:rPr>
                  </w:pPr>
                  <w:r>
                    <w:rPr>
                      <w:color w:val="000000"/>
                      <w:kern w:val="0"/>
                      <w:szCs w:val="21"/>
                      <w:lang w:bidi="ar"/>
                    </w:rPr>
                    <w:t>余氯</w:t>
                  </w:r>
                  <w:r>
                    <w:rPr>
                      <w:rFonts w:hint="eastAsia" w:ascii="宋体" w:hAnsi="宋体" w:cs="宋体"/>
                      <w:color w:val="000000"/>
                      <w:kern w:val="0"/>
                      <w:szCs w:val="21"/>
                      <w:lang w:bidi="ar"/>
                    </w:rPr>
                    <w:t>（</w:t>
                  </w:r>
                  <w:r>
                    <w:rPr>
                      <w:color w:val="000000"/>
                      <w:kern w:val="0"/>
                      <w:szCs w:val="21"/>
                      <w:lang w:bidi="ar"/>
                    </w:rPr>
                    <w:t>mg/L</w:t>
                  </w:r>
                  <w:r>
                    <w:rPr>
                      <w:rFonts w:hint="eastAsia" w:ascii="宋体" w:hAnsi="宋体" w:cs="宋体"/>
                      <w:color w:val="000000"/>
                      <w:kern w:val="0"/>
                      <w:szCs w:val="21"/>
                      <w:lang w:bidi="ar"/>
                    </w:rPr>
                    <w:t>）</w:t>
                  </w:r>
                </w:p>
              </w:tc>
              <w:tc>
                <w:tcPr>
                  <w:tcW w:w="104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99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108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0.012</w:t>
                  </w:r>
                </w:p>
              </w:tc>
              <w:tc>
                <w:tcPr>
                  <w:tcW w:w="98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0.0001</w:t>
                  </w:r>
                </w:p>
              </w:tc>
              <w:tc>
                <w:tcPr>
                  <w:tcW w:w="1856" w:type="dxa"/>
                  <w:vMerge w:val="continue"/>
                  <w:noWrap/>
                  <w:tcMar>
                    <w:top w:w="15" w:type="dxa"/>
                    <w:left w:w="15" w:type="dxa"/>
                    <w:right w:w="15" w:type="dxa"/>
                  </w:tcMar>
                  <w:vAlign w:val="center"/>
                </w:tcPr>
                <w:p>
                  <w:pPr>
                    <w:pStyle w:val="87"/>
                    <w:rPr>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jc w:val="center"/>
              </w:trPr>
              <w:tc>
                <w:tcPr>
                  <w:tcW w:w="1010" w:type="dxa"/>
                  <w:vMerge w:val="continue"/>
                  <w:noWrap/>
                  <w:tcMar>
                    <w:top w:w="15" w:type="dxa"/>
                    <w:left w:w="15" w:type="dxa"/>
                    <w:right w:w="15" w:type="dxa"/>
                  </w:tcMar>
                  <w:vAlign w:val="center"/>
                </w:tcPr>
                <w:p>
                  <w:pPr>
                    <w:pStyle w:val="87"/>
                    <w:rPr>
                      <w:color w:val="000000"/>
                    </w:rPr>
                  </w:pPr>
                </w:p>
              </w:tc>
              <w:tc>
                <w:tcPr>
                  <w:tcW w:w="1032" w:type="dxa"/>
                  <w:noWrap/>
                  <w:tcMar>
                    <w:top w:w="15" w:type="dxa"/>
                    <w:left w:w="15" w:type="dxa"/>
                    <w:right w:w="15" w:type="dxa"/>
                  </w:tcMar>
                  <w:vAlign w:val="center"/>
                </w:tcPr>
                <w:p>
                  <w:pPr>
                    <w:widowControl/>
                    <w:jc w:val="center"/>
                    <w:textAlignment w:val="center"/>
                    <w:rPr>
                      <w:color w:val="000000"/>
                    </w:rPr>
                  </w:pPr>
                  <w:r>
                    <w:rPr>
                      <w:color w:val="000000"/>
                      <w:kern w:val="0"/>
                      <w:szCs w:val="21"/>
                      <w:lang w:bidi="ar"/>
                    </w:rPr>
                    <w:t>总磷</w:t>
                  </w:r>
                  <w:r>
                    <w:rPr>
                      <w:rFonts w:hint="eastAsia" w:ascii="宋体" w:hAnsi="宋体" w:cs="宋体"/>
                      <w:color w:val="000000"/>
                      <w:kern w:val="0"/>
                      <w:szCs w:val="21"/>
                      <w:lang w:bidi="ar"/>
                    </w:rPr>
                    <w:t>（</w:t>
                  </w:r>
                  <w:r>
                    <w:rPr>
                      <w:color w:val="000000"/>
                      <w:kern w:val="0"/>
                      <w:szCs w:val="21"/>
                      <w:lang w:bidi="ar"/>
                    </w:rPr>
                    <w:t>mg/L</w:t>
                  </w:r>
                  <w:r>
                    <w:rPr>
                      <w:rFonts w:hint="eastAsia" w:ascii="宋体" w:hAnsi="宋体" w:cs="宋体"/>
                      <w:color w:val="000000"/>
                      <w:kern w:val="0"/>
                      <w:szCs w:val="21"/>
                      <w:lang w:bidi="ar"/>
                    </w:rPr>
                    <w:t>）</w:t>
                  </w:r>
                </w:p>
              </w:tc>
              <w:tc>
                <w:tcPr>
                  <w:tcW w:w="104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2.57</w:t>
                  </w:r>
                </w:p>
              </w:tc>
              <w:tc>
                <w:tcPr>
                  <w:tcW w:w="99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0.0194</w:t>
                  </w:r>
                </w:p>
              </w:tc>
              <w:tc>
                <w:tcPr>
                  <w:tcW w:w="108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0.012</w:t>
                  </w:r>
                </w:p>
              </w:tc>
              <w:tc>
                <w:tcPr>
                  <w:tcW w:w="98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lang w:eastAsia="zh-CN"/>
                    </w:rPr>
                  </w:pPr>
                  <w:r>
                    <w:rPr>
                      <w:rFonts w:hint="default" w:ascii="Times New Roman" w:hAnsi="Times New Roman" w:eastAsia="宋体" w:cs="Times New Roman"/>
                      <w:i w:val="0"/>
                      <w:iCs w:val="0"/>
                      <w:color w:val="000000"/>
                      <w:kern w:val="0"/>
                      <w:sz w:val="20"/>
                      <w:szCs w:val="20"/>
                      <w:u w:val="single"/>
                      <w:lang w:val="en-US" w:eastAsia="zh-CN" w:bidi="ar"/>
                    </w:rPr>
                    <w:t>0.00009</w:t>
                  </w:r>
                </w:p>
              </w:tc>
              <w:tc>
                <w:tcPr>
                  <w:tcW w:w="1856" w:type="dxa"/>
                  <w:vMerge w:val="continue"/>
                  <w:noWrap/>
                  <w:tcMar>
                    <w:top w:w="15" w:type="dxa"/>
                    <w:left w:w="15" w:type="dxa"/>
                    <w:right w:w="15" w:type="dxa"/>
                  </w:tcMar>
                  <w:vAlign w:val="center"/>
                </w:tcPr>
                <w:p>
                  <w:pPr>
                    <w:pStyle w:val="87"/>
                    <w:rPr>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jc w:val="center"/>
              </w:trPr>
              <w:tc>
                <w:tcPr>
                  <w:tcW w:w="1010" w:type="dxa"/>
                  <w:vMerge w:val="continue"/>
                  <w:noWrap/>
                  <w:tcMar>
                    <w:top w:w="15" w:type="dxa"/>
                    <w:left w:w="15" w:type="dxa"/>
                    <w:right w:w="15" w:type="dxa"/>
                  </w:tcMar>
                  <w:vAlign w:val="center"/>
                </w:tcPr>
                <w:p>
                  <w:pPr>
                    <w:pStyle w:val="87"/>
                    <w:rPr>
                      <w:color w:val="000000"/>
                    </w:rPr>
                  </w:pPr>
                </w:p>
              </w:tc>
              <w:tc>
                <w:tcPr>
                  <w:tcW w:w="1032" w:type="dxa"/>
                  <w:noWrap/>
                  <w:tcMar>
                    <w:top w:w="15" w:type="dxa"/>
                    <w:left w:w="15" w:type="dxa"/>
                    <w:right w:w="15" w:type="dxa"/>
                  </w:tcMar>
                  <w:vAlign w:val="center"/>
                </w:tcPr>
                <w:p>
                  <w:pPr>
                    <w:widowControl/>
                    <w:jc w:val="center"/>
                    <w:textAlignment w:val="center"/>
                    <w:rPr>
                      <w:color w:val="000000"/>
                    </w:rPr>
                  </w:pPr>
                  <w:r>
                    <w:rPr>
                      <w:color w:val="000000"/>
                      <w:kern w:val="0"/>
                      <w:szCs w:val="21"/>
                      <w:lang w:bidi="ar"/>
                    </w:rPr>
                    <w:t>粪大肠菌群(MPN/L)</w:t>
                  </w:r>
                </w:p>
              </w:tc>
              <w:tc>
                <w:tcPr>
                  <w:tcW w:w="104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2.4×10</w:t>
                  </w:r>
                  <w:r>
                    <w:rPr>
                      <w:rFonts w:hint="default" w:ascii="Times New Roman" w:hAnsi="Times New Roman" w:eastAsia="宋体" w:cs="Times New Roman"/>
                      <w:i w:val="0"/>
                      <w:iCs w:val="0"/>
                      <w:color w:val="000000"/>
                      <w:kern w:val="0"/>
                      <w:sz w:val="20"/>
                      <w:szCs w:val="20"/>
                      <w:u w:val="single"/>
                      <w:vertAlign w:val="superscript"/>
                      <w:lang w:val="en-US" w:eastAsia="zh-CN" w:bidi="ar"/>
                    </w:rPr>
                    <w:t>4</w:t>
                  </w:r>
                </w:p>
              </w:tc>
              <w:tc>
                <w:tcPr>
                  <w:tcW w:w="99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2.4×10</w:t>
                  </w:r>
                  <w:r>
                    <w:rPr>
                      <w:rFonts w:hint="default" w:ascii="Times New Roman" w:hAnsi="Times New Roman" w:eastAsia="宋体" w:cs="Times New Roman"/>
                      <w:i w:val="0"/>
                      <w:iCs w:val="0"/>
                      <w:color w:val="000000"/>
                      <w:kern w:val="0"/>
                      <w:sz w:val="20"/>
                      <w:szCs w:val="20"/>
                      <w:u w:val="single"/>
                      <w:vertAlign w:val="superscript"/>
                      <w:lang w:val="en-US" w:eastAsia="zh-CN" w:bidi="ar"/>
                    </w:rPr>
                    <w:t>8</w:t>
                  </w:r>
                </w:p>
              </w:tc>
              <w:tc>
                <w:tcPr>
                  <w:tcW w:w="108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＜20</w:t>
                  </w:r>
                </w:p>
              </w:tc>
              <w:tc>
                <w:tcPr>
                  <w:tcW w:w="98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1856" w:type="dxa"/>
                  <w:vMerge w:val="continue"/>
                  <w:noWrap/>
                  <w:tcMar>
                    <w:top w:w="15" w:type="dxa"/>
                    <w:left w:w="15" w:type="dxa"/>
                    <w:right w:w="15" w:type="dxa"/>
                  </w:tcMar>
                  <w:vAlign w:val="center"/>
                </w:tcPr>
                <w:p>
                  <w:pPr>
                    <w:pStyle w:val="87"/>
                    <w:rPr>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jc w:val="center"/>
              </w:trPr>
              <w:tc>
                <w:tcPr>
                  <w:tcW w:w="1010" w:type="dxa"/>
                  <w:vMerge w:val="restart"/>
                  <w:noWrap/>
                  <w:tcMar>
                    <w:top w:w="15" w:type="dxa"/>
                    <w:left w:w="15" w:type="dxa"/>
                    <w:right w:w="15" w:type="dxa"/>
                  </w:tcMar>
                  <w:vAlign w:val="center"/>
                </w:tcPr>
                <w:p>
                  <w:pPr>
                    <w:pStyle w:val="87"/>
                    <w:rPr>
                      <w:color w:val="000000"/>
                    </w:rPr>
                  </w:pPr>
                  <w:r>
                    <w:rPr>
                      <w:color w:val="000000"/>
                    </w:rPr>
                    <w:t>恶臭</w:t>
                  </w:r>
                </w:p>
              </w:tc>
              <w:tc>
                <w:tcPr>
                  <w:tcW w:w="1032" w:type="dxa"/>
                  <w:noWrap/>
                  <w:tcMar>
                    <w:top w:w="15" w:type="dxa"/>
                    <w:left w:w="15" w:type="dxa"/>
                    <w:right w:w="15" w:type="dxa"/>
                  </w:tcMar>
                  <w:vAlign w:val="center"/>
                </w:tcPr>
                <w:p>
                  <w:pPr>
                    <w:pStyle w:val="87"/>
                    <w:rPr>
                      <w:color w:val="000000"/>
                    </w:rPr>
                  </w:pPr>
                  <w:r>
                    <w:rPr>
                      <w:color w:val="000000"/>
                    </w:rPr>
                    <w:t>NH</w:t>
                  </w:r>
                  <w:r>
                    <w:rPr>
                      <w:color w:val="000000"/>
                      <w:vertAlign w:val="subscript"/>
                    </w:rPr>
                    <w:t>3</w:t>
                  </w:r>
                </w:p>
              </w:tc>
              <w:tc>
                <w:tcPr>
                  <w:tcW w:w="104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99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0.000740</w:t>
                  </w:r>
                </w:p>
              </w:tc>
              <w:tc>
                <w:tcPr>
                  <w:tcW w:w="108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98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0.000740</w:t>
                  </w:r>
                </w:p>
              </w:tc>
              <w:tc>
                <w:tcPr>
                  <w:tcW w:w="1856" w:type="dxa"/>
                  <w:vMerge w:val="restart"/>
                  <w:noWrap/>
                  <w:tcMar>
                    <w:top w:w="15" w:type="dxa"/>
                    <w:left w:w="15" w:type="dxa"/>
                    <w:right w:w="15" w:type="dxa"/>
                  </w:tcMar>
                  <w:vAlign w:val="center"/>
                </w:tcPr>
                <w:p>
                  <w:pPr>
                    <w:pStyle w:val="87"/>
                    <w:rPr>
                      <w:color w:val="000000"/>
                    </w:rPr>
                  </w:pPr>
                  <w:r>
                    <w:t>加盖污水处理+厂区绿化后无组织排放</w:t>
                  </w:r>
                  <w:r>
                    <w:rPr>
                      <w:color w:val="000000"/>
                    </w:rPr>
                    <w:t>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jc w:val="center"/>
              </w:trPr>
              <w:tc>
                <w:tcPr>
                  <w:tcW w:w="1010" w:type="dxa"/>
                  <w:vMerge w:val="continue"/>
                  <w:noWrap/>
                  <w:tcMar>
                    <w:top w:w="15" w:type="dxa"/>
                    <w:left w:w="15" w:type="dxa"/>
                    <w:right w:w="15" w:type="dxa"/>
                  </w:tcMar>
                  <w:vAlign w:val="center"/>
                </w:tcPr>
                <w:p>
                  <w:pPr>
                    <w:pStyle w:val="87"/>
                    <w:rPr>
                      <w:color w:val="000000"/>
                    </w:rPr>
                  </w:pPr>
                </w:p>
              </w:tc>
              <w:tc>
                <w:tcPr>
                  <w:tcW w:w="1032" w:type="dxa"/>
                  <w:noWrap/>
                  <w:tcMar>
                    <w:top w:w="15" w:type="dxa"/>
                    <w:left w:w="15" w:type="dxa"/>
                    <w:right w:w="15" w:type="dxa"/>
                  </w:tcMar>
                  <w:vAlign w:val="center"/>
                </w:tcPr>
                <w:p>
                  <w:pPr>
                    <w:pStyle w:val="87"/>
                    <w:rPr>
                      <w:color w:val="000000"/>
                    </w:rPr>
                  </w:pPr>
                  <w:r>
                    <w:rPr>
                      <w:color w:val="000000"/>
                    </w:rPr>
                    <w:t>H</w:t>
                  </w:r>
                  <w:r>
                    <w:rPr>
                      <w:color w:val="000000"/>
                      <w:vertAlign w:val="subscript"/>
                    </w:rPr>
                    <w:t>2</w:t>
                  </w:r>
                  <w:r>
                    <w:rPr>
                      <w:color w:val="000000"/>
                    </w:rPr>
                    <w:t>S</w:t>
                  </w:r>
                </w:p>
              </w:tc>
              <w:tc>
                <w:tcPr>
                  <w:tcW w:w="104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99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0.000029</w:t>
                  </w:r>
                </w:p>
              </w:tc>
              <w:tc>
                <w:tcPr>
                  <w:tcW w:w="108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98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0.000029</w:t>
                  </w:r>
                </w:p>
              </w:tc>
              <w:tc>
                <w:tcPr>
                  <w:tcW w:w="1856" w:type="dxa"/>
                  <w:vMerge w:val="continue"/>
                  <w:noWrap/>
                  <w:tcMar>
                    <w:top w:w="15" w:type="dxa"/>
                    <w:left w:w="15" w:type="dxa"/>
                    <w:right w:w="15" w:type="dxa"/>
                  </w:tcMar>
                  <w:vAlign w:val="center"/>
                </w:tcPr>
                <w:p>
                  <w:pPr>
                    <w:pStyle w:val="87"/>
                    <w:rPr>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1" w:hRule="atLeast"/>
                <w:jc w:val="center"/>
              </w:trPr>
              <w:tc>
                <w:tcPr>
                  <w:tcW w:w="1010" w:type="dxa"/>
                  <w:vMerge w:val="restart"/>
                  <w:noWrap/>
                  <w:tcMar>
                    <w:top w:w="15" w:type="dxa"/>
                    <w:left w:w="15" w:type="dxa"/>
                    <w:right w:w="15" w:type="dxa"/>
                  </w:tcMar>
                  <w:vAlign w:val="center"/>
                </w:tcPr>
                <w:p>
                  <w:pPr>
                    <w:widowControl/>
                    <w:jc w:val="center"/>
                    <w:textAlignment w:val="center"/>
                    <w:rPr>
                      <w:color w:val="000000"/>
                    </w:rPr>
                  </w:pPr>
                  <w:r>
                    <w:rPr>
                      <w:rFonts w:hint="eastAsia" w:ascii="宋体" w:hAnsi="宋体" w:cs="宋体"/>
                      <w:color w:val="000000"/>
                      <w:kern w:val="0"/>
                      <w:szCs w:val="21"/>
                      <w:lang w:bidi="ar"/>
                    </w:rPr>
                    <w:t>生活垃圾</w:t>
                  </w:r>
                </w:p>
              </w:tc>
              <w:tc>
                <w:tcPr>
                  <w:tcW w:w="1032" w:type="dxa"/>
                  <w:noWrap/>
                  <w:tcMar>
                    <w:top w:w="15" w:type="dxa"/>
                    <w:left w:w="15" w:type="dxa"/>
                    <w:right w:w="15" w:type="dxa"/>
                  </w:tcMar>
                  <w:vAlign w:val="center"/>
                </w:tcPr>
                <w:p>
                  <w:pPr>
                    <w:widowControl/>
                    <w:jc w:val="center"/>
                    <w:textAlignment w:val="center"/>
                    <w:rPr>
                      <w:color w:val="000000"/>
                    </w:rPr>
                  </w:pPr>
                  <w:r>
                    <w:rPr>
                      <w:rFonts w:hint="eastAsia" w:ascii="宋体" w:hAnsi="宋体" w:cs="宋体"/>
                      <w:color w:val="000000"/>
                      <w:kern w:val="0"/>
                      <w:szCs w:val="21"/>
                      <w:lang w:bidi="ar"/>
                    </w:rPr>
                    <w:t>住院病房生活垃圾</w:t>
                  </w:r>
                </w:p>
              </w:tc>
              <w:tc>
                <w:tcPr>
                  <w:tcW w:w="104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99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10.95</w:t>
                  </w:r>
                </w:p>
              </w:tc>
              <w:tc>
                <w:tcPr>
                  <w:tcW w:w="108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98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0</w:t>
                  </w:r>
                </w:p>
              </w:tc>
              <w:tc>
                <w:tcPr>
                  <w:tcW w:w="1856" w:type="dxa"/>
                  <w:vMerge w:val="restart"/>
                  <w:noWrap/>
                  <w:tcMar>
                    <w:top w:w="15" w:type="dxa"/>
                    <w:left w:w="15" w:type="dxa"/>
                    <w:right w:w="15" w:type="dxa"/>
                  </w:tcMar>
                  <w:vAlign w:val="center"/>
                </w:tcPr>
                <w:p>
                  <w:pPr>
                    <w:widowControl/>
                    <w:jc w:val="center"/>
                    <w:textAlignment w:val="center"/>
                    <w:rPr>
                      <w:color w:val="000000"/>
                    </w:rPr>
                  </w:pPr>
                  <w:r>
                    <w:rPr>
                      <w:rFonts w:hint="eastAsia" w:ascii="宋体" w:hAnsi="宋体" w:cs="宋体"/>
                      <w:color w:val="000000"/>
                      <w:kern w:val="0"/>
                      <w:szCs w:val="21"/>
                      <w:lang w:bidi="ar"/>
                    </w:rPr>
                    <w:t>统一收集后交环卫部门处理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2" w:hRule="atLeast"/>
                <w:jc w:val="center"/>
              </w:trPr>
              <w:tc>
                <w:tcPr>
                  <w:tcW w:w="1010" w:type="dxa"/>
                  <w:vMerge w:val="continue"/>
                  <w:noWrap/>
                  <w:tcMar>
                    <w:top w:w="15" w:type="dxa"/>
                    <w:left w:w="15" w:type="dxa"/>
                    <w:right w:w="15" w:type="dxa"/>
                  </w:tcMar>
                  <w:vAlign w:val="center"/>
                </w:tcPr>
                <w:p>
                  <w:pPr>
                    <w:pStyle w:val="87"/>
                    <w:rPr>
                      <w:color w:val="000000"/>
                    </w:rPr>
                  </w:pPr>
                </w:p>
              </w:tc>
              <w:tc>
                <w:tcPr>
                  <w:tcW w:w="1032" w:type="dxa"/>
                  <w:noWrap/>
                  <w:tcMar>
                    <w:top w:w="15" w:type="dxa"/>
                    <w:left w:w="15" w:type="dxa"/>
                    <w:right w:w="15" w:type="dxa"/>
                  </w:tcMar>
                  <w:vAlign w:val="center"/>
                </w:tcPr>
                <w:p>
                  <w:pPr>
                    <w:widowControl/>
                    <w:jc w:val="center"/>
                    <w:textAlignment w:val="center"/>
                    <w:rPr>
                      <w:color w:val="000000"/>
                    </w:rPr>
                  </w:pPr>
                  <w:r>
                    <w:rPr>
                      <w:rFonts w:hint="eastAsia" w:ascii="宋体" w:hAnsi="宋体" w:cs="宋体"/>
                      <w:color w:val="000000"/>
                      <w:kern w:val="0"/>
                      <w:szCs w:val="21"/>
                      <w:lang w:bidi="ar"/>
                    </w:rPr>
                    <w:t>门诊垃圾</w:t>
                  </w:r>
                </w:p>
              </w:tc>
              <w:tc>
                <w:tcPr>
                  <w:tcW w:w="104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99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1.46</w:t>
                  </w:r>
                </w:p>
              </w:tc>
              <w:tc>
                <w:tcPr>
                  <w:tcW w:w="108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98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0</w:t>
                  </w:r>
                </w:p>
              </w:tc>
              <w:tc>
                <w:tcPr>
                  <w:tcW w:w="1856" w:type="dxa"/>
                  <w:vMerge w:val="continue"/>
                  <w:noWrap/>
                  <w:tcMar>
                    <w:top w:w="15" w:type="dxa"/>
                    <w:left w:w="15" w:type="dxa"/>
                    <w:right w:w="15" w:type="dxa"/>
                  </w:tcMar>
                  <w:vAlign w:val="center"/>
                </w:tcPr>
                <w:p>
                  <w:pPr>
                    <w:jc w:val="center"/>
                    <w:rPr>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5" w:hRule="atLeast"/>
                <w:jc w:val="center"/>
              </w:trPr>
              <w:tc>
                <w:tcPr>
                  <w:tcW w:w="1010" w:type="dxa"/>
                  <w:vMerge w:val="continue"/>
                  <w:noWrap/>
                  <w:tcMar>
                    <w:top w:w="15" w:type="dxa"/>
                    <w:left w:w="15" w:type="dxa"/>
                    <w:right w:w="15" w:type="dxa"/>
                  </w:tcMar>
                  <w:vAlign w:val="center"/>
                </w:tcPr>
                <w:p>
                  <w:pPr>
                    <w:jc w:val="center"/>
                    <w:rPr>
                      <w:color w:val="000000"/>
                      <w:szCs w:val="21"/>
                    </w:rPr>
                  </w:pPr>
                </w:p>
              </w:tc>
              <w:tc>
                <w:tcPr>
                  <w:tcW w:w="1032" w:type="dxa"/>
                  <w:noWrap/>
                  <w:tcMar>
                    <w:top w:w="15" w:type="dxa"/>
                    <w:left w:w="15" w:type="dxa"/>
                    <w:right w:w="15" w:type="dxa"/>
                  </w:tcMar>
                  <w:vAlign w:val="center"/>
                </w:tcPr>
                <w:p>
                  <w:pPr>
                    <w:widowControl/>
                    <w:jc w:val="center"/>
                    <w:textAlignment w:val="center"/>
                    <w:rPr>
                      <w:color w:val="000000"/>
                    </w:rPr>
                  </w:pPr>
                  <w:r>
                    <w:rPr>
                      <w:rFonts w:hint="eastAsia" w:ascii="宋体" w:hAnsi="宋体" w:cs="宋体"/>
                      <w:color w:val="000000"/>
                      <w:kern w:val="0"/>
                      <w:szCs w:val="21"/>
                      <w:lang w:bidi="ar"/>
                    </w:rPr>
                    <w:t>职工生活垃圾</w:t>
                  </w:r>
                </w:p>
              </w:tc>
              <w:tc>
                <w:tcPr>
                  <w:tcW w:w="104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99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lang w:eastAsia="zh-CN"/>
                    </w:rPr>
                  </w:pPr>
                  <w:r>
                    <w:rPr>
                      <w:rFonts w:hint="default" w:ascii="Times New Roman" w:hAnsi="Times New Roman" w:eastAsia="宋体" w:cs="Times New Roman"/>
                      <w:i w:val="0"/>
                      <w:iCs w:val="0"/>
                      <w:color w:val="000000"/>
                      <w:kern w:val="0"/>
                      <w:sz w:val="20"/>
                      <w:szCs w:val="20"/>
                      <w:u w:val="single"/>
                      <w:lang w:val="en-US" w:eastAsia="zh-CN" w:bidi="ar"/>
                    </w:rPr>
                    <w:t>7.3</w:t>
                  </w:r>
                </w:p>
              </w:tc>
              <w:tc>
                <w:tcPr>
                  <w:tcW w:w="108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98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0</w:t>
                  </w:r>
                </w:p>
              </w:tc>
              <w:tc>
                <w:tcPr>
                  <w:tcW w:w="1856" w:type="dxa"/>
                  <w:vMerge w:val="continue"/>
                  <w:noWrap/>
                  <w:tcMar>
                    <w:top w:w="15" w:type="dxa"/>
                    <w:left w:w="15" w:type="dxa"/>
                    <w:right w:w="15" w:type="dxa"/>
                  </w:tcMar>
                  <w:vAlign w:val="center"/>
                </w:tcPr>
                <w:p>
                  <w:pPr>
                    <w:jc w:val="center"/>
                    <w:rPr>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5" w:hRule="atLeast"/>
                <w:jc w:val="center"/>
              </w:trPr>
              <w:tc>
                <w:tcPr>
                  <w:tcW w:w="1010" w:type="dxa"/>
                  <w:noWrap/>
                  <w:tcMar>
                    <w:top w:w="15" w:type="dxa"/>
                    <w:left w:w="15" w:type="dxa"/>
                    <w:right w:w="15" w:type="dxa"/>
                  </w:tcMar>
                  <w:vAlign w:val="center"/>
                </w:tcPr>
                <w:p>
                  <w:pPr>
                    <w:widowControl/>
                    <w:jc w:val="center"/>
                    <w:textAlignment w:val="center"/>
                    <w:rPr>
                      <w:color w:val="000000"/>
                      <w:szCs w:val="21"/>
                    </w:rPr>
                  </w:pPr>
                  <w:r>
                    <w:rPr>
                      <w:rFonts w:hint="eastAsia" w:ascii="宋体" w:hAnsi="宋体" w:cs="宋体"/>
                      <w:color w:val="000000"/>
                      <w:kern w:val="0"/>
                      <w:szCs w:val="21"/>
                      <w:lang w:bidi="ar"/>
                    </w:rPr>
                    <w:t>医疗固废</w:t>
                  </w:r>
                </w:p>
              </w:tc>
              <w:tc>
                <w:tcPr>
                  <w:tcW w:w="1032" w:type="dxa"/>
                  <w:noWrap/>
                  <w:tcMar>
                    <w:top w:w="15" w:type="dxa"/>
                    <w:left w:w="15" w:type="dxa"/>
                    <w:right w:w="15" w:type="dxa"/>
                  </w:tcMar>
                  <w:vAlign w:val="center"/>
                </w:tcPr>
                <w:p>
                  <w:pPr>
                    <w:widowControl/>
                    <w:jc w:val="center"/>
                    <w:textAlignment w:val="center"/>
                    <w:rPr>
                      <w:color w:val="000000"/>
                    </w:rPr>
                  </w:pPr>
                  <w:r>
                    <w:rPr>
                      <w:rFonts w:hint="eastAsia" w:ascii="宋体" w:hAnsi="宋体" w:cs="宋体"/>
                      <w:color w:val="000000"/>
                      <w:kern w:val="0"/>
                      <w:szCs w:val="21"/>
                      <w:lang w:bidi="ar"/>
                    </w:rPr>
                    <w:t>危险废物</w:t>
                  </w:r>
                </w:p>
              </w:tc>
              <w:tc>
                <w:tcPr>
                  <w:tcW w:w="104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99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20</w:t>
                  </w:r>
                </w:p>
              </w:tc>
              <w:tc>
                <w:tcPr>
                  <w:tcW w:w="108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98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0</w:t>
                  </w:r>
                </w:p>
              </w:tc>
              <w:tc>
                <w:tcPr>
                  <w:tcW w:w="1856" w:type="dxa"/>
                  <w:vMerge w:val="restart"/>
                  <w:noWrap/>
                  <w:tcMar>
                    <w:top w:w="15" w:type="dxa"/>
                    <w:left w:w="15" w:type="dxa"/>
                    <w:right w:w="15" w:type="dxa"/>
                  </w:tcMar>
                  <w:vAlign w:val="center"/>
                </w:tcPr>
                <w:p>
                  <w:pPr>
                    <w:widowControl/>
                    <w:jc w:val="center"/>
                    <w:textAlignment w:val="center"/>
                    <w:rPr>
                      <w:color w:val="000000"/>
                    </w:rPr>
                  </w:pPr>
                  <w:r>
                    <w:rPr>
                      <w:rFonts w:hint="eastAsia" w:ascii="宋体" w:hAnsi="宋体" w:cs="宋体"/>
                      <w:color w:val="000000"/>
                      <w:kern w:val="0"/>
                      <w:szCs w:val="21"/>
                      <w:lang w:bidi="ar"/>
                    </w:rPr>
                    <w:t>医疗废物暂存间，委托有资质公司处置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jc w:val="center"/>
              </w:trPr>
              <w:tc>
                <w:tcPr>
                  <w:tcW w:w="1010" w:type="dxa"/>
                  <w:noWrap/>
                  <w:tcMar>
                    <w:top w:w="15" w:type="dxa"/>
                    <w:left w:w="15" w:type="dxa"/>
                    <w:right w:w="15" w:type="dxa"/>
                  </w:tcMar>
                  <w:vAlign w:val="center"/>
                </w:tcPr>
                <w:p>
                  <w:pPr>
                    <w:widowControl/>
                    <w:jc w:val="center"/>
                    <w:textAlignment w:val="center"/>
                    <w:rPr>
                      <w:color w:val="000000"/>
                    </w:rPr>
                  </w:pPr>
                  <w:r>
                    <w:rPr>
                      <w:color w:val="000000"/>
                      <w:kern w:val="0"/>
                      <w:szCs w:val="21"/>
                      <w:lang w:bidi="ar"/>
                    </w:rPr>
                    <w:t>污水处理系统污泥</w:t>
                  </w:r>
                </w:p>
              </w:tc>
              <w:tc>
                <w:tcPr>
                  <w:tcW w:w="1032" w:type="dxa"/>
                  <w:noWrap/>
                  <w:tcMar>
                    <w:top w:w="15" w:type="dxa"/>
                    <w:left w:w="15" w:type="dxa"/>
                    <w:right w:w="15" w:type="dxa"/>
                  </w:tcMar>
                  <w:vAlign w:val="center"/>
                </w:tcPr>
                <w:p>
                  <w:pPr>
                    <w:widowControl/>
                    <w:jc w:val="center"/>
                    <w:textAlignment w:val="center"/>
                    <w:rPr>
                      <w:color w:val="000000"/>
                    </w:rPr>
                  </w:pPr>
                  <w:r>
                    <w:rPr>
                      <w:color w:val="000000"/>
                      <w:kern w:val="0"/>
                      <w:szCs w:val="21"/>
                      <w:lang w:bidi="ar"/>
                    </w:rPr>
                    <w:t>危险废物</w:t>
                  </w:r>
                </w:p>
              </w:tc>
              <w:tc>
                <w:tcPr>
                  <w:tcW w:w="104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99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1.1</w:t>
                  </w:r>
                </w:p>
              </w:tc>
              <w:tc>
                <w:tcPr>
                  <w:tcW w:w="108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98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0</w:t>
                  </w:r>
                </w:p>
              </w:tc>
              <w:tc>
                <w:tcPr>
                  <w:tcW w:w="1856" w:type="dxa"/>
                  <w:vMerge w:val="continue"/>
                  <w:noWrap/>
                  <w:tcMar>
                    <w:top w:w="15" w:type="dxa"/>
                    <w:left w:w="15" w:type="dxa"/>
                    <w:right w:w="15" w:type="dxa"/>
                  </w:tcMar>
                  <w:vAlign w:val="center"/>
                </w:tcPr>
                <w:p>
                  <w:pPr>
                    <w:jc w:val="center"/>
                    <w:rPr>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9" w:hRule="atLeast"/>
                <w:jc w:val="center"/>
              </w:trPr>
              <w:tc>
                <w:tcPr>
                  <w:tcW w:w="1010" w:type="dxa"/>
                  <w:noWrap/>
                  <w:tcMar>
                    <w:top w:w="15" w:type="dxa"/>
                    <w:left w:w="15" w:type="dxa"/>
                    <w:right w:w="15" w:type="dxa"/>
                  </w:tcMar>
                  <w:vAlign w:val="center"/>
                </w:tcPr>
                <w:p>
                  <w:pPr>
                    <w:widowControl/>
                    <w:jc w:val="center"/>
                    <w:textAlignment w:val="center"/>
                    <w:rPr>
                      <w:color w:val="000000"/>
                    </w:rPr>
                  </w:pPr>
                  <w:r>
                    <w:rPr>
                      <w:rFonts w:hint="eastAsia" w:ascii="宋体" w:hAnsi="宋体" w:cs="宋体"/>
                      <w:color w:val="000000"/>
                      <w:kern w:val="0"/>
                      <w:szCs w:val="21"/>
                      <w:lang w:bidi="ar"/>
                    </w:rPr>
                    <w:t>中药渣</w:t>
                  </w:r>
                </w:p>
              </w:tc>
              <w:tc>
                <w:tcPr>
                  <w:tcW w:w="1032" w:type="dxa"/>
                  <w:noWrap/>
                  <w:tcMar>
                    <w:top w:w="15" w:type="dxa"/>
                    <w:left w:w="15" w:type="dxa"/>
                    <w:right w:w="15" w:type="dxa"/>
                  </w:tcMar>
                  <w:vAlign w:val="center"/>
                </w:tcPr>
                <w:p>
                  <w:pPr>
                    <w:widowControl/>
                    <w:jc w:val="center"/>
                    <w:textAlignment w:val="center"/>
                    <w:rPr>
                      <w:color w:val="000000"/>
                    </w:rPr>
                  </w:pPr>
                  <w:r>
                    <w:rPr>
                      <w:color w:val="000000"/>
                      <w:kern w:val="0"/>
                      <w:szCs w:val="21"/>
                      <w:lang w:bidi="ar"/>
                    </w:rPr>
                    <w:t>一般固废</w:t>
                  </w:r>
                </w:p>
              </w:tc>
              <w:tc>
                <w:tcPr>
                  <w:tcW w:w="104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99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0.15</w:t>
                  </w:r>
                </w:p>
              </w:tc>
              <w:tc>
                <w:tcPr>
                  <w:tcW w:w="1080"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w:t>
                  </w:r>
                </w:p>
              </w:tc>
              <w:tc>
                <w:tcPr>
                  <w:tcW w:w="983"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sz w:val="20"/>
                      <w:szCs w:val="20"/>
                      <w:u w:val="single"/>
                    </w:rPr>
                  </w:pPr>
                  <w:r>
                    <w:rPr>
                      <w:rFonts w:hint="default" w:ascii="Times New Roman" w:hAnsi="Times New Roman" w:eastAsia="宋体" w:cs="Times New Roman"/>
                      <w:i w:val="0"/>
                      <w:iCs w:val="0"/>
                      <w:color w:val="000000"/>
                      <w:kern w:val="0"/>
                      <w:sz w:val="20"/>
                      <w:szCs w:val="20"/>
                      <w:u w:val="single"/>
                      <w:lang w:val="en-US" w:eastAsia="zh-CN" w:bidi="ar"/>
                    </w:rPr>
                    <w:t>0</w:t>
                  </w:r>
                </w:p>
              </w:tc>
              <w:tc>
                <w:tcPr>
                  <w:tcW w:w="1856" w:type="dxa"/>
                  <w:noWrap/>
                  <w:tcMar>
                    <w:top w:w="15" w:type="dxa"/>
                    <w:left w:w="15" w:type="dxa"/>
                    <w:right w:w="15" w:type="dxa"/>
                  </w:tcMar>
                  <w:vAlign w:val="center"/>
                </w:tcPr>
                <w:p>
                  <w:pPr>
                    <w:pStyle w:val="36"/>
                  </w:pPr>
                  <w:r>
                    <w:rPr>
                      <w:rFonts w:hint="eastAsia"/>
                    </w:rPr>
                    <w:t>统一收集后交环卫部门处理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jc w:val="center"/>
              </w:trPr>
              <w:tc>
                <w:tcPr>
                  <w:tcW w:w="7997" w:type="dxa"/>
                  <w:gridSpan w:val="7"/>
                  <w:noWrap/>
                  <w:tcMar>
                    <w:top w:w="15" w:type="dxa"/>
                    <w:left w:w="15" w:type="dxa"/>
                    <w:right w:w="15" w:type="dxa"/>
                  </w:tcMar>
                  <w:vAlign w:val="center"/>
                </w:tcPr>
                <w:p>
                  <w:pPr>
                    <w:pStyle w:val="87"/>
                    <w:rPr>
                      <w:color w:val="000000"/>
                    </w:rPr>
                  </w:pPr>
                  <w:r>
                    <w:rPr>
                      <w:rFonts w:hint="eastAsia"/>
                      <w:color w:val="000000"/>
                    </w:rPr>
                    <w:t>6</w:t>
                  </w:r>
                  <w:r>
                    <w:rPr>
                      <w:color w:val="000000"/>
                    </w:rPr>
                    <w:t>0~</w:t>
                  </w:r>
                  <w:r>
                    <w:rPr>
                      <w:rFonts w:hint="eastAsia"/>
                      <w:color w:val="000000"/>
                    </w:rPr>
                    <w:t>9</w:t>
                  </w:r>
                  <w:r>
                    <w:rPr>
                      <w:color w:val="000000"/>
                    </w:rPr>
                    <w:t>0dB(A)之间，经采取隔声、降噪等措施可降噪15~30dB(A)</w:t>
                  </w:r>
                </w:p>
              </w:tc>
            </w:tr>
          </w:tbl>
          <w:p>
            <w:pPr>
              <w:adjustRightInd w:val="0"/>
              <w:snapToGrid w:val="0"/>
              <w:spacing w:line="360" w:lineRule="auto"/>
              <w:rPr>
                <w:sz w:val="24"/>
                <w:szCs w:val="32"/>
              </w:rPr>
            </w:pPr>
            <w:r>
              <w:rPr>
                <w:rFonts w:hint="eastAsia"/>
                <w:b/>
                <w:color w:val="000000"/>
                <w:sz w:val="24"/>
                <w:szCs w:val="32"/>
              </w:rPr>
              <w:t>6、</w:t>
            </w:r>
            <w:r>
              <w:rPr>
                <w:b/>
                <w:color w:val="000000"/>
                <w:sz w:val="24"/>
                <w:szCs w:val="32"/>
              </w:rPr>
              <w:t>项目</w:t>
            </w:r>
            <w:r>
              <w:rPr>
                <w:rFonts w:hint="eastAsia"/>
                <w:b/>
                <w:color w:val="000000"/>
                <w:sz w:val="24"/>
                <w:szCs w:val="32"/>
              </w:rPr>
              <w:t>扩建前后污染物</w:t>
            </w:r>
            <w:r>
              <w:rPr>
                <w:b/>
                <w:color w:val="000000"/>
                <w:sz w:val="24"/>
                <w:szCs w:val="32"/>
              </w:rPr>
              <w:t>三本账</w:t>
            </w:r>
          </w:p>
          <w:p>
            <w:pPr>
              <w:adjustRightInd w:val="0"/>
              <w:snapToGrid w:val="0"/>
              <w:spacing w:line="360" w:lineRule="auto"/>
              <w:ind w:firstLine="480" w:firstLineChars="200"/>
              <w:rPr>
                <w:color w:val="000000"/>
                <w:sz w:val="24"/>
                <w:szCs w:val="32"/>
              </w:rPr>
            </w:pPr>
            <w:r>
              <w:rPr>
                <w:rFonts w:hint="eastAsia"/>
                <w:color w:val="000000"/>
                <w:sz w:val="24"/>
                <w:szCs w:val="32"/>
              </w:rPr>
              <w:t>扩建</w:t>
            </w:r>
            <w:r>
              <w:rPr>
                <w:color w:val="000000"/>
                <w:sz w:val="24"/>
                <w:szCs w:val="32"/>
              </w:rPr>
              <w:t>前后污染物排放三本账详见</w:t>
            </w:r>
            <w:r>
              <w:rPr>
                <w:rFonts w:hint="eastAsia"/>
                <w:color w:val="000000"/>
                <w:sz w:val="24"/>
                <w:szCs w:val="32"/>
              </w:rPr>
              <w:t>表4-11</w:t>
            </w:r>
            <w:r>
              <w:rPr>
                <w:color w:val="000000"/>
                <w:sz w:val="24"/>
                <w:szCs w:val="32"/>
              </w:rPr>
              <w:t>。</w:t>
            </w:r>
          </w:p>
          <w:p>
            <w:pPr>
              <w:pStyle w:val="88"/>
              <w:rPr>
                <w:color w:val="000000"/>
              </w:rPr>
            </w:pPr>
            <w:r>
              <w:rPr>
                <w:color w:val="000000"/>
              </w:rPr>
              <w:t>表4-1</w:t>
            </w:r>
            <w:r>
              <w:rPr>
                <w:rFonts w:hint="eastAsia"/>
                <w:color w:val="000000"/>
              </w:rPr>
              <w:t>1</w:t>
            </w:r>
            <w:r>
              <w:rPr>
                <w:color w:val="000000"/>
              </w:rPr>
              <w:t>项目</w:t>
            </w:r>
            <w:r>
              <w:rPr>
                <w:rFonts w:hint="eastAsia"/>
                <w:color w:val="000000"/>
              </w:rPr>
              <w:t>扩建前后污染物排放三本账单位：t/a</w:t>
            </w:r>
          </w:p>
          <w:tbl>
            <w:tblPr>
              <w:tblStyle w:val="27"/>
              <w:tblW w:w="797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3"/>
              <w:gridCol w:w="806"/>
              <w:gridCol w:w="843"/>
              <w:gridCol w:w="976"/>
              <w:gridCol w:w="750"/>
              <w:gridCol w:w="1069"/>
              <w:gridCol w:w="787"/>
              <w:gridCol w:w="994"/>
              <w:gridCol w:w="10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6" w:hRule="atLeast"/>
                <w:jc w:val="center"/>
              </w:trPr>
              <w:tc>
                <w:tcPr>
                  <w:tcW w:w="693" w:type="dxa"/>
                  <w:vMerge w:val="restart"/>
                  <w:noWrap/>
                  <w:tcMar>
                    <w:top w:w="15" w:type="dxa"/>
                    <w:left w:w="15" w:type="dxa"/>
                    <w:right w:w="15" w:type="dxa"/>
                  </w:tcMar>
                  <w:vAlign w:val="center"/>
                </w:tcPr>
                <w:p>
                  <w:pPr>
                    <w:pStyle w:val="87"/>
                    <w:rPr>
                      <w:sz w:val="18"/>
                      <w:szCs w:val="18"/>
                      <w:u w:val="single"/>
                    </w:rPr>
                  </w:pPr>
                  <w:r>
                    <w:rPr>
                      <w:sz w:val="18"/>
                      <w:szCs w:val="18"/>
                      <w:u w:val="single"/>
                    </w:rPr>
                    <w:t>污染源</w:t>
                  </w:r>
                </w:p>
              </w:tc>
              <w:tc>
                <w:tcPr>
                  <w:tcW w:w="806" w:type="dxa"/>
                  <w:vMerge w:val="restart"/>
                  <w:noWrap/>
                  <w:tcMar>
                    <w:top w:w="15" w:type="dxa"/>
                    <w:left w:w="15" w:type="dxa"/>
                    <w:right w:w="15" w:type="dxa"/>
                  </w:tcMar>
                  <w:vAlign w:val="center"/>
                </w:tcPr>
                <w:p>
                  <w:pPr>
                    <w:pStyle w:val="87"/>
                    <w:rPr>
                      <w:sz w:val="18"/>
                      <w:szCs w:val="18"/>
                      <w:u w:val="single"/>
                    </w:rPr>
                  </w:pPr>
                  <w:r>
                    <w:rPr>
                      <w:sz w:val="18"/>
                      <w:szCs w:val="18"/>
                      <w:u w:val="single"/>
                    </w:rPr>
                    <w:t>污染物</w:t>
                  </w:r>
                </w:p>
              </w:tc>
              <w:tc>
                <w:tcPr>
                  <w:tcW w:w="843" w:type="dxa"/>
                  <w:vMerge w:val="restart"/>
                  <w:noWrap/>
                  <w:tcMar>
                    <w:top w:w="15" w:type="dxa"/>
                    <w:left w:w="15" w:type="dxa"/>
                    <w:right w:w="15" w:type="dxa"/>
                  </w:tcMar>
                  <w:vAlign w:val="center"/>
                </w:tcPr>
                <w:p>
                  <w:pPr>
                    <w:pStyle w:val="87"/>
                    <w:rPr>
                      <w:sz w:val="18"/>
                      <w:szCs w:val="18"/>
                      <w:u w:val="single"/>
                    </w:rPr>
                  </w:pPr>
                  <w:r>
                    <w:rPr>
                      <w:sz w:val="18"/>
                      <w:szCs w:val="18"/>
                      <w:u w:val="single"/>
                    </w:rPr>
                    <w:t>扩建前排放量</w:t>
                  </w:r>
                </w:p>
              </w:tc>
              <w:tc>
                <w:tcPr>
                  <w:tcW w:w="2795" w:type="dxa"/>
                  <w:gridSpan w:val="3"/>
                  <w:noWrap/>
                  <w:tcMar>
                    <w:top w:w="15" w:type="dxa"/>
                    <w:left w:w="15" w:type="dxa"/>
                    <w:right w:w="15" w:type="dxa"/>
                  </w:tcMar>
                  <w:vAlign w:val="center"/>
                </w:tcPr>
                <w:p>
                  <w:pPr>
                    <w:pStyle w:val="87"/>
                    <w:rPr>
                      <w:sz w:val="18"/>
                      <w:szCs w:val="18"/>
                      <w:u w:val="single"/>
                    </w:rPr>
                  </w:pPr>
                  <w:r>
                    <w:rPr>
                      <w:sz w:val="18"/>
                      <w:szCs w:val="18"/>
                      <w:u w:val="single"/>
                    </w:rPr>
                    <w:t>本工程</w:t>
                  </w:r>
                </w:p>
              </w:tc>
              <w:tc>
                <w:tcPr>
                  <w:tcW w:w="787" w:type="dxa"/>
                  <w:vMerge w:val="restart"/>
                  <w:noWrap/>
                  <w:tcMar>
                    <w:top w:w="15" w:type="dxa"/>
                    <w:left w:w="15" w:type="dxa"/>
                    <w:right w:w="15" w:type="dxa"/>
                  </w:tcMar>
                  <w:vAlign w:val="center"/>
                </w:tcPr>
                <w:p>
                  <w:pPr>
                    <w:pStyle w:val="87"/>
                    <w:rPr>
                      <w:sz w:val="18"/>
                      <w:szCs w:val="18"/>
                      <w:u w:val="single"/>
                    </w:rPr>
                  </w:pPr>
                  <w:r>
                    <w:rPr>
                      <w:sz w:val="18"/>
                      <w:szCs w:val="18"/>
                      <w:u w:val="single"/>
                    </w:rPr>
                    <w:t>以新代老削减量</w:t>
                  </w:r>
                </w:p>
              </w:tc>
              <w:tc>
                <w:tcPr>
                  <w:tcW w:w="994" w:type="dxa"/>
                  <w:vMerge w:val="restart"/>
                  <w:noWrap/>
                  <w:tcMar>
                    <w:top w:w="15" w:type="dxa"/>
                    <w:left w:w="15" w:type="dxa"/>
                    <w:right w:w="15" w:type="dxa"/>
                  </w:tcMar>
                  <w:vAlign w:val="center"/>
                </w:tcPr>
                <w:p>
                  <w:pPr>
                    <w:pStyle w:val="87"/>
                    <w:rPr>
                      <w:sz w:val="18"/>
                      <w:szCs w:val="18"/>
                      <w:u w:val="single"/>
                    </w:rPr>
                  </w:pPr>
                  <w:r>
                    <w:rPr>
                      <w:sz w:val="18"/>
                      <w:szCs w:val="18"/>
                      <w:u w:val="single"/>
                    </w:rPr>
                    <w:t>排放增减量</w:t>
                  </w:r>
                </w:p>
              </w:tc>
              <w:tc>
                <w:tcPr>
                  <w:tcW w:w="1058" w:type="dxa"/>
                  <w:vMerge w:val="restart"/>
                  <w:noWrap/>
                  <w:tcMar>
                    <w:top w:w="15" w:type="dxa"/>
                    <w:left w:w="15" w:type="dxa"/>
                    <w:right w:w="15" w:type="dxa"/>
                  </w:tcMar>
                  <w:vAlign w:val="center"/>
                </w:tcPr>
                <w:p>
                  <w:pPr>
                    <w:pStyle w:val="87"/>
                    <w:rPr>
                      <w:sz w:val="18"/>
                      <w:szCs w:val="18"/>
                      <w:u w:val="single"/>
                    </w:rPr>
                  </w:pPr>
                  <w:r>
                    <w:rPr>
                      <w:sz w:val="18"/>
                      <w:szCs w:val="18"/>
                      <w:u w:val="single"/>
                    </w:rPr>
                    <w:t>项目实施后全院排放量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6" w:hRule="atLeast"/>
                <w:jc w:val="center"/>
              </w:trPr>
              <w:tc>
                <w:tcPr>
                  <w:tcW w:w="693" w:type="dxa"/>
                  <w:vMerge w:val="continue"/>
                  <w:noWrap/>
                  <w:tcMar>
                    <w:top w:w="15" w:type="dxa"/>
                    <w:left w:w="15" w:type="dxa"/>
                    <w:right w:w="15" w:type="dxa"/>
                  </w:tcMar>
                  <w:vAlign w:val="center"/>
                </w:tcPr>
                <w:p>
                  <w:pPr>
                    <w:pStyle w:val="87"/>
                    <w:rPr>
                      <w:sz w:val="18"/>
                      <w:szCs w:val="18"/>
                      <w:u w:val="single"/>
                    </w:rPr>
                  </w:pPr>
                </w:p>
              </w:tc>
              <w:tc>
                <w:tcPr>
                  <w:tcW w:w="806" w:type="dxa"/>
                  <w:vMerge w:val="continue"/>
                  <w:noWrap/>
                  <w:tcMar>
                    <w:top w:w="15" w:type="dxa"/>
                    <w:left w:w="15" w:type="dxa"/>
                    <w:right w:w="15" w:type="dxa"/>
                  </w:tcMar>
                  <w:vAlign w:val="center"/>
                </w:tcPr>
                <w:p>
                  <w:pPr>
                    <w:pStyle w:val="87"/>
                    <w:rPr>
                      <w:sz w:val="18"/>
                      <w:szCs w:val="18"/>
                      <w:u w:val="single"/>
                    </w:rPr>
                  </w:pPr>
                </w:p>
              </w:tc>
              <w:tc>
                <w:tcPr>
                  <w:tcW w:w="843" w:type="dxa"/>
                  <w:vMerge w:val="continue"/>
                  <w:noWrap/>
                  <w:tcMar>
                    <w:top w:w="15" w:type="dxa"/>
                    <w:left w:w="15" w:type="dxa"/>
                    <w:right w:w="15" w:type="dxa"/>
                  </w:tcMar>
                  <w:vAlign w:val="center"/>
                </w:tcPr>
                <w:p>
                  <w:pPr>
                    <w:pStyle w:val="87"/>
                    <w:rPr>
                      <w:sz w:val="18"/>
                      <w:szCs w:val="18"/>
                      <w:u w:val="single"/>
                    </w:rPr>
                  </w:pPr>
                </w:p>
              </w:tc>
              <w:tc>
                <w:tcPr>
                  <w:tcW w:w="976" w:type="dxa"/>
                  <w:noWrap/>
                  <w:tcMar>
                    <w:top w:w="15" w:type="dxa"/>
                    <w:left w:w="15" w:type="dxa"/>
                    <w:right w:w="15" w:type="dxa"/>
                  </w:tcMar>
                  <w:vAlign w:val="center"/>
                </w:tcPr>
                <w:p>
                  <w:pPr>
                    <w:pStyle w:val="87"/>
                    <w:rPr>
                      <w:sz w:val="18"/>
                      <w:szCs w:val="18"/>
                      <w:u w:val="single"/>
                    </w:rPr>
                  </w:pPr>
                  <w:r>
                    <w:rPr>
                      <w:sz w:val="18"/>
                      <w:szCs w:val="18"/>
                      <w:u w:val="single"/>
                    </w:rPr>
                    <w:t>产生量</w:t>
                  </w:r>
                </w:p>
              </w:tc>
              <w:tc>
                <w:tcPr>
                  <w:tcW w:w="750" w:type="dxa"/>
                  <w:noWrap/>
                  <w:tcMar>
                    <w:top w:w="15" w:type="dxa"/>
                    <w:left w:w="15" w:type="dxa"/>
                    <w:right w:w="15" w:type="dxa"/>
                  </w:tcMar>
                  <w:vAlign w:val="center"/>
                </w:tcPr>
                <w:p>
                  <w:pPr>
                    <w:pStyle w:val="87"/>
                    <w:rPr>
                      <w:sz w:val="18"/>
                      <w:szCs w:val="18"/>
                      <w:u w:val="single"/>
                    </w:rPr>
                  </w:pPr>
                  <w:r>
                    <w:rPr>
                      <w:sz w:val="18"/>
                      <w:szCs w:val="18"/>
                      <w:u w:val="single"/>
                    </w:rPr>
                    <w:t>削减量</w:t>
                  </w:r>
                </w:p>
              </w:tc>
              <w:tc>
                <w:tcPr>
                  <w:tcW w:w="1069" w:type="dxa"/>
                  <w:noWrap/>
                  <w:tcMar>
                    <w:top w:w="15" w:type="dxa"/>
                    <w:left w:w="15" w:type="dxa"/>
                    <w:right w:w="15" w:type="dxa"/>
                  </w:tcMar>
                  <w:vAlign w:val="center"/>
                </w:tcPr>
                <w:p>
                  <w:pPr>
                    <w:pStyle w:val="87"/>
                    <w:rPr>
                      <w:sz w:val="18"/>
                      <w:szCs w:val="18"/>
                      <w:u w:val="single"/>
                    </w:rPr>
                  </w:pPr>
                  <w:r>
                    <w:rPr>
                      <w:sz w:val="18"/>
                      <w:szCs w:val="18"/>
                      <w:u w:val="single"/>
                    </w:rPr>
                    <w:t>排放量</w:t>
                  </w:r>
                </w:p>
              </w:tc>
              <w:tc>
                <w:tcPr>
                  <w:tcW w:w="787" w:type="dxa"/>
                  <w:vMerge w:val="continue"/>
                  <w:noWrap/>
                  <w:tcMar>
                    <w:top w:w="15" w:type="dxa"/>
                    <w:left w:w="15" w:type="dxa"/>
                    <w:right w:w="15" w:type="dxa"/>
                  </w:tcMar>
                  <w:vAlign w:val="center"/>
                </w:tcPr>
                <w:p>
                  <w:pPr>
                    <w:pStyle w:val="87"/>
                    <w:rPr>
                      <w:sz w:val="18"/>
                      <w:szCs w:val="18"/>
                      <w:u w:val="single"/>
                    </w:rPr>
                  </w:pPr>
                </w:p>
              </w:tc>
              <w:tc>
                <w:tcPr>
                  <w:tcW w:w="994" w:type="dxa"/>
                  <w:vMerge w:val="continue"/>
                  <w:noWrap/>
                  <w:tcMar>
                    <w:top w:w="15" w:type="dxa"/>
                    <w:left w:w="15" w:type="dxa"/>
                    <w:right w:w="15" w:type="dxa"/>
                  </w:tcMar>
                  <w:vAlign w:val="center"/>
                </w:tcPr>
                <w:p>
                  <w:pPr>
                    <w:pStyle w:val="87"/>
                    <w:rPr>
                      <w:sz w:val="18"/>
                      <w:szCs w:val="18"/>
                      <w:u w:val="single"/>
                    </w:rPr>
                  </w:pPr>
                </w:p>
              </w:tc>
              <w:tc>
                <w:tcPr>
                  <w:tcW w:w="1058" w:type="dxa"/>
                  <w:vMerge w:val="continue"/>
                  <w:noWrap/>
                  <w:tcMar>
                    <w:top w:w="15" w:type="dxa"/>
                    <w:left w:w="15" w:type="dxa"/>
                    <w:right w:w="15" w:type="dxa"/>
                  </w:tcMar>
                  <w:vAlign w:val="center"/>
                </w:tcPr>
                <w:p>
                  <w:pPr>
                    <w:pStyle w:val="87"/>
                    <w:rPr>
                      <w:sz w:val="18"/>
                      <w:szCs w:val="18"/>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jc w:val="center"/>
              </w:trPr>
              <w:tc>
                <w:tcPr>
                  <w:tcW w:w="693" w:type="dxa"/>
                  <w:vMerge w:val="restart"/>
                  <w:noWrap/>
                  <w:tcMar>
                    <w:top w:w="15" w:type="dxa"/>
                    <w:left w:w="15" w:type="dxa"/>
                    <w:right w:w="15" w:type="dxa"/>
                  </w:tcMar>
                  <w:vAlign w:val="center"/>
                </w:tcPr>
                <w:p>
                  <w:pPr>
                    <w:widowControl/>
                    <w:jc w:val="center"/>
                    <w:textAlignment w:val="center"/>
                    <w:rPr>
                      <w:sz w:val="18"/>
                      <w:szCs w:val="18"/>
                      <w:u w:val="single"/>
                    </w:rPr>
                  </w:pPr>
                  <w:r>
                    <w:rPr>
                      <w:color w:val="000000"/>
                      <w:kern w:val="0"/>
                      <w:sz w:val="18"/>
                      <w:szCs w:val="18"/>
                      <w:u w:val="single"/>
                      <w:lang w:bidi="ar"/>
                    </w:rPr>
                    <w:t>废水</w:t>
                  </w:r>
                </w:p>
              </w:tc>
              <w:tc>
                <w:tcPr>
                  <w:tcW w:w="806" w:type="dxa"/>
                  <w:noWrap/>
                  <w:tcMar>
                    <w:top w:w="15" w:type="dxa"/>
                    <w:left w:w="15" w:type="dxa"/>
                    <w:right w:w="15" w:type="dxa"/>
                  </w:tcMar>
                  <w:vAlign w:val="center"/>
                </w:tcPr>
                <w:p>
                  <w:pPr>
                    <w:widowControl/>
                    <w:jc w:val="center"/>
                    <w:textAlignment w:val="center"/>
                    <w:rPr>
                      <w:sz w:val="18"/>
                      <w:szCs w:val="18"/>
                      <w:u w:val="single"/>
                    </w:rPr>
                  </w:pPr>
                  <w:r>
                    <w:rPr>
                      <w:color w:val="000000"/>
                      <w:kern w:val="0"/>
                      <w:sz w:val="18"/>
                      <w:szCs w:val="18"/>
                      <w:u w:val="single"/>
                      <w:lang w:bidi="ar"/>
                    </w:rPr>
                    <w:t>COD</w:t>
                  </w:r>
                </w:p>
              </w:tc>
              <w:tc>
                <w:tcPr>
                  <w:tcW w:w="843"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0.1057 </w:t>
                  </w:r>
                </w:p>
              </w:tc>
              <w:tc>
                <w:tcPr>
                  <w:tcW w:w="976"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0.7992 </w:t>
                  </w:r>
                </w:p>
              </w:tc>
              <w:tc>
                <w:tcPr>
                  <w:tcW w:w="750"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0.6710 </w:t>
                  </w:r>
                </w:p>
              </w:tc>
              <w:tc>
                <w:tcPr>
                  <w:tcW w:w="1069"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0.1282 </w:t>
                  </w:r>
                </w:p>
              </w:tc>
              <w:tc>
                <w:tcPr>
                  <w:tcW w:w="787"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 </w:t>
                  </w:r>
                </w:p>
              </w:tc>
              <w:tc>
                <w:tcPr>
                  <w:tcW w:w="994"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0.0225 </w:t>
                  </w:r>
                </w:p>
              </w:tc>
              <w:tc>
                <w:tcPr>
                  <w:tcW w:w="1058"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0.1282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93" w:type="dxa"/>
                  <w:vMerge w:val="continue"/>
                  <w:noWrap/>
                  <w:tcMar>
                    <w:top w:w="15" w:type="dxa"/>
                    <w:left w:w="15" w:type="dxa"/>
                    <w:right w:w="15" w:type="dxa"/>
                  </w:tcMar>
                  <w:vAlign w:val="center"/>
                </w:tcPr>
                <w:p>
                  <w:pPr>
                    <w:jc w:val="center"/>
                    <w:rPr>
                      <w:sz w:val="18"/>
                      <w:szCs w:val="18"/>
                      <w:u w:val="single"/>
                    </w:rPr>
                  </w:pPr>
                </w:p>
              </w:tc>
              <w:tc>
                <w:tcPr>
                  <w:tcW w:w="806" w:type="dxa"/>
                  <w:noWrap/>
                  <w:tcMar>
                    <w:top w:w="15" w:type="dxa"/>
                    <w:left w:w="15" w:type="dxa"/>
                    <w:right w:w="15" w:type="dxa"/>
                  </w:tcMar>
                  <w:vAlign w:val="center"/>
                </w:tcPr>
                <w:p>
                  <w:pPr>
                    <w:widowControl/>
                    <w:jc w:val="center"/>
                    <w:textAlignment w:val="center"/>
                    <w:rPr>
                      <w:sz w:val="18"/>
                      <w:szCs w:val="18"/>
                      <w:u w:val="single"/>
                    </w:rPr>
                  </w:pPr>
                  <w:r>
                    <w:rPr>
                      <w:color w:val="000000"/>
                      <w:kern w:val="0"/>
                      <w:sz w:val="18"/>
                      <w:szCs w:val="18"/>
                      <w:u w:val="single"/>
                      <w:lang w:bidi="ar"/>
                    </w:rPr>
                    <w:t>BOD</w:t>
                  </w:r>
                  <w:r>
                    <w:rPr>
                      <w:color w:val="000000"/>
                      <w:kern w:val="0"/>
                      <w:sz w:val="18"/>
                      <w:szCs w:val="18"/>
                      <w:u w:val="single"/>
                      <w:vertAlign w:val="subscript"/>
                      <w:lang w:bidi="ar"/>
                    </w:rPr>
                    <w:t>5</w:t>
                  </w:r>
                </w:p>
              </w:tc>
              <w:tc>
                <w:tcPr>
                  <w:tcW w:w="843"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0.0193 </w:t>
                  </w:r>
                </w:p>
              </w:tc>
              <w:tc>
                <w:tcPr>
                  <w:tcW w:w="976"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0.2661 </w:t>
                  </w:r>
                </w:p>
              </w:tc>
              <w:tc>
                <w:tcPr>
                  <w:tcW w:w="750"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0.2428 </w:t>
                  </w:r>
                </w:p>
              </w:tc>
              <w:tc>
                <w:tcPr>
                  <w:tcW w:w="1069"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0.0234 </w:t>
                  </w:r>
                </w:p>
              </w:tc>
              <w:tc>
                <w:tcPr>
                  <w:tcW w:w="787"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 </w:t>
                  </w:r>
                </w:p>
              </w:tc>
              <w:tc>
                <w:tcPr>
                  <w:tcW w:w="994"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0.0041 </w:t>
                  </w:r>
                </w:p>
              </w:tc>
              <w:tc>
                <w:tcPr>
                  <w:tcW w:w="1058"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0.0234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6" w:hRule="atLeast"/>
                <w:jc w:val="center"/>
              </w:trPr>
              <w:tc>
                <w:tcPr>
                  <w:tcW w:w="693" w:type="dxa"/>
                  <w:vMerge w:val="continue"/>
                  <w:noWrap/>
                  <w:tcMar>
                    <w:top w:w="15" w:type="dxa"/>
                    <w:left w:w="15" w:type="dxa"/>
                    <w:right w:w="15" w:type="dxa"/>
                  </w:tcMar>
                  <w:vAlign w:val="center"/>
                </w:tcPr>
                <w:p>
                  <w:pPr>
                    <w:jc w:val="center"/>
                    <w:rPr>
                      <w:sz w:val="18"/>
                      <w:szCs w:val="18"/>
                      <w:u w:val="single"/>
                    </w:rPr>
                  </w:pPr>
                </w:p>
              </w:tc>
              <w:tc>
                <w:tcPr>
                  <w:tcW w:w="806" w:type="dxa"/>
                  <w:noWrap/>
                  <w:tcMar>
                    <w:top w:w="15" w:type="dxa"/>
                    <w:left w:w="15" w:type="dxa"/>
                    <w:right w:w="15" w:type="dxa"/>
                  </w:tcMar>
                  <w:vAlign w:val="center"/>
                </w:tcPr>
                <w:p>
                  <w:pPr>
                    <w:widowControl/>
                    <w:jc w:val="center"/>
                    <w:textAlignment w:val="center"/>
                    <w:rPr>
                      <w:sz w:val="18"/>
                      <w:szCs w:val="18"/>
                      <w:u w:val="single"/>
                    </w:rPr>
                  </w:pPr>
                  <w:r>
                    <w:rPr>
                      <w:color w:val="000000"/>
                      <w:kern w:val="0"/>
                      <w:sz w:val="18"/>
                      <w:szCs w:val="18"/>
                      <w:u w:val="single"/>
                      <w:lang w:bidi="ar"/>
                    </w:rPr>
                    <w:t>NH</w:t>
                  </w:r>
                  <w:r>
                    <w:rPr>
                      <w:color w:val="000000"/>
                      <w:kern w:val="0"/>
                      <w:sz w:val="18"/>
                      <w:szCs w:val="18"/>
                      <w:u w:val="single"/>
                      <w:vertAlign w:val="subscript"/>
                      <w:lang w:bidi="ar"/>
                    </w:rPr>
                    <w:t>3</w:t>
                  </w:r>
                  <w:r>
                    <w:rPr>
                      <w:color w:val="000000"/>
                      <w:kern w:val="0"/>
                      <w:sz w:val="18"/>
                      <w:szCs w:val="18"/>
                      <w:u w:val="single"/>
                      <w:lang w:bidi="ar"/>
                    </w:rPr>
                    <w:t>-N</w:t>
                  </w:r>
                </w:p>
              </w:tc>
              <w:tc>
                <w:tcPr>
                  <w:tcW w:w="843"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0.0004 </w:t>
                  </w:r>
                </w:p>
              </w:tc>
              <w:tc>
                <w:tcPr>
                  <w:tcW w:w="976"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0.4011 </w:t>
                  </w:r>
                </w:p>
              </w:tc>
              <w:tc>
                <w:tcPr>
                  <w:tcW w:w="750"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0.4006 </w:t>
                  </w:r>
                </w:p>
              </w:tc>
              <w:tc>
                <w:tcPr>
                  <w:tcW w:w="1069"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0.0005 </w:t>
                  </w:r>
                </w:p>
              </w:tc>
              <w:tc>
                <w:tcPr>
                  <w:tcW w:w="787"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 </w:t>
                  </w:r>
                </w:p>
              </w:tc>
              <w:tc>
                <w:tcPr>
                  <w:tcW w:w="994"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0.0001 </w:t>
                  </w:r>
                </w:p>
              </w:tc>
              <w:tc>
                <w:tcPr>
                  <w:tcW w:w="1058"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0.0005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jc w:val="center"/>
              </w:trPr>
              <w:tc>
                <w:tcPr>
                  <w:tcW w:w="693" w:type="dxa"/>
                  <w:vMerge w:val="continue"/>
                  <w:noWrap/>
                  <w:tcMar>
                    <w:top w:w="15" w:type="dxa"/>
                    <w:left w:w="15" w:type="dxa"/>
                    <w:right w:w="15" w:type="dxa"/>
                  </w:tcMar>
                  <w:vAlign w:val="center"/>
                </w:tcPr>
                <w:p>
                  <w:pPr>
                    <w:jc w:val="center"/>
                    <w:rPr>
                      <w:sz w:val="18"/>
                      <w:szCs w:val="18"/>
                      <w:u w:val="single"/>
                    </w:rPr>
                  </w:pPr>
                </w:p>
              </w:tc>
              <w:tc>
                <w:tcPr>
                  <w:tcW w:w="806" w:type="dxa"/>
                  <w:noWrap/>
                  <w:tcMar>
                    <w:top w:w="15" w:type="dxa"/>
                    <w:left w:w="15" w:type="dxa"/>
                    <w:right w:w="15" w:type="dxa"/>
                  </w:tcMar>
                  <w:vAlign w:val="center"/>
                </w:tcPr>
                <w:p>
                  <w:pPr>
                    <w:widowControl/>
                    <w:jc w:val="center"/>
                    <w:textAlignment w:val="center"/>
                    <w:rPr>
                      <w:sz w:val="18"/>
                      <w:szCs w:val="18"/>
                      <w:u w:val="single"/>
                    </w:rPr>
                  </w:pPr>
                  <w:r>
                    <w:rPr>
                      <w:color w:val="000000"/>
                      <w:kern w:val="0"/>
                      <w:sz w:val="18"/>
                      <w:szCs w:val="18"/>
                      <w:u w:val="single"/>
                      <w:lang w:bidi="ar"/>
                    </w:rPr>
                    <w:t>TP</w:t>
                  </w:r>
                </w:p>
              </w:tc>
              <w:tc>
                <w:tcPr>
                  <w:tcW w:w="843"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0.000075 </w:t>
                  </w:r>
                </w:p>
              </w:tc>
              <w:tc>
                <w:tcPr>
                  <w:tcW w:w="976"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0.0194 </w:t>
                  </w:r>
                </w:p>
              </w:tc>
              <w:tc>
                <w:tcPr>
                  <w:tcW w:w="750"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0.0193 </w:t>
                  </w:r>
                </w:p>
              </w:tc>
              <w:tc>
                <w:tcPr>
                  <w:tcW w:w="1069"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0.000090 </w:t>
                  </w:r>
                </w:p>
              </w:tc>
              <w:tc>
                <w:tcPr>
                  <w:tcW w:w="787"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 </w:t>
                  </w:r>
                </w:p>
              </w:tc>
              <w:tc>
                <w:tcPr>
                  <w:tcW w:w="994"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0.000016 </w:t>
                  </w:r>
                </w:p>
              </w:tc>
              <w:tc>
                <w:tcPr>
                  <w:tcW w:w="1058"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0.000090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jc w:val="center"/>
              </w:trPr>
              <w:tc>
                <w:tcPr>
                  <w:tcW w:w="693" w:type="dxa"/>
                  <w:vMerge w:val="restart"/>
                  <w:noWrap/>
                  <w:tcMar>
                    <w:top w:w="15" w:type="dxa"/>
                    <w:left w:w="15" w:type="dxa"/>
                    <w:right w:w="15" w:type="dxa"/>
                  </w:tcMar>
                  <w:vAlign w:val="center"/>
                </w:tcPr>
                <w:p>
                  <w:pPr>
                    <w:pStyle w:val="87"/>
                    <w:rPr>
                      <w:sz w:val="18"/>
                      <w:szCs w:val="18"/>
                      <w:u w:val="single"/>
                    </w:rPr>
                  </w:pPr>
                  <w:r>
                    <w:rPr>
                      <w:sz w:val="18"/>
                      <w:szCs w:val="18"/>
                      <w:u w:val="single"/>
                    </w:rPr>
                    <w:t>废气</w:t>
                  </w:r>
                </w:p>
              </w:tc>
              <w:tc>
                <w:tcPr>
                  <w:tcW w:w="806" w:type="dxa"/>
                  <w:noWrap/>
                  <w:tcMar>
                    <w:top w:w="15" w:type="dxa"/>
                    <w:left w:w="15" w:type="dxa"/>
                    <w:right w:w="15" w:type="dxa"/>
                  </w:tcMar>
                  <w:vAlign w:val="center"/>
                </w:tcPr>
                <w:p>
                  <w:pPr>
                    <w:widowControl/>
                    <w:jc w:val="center"/>
                    <w:textAlignment w:val="center"/>
                    <w:rPr>
                      <w:sz w:val="18"/>
                      <w:szCs w:val="18"/>
                      <w:u w:val="single"/>
                    </w:rPr>
                  </w:pPr>
                  <w:r>
                    <w:rPr>
                      <w:color w:val="000000"/>
                      <w:kern w:val="0"/>
                      <w:sz w:val="18"/>
                      <w:szCs w:val="18"/>
                      <w:u w:val="single"/>
                      <w:lang w:bidi="ar"/>
                    </w:rPr>
                    <w:t>NH3</w:t>
                  </w:r>
                </w:p>
              </w:tc>
              <w:tc>
                <w:tcPr>
                  <w:tcW w:w="843" w:type="dxa"/>
                  <w:noWrap/>
                  <w:tcMar>
                    <w:top w:w="15" w:type="dxa"/>
                    <w:left w:w="15" w:type="dxa"/>
                    <w:right w:w="15" w:type="dxa"/>
                  </w:tcMar>
                  <w:vAlign w:val="center"/>
                </w:tcPr>
                <w:p>
                  <w:pPr>
                    <w:pStyle w:val="36"/>
                    <w:bidi w:val="0"/>
                    <w:rPr>
                      <w:sz w:val="20"/>
                      <w:szCs w:val="22"/>
                      <w:u w:val="single"/>
                    </w:rPr>
                  </w:pPr>
                  <w:r>
                    <w:rPr>
                      <w:rFonts w:hint="default"/>
                      <w:sz w:val="20"/>
                      <w:szCs w:val="22"/>
                      <w:u w:val="single"/>
                      <w:lang w:val="en-US" w:eastAsia="zh-CN"/>
                    </w:rPr>
                    <w:t>0.000276</w:t>
                  </w:r>
                </w:p>
              </w:tc>
              <w:tc>
                <w:tcPr>
                  <w:tcW w:w="976" w:type="dxa"/>
                  <w:noWrap/>
                  <w:tcMar>
                    <w:top w:w="15" w:type="dxa"/>
                    <w:left w:w="15" w:type="dxa"/>
                    <w:right w:w="15" w:type="dxa"/>
                  </w:tcMar>
                  <w:vAlign w:val="center"/>
                </w:tcPr>
                <w:p>
                  <w:pPr>
                    <w:pStyle w:val="36"/>
                    <w:bidi w:val="0"/>
                    <w:rPr>
                      <w:sz w:val="20"/>
                      <w:szCs w:val="22"/>
                      <w:u w:val="single"/>
                    </w:rPr>
                  </w:pPr>
                  <w:r>
                    <w:rPr>
                      <w:rFonts w:hint="default"/>
                      <w:sz w:val="20"/>
                      <w:szCs w:val="22"/>
                      <w:u w:val="single"/>
                      <w:lang w:val="en-US" w:eastAsia="zh-CN"/>
                    </w:rPr>
                    <w:t>0.000740294</w:t>
                  </w:r>
                </w:p>
              </w:tc>
              <w:tc>
                <w:tcPr>
                  <w:tcW w:w="750"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0.0000 </w:t>
                  </w:r>
                </w:p>
              </w:tc>
              <w:tc>
                <w:tcPr>
                  <w:tcW w:w="1069" w:type="dxa"/>
                  <w:noWrap/>
                  <w:tcMar>
                    <w:top w:w="15" w:type="dxa"/>
                    <w:left w:w="15" w:type="dxa"/>
                    <w:right w:w="15" w:type="dxa"/>
                  </w:tcMar>
                  <w:vAlign w:val="center"/>
                </w:tcPr>
                <w:p>
                  <w:pPr>
                    <w:pStyle w:val="36"/>
                    <w:bidi w:val="0"/>
                    <w:rPr>
                      <w:sz w:val="20"/>
                      <w:szCs w:val="22"/>
                      <w:u w:val="single"/>
                    </w:rPr>
                  </w:pPr>
                  <w:r>
                    <w:rPr>
                      <w:rFonts w:hint="default"/>
                      <w:sz w:val="20"/>
                      <w:szCs w:val="22"/>
                      <w:u w:val="single"/>
                      <w:lang w:val="en-US" w:eastAsia="zh-CN"/>
                    </w:rPr>
                    <w:t>0.000740294</w:t>
                  </w:r>
                </w:p>
              </w:tc>
              <w:tc>
                <w:tcPr>
                  <w:tcW w:w="787"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 </w:t>
                  </w:r>
                </w:p>
              </w:tc>
              <w:tc>
                <w:tcPr>
                  <w:tcW w:w="994" w:type="dxa"/>
                  <w:noWrap/>
                  <w:tcMar>
                    <w:top w:w="15" w:type="dxa"/>
                    <w:left w:w="15" w:type="dxa"/>
                    <w:right w:w="15" w:type="dxa"/>
                  </w:tcMar>
                  <w:vAlign w:val="center"/>
                </w:tcPr>
                <w:p>
                  <w:pPr>
                    <w:pStyle w:val="36"/>
                    <w:bidi w:val="0"/>
                    <w:rPr>
                      <w:sz w:val="20"/>
                      <w:szCs w:val="22"/>
                      <w:u w:val="single"/>
                    </w:rPr>
                  </w:pPr>
                  <w:r>
                    <w:rPr>
                      <w:rFonts w:hint="default"/>
                      <w:sz w:val="20"/>
                      <w:szCs w:val="22"/>
                      <w:u w:val="single"/>
                      <w:lang w:val="en-US" w:eastAsia="zh-CN"/>
                    </w:rPr>
                    <w:t>0.00009222</w:t>
                  </w:r>
                </w:p>
              </w:tc>
              <w:tc>
                <w:tcPr>
                  <w:tcW w:w="1058"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0.000740294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jc w:val="center"/>
              </w:trPr>
              <w:tc>
                <w:tcPr>
                  <w:tcW w:w="693" w:type="dxa"/>
                  <w:vMerge w:val="continue"/>
                  <w:noWrap/>
                  <w:tcMar>
                    <w:top w:w="15" w:type="dxa"/>
                    <w:left w:w="15" w:type="dxa"/>
                    <w:right w:w="15" w:type="dxa"/>
                  </w:tcMar>
                  <w:vAlign w:val="center"/>
                </w:tcPr>
                <w:p>
                  <w:pPr>
                    <w:pStyle w:val="87"/>
                    <w:rPr>
                      <w:sz w:val="18"/>
                      <w:szCs w:val="18"/>
                      <w:u w:val="single"/>
                    </w:rPr>
                  </w:pPr>
                </w:p>
              </w:tc>
              <w:tc>
                <w:tcPr>
                  <w:tcW w:w="806" w:type="dxa"/>
                  <w:noWrap/>
                  <w:tcMar>
                    <w:top w:w="15" w:type="dxa"/>
                    <w:left w:w="15" w:type="dxa"/>
                    <w:right w:w="15" w:type="dxa"/>
                  </w:tcMar>
                  <w:vAlign w:val="center"/>
                </w:tcPr>
                <w:p>
                  <w:pPr>
                    <w:widowControl/>
                    <w:jc w:val="center"/>
                    <w:textAlignment w:val="center"/>
                    <w:rPr>
                      <w:sz w:val="18"/>
                      <w:szCs w:val="18"/>
                      <w:u w:val="single"/>
                    </w:rPr>
                  </w:pPr>
                  <w:r>
                    <w:rPr>
                      <w:color w:val="000000"/>
                      <w:kern w:val="0"/>
                      <w:sz w:val="18"/>
                      <w:szCs w:val="18"/>
                      <w:u w:val="single"/>
                      <w:lang w:bidi="ar"/>
                    </w:rPr>
                    <w:t>H2S</w:t>
                  </w:r>
                </w:p>
              </w:tc>
              <w:tc>
                <w:tcPr>
                  <w:tcW w:w="843" w:type="dxa"/>
                  <w:noWrap/>
                  <w:tcMar>
                    <w:top w:w="15" w:type="dxa"/>
                    <w:left w:w="15" w:type="dxa"/>
                    <w:right w:w="15" w:type="dxa"/>
                  </w:tcMar>
                  <w:vAlign w:val="center"/>
                </w:tcPr>
                <w:p>
                  <w:pPr>
                    <w:pStyle w:val="36"/>
                    <w:bidi w:val="0"/>
                    <w:rPr>
                      <w:sz w:val="20"/>
                      <w:szCs w:val="22"/>
                      <w:u w:val="single"/>
                    </w:rPr>
                  </w:pPr>
                  <w:r>
                    <w:rPr>
                      <w:rFonts w:hint="default"/>
                      <w:sz w:val="20"/>
                      <w:szCs w:val="22"/>
                      <w:u w:val="single"/>
                      <w:lang w:val="en-US" w:eastAsia="zh-CN"/>
                    </w:rPr>
                    <w:t>0.0000107</w:t>
                  </w:r>
                </w:p>
              </w:tc>
              <w:tc>
                <w:tcPr>
                  <w:tcW w:w="976" w:type="dxa"/>
                  <w:noWrap/>
                  <w:tcMar>
                    <w:top w:w="15" w:type="dxa"/>
                    <w:left w:w="15" w:type="dxa"/>
                    <w:right w:w="15" w:type="dxa"/>
                  </w:tcMar>
                  <w:vAlign w:val="center"/>
                </w:tcPr>
                <w:p>
                  <w:pPr>
                    <w:pStyle w:val="36"/>
                    <w:bidi w:val="0"/>
                    <w:rPr>
                      <w:sz w:val="20"/>
                      <w:szCs w:val="22"/>
                      <w:u w:val="single"/>
                    </w:rPr>
                  </w:pPr>
                  <w:r>
                    <w:rPr>
                      <w:rFonts w:hint="default"/>
                      <w:sz w:val="20"/>
                      <w:szCs w:val="22"/>
                      <w:u w:val="single"/>
                      <w:lang w:val="en-US" w:eastAsia="zh-CN"/>
                    </w:rPr>
                    <w:t>2.86566E-05</w:t>
                  </w:r>
                </w:p>
              </w:tc>
              <w:tc>
                <w:tcPr>
                  <w:tcW w:w="750" w:type="dxa"/>
                  <w:noWrap/>
                  <w:tcMar>
                    <w:top w:w="15" w:type="dxa"/>
                    <w:left w:w="15" w:type="dxa"/>
                    <w:right w:w="15" w:type="dxa"/>
                  </w:tcMar>
                  <w:vAlign w:val="center"/>
                </w:tcPr>
                <w:p>
                  <w:pPr>
                    <w:pStyle w:val="36"/>
                    <w:bidi w:val="0"/>
                    <w:rPr>
                      <w:sz w:val="20"/>
                      <w:szCs w:val="22"/>
                      <w:u w:val="single"/>
                    </w:rPr>
                  </w:pPr>
                  <w:r>
                    <w:rPr>
                      <w:rFonts w:hint="default"/>
                      <w:sz w:val="20"/>
                      <w:szCs w:val="22"/>
                      <w:u w:val="single"/>
                      <w:lang w:val="en-US" w:eastAsia="zh-CN"/>
                    </w:rPr>
                    <w:t xml:space="preserve">0.0000 </w:t>
                  </w:r>
                </w:p>
              </w:tc>
              <w:tc>
                <w:tcPr>
                  <w:tcW w:w="1069" w:type="dxa"/>
                  <w:noWrap/>
                  <w:tcMar>
                    <w:top w:w="15" w:type="dxa"/>
                    <w:left w:w="15" w:type="dxa"/>
                    <w:right w:w="15" w:type="dxa"/>
                  </w:tcMar>
                  <w:vAlign w:val="center"/>
                </w:tcPr>
                <w:p>
                  <w:pPr>
                    <w:pStyle w:val="36"/>
                    <w:bidi w:val="0"/>
                    <w:rPr>
                      <w:sz w:val="20"/>
                      <w:szCs w:val="22"/>
                      <w:u w:val="single"/>
                    </w:rPr>
                  </w:pPr>
                  <w:r>
                    <w:rPr>
                      <w:rFonts w:hint="default"/>
                      <w:sz w:val="20"/>
                      <w:szCs w:val="22"/>
                      <w:u w:val="single"/>
                      <w:lang w:val="en-US" w:eastAsia="zh-CN"/>
                    </w:rPr>
                    <w:t>2.86566E-05</w:t>
                  </w:r>
                </w:p>
              </w:tc>
              <w:tc>
                <w:tcPr>
                  <w:tcW w:w="787"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 </w:t>
                  </w:r>
                </w:p>
              </w:tc>
              <w:tc>
                <w:tcPr>
                  <w:tcW w:w="994" w:type="dxa"/>
                  <w:noWrap/>
                  <w:tcMar>
                    <w:top w:w="15" w:type="dxa"/>
                    <w:left w:w="15" w:type="dxa"/>
                    <w:right w:w="15" w:type="dxa"/>
                  </w:tcMar>
                  <w:vAlign w:val="center"/>
                </w:tcPr>
                <w:p>
                  <w:pPr>
                    <w:pStyle w:val="36"/>
                    <w:bidi w:val="0"/>
                    <w:rPr>
                      <w:sz w:val="20"/>
                      <w:szCs w:val="22"/>
                      <w:u w:val="single"/>
                    </w:rPr>
                  </w:pPr>
                  <w:r>
                    <w:rPr>
                      <w:rFonts w:hint="default"/>
                      <w:sz w:val="20"/>
                      <w:szCs w:val="22"/>
                      <w:u w:val="single"/>
                      <w:lang w:val="en-US" w:eastAsia="zh-CN"/>
                    </w:rPr>
                    <w:t>1.79566E-05</w:t>
                  </w:r>
                </w:p>
              </w:tc>
              <w:tc>
                <w:tcPr>
                  <w:tcW w:w="1058"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2.86566E-05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6" w:hRule="atLeast"/>
                <w:jc w:val="center"/>
              </w:trPr>
              <w:tc>
                <w:tcPr>
                  <w:tcW w:w="693" w:type="dxa"/>
                  <w:vMerge w:val="restart"/>
                  <w:noWrap/>
                  <w:tcMar>
                    <w:top w:w="15" w:type="dxa"/>
                    <w:left w:w="15" w:type="dxa"/>
                    <w:right w:w="15" w:type="dxa"/>
                  </w:tcMar>
                  <w:vAlign w:val="center"/>
                </w:tcPr>
                <w:p>
                  <w:pPr>
                    <w:pStyle w:val="87"/>
                    <w:rPr>
                      <w:sz w:val="18"/>
                      <w:szCs w:val="18"/>
                      <w:u w:val="single"/>
                    </w:rPr>
                  </w:pPr>
                  <w:r>
                    <w:rPr>
                      <w:sz w:val="18"/>
                      <w:szCs w:val="18"/>
                      <w:u w:val="single"/>
                    </w:rPr>
                    <w:t>固废</w:t>
                  </w:r>
                </w:p>
              </w:tc>
              <w:tc>
                <w:tcPr>
                  <w:tcW w:w="806" w:type="dxa"/>
                  <w:noWrap/>
                  <w:tcMar>
                    <w:top w:w="15" w:type="dxa"/>
                    <w:left w:w="15" w:type="dxa"/>
                    <w:right w:w="15" w:type="dxa"/>
                  </w:tcMar>
                  <w:vAlign w:val="center"/>
                </w:tcPr>
                <w:p>
                  <w:pPr>
                    <w:widowControl/>
                    <w:jc w:val="center"/>
                    <w:textAlignment w:val="center"/>
                    <w:rPr>
                      <w:sz w:val="18"/>
                      <w:szCs w:val="18"/>
                      <w:u w:val="single"/>
                    </w:rPr>
                  </w:pPr>
                  <w:r>
                    <w:rPr>
                      <w:color w:val="000000"/>
                      <w:kern w:val="0"/>
                      <w:sz w:val="18"/>
                      <w:szCs w:val="18"/>
                      <w:u w:val="single"/>
                      <w:lang w:bidi="ar"/>
                    </w:rPr>
                    <w:t>住院病房生活垃圾</w:t>
                  </w:r>
                </w:p>
              </w:tc>
              <w:tc>
                <w:tcPr>
                  <w:tcW w:w="843" w:type="dxa"/>
                  <w:noWrap/>
                  <w:tcMar>
                    <w:top w:w="15" w:type="dxa"/>
                    <w:left w:w="15" w:type="dxa"/>
                    <w:right w:w="15" w:type="dxa"/>
                  </w:tcMar>
                  <w:vAlign w:val="center"/>
                </w:tcPr>
                <w:p>
                  <w:pPr>
                    <w:pStyle w:val="36"/>
                    <w:bidi w:val="0"/>
                    <w:rPr>
                      <w:rFonts w:hint="eastAsia"/>
                      <w:sz w:val="20"/>
                      <w:szCs w:val="22"/>
                      <w:u w:val="single"/>
                      <w:lang w:eastAsia="zh-CN"/>
                    </w:rPr>
                  </w:pPr>
                  <w:r>
                    <w:rPr>
                      <w:rFonts w:hint="eastAsia"/>
                      <w:sz w:val="20"/>
                      <w:szCs w:val="22"/>
                      <w:u w:val="single"/>
                      <w:lang w:val="en-US" w:eastAsia="zh-CN"/>
                    </w:rPr>
                    <w:t>9.125</w:t>
                  </w:r>
                </w:p>
              </w:tc>
              <w:tc>
                <w:tcPr>
                  <w:tcW w:w="976"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10.95</w:t>
                  </w:r>
                </w:p>
              </w:tc>
              <w:tc>
                <w:tcPr>
                  <w:tcW w:w="750"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10.95</w:t>
                  </w:r>
                </w:p>
              </w:tc>
              <w:tc>
                <w:tcPr>
                  <w:tcW w:w="1069" w:type="dxa"/>
                  <w:noWrap/>
                  <w:tcMar>
                    <w:top w:w="15" w:type="dxa"/>
                    <w:left w:w="15" w:type="dxa"/>
                    <w:right w:w="15" w:type="dxa"/>
                  </w:tcMar>
                  <w:vAlign w:val="center"/>
                </w:tcPr>
                <w:p>
                  <w:pPr>
                    <w:pStyle w:val="36"/>
                    <w:bidi w:val="0"/>
                    <w:rPr>
                      <w:sz w:val="20"/>
                      <w:szCs w:val="22"/>
                      <w:u w:val="single"/>
                    </w:rPr>
                  </w:pPr>
                  <w:r>
                    <w:rPr>
                      <w:rFonts w:hint="default"/>
                      <w:sz w:val="20"/>
                      <w:szCs w:val="22"/>
                      <w:u w:val="single"/>
                      <w:lang w:val="en-US" w:eastAsia="zh-CN"/>
                    </w:rPr>
                    <w:t>0</w:t>
                  </w:r>
                </w:p>
              </w:tc>
              <w:tc>
                <w:tcPr>
                  <w:tcW w:w="787"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 </w:t>
                  </w:r>
                </w:p>
              </w:tc>
              <w:tc>
                <w:tcPr>
                  <w:tcW w:w="994" w:type="dxa"/>
                  <w:noWrap/>
                  <w:tcMar>
                    <w:top w:w="15" w:type="dxa"/>
                    <w:left w:w="15" w:type="dxa"/>
                    <w:right w:w="15" w:type="dxa"/>
                  </w:tcMar>
                  <w:vAlign w:val="center"/>
                </w:tcPr>
                <w:p>
                  <w:pPr>
                    <w:pStyle w:val="36"/>
                    <w:bidi w:val="0"/>
                    <w:rPr>
                      <w:sz w:val="20"/>
                      <w:szCs w:val="22"/>
                      <w:u w:val="single"/>
                    </w:rPr>
                  </w:pPr>
                  <w:r>
                    <w:rPr>
                      <w:rFonts w:hint="default"/>
                      <w:sz w:val="20"/>
                      <w:szCs w:val="22"/>
                      <w:u w:val="single"/>
                      <w:lang w:val="en-US" w:eastAsia="zh-CN"/>
                    </w:rPr>
                    <w:t>1.825</w:t>
                  </w:r>
                </w:p>
              </w:tc>
              <w:tc>
                <w:tcPr>
                  <w:tcW w:w="1058"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7" w:hRule="atLeast"/>
                <w:jc w:val="center"/>
              </w:trPr>
              <w:tc>
                <w:tcPr>
                  <w:tcW w:w="693" w:type="dxa"/>
                  <w:vMerge w:val="continue"/>
                  <w:noWrap/>
                  <w:tcMar>
                    <w:top w:w="15" w:type="dxa"/>
                    <w:left w:w="15" w:type="dxa"/>
                    <w:right w:w="15" w:type="dxa"/>
                  </w:tcMar>
                  <w:vAlign w:val="center"/>
                </w:tcPr>
                <w:p>
                  <w:pPr>
                    <w:pStyle w:val="87"/>
                    <w:rPr>
                      <w:sz w:val="18"/>
                      <w:szCs w:val="18"/>
                      <w:u w:val="single"/>
                    </w:rPr>
                  </w:pPr>
                </w:p>
              </w:tc>
              <w:tc>
                <w:tcPr>
                  <w:tcW w:w="806" w:type="dxa"/>
                  <w:noWrap/>
                  <w:tcMar>
                    <w:top w:w="15" w:type="dxa"/>
                    <w:left w:w="15" w:type="dxa"/>
                    <w:right w:w="15" w:type="dxa"/>
                  </w:tcMar>
                  <w:vAlign w:val="center"/>
                </w:tcPr>
                <w:p>
                  <w:pPr>
                    <w:widowControl/>
                    <w:jc w:val="center"/>
                    <w:textAlignment w:val="center"/>
                    <w:rPr>
                      <w:sz w:val="18"/>
                      <w:szCs w:val="18"/>
                      <w:u w:val="single"/>
                    </w:rPr>
                  </w:pPr>
                  <w:r>
                    <w:rPr>
                      <w:color w:val="000000"/>
                      <w:kern w:val="0"/>
                      <w:sz w:val="18"/>
                      <w:szCs w:val="18"/>
                      <w:u w:val="single"/>
                      <w:lang w:bidi="ar"/>
                    </w:rPr>
                    <w:t>门诊垃圾</w:t>
                  </w:r>
                </w:p>
              </w:tc>
              <w:tc>
                <w:tcPr>
                  <w:tcW w:w="843"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1.095</w:t>
                  </w:r>
                </w:p>
              </w:tc>
              <w:tc>
                <w:tcPr>
                  <w:tcW w:w="976"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1.46</w:t>
                  </w:r>
                </w:p>
              </w:tc>
              <w:tc>
                <w:tcPr>
                  <w:tcW w:w="750"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1.46</w:t>
                  </w:r>
                </w:p>
              </w:tc>
              <w:tc>
                <w:tcPr>
                  <w:tcW w:w="1069" w:type="dxa"/>
                  <w:noWrap/>
                  <w:tcMar>
                    <w:top w:w="15" w:type="dxa"/>
                    <w:left w:w="15" w:type="dxa"/>
                    <w:right w:w="15" w:type="dxa"/>
                  </w:tcMar>
                  <w:vAlign w:val="center"/>
                </w:tcPr>
                <w:p>
                  <w:pPr>
                    <w:pStyle w:val="36"/>
                    <w:bidi w:val="0"/>
                    <w:rPr>
                      <w:sz w:val="20"/>
                      <w:szCs w:val="22"/>
                      <w:u w:val="single"/>
                    </w:rPr>
                  </w:pPr>
                  <w:r>
                    <w:rPr>
                      <w:rFonts w:hint="default"/>
                      <w:sz w:val="20"/>
                      <w:szCs w:val="22"/>
                      <w:u w:val="single"/>
                      <w:lang w:val="en-US" w:eastAsia="zh-CN"/>
                    </w:rPr>
                    <w:t>0</w:t>
                  </w:r>
                </w:p>
              </w:tc>
              <w:tc>
                <w:tcPr>
                  <w:tcW w:w="787"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 </w:t>
                  </w:r>
                </w:p>
              </w:tc>
              <w:tc>
                <w:tcPr>
                  <w:tcW w:w="994" w:type="dxa"/>
                  <w:noWrap/>
                  <w:tcMar>
                    <w:top w:w="15" w:type="dxa"/>
                    <w:left w:w="15" w:type="dxa"/>
                    <w:right w:w="15" w:type="dxa"/>
                  </w:tcMar>
                  <w:vAlign w:val="center"/>
                </w:tcPr>
                <w:p>
                  <w:pPr>
                    <w:pStyle w:val="36"/>
                    <w:bidi w:val="0"/>
                    <w:rPr>
                      <w:sz w:val="20"/>
                      <w:szCs w:val="22"/>
                      <w:u w:val="single"/>
                    </w:rPr>
                  </w:pPr>
                  <w:r>
                    <w:rPr>
                      <w:rFonts w:hint="default"/>
                      <w:sz w:val="20"/>
                      <w:szCs w:val="22"/>
                      <w:u w:val="single"/>
                      <w:lang w:val="en-US" w:eastAsia="zh-CN"/>
                    </w:rPr>
                    <w:t>0.365</w:t>
                  </w:r>
                </w:p>
              </w:tc>
              <w:tc>
                <w:tcPr>
                  <w:tcW w:w="1058"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jc w:val="center"/>
              </w:trPr>
              <w:tc>
                <w:tcPr>
                  <w:tcW w:w="693" w:type="dxa"/>
                  <w:vMerge w:val="continue"/>
                  <w:noWrap/>
                  <w:tcMar>
                    <w:top w:w="15" w:type="dxa"/>
                    <w:left w:w="15" w:type="dxa"/>
                    <w:right w:w="15" w:type="dxa"/>
                  </w:tcMar>
                  <w:vAlign w:val="center"/>
                </w:tcPr>
                <w:p>
                  <w:pPr>
                    <w:pStyle w:val="87"/>
                    <w:rPr>
                      <w:sz w:val="18"/>
                      <w:szCs w:val="18"/>
                      <w:u w:val="single"/>
                    </w:rPr>
                  </w:pPr>
                </w:p>
              </w:tc>
              <w:tc>
                <w:tcPr>
                  <w:tcW w:w="806" w:type="dxa"/>
                  <w:noWrap/>
                  <w:tcMar>
                    <w:top w:w="15" w:type="dxa"/>
                    <w:left w:w="15" w:type="dxa"/>
                    <w:right w:w="15" w:type="dxa"/>
                  </w:tcMar>
                  <w:vAlign w:val="center"/>
                </w:tcPr>
                <w:p>
                  <w:pPr>
                    <w:widowControl/>
                    <w:jc w:val="center"/>
                    <w:textAlignment w:val="center"/>
                    <w:rPr>
                      <w:sz w:val="18"/>
                      <w:szCs w:val="18"/>
                      <w:u w:val="single"/>
                    </w:rPr>
                  </w:pPr>
                  <w:r>
                    <w:rPr>
                      <w:color w:val="000000"/>
                      <w:kern w:val="0"/>
                      <w:sz w:val="18"/>
                      <w:szCs w:val="18"/>
                      <w:u w:val="single"/>
                      <w:lang w:bidi="ar"/>
                    </w:rPr>
                    <w:t>职工生活垃圾</w:t>
                  </w:r>
                </w:p>
              </w:tc>
              <w:tc>
                <w:tcPr>
                  <w:tcW w:w="843" w:type="dxa"/>
                  <w:noWrap/>
                  <w:tcMar>
                    <w:top w:w="15" w:type="dxa"/>
                    <w:left w:w="15" w:type="dxa"/>
                    <w:right w:w="15" w:type="dxa"/>
                  </w:tcMar>
                  <w:vAlign w:val="center"/>
                </w:tcPr>
                <w:p>
                  <w:pPr>
                    <w:pStyle w:val="36"/>
                    <w:bidi w:val="0"/>
                    <w:rPr>
                      <w:rFonts w:hint="eastAsia"/>
                      <w:sz w:val="20"/>
                      <w:szCs w:val="22"/>
                      <w:u w:val="single"/>
                      <w:lang w:eastAsia="zh-CN"/>
                    </w:rPr>
                  </w:pPr>
                  <w:r>
                    <w:rPr>
                      <w:rFonts w:hint="eastAsia"/>
                      <w:sz w:val="20"/>
                      <w:szCs w:val="22"/>
                      <w:u w:val="single"/>
                      <w:lang w:val="en-US" w:eastAsia="zh-CN"/>
                    </w:rPr>
                    <w:t>5.475</w:t>
                  </w:r>
                </w:p>
              </w:tc>
              <w:tc>
                <w:tcPr>
                  <w:tcW w:w="976" w:type="dxa"/>
                  <w:noWrap/>
                  <w:tcMar>
                    <w:top w:w="15" w:type="dxa"/>
                    <w:left w:w="15" w:type="dxa"/>
                    <w:right w:w="15" w:type="dxa"/>
                  </w:tcMar>
                  <w:vAlign w:val="center"/>
                </w:tcPr>
                <w:p>
                  <w:pPr>
                    <w:pStyle w:val="36"/>
                    <w:bidi w:val="0"/>
                    <w:rPr>
                      <w:rFonts w:hint="eastAsia"/>
                      <w:sz w:val="20"/>
                      <w:szCs w:val="22"/>
                      <w:u w:val="single"/>
                      <w:lang w:eastAsia="zh-CN"/>
                    </w:rPr>
                  </w:pPr>
                  <w:r>
                    <w:rPr>
                      <w:rFonts w:hint="eastAsia"/>
                      <w:sz w:val="20"/>
                      <w:szCs w:val="22"/>
                      <w:u w:val="single"/>
                      <w:lang w:val="en-US" w:eastAsia="zh-CN"/>
                    </w:rPr>
                    <w:t>7.3</w:t>
                  </w:r>
                </w:p>
              </w:tc>
              <w:tc>
                <w:tcPr>
                  <w:tcW w:w="750" w:type="dxa"/>
                  <w:noWrap/>
                  <w:tcMar>
                    <w:top w:w="15" w:type="dxa"/>
                    <w:left w:w="15" w:type="dxa"/>
                    <w:right w:w="15" w:type="dxa"/>
                  </w:tcMar>
                  <w:vAlign w:val="center"/>
                </w:tcPr>
                <w:p>
                  <w:pPr>
                    <w:pStyle w:val="36"/>
                    <w:bidi w:val="0"/>
                    <w:rPr>
                      <w:rFonts w:hint="eastAsia"/>
                      <w:sz w:val="20"/>
                      <w:szCs w:val="22"/>
                      <w:u w:val="single"/>
                      <w:lang w:eastAsia="zh-CN"/>
                    </w:rPr>
                  </w:pPr>
                  <w:r>
                    <w:rPr>
                      <w:rFonts w:hint="eastAsia"/>
                      <w:sz w:val="20"/>
                      <w:szCs w:val="22"/>
                      <w:u w:val="single"/>
                      <w:lang w:val="en-US" w:eastAsia="zh-CN"/>
                    </w:rPr>
                    <w:t>7.3</w:t>
                  </w:r>
                </w:p>
              </w:tc>
              <w:tc>
                <w:tcPr>
                  <w:tcW w:w="1069" w:type="dxa"/>
                  <w:noWrap/>
                  <w:tcMar>
                    <w:top w:w="15" w:type="dxa"/>
                    <w:left w:w="15" w:type="dxa"/>
                    <w:right w:w="15" w:type="dxa"/>
                  </w:tcMar>
                  <w:vAlign w:val="center"/>
                </w:tcPr>
                <w:p>
                  <w:pPr>
                    <w:pStyle w:val="36"/>
                    <w:bidi w:val="0"/>
                    <w:rPr>
                      <w:sz w:val="20"/>
                      <w:szCs w:val="22"/>
                      <w:u w:val="single"/>
                    </w:rPr>
                  </w:pPr>
                  <w:r>
                    <w:rPr>
                      <w:rFonts w:hint="default"/>
                      <w:sz w:val="20"/>
                      <w:szCs w:val="22"/>
                      <w:u w:val="single"/>
                      <w:lang w:val="en-US" w:eastAsia="zh-CN"/>
                    </w:rPr>
                    <w:t>0</w:t>
                  </w:r>
                </w:p>
              </w:tc>
              <w:tc>
                <w:tcPr>
                  <w:tcW w:w="787"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 </w:t>
                  </w:r>
                </w:p>
              </w:tc>
              <w:tc>
                <w:tcPr>
                  <w:tcW w:w="994" w:type="dxa"/>
                  <w:noWrap/>
                  <w:tcMar>
                    <w:top w:w="15" w:type="dxa"/>
                    <w:left w:w="15" w:type="dxa"/>
                    <w:right w:w="15" w:type="dxa"/>
                  </w:tcMar>
                  <w:vAlign w:val="center"/>
                </w:tcPr>
                <w:p>
                  <w:pPr>
                    <w:pStyle w:val="36"/>
                    <w:bidi w:val="0"/>
                    <w:rPr>
                      <w:sz w:val="20"/>
                      <w:szCs w:val="22"/>
                      <w:u w:val="single"/>
                    </w:rPr>
                  </w:pPr>
                  <w:r>
                    <w:rPr>
                      <w:rFonts w:hint="default"/>
                      <w:sz w:val="20"/>
                      <w:szCs w:val="22"/>
                      <w:u w:val="single"/>
                      <w:lang w:val="en-US" w:eastAsia="zh-CN"/>
                    </w:rPr>
                    <w:t>1.825</w:t>
                  </w:r>
                </w:p>
              </w:tc>
              <w:tc>
                <w:tcPr>
                  <w:tcW w:w="1058"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jc w:val="center"/>
              </w:trPr>
              <w:tc>
                <w:tcPr>
                  <w:tcW w:w="693" w:type="dxa"/>
                  <w:vMerge w:val="continue"/>
                  <w:noWrap/>
                  <w:tcMar>
                    <w:top w:w="15" w:type="dxa"/>
                    <w:left w:w="15" w:type="dxa"/>
                    <w:right w:w="15" w:type="dxa"/>
                  </w:tcMar>
                  <w:vAlign w:val="center"/>
                </w:tcPr>
                <w:p>
                  <w:pPr>
                    <w:pStyle w:val="87"/>
                    <w:rPr>
                      <w:sz w:val="18"/>
                      <w:szCs w:val="18"/>
                      <w:u w:val="single"/>
                    </w:rPr>
                  </w:pPr>
                </w:p>
              </w:tc>
              <w:tc>
                <w:tcPr>
                  <w:tcW w:w="806" w:type="dxa"/>
                  <w:noWrap/>
                  <w:tcMar>
                    <w:top w:w="15" w:type="dxa"/>
                    <w:left w:w="15" w:type="dxa"/>
                    <w:right w:w="15" w:type="dxa"/>
                  </w:tcMar>
                  <w:vAlign w:val="center"/>
                </w:tcPr>
                <w:p>
                  <w:pPr>
                    <w:widowControl/>
                    <w:jc w:val="center"/>
                    <w:textAlignment w:val="center"/>
                    <w:rPr>
                      <w:sz w:val="18"/>
                      <w:szCs w:val="18"/>
                      <w:u w:val="single"/>
                    </w:rPr>
                  </w:pPr>
                  <w:r>
                    <w:rPr>
                      <w:color w:val="000000"/>
                      <w:kern w:val="0"/>
                      <w:sz w:val="18"/>
                      <w:szCs w:val="18"/>
                      <w:u w:val="single"/>
                      <w:lang w:bidi="ar"/>
                    </w:rPr>
                    <w:t>医疗固废</w:t>
                  </w:r>
                </w:p>
              </w:tc>
              <w:tc>
                <w:tcPr>
                  <w:tcW w:w="843"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18</w:t>
                  </w:r>
                </w:p>
              </w:tc>
              <w:tc>
                <w:tcPr>
                  <w:tcW w:w="976"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20</w:t>
                  </w:r>
                </w:p>
              </w:tc>
              <w:tc>
                <w:tcPr>
                  <w:tcW w:w="750"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20</w:t>
                  </w:r>
                </w:p>
              </w:tc>
              <w:tc>
                <w:tcPr>
                  <w:tcW w:w="1069" w:type="dxa"/>
                  <w:noWrap/>
                  <w:tcMar>
                    <w:top w:w="15" w:type="dxa"/>
                    <w:left w:w="15" w:type="dxa"/>
                    <w:right w:w="15" w:type="dxa"/>
                  </w:tcMar>
                  <w:vAlign w:val="center"/>
                </w:tcPr>
                <w:p>
                  <w:pPr>
                    <w:pStyle w:val="36"/>
                    <w:bidi w:val="0"/>
                    <w:rPr>
                      <w:sz w:val="20"/>
                      <w:szCs w:val="22"/>
                      <w:u w:val="single"/>
                    </w:rPr>
                  </w:pPr>
                  <w:r>
                    <w:rPr>
                      <w:rFonts w:hint="default"/>
                      <w:sz w:val="20"/>
                      <w:szCs w:val="22"/>
                      <w:u w:val="single"/>
                      <w:lang w:val="en-US" w:eastAsia="zh-CN"/>
                    </w:rPr>
                    <w:t>0</w:t>
                  </w:r>
                </w:p>
              </w:tc>
              <w:tc>
                <w:tcPr>
                  <w:tcW w:w="787"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 </w:t>
                  </w:r>
                </w:p>
              </w:tc>
              <w:tc>
                <w:tcPr>
                  <w:tcW w:w="994" w:type="dxa"/>
                  <w:noWrap/>
                  <w:tcMar>
                    <w:top w:w="15" w:type="dxa"/>
                    <w:left w:w="15" w:type="dxa"/>
                    <w:right w:w="15" w:type="dxa"/>
                  </w:tcMar>
                  <w:vAlign w:val="center"/>
                </w:tcPr>
                <w:p>
                  <w:pPr>
                    <w:pStyle w:val="36"/>
                    <w:bidi w:val="0"/>
                    <w:rPr>
                      <w:sz w:val="20"/>
                      <w:szCs w:val="22"/>
                      <w:u w:val="single"/>
                    </w:rPr>
                  </w:pPr>
                  <w:r>
                    <w:rPr>
                      <w:rFonts w:hint="default"/>
                      <w:sz w:val="20"/>
                      <w:szCs w:val="22"/>
                      <w:u w:val="single"/>
                      <w:lang w:val="en-US" w:eastAsia="zh-CN"/>
                    </w:rPr>
                    <w:t>2</w:t>
                  </w:r>
                </w:p>
              </w:tc>
              <w:tc>
                <w:tcPr>
                  <w:tcW w:w="1058"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jc w:val="center"/>
              </w:trPr>
              <w:tc>
                <w:tcPr>
                  <w:tcW w:w="693" w:type="dxa"/>
                  <w:vMerge w:val="continue"/>
                  <w:noWrap/>
                  <w:tcMar>
                    <w:top w:w="15" w:type="dxa"/>
                    <w:left w:w="15" w:type="dxa"/>
                    <w:right w:w="15" w:type="dxa"/>
                  </w:tcMar>
                  <w:vAlign w:val="center"/>
                </w:tcPr>
                <w:p>
                  <w:pPr>
                    <w:pStyle w:val="87"/>
                    <w:rPr>
                      <w:sz w:val="18"/>
                      <w:szCs w:val="18"/>
                      <w:u w:val="single"/>
                    </w:rPr>
                  </w:pPr>
                </w:p>
              </w:tc>
              <w:tc>
                <w:tcPr>
                  <w:tcW w:w="806" w:type="dxa"/>
                  <w:noWrap/>
                  <w:tcMar>
                    <w:top w:w="15" w:type="dxa"/>
                    <w:left w:w="15" w:type="dxa"/>
                    <w:right w:w="15" w:type="dxa"/>
                  </w:tcMar>
                  <w:vAlign w:val="center"/>
                </w:tcPr>
                <w:p>
                  <w:pPr>
                    <w:widowControl/>
                    <w:jc w:val="center"/>
                    <w:textAlignment w:val="center"/>
                    <w:rPr>
                      <w:sz w:val="18"/>
                      <w:szCs w:val="18"/>
                      <w:u w:val="single"/>
                    </w:rPr>
                  </w:pPr>
                  <w:r>
                    <w:rPr>
                      <w:color w:val="000000"/>
                      <w:kern w:val="0"/>
                      <w:sz w:val="18"/>
                      <w:szCs w:val="18"/>
                      <w:u w:val="single"/>
                      <w:lang w:bidi="ar"/>
                    </w:rPr>
                    <w:t>污水处理系统污泥</w:t>
                  </w:r>
                </w:p>
              </w:tc>
              <w:tc>
                <w:tcPr>
                  <w:tcW w:w="843"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1</w:t>
                  </w:r>
                </w:p>
              </w:tc>
              <w:tc>
                <w:tcPr>
                  <w:tcW w:w="976"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1.1</w:t>
                  </w:r>
                </w:p>
              </w:tc>
              <w:tc>
                <w:tcPr>
                  <w:tcW w:w="750"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1.1</w:t>
                  </w:r>
                </w:p>
              </w:tc>
              <w:tc>
                <w:tcPr>
                  <w:tcW w:w="1069" w:type="dxa"/>
                  <w:noWrap/>
                  <w:tcMar>
                    <w:top w:w="15" w:type="dxa"/>
                    <w:left w:w="15" w:type="dxa"/>
                    <w:right w:w="15" w:type="dxa"/>
                  </w:tcMar>
                  <w:vAlign w:val="center"/>
                </w:tcPr>
                <w:p>
                  <w:pPr>
                    <w:pStyle w:val="36"/>
                    <w:bidi w:val="0"/>
                    <w:rPr>
                      <w:sz w:val="20"/>
                      <w:szCs w:val="22"/>
                      <w:u w:val="single"/>
                    </w:rPr>
                  </w:pPr>
                  <w:r>
                    <w:rPr>
                      <w:rFonts w:hint="default"/>
                      <w:sz w:val="20"/>
                      <w:szCs w:val="22"/>
                      <w:u w:val="single"/>
                      <w:lang w:val="en-US" w:eastAsia="zh-CN"/>
                    </w:rPr>
                    <w:t>0</w:t>
                  </w:r>
                </w:p>
              </w:tc>
              <w:tc>
                <w:tcPr>
                  <w:tcW w:w="787"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 </w:t>
                  </w:r>
                </w:p>
              </w:tc>
              <w:tc>
                <w:tcPr>
                  <w:tcW w:w="994" w:type="dxa"/>
                  <w:noWrap/>
                  <w:tcMar>
                    <w:top w:w="15" w:type="dxa"/>
                    <w:left w:w="15" w:type="dxa"/>
                    <w:right w:w="15" w:type="dxa"/>
                  </w:tcMar>
                  <w:vAlign w:val="center"/>
                </w:tcPr>
                <w:p>
                  <w:pPr>
                    <w:pStyle w:val="36"/>
                    <w:bidi w:val="0"/>
                    <w:rPr>
                      <w:sz w:val="20"/>
                      <w:szCs w:val="22"/>
                      <w:u w:val="single"/>
                    </w:rPr>
                  </w:pPr>
                  <w:r>
                    <w:rPr>
                      <w:rFonts w:hint="default"/>
                      <w:sz w:val="20"/>
                      <w:szCs w:val="22"/>
                      <w:u w:val="single"/>
                      <w:lang w:val="en-US" w:eastAsia="zh-CN"/>
                    </w:rPr>
                    <w:t>0.1</w:t>
                  </w:r>
                </w:p>
              </w:tc>
              <w:tc>
                <w:tcPr>
                  <w:tcW w:w="1058"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3" w:hRule="atLeast"/>
                <w:jc w:val="center"/>
              </w:trPr>
              <w:tc>
                <w:tcPr>
                  <w:tcW w:w="693" w:type="dxa"/>
                  <w:vMerge w:val="continue"/>
                  <w:noWrap/>
                  <w:tcMar>
                    <w:top w:w="15" w:type="dxa"/>
                    <w:left w:w="15" w:type="dxa"/>
                    <w:right w:w="15" w:type="dxa"/>
                  </w:tcMar>
                  <w:vAlign w:val="center"/>
                </w:tcPr>
                <w:p>
                  <w:pPr>
                    <w:pStyle w:val="87"/>
                    <w:rPr>
                      <w:sz w:val="18"/>
                      <w:szCs w:val="18"/>
                      <w:u w:val="single"/>
                    </w:rPr>
                  </w:pPr>
                </w:p>
              </w:tc>
              <w:tc>
                <w:tcPr>
                  <w:tcW w:w="806" w:type="dxa"/>
                  <w:noWrap/>
                  <w:tcMar>
                    <w:top w:w="15" w:type="dxa"/>
                    <w:left w:w="15" w:type="dxa"/>
                    <w:right w:w="15" w:type="dxa"/>
                  </w:tcMar>
                  <w:vAlign w:val="center"/>
                </w:tcPr>
                <w:p>
                  <w:pPr>
                    <w:widowControl/>
                    <w:jc w:val="center"/>
                    <w:textAlignment w:val="center"/>
                    <w:rPr>
                      <w:sz w:val="18"/>
                      <w:szCs w:val="18"/>
                      <w:u w:val="single"/>
                    </w:rPr>
                  </w:pPr>
                  <w:r>
                    <w:rPr>
                      <w:color w:val="000000"/>
                      <w:kern w:val="0"/>
                      <w:sz w:val="18"/>
                      <w:szCs w:val="18"/>
                      <w:u w:val="single"/>
                      <w:lang w:bidi="ar"/>
                    </w:rPr>
                    <w:t>中药渣</w:t>
                  </w:r>
                </w:p>
              </w:tc>
              <w:tc>
                <w:tcPr>
                  <w:tcW w:w="843"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0.12</w:t>
                  </w:r>
                </w:p>
              </w:tc>
              <w:tc>
                <w:tcPr>
                  <w:tcW w:w="976"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0.15</w:t>
                  </w:r>
                </w:p>
              </w:tc>
              <w:tc>
                <w:tcPr>
                  <w:tcW w:w="750"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0.15</w:t>
                  </w:r>
                </w:p>
              </w:tc>
              <w:tc>
                <w:tcPr>
                  <w:tcW w:w="1069" w:type="dxa"/>
                  <w:noWrap/>
                  <w:tcMar>
                    <w:top w:w="15" w:type="dxa"/>
                    <w:left w:w="15" w:type="dxa"/>
                    <w:right w:w="15" w:type="dxa"/>
                  </w:tcMar>
                  <w:vAlign w:val="center"/>
                </w:tcPr>
                <w:p>
                  <w:pPr>
                    <w:pStyle w:val="36"/>
                    <w:bidi w:val="0"/>
                    <w:rPr>
                      <w:sz w:val="20"/>
                      <w:szCs w:val="22"/>
                      <w:u w:val="single"/>
                    </w:rPr>
                  </w:pPr>
                  <w:r>
                    <w:rPr>
                      <w:rFonts w:hint="default"/>
                      <w:sz w:val="20"/>
                      <w:szCs w:val="22"/>
                      <w:u w:val="single"/>
                      <w:lang w:val="en-US" w:eastAsia="zh-CN"/>
                    </w:rPr>
                    <w:t>0</w:t>
                  </w:r>
                </w:p>
              </w:tc>
              <w:tc>
                <w:tcPr>
                  <w:tcW w:w="787" w:type="dxa"/>
                  <w:noWrap/>
                  <w:tcMar>
                    <w:top w:w="15" w:type="dxa"/>
                    <w:left w:w="15" w:type="dxa"/>
                    <w:right w:w="15" w:type="dxa"/>
                  </w:tcMar>
                  <w:vAlign w:val="center"/>
                </w:tcPr>
                <w:p>
                  <w:pPr>
                    <w:pStyle w:val="36"/>
                    <w:bidi w:val="0"/>
                    <w:rPr>
                      <w:rFonts w:hint="eastAsia"/>
                      <w:sz w:val="20"/>
                      <w:szCs w:val="22"/>
                      <w:u w:val="single"/>
                      <w:lang w:eastAsia="zh-CN"/>
                    </w:rPr>
                  </w:pPr>
                  <w:r>
                    <w:rPr>
                      <w:rFonts w:hint="default"/>
                      <w:sz w:val="20"/>
                      <w:szCs w:val="22"/>
                      <w:u w:val="single"/>
                      <w:lang w:val="en-US" w:eastAsia="zh-CN"/>
                    </w:rPr>
                    <w:t xml:space="preserve">0 </w:t>
                  </w:r>
                </w:p>
              </w:tc>
              <w:tc>
                <w:tcPr>
                  <w:tcW w:w="994" w:type="dxa"/>
                  <w:noWrap/>
                  <w:tcMar>
                    <w:top w:w="15" w:type="dxa"/>
                    <w:left w:w="15" w:type="dxa"/>
                    <w:right w:w="15" w:type="dxa"/>
                  </w:tcMar>
                  <w:vAlign w:val="center"/>
                </w:tcPr>
                <w:p>
                  <w:pPr>
                    <w:pStyle w:val="36"/>
                    <w:bidi w:val="0"/>
                    <w:rPr>
                      <w:sz w:val="20"/>
                      <w:szCs w:val="22"/>
                      <w:u w:val="single"/>
                    </w:rPr>
                  </w:pPr>
                  <w:r>
                    <w:rPr>
                      <w:rFonts w:hint="default"/>
                      <w:sz w:val="20"/>
                      <w:szCs w:val="22"/>
                      <w:u w:val="single"/>
                      <w:lang w:val="en-US" w:eastAsia="zh-CN"/>
                    </w:rPr>
                    <w:t>0.03</w:t>
                  </w:r>
                </w:p>
              </w:tc>
              <w:tc>
                <w:tcPr>
                  <w:tcW w:w="1058" w:type="dxa"/>
                  <w:noWrap/>
                  <w:tcMar>
                    <w:top w:w="15" w:type="dxa"/>
                    <w:left w:w="15" w:type="dxa"/>
                    <w:right w:w="15" w:type="dxa"/>
                  </w:tcMar>
                  <w:vAlign w:val="center"/>
                </w:tcPr>
                <w:p>
                  <w:pPr>
                    <w:pStyle w:val="36"/>
                    <w:bidi w:val="0"/>
                    <w:rPr>
                      <w:sz w:val="20"/>
                      <w:szCs w:val="22"/>
                      <w:u w:val="single"/>
                    </w:rPr>
                  </w:pPr>
                  <w:r>
                    <w:rPr>
                      <w:rFonts w:hint="eastAsia"/>
                      <w:sz w:val="20"/>
                      <w:szCs w:val="22"/>
                      <w:u w:val="single"/>
                      <w:lang w:val="en-US" w:eastAsia="zh-CN"/>
                    </w:rPr>
                    <w:t>0</w:t>
                  </w:r>
                </w:p>
              </w:tc>
            </w:tr>
          </w:tbl>
          <w:p>
            <w:pPr>
              <w:spacing w:line="360" w:lineRule="auto"/>
              <w:rPr>
                <w:rFonts w:hAnsi="宋体"/>
                <w:b/>
                <w:kern w:val="0"/>
                <w:sz w:val="24"/>
                <w:szCs w:val="24"/>
              </w:rPr>
            </w:pPr>
            <w:r>
              <w:rPr>
                <w:rFonts w:hint="eastAsia" w:hAnsi="宋体"/>
                <w:b/>
                <w:kern w:val="0"/>
                <w:sz w:val="24"/>
                <w:szCs w:val="24"/>
                <w:lang w:val="en-US" w:eastAsia="zh-CN"/>
              </w:rPr>
              <w:t>7</w:t>
            </w:r>
            <w:r>
              <w:rPr>
                <w:rFonts w:hint="eastAsia" w:hAnsi="宋体"/>
                <w:b/>
                <w:kern w:val="0"/>
                <w:sz w:val="24"/>
                <w:szCs w:val="24"/>
              </w:rPr>
              <w:t>、环境风险评价</w:t>
            </w:r>
          </w:p>
          <w:p>
            <w:pPr>
              <w:spacing w:line="360" w:lineRule="auto"/>
              <w:ind w:firstLine="480" w:firstLineChars="200"/>
              <w:rPr>
                <w:rFonts w:hAnsi="宋体"/>
                <w:kern w:val="0"/>
                <w:sz w:val="24"/>
                <w:szCs w:val="24"/>
              </w:rPr>
            </w:pPr>
            <w:r>
              <w:rPr>
                <w:rFonts w:hint="eastAsia" w:hAnsi="宋体"/>
                <w:kern w:val="0"/>
                <w:sz w:val="24"/>
                <w:szCs w:val="24"/>
              </w:rPr>
              <w:t>（1）</w:t>
            </w:r>
            <w:bookmarkStart w:id="11" w:name="_Toc392490259"/>
            <w:bookmarkStart w:id="12" w:name="_Toc246399303"/>
            <w:bookmarkStart w:id="13" w:name="_Toc339981794"/>
            <w:r>
              <w:rPr>
                <w:rFonts w:hAnsi="宋体"/>
                <w:kern w:val="0"/>
                <w:sz w:val="24"/>
                <w:szCs w:val="24"/>
              </w:rPr>
              <w:t>评价目的与重点</w:t>
            </w:r>
            <w:bookmarkEnd w:id="11"/>
            <w:bookmarkEnd w:id="12"/>
            <w:bookmarkEnd w:id="13"/>
          </w:p>
          <w:p>
            <w:pPr>
              <w:spacing w:line="360" w:lineRule="auto"/>
              <w:ind w:firstLine="480" w:firstLineChars="200"/>
              <w:rPr>
                <w:rFonts w:hAnsi="宋体"/>
                <w:kern w:val="0"/>
                <w:sz w:val="24"/>
                <w:szCs w:val="24"/>
              </w:rPr>
            </w:pPr>
            <w:r>
              <w:rPr>
                <w:rFonts w:hAnsi="宋体"/>
                <w:kern w:val="0"/>
                <w:sz w:val="24"/>
                <w:szCs w:val="24"/>
              </w:rPr>
              <w:t>环境风险评价是分析和预测建设项目存在的潜在危险、有害因素，项目建设和运行期间可能发生的突发性事件或事故（不包括人为破坏及自然灾害），引起有毒有害和易燃易爆等物质泄漏，造成人身安全与环境影响和损害程度，提出防范、应急与减缓措施，使项目事故率、损失和环境影响达到可接受水平。</w:t>
            </w:r>
          </w:p>
          <w:p>
            <w:pPr>
              <w:spacing w:line="360" w:lineRule="auto"/>
              <w:ind w:firstLine="480" w:firstLineChars="200"/>
              <w:rPr>
                <w:rFonts w:hAnsi="宋体"/>
                <w:kern w:val="0"/>
                <w:sz w:val="24"/>
                <w:szCs w:val="24"/>
              </w:rPr>
            </w:pPr>
            <w:r>
              <w:rPr>
                <w:rFonts w:hAnsi="宋体"/>
                <w:kern w:val="0"/>
                <w:sz w:val="24"/>
                <w:szCs w:val="24"/>
              </w:rPr>
              <w:t>为全面落实《关于加强环境影响评价管理防范环境风险的通知》</w:t>
            </w:r>
            <w:r>
              <w:rPr>
                <w:rFonts w:hint="eastAsia" w:hAnsi="宋体"/>
                <w:kern w:val="0"/>
                <w:sz w:val="24"/>
                <w:szCs w:val="24"/>
              </w:rPr>
              <w:t>[</w:t>
            </w:r>
            <w:r>
              <w:rPr>
                <w:rFonts w:hAnsi="宋体"/>
                <w:kern w:val="0"/>
                <w:sz w:val="24"/>
                <w:szCs w:val="24"/>
              </w:rPr>
              <w:t>环发〔2005〕152号</w:t>
            </w:r>
            <w:r>
              <w:rPr>
                <w:rFonts w:hint="eastAsia" w:hAnsi="宋体"/>
                <w:kern w:val="0"/>
                <w:sz w:val="24"/>
                <w:szCs w:val="24"/>
              </w:rPr>
              <w:t>]</w:t>
            </w:r>
            <w:r>
              <w:rPr>
                <w:rFonts w:hAnsi="宋体"/>
                <w:kern w:val="0"/>
                <w:sz w:val="24"/>
                <w:szCs w:val="24"/>
              </w:rPr>
              <w:t>的要求，查找建设项目存在的环境风险隐患，使得项目在正常运转的基础上，确保外界的环境质量，确保职工及周边影响区内人群生物的健康和生命安全。</w:t>
            </w:r>
          </w:p>
          <w:p>
            <w:pPr>
              <w:spacing w:line="360" w:lineRule="auto"/>
              <w:ind w:firstLine="480" w:firstLineChars="200"/>
              <w:rPr>
                <w:rFonts w:hAnsi="宋体"/>
                <w:kern w:val="0"/>
                <w:sz w:val="24"/>
                <w:szCs w:val="24"/>
              </w:rPr>
            </w:pPr>
            <w:r>
              <w:rPr>
                <w:rFonts w:hint="eastAsia" w:hAnsi="宋体"/>
                <w:kern w:val="0"/>
                <w:sz w:val="24"/>
                <w:szCs w:val="24"/>
              </w:rPr>
              <w:t>（2）风险识别</w:t>
            </w:r>
          </w:p>
          <w:p>
            <w:pPr>
              <w:spacing w:line="360" w:lineRule="auto"/>
              <w:ind w:firstLine="480" w:firstLineChars="200"/>
              <w:rPr>
                <w:rFonts w:hAnsi="宋体"/>
                <w:kern w:val="0"/>
                <w:sz w:val="24"/>
                <w:szCs w:val="24"/>
              </w:rPr>
            </w:pPr>
            <w:r>
              <w:rPr>
                <w:rFonts w:hAnsi="宋体"/>
                <w:kern w:val="0"/>
                <w:sz w:val="24"/>
                <w:szCs w:val="24"/>
              </w:rPr>
              <w:t>本项目的主要环境风险包括医疗废水处理站设备故障可能引发的医疗废水未经</w:t>
            </w:r>
            <w:r>
              <w:rPr>
                <w:rFonts w:hint="eastAsia" w:hAnsi="宋体"/>
                <w:kern w:val="0"/>
                <w:sz w:val="24"/>
                <w:szCs w:val="24"/>
              </w:rPr>
              <w:t>处理</w:t>
            </w:r>
            <w:r>
              <w:rPr>
                <w:rFonts w:hAnsi="宋体"/>
                <w:kern w:val="0"/>
                <w:sz w:val="24"/>
                <w:szCs w:val="24"/>
              </w:rPr>
              <w:t>而外排的风险以及医疗废物储存可能引发的环境风险等。</w:t>
            </w:r>
          </w:p>
          <w:p>
            <w:pPr>
              <w:spacing w:line="360" w:lineRule="auto"/>
              <w:ind w:firstLine="480" w:firstLineChars="200"/>
              <w:rPr>
                <w:rFonts w:hAnsi="宋体"/>
                <w:kern w:val="0"/>
                <w:sz w:val="24"/>
                <w:szCs w:val="24"/>
              </w:rPr>
            </w:pPr>
            <w:r>
              <w:rPr>
                <w:rFonts w:hint="eastAsia" w:hAnsi="宋体"/>
                <w:kern w:val="0"/>
                <w:sz w:val="24"/>
                <w:szCs w:val="24"/>
              </w:rPr>
              <w:t>（3）</w:t>
            </w:r>
            <w:bookmarkStart w:id="14" w:name="_Toc339981796"/>
            <w:bookmarkStart w:id="15" w:name="_Toc392490261"/>
            <w:r>
              <w:rPr>
                <w:rFonts w:hAnsi="宋体"/>
                <w:kern w:val="0"/>
                <w:sz w:val="24"/>
                <w:szCs w:val="24"/>
              </w:rPr>
              <w:t>风险事故分析</w:t>
            </w:r>
            <w:bookmarkEnd w:id="14"/>
            <w:bookmarkEnd w:id="15"/>
          </w:p>
          <w:p>
            <w:pPr>
              <w:spacing w:line="360" w:lineRule="auto"/>
              <w:ind w:firstLine="480" w:firstLineChars="200"/>
              <w:rPr>
                <w:rFonts w:hAnsi="宋体"/>
                <w:kern w:val="0"/>
                <w:sz w:val="24"/>
                <w:szCs w:val="24"/>
              </w:rPr>
            </w:pPr>
            <w:r>
              <w:rPr>
                <w:rFonts w:hAnsi="宋体"/>
                <w:kern w:val="0"/>
                <w:sz w:val="24"/>
                <w:szCs w:val="24"/>
              </w:rPr>
              <w:t>由医院医疗废水处理设施发生故障导致带病原性微生物的含菌医疗废水没有得到及时处理而直接排入</w:t>
            </w:r>
            <w:r>
              <w:rPr>
                <w:rFonts w:hint="eastAsia" w:hAnsi="宋体"/>
                <w:kern w:val="0"/>
                <w:sz w:val="24"/>
                <w:szCs w:val="24"/>
              </w:rPr>
              <w:t>到夷望溪镇污水处理厂，对夷望溪镇污水处理厂水质造成冲击；</w:t>
            </w:r>
            <w:r>
              <w:rPr>
                <w:rFonts w:hAnsi="宋体"/>
                <w:kern w:val="0"/>
                <w:sz w:val="24"/>
                <w:szCs w:val="24"/>
              </w:rPr>
              <w:t>医院产生的受生物性污染的医疗垃圾和废物，由于特殊原因不能及时清运，存在着污染环境的风险。</w:t>
            </w:r>
          </w:p>
          <w:p>
            <w:pPr>
              <w:spacing w:line="360" w:lineRule="auto"/>
              <w:ind w:firstLine="480" w:firstLineChars="200"/>
              <w:rPr>
                <w:rFonts w:hAnsi="宋体"/>
                <w:kern w:val="0"/>
                <w:sz w:val="24"/>
                <w:szCs w:val="24"/>
              </w:rPr>
            </w:pPr>
            <w:r>
              <w:rPr>
                <w:rFonts w:hint="eastAsia" w:hAnsi="宋体"/>
                <w:kern w:val="0"/>
                <w:sz w:val="24"/>
                <w:szCs w:val="24"/>
              </w:rPr>
              <w:t>（4）</w:t>
            </w:r>
            <w:bookmarkStart w:id="16" w:name="_Toc339981797"/>
            <w:bookmarkStart w:id="17" w:name="_Toc331753538"/>
            <w:bookmarkStart w:id="18" w:name="_Toc392490262"/>
            <w:r>
              <w:rPr>
                <w:rFonts w:hAnsi="宋体"/>
                <w:kern w:val="0"/>
                <w:sz w:val="24"/>
                <w:szCs w:val="24"/>
              </w:rPr>
              <w:t>环境风险防范措施</w:t>
            </w:r>
            <w:bookmarkEnd w:id="16"/>
            <w:bookmarkEnd w:id="17"/>
            <w:bookmarkEnd w:id="18"/>
          </w:p>
          <w:p>
            <w:pPr>
              <w:spacing w:line="360" w:lineRule="auto"/>
              <w:ind w:firstLine="480" w:firstLineChars="200"/>
              <w:rPr>
                <w:rFonts w:hAnsi="宋体"/>
                <w:kern w:val="0"/>
                <w:sz w:val="24"/>
                <w:szCs w:val="24"/>
              </w:rPr>
            </w:pPr>
            <w:r>
              <w:rPr>
                <w:rFonts w:hint="eastAsia" w:hAnsi="宋体"/>
                <w:kern w:val="0"/>
                <w:sz w:val="24"/>
                <w:szCs w:val="24"/>
              </w:rPr>
              <w:t>①对医疗废水处理提供应急电源（柴油发电机），保证医疗废水处理站用电不间断。</w:t>
            </w:r>
          </w:p>
          <w:p>
            <w:pPr>
              <w:spacing w:line="360" w:lineRule="auto"/>
              <w:ind w:firstLine="480" w:firstLineChars="200"/>
              <w:rPr>
                <w:rFonts w:hAnsi="宋体"/>
                <w:kern w:val="0"/>
                <w:sz w:val="24"/>
                <w:szCs w:val="24"/>
              </w:rPr>
            </w:pPr>
            <w:r>
              <w:rPr>
                <w:rFonts w:hint="eastAsia" w:hAnsi="宋体"/>
                <w:kern w:val="0"/>
                <w:sz w:val="24"/>
                <w:szCs w:val="24"/>
              </w:rPr>
              <w:t>②</w:t>
            </w:r>
            <w:r>
              <w:rPr>
                <w:rFonts w:hAnsi="宋体"/>
                <w:kern w:val="0"/>
                <w:sz w:val="24"/>
                <w:szCs w:val="24"/>
              </w:rPr>
              <w:t>管加强网的维护及管理，防止泥沙沉积堵塞而影响管道的过水能力。管道衔接应防止泄漏污染地下水和掏空地基，淤塞应及时疏浚，保证管道通畅，同时最大限度地收集项目污水。</w:t>
            </w:r>
          </w:p>
          <w:p>
            <w:pPr>
              <w:spacing w:line="360" w:lineRule="auto"/>
              <w:ind w:firstLine="480" w:firstLineChars="200"/>
              <w:rPr>
                <w:rFonts w:hAnsi="宋体"/>
                <w:kern w:val="0"/>
                <w:sz w:val="24"/>
                <w:szCs w:val="24"/>
              </w:rPr>
            </w:pPr>
            <w:r>
              <w:rPr>
                <w:rFonts w:hint="eastAsia" w:hAnsi="宋体"/>
                <w:kern w:val="0"/>
                <w:sz w:val="24"/>
                <w:szCs w:val="24"/>
              </w:rPr>
              <w:t>③</w:t>
            </w:r>
            <w:r>
              <w:rPr>
                <w:rFonts w:hAnsi="宋体"/>
                <w:kern w:val="0"/>
                <w:sz w:val="24"/>
                <w:szCs w:val="24"/>
              </w:rPr>
              <w:t>对污水处理站各种机械电器、仪表等设备，必须选择质量优良、事故率低、便于维修的产品。关键设备应一备一用，易损部件要有备用件，在出现事故时能及时更换</w:t>
            </w:r>
            <w:r>
              <w:rPr>
                <w:rFonts w:hint="eastAsia" w:hAnsi="宋体"/>
                <w:kern w:val="0"/>
                <w:sz w:val="24"/>
                <w:szCs w:val="24"/>
              </w:rPr>
              <w:t>。</w:t>
            </w:r>
          </w:p>
          <w:p>
            <w:pPr>
              <w:spacing w:line="360" w:lineRule="auto"/>
              <w:ind w:firstLine="480" w:firstLineChars="200"/>
              <w:rPr>
                <w:rFonts w:hAnsi="宋体"/>
                <w:kern w:val="0"/>
                <w:sz w:val="24"/>
                <w:szCs w:val="24"/>
              </w:rPr>
            </w:pPr>
            <w:r>
              <w:rPr>
                <w:rFonts w:hint="eastAsia" w:hAnsi="宋体"/>
                <w:kern w:val="0"/>
                <w:sz w:val="24"/>
                <w:szCs w:val="24"/>
              </w:rPr>
              <w:t>④</w:t>
            </w:r>
            <w:r>
              <w:rPr>
                <w:rFonts w:hAnsi="宋体"/>
                <w:kern w:val="0"/>
                <w:sz w:val="24"/>
                <w:szCs w:val="24"/>
              </w:rPr>
              <w:t>加强运行管理和进出水的监测工作，未经处理达标的污水严禁外排</w:t>
            </w:r>
            <w:r>
              <w:rPr>
                <w:rFonts w:hint="eastAsia" w:hAnsi="宋体"/>
                <w:kern w:val="0"/>
                <w:sz w:val="24"/>
                <w:szCs w:val="24"/>
              </w:rPr>
              <w:t>。</w:t>
            </w:r>
          </w:p>
          <w:p>
            <w:pPr>
              <w:spacing w:line="360" w:lineRule="auto"/>
              <w:ind w:firstLine="480" w:firstLineChars="200"/>
              <w:rPr>
                <w:rFonts w:hAnsi="宋体"/>
                <w:kern w:val="0"/>
                <w:sz w:val="24"/>
                <w:szCs w:val="24"/>
              </w:rPr>
            </w:pPr>
            <w:r>
              <w:rPr>
                <w:rFonts w:hint="eastAsia" w:hAnsi="宋体"/>
                <w:kern w:val="0"/>
                <w:sz w:val="24"/>
                <w:szCs w:val="24"/>
              </w:rPr>
              <w:t>⑤</w:t>
            </w:r>
            <w:r>
              <w:rPr>
                <w:rFonts w:hAnsi="宋体"/>
                <w:kern w:val="0"/>
                <w:sz w:val="24"/>
                <w:szCs w:val="24"/>
              </w:rPr>
              <w:t>医疗废物暂存场所的选址、安全间距、防护距离要求医疗废物暂存场所的选址应根据《医疗废物集中处置技术规范（试行）》中的有关规定建设</w:t>
            </w:r>
            <w:r>
              <w:rPr>
                <w:rFonts w:hint="eastAsia" w:hAnsi="宋体"/>
                <w:kern w:val="0"/>
                <w:sz w:val="24"/>
                <w:szCs w:val="24"/>
              </w:rPr>
              <w:t>：</w:t>
            </w:r>
            <w:r>
              <w:rPr>
                <w:rFonts w:hAnsi="宋体"/>
                <w:kern w:val="0"/>
                <w:sz w:val="24"/>
                <w:szCs w:val="24"/>
              </w:rPr>
              <w:t>必须与生活垃圾存放地分开，有防雨淋的装置，地基高度应确保设施内不受雨洪冲击或浸泡；必须与医疗区、食品加工区和人员活动密集区隔开，方便医疗废物的装卸、装卸人员及运送车辆的出入；地面和1.0m高的墙裙须进行防渗处理，地面有良好的排水性能，易于清洁和消毒，产生的废水应采用管道直接排入医疗卫生机构内的医疗废水消毒、处理系统，禁止将产生的废水直接排入外环境；医疗废物暂时贮存库房每天应在废物清运之后消毒冲洗，冲洗水经消毒后，排入污水处理站进行处理；医疗卫生机构应制定医疗废物暂时贮存管理的有关规章制度、工作程序及应急处理措施</w:t>
            </w:r>
            <w:r>
              <w:rPr>
                <w:rFonts w:hint="eastAsia" w:hAnsi="宋体"/>
                <w:kern w:val="0"/>
                <w:sz w:val="24"/>
                <w:szCs w:val="24"/>
              </w:rPr>
              <w:t>；</w:t>
            </w:r>
            <w:r>
              <w:rPr>
                <w:rFonts w:hAnsi="宋体"/>
                <w:kern w:val="0"/>
                <w:sz w:val="24"/>
                <w:szCs w:val="24"/>
              </w:rPr>
              <w:t>医疗卫生机构的暂时贮存库房和医疗废物专用暂时贮存柜（箱）存放地，应当接受当地环保和卫生主管部门的监督检查。</w:t>
            </w:r>
          </w:p>
          <w:p>
            <w:pPr>
              <w:spacing w:line="360" w:lineRule="auto"/>
              <w:ind w:firstLine="480" w:firstLineChars="200"/>
              <w:rPr>
                <w:rFonts w:eastAsia="新宋体"/>
                <w:sz w:val="24"/>
                <w:szCs w:val="24"/>
              </w:rPr>
            </w:pPr>
            <w:r>
              <w:rPr>
                <w:rFonts w:eastAsia="新宋体"/>
                <w:sz w:val="24"/>
                <w:szCs w:val="24"/>
              </w:rPr>
              <w:t>医疗垃圾中可能存在传染性病菌、病毒、化学污染物等有害物质，由于医疗废物具有空间污染、急性传染和潜伏性污染等特性，其病毒、病菌的危害性是普通生活垃圾的几十、几百倍，且基本没有回收再利用的价值。医疗废物残留及衍生的大量病菌是十分有害有毒的物质，如不经分类收集、暂存不当，极易引起各种传染性疾病的传播，将极大的危害人们身心健康，成为疫病流行的源头。根据《医疗卫生机构灾害事故防范和应急处置指导意见》（卫办发[2006]16号）和《医疗机构基础设施消防安全规范》中的相关规定，要求项目做好医疗卫生机构的安全管理、灾害事故应急处置工作。</w:t>
            </w:r>
          </w:p>
          <w:p>
            <w:pPr>
              <w:spacing w:line="360" w:lineRule="auto"/>
              <w:rPr>
                <w:b/>
                <w:bCs/>
                <w:sz w:val="24"/>
              </w:rPr>
            </w:pPr>
            <w:r>
              <w:rPr>
                <w:rFonts w:hint="eastAsia" w:eastAsia="新宋体"/>
                <w:b/>
                <w:bCs/>
                <w:sz w:val="24"/>
                <w:lang w:val="en-US" w:eastAsia="zh-CN"/>
              </w:rPr>
              <w:t>8</w:t>
            </w:r>
            <w:r>
              <w:rPr>
                <w:rFonts w:eastAsia="新宋体"/>
                <w:b/>
                <w:bCs/>
                <w:sz w:val="24"/>
              </w:rPr>
              <w:t>、项目环境管理计划及监测计划</w:t>
            </w:r>
          </w:p>
          <w:p>
            <w:pPr>
              <w:spacing w:line="360" w:lineRule="auto"/>
              <w:ind w:firstLine="480" w:firstLineChars="200"/>
              <w:rPr>
                <w:rFonts w:hAnsi="宋体"/>
                <w:kern w:val="0"/>
                <w:sz w:val="24"/>
              </w:rPr>
            </w:pPr>
            <w:r>
              <w:rPr>
                <w:rFonts w:hint="eastAsia" w:hAnsi="宋体"/>
                <w:kern w:val="0"/>
                <w:sz w:val="24"/>
              </w:rPr>
              <w:t>（1）环境管理</w:t>
            </w:r>
          </w:p>
          <w:p>
            <w:pPr>
              <w:spacing w:line="360" w:lineRule="auto"/>
              <w:ind w:firstLine="480" w:firstLineChars="200"/>
              <w:rPr>
                <w:rFonts w:hAnsi="宋体"/>
                <w:kern w:val="0"/>
                <w:sz w:val="24"/>
              </w:rPr>
            </w:pPr>
            <w:r>
              <w:rPr>
                <w:rFonts w:hAnsi="宋体"/>
                <w:kern w:val="0"/>
                <w:sz w:val="24"/>
              </w:rPr>
              <w:t>环境管理工作就是要保证决策中的方针和目标在预期内实现，并协调解决实现目标过程中的具体问题。为了正确处理发展生产与保护环境的关系，全面贯彻国家的环保法规法与政策，应根据当地环保部门对本区域环境质量的要求，通过控制污染物排放的科学管理，促进企业原材料及能源的合理消耗，降低成本，最大限度地减少污染物的排放，提高企业的社会、经济、环境效益。在环境保护工作中，管理和治理是相辅相承的。为此，企业必须建立环境保护机构，制订全面的、长期的环境管理计划，大量的经验证明，即使有先进的设备和较好的污染治理设施，如果管理不善亦不能发挥应有的作用和效益，因此要把环境管理纳入企业管理的重要内容。</w:t>
            </w:r>
          </w:p>
          <w:p>
            <w:pPr>
              <w:spacing w:line="360" w:lineRule="auto"/>
              <w:ind w:firstLine="480" w:firstLineChars="200"/>
              <w:rPr>
                <w:rFonts w:hAnsi="宋体"/>
                <w:kern w:val="0"/>
                <w:sz w:val="24"/>
              </w:rPr>
            </w:pPr>
            <w:r>
              <w:rPr>
                <w:rFonts w:hAnsi="宋体"/>
                <w:kern w:val="0"/>
                <w:sz w:val="24"/>
              </w:rPr>
              <w:t>如何正确处理环境管理中各种矛盾关系问题，首先应把国家制定的有关环境保护方针、政策、法律、法规和标准作为必须遵循的规范，再针对不同性质的矛盾采用不同的方法去解决，在指导思想上要确立正确的处理原则。这些原则是：①坚持可持续发展的原则；②坚持“开发促保护，保护为开发”的原则；③坚持经济、社会、环境“三个效益”统一的原则；④坚持局部服从全局的原则；⑤坚持法制的原则。</w:t>
            </w:r>
          </w:p>
          <w:p>
            <w:pPr>
              <w:spacing w:line="360" w:lineRule="auto"/>
              <w:ind w:firstLine="480" w:firstLineChars="200"/>
              <w:rPr>
                <w:rFonts w:hAnsi="宋体"/>
                <w:kern w:val="0"/>
                <w:sz w:val="24"/>
              </w:rPr>
            </w:pPr>
            <w:r>
              <w:rPr>
                <w:rFonts w:hAnsi="宋体"/>
                <w:kern w:val="0"/>
                <w:sz w:val="24"/>
              </w:rPr>
              <w:t>在施工建设阶段、营运阶段，应按照国家有关环保法律、法规、论证工程的污染状况，设计完善的污染物处理措施，达到国家规定的环保标准。</w:t>
            </w:r>
          </w:p>
          <w:p>
            <w:pPr>
              <w:spacing w:line="360" w:lineRule="auto"/>
              <w:ind w:firstLine="480" w:firstLineChars="200"/>
              <w:rPr>
                <w:rFonts w:hAnsi="宋体"/>
                <w:kern w:val="0"/>
                <w:sz w:val="24"/>
              </w:rPr>
            </w:pPr>
            <w:r>
              <w:rPr>
                <w:rFonts w:hint="eastAsia" w:hAnsi="宋体"/>
                <w:kern w:val="0"/>
                <w:sz w:val="24"/>
              </w:rPr>
              <w:t>2、监测计划</w:t>
            </w:r>
          </w:p>
          <w:p>
            <w:pPr>
              <w:spacing w:line="360" w:lineRule="auto"/>
              <w:ind w:firstLine="480" w:firstLineChars="200"/>
              <w:rPr>
                <w:rFonts w:hAnsi="宋体"/>
                <w:kern w:val="0"/>
                <w:sz w:val="24"/>
              </w:rPr>
            </w:pPr>
            <w:r>
              <w:rPr>
                <w:rFonts w:hAnsi="宋体"/>
                <w:kern w:val="0"/>
                <w:sz w:val="24"/>
              </w:rPr>
              <w:t>开展环境监测是环境保护的重要内容。环境监测是环境保护的眼睛，是发现和解决环境问题的前提。建设单位可配备必要设备和人员对污染源和污染物的排放情况进行定期监测，亦可委托有监测资质的单位进行监测，以便污染源的监控，发现问题及时整改，确保各项污染设施的正常运转和污染物的达标排放，各排放口需预留监测平台。监测报告应定期上报环境管理部门。监测项目及频次依据《排污单位自行监测技术指南</w:t>
            </w:r>
            <w:r>
              <w:rPr>
                <w:rFonts w:hint="eastAsia" w:hAnsi="宋体"/>
                <w:kern w:val="0"/>
                <w:sz w:val="24"/>
              </w:rPr>
              <w:t>总则</w:t>
            </w:r>
            <w:r>
              <w:rPr>
                <w:rFonts w:hAnsi="宋体"/>
                <w:kern w:val="0"/>
                <w:sz w:val="24"/>
              </w:rPr>
              <w:t>》（</w:t>
            </w:r>
            <w:r>
              <w:rPr>
                <w:rFonts w:hint="eastAsia" w:hAnsi="宋体"/>
                <w:kern w:val="0"/>
                <w:sz w:val="24"/>
              </w:rPr>
              <w:t>HJ819-2017</w:t>
            </w:r>
            <w:r>
              <w:rPr>
                <w:rFonts w:hAnsi="宋体"/>
                <w:kern w:val="0"/>
                <w:sz w:val="24"/>
              </w:rPr>
              <w:t>）</w:t>
            </w:r>
            <w:r>
              <w:rPr>
                <w:rFonts w:hint="eastAsia" w:hAnsi="宋体"/>
                <w:kern w:val="0"/>
                <w:sz w:val="24"/>
                <w:lang w:eastAsia="zh-CN"/>
              </w:rPr>
              <w:t>和</w:t>
            </w:r>
            <w:r>
              <w:rPr>
                <w:rFonts w:hint="eastAsia" w:hAnsi="宋体"/>
                <w:kern w:val="0"/>
                <w:sz w:val="24"/>
                <w:u w:val="single"/>
                <w:lang w:val="en-US" w:eastAsia="zh-CN"/>
              </w:rPr>
              <w:t>《排污许可证申请与核发技术规范-医疗机构》（HJ1105—2020）</w:t>
            </w:r>
            <w:r>
              <w:rPr>
                <w:rFonts w:hAnsi="宋体"/>
                <w:kern w:val="0"/>
                <w:sz w:val="24"/>
              </w:rPr>
              <w:t>，具体见表</w:t>
            </w:r>
            <w:r>
              <w:rPr>
                <w:rFonts w:hint="eastAsia" w:hAnsi="宋体"/>
                <w:kern w:val="0"/>
                <w:sz w:val="24"/>
              </w:rPr>
              <w:t>4-12</w:t>
            </w:r>
            <w:r>
              <w:rPr>
                <w:rFonts w:hAnsi="宋体"/>
                <w:kern w:val="0"/>
                <w:sz w:val="24"/>
              </w:rPr>
              <w:t>。</w:t>
            </w:r>
          </w:p>
          <w:p>
            <w:pPr>
              <w:adjustRightInd w:val="0"/>
              <w:snapToGrid w:val="0"/>
              <w:jc w:val="center"/>
              <w:rPr>
                <w:b/>
                <w:szCs w:val="21"/>
              </w:rPr>
            </w:pPr>
            <w:r>
              <w:rPr>
                <w:rFonts w:hint="eastAsia"/>
                <w:b/>
                <w:szCs w:val="21"/>
              </w:rPr>
              <w:t>表4-12营运期监测计划表</w:t>
            </w:r>
          </w:p>
          <w:tbl>
            <w:tblPr>
              <w:tblStyle w:val="27"/>
              <w:tblW w:w="7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404"/>
              <w:gridCol w:w="1495"/>
              <w:gridCol w:w="1275"/>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adjustRightInd w:val="0"/>
                    <w:snapToGrid w:val="0"/>
                    <w:jc w:val="center"/>
                    <w:rPr>
                      <w:szCs w:val="21"/>
                    </w:rPr>
                  </w:pPr>
                  <w:r>
                    <w:rPr>
                      <w:rFonts w:hint="eastAsia"/>
                      <w:szCs w:val="21"/>
                    </w:rPr>
                    <w:t>类别</w:t>
                  </w:r>
                </w:p>
              </w:tc>
              <w:tc>
                <w:tcPr>
                  <w:tcW w:w="1404" w:type="dxa"/>
                  <w:vAlign w:val="center"/>
                </w:tcPr>
                <w:p>
                  <w:pPr>
                    <w:adjustRightInd w:val="0"/>
                    <w:snapToGrid w:val="0"/>
                    <w:jc w:val="center"/>
                    <w:rPr>
                      <w:szCs w:val="21"/>
                    </w:rPr>
                  </w:pPr>
                  <w:r>
                    <w:rPr>
                      <w:rFonts w:hint="eastAsia"/>
                      <w:szCs w:val="21"/>
                    </w:rPr>
                    <w:t>监测点位置</w:t>
                  </w:r>
                </w:p>
              </w:tc>
              <w:tc>
                <w:tcPr>
                  <w:tcW w:w="1495" w:type="dxa"/>
                  <w:vAlign w:val="center"/>
                </w:tcPr>
                <w:p>
                  <w:pPr>
                    <w:adjustRightInd w:val="0"/>
                    <w:snapToGrid w:val="0"/>
                    <w:jc w:val="center"/>
                    <w:rPr>
                      <w:szCs w:val="21"/>
                    </w:rPr>
                  </w:pPr>
                  <w:r>
                    <w:rPr>
                      <w:rFonts w:hint="eastAsia"/>
                      <w:szCs w:val="21"/>
                    </w:rPr>
                    <w:t>监测项目</w:t>
                  </w:r>
                </w:p>
              </w:tc>
              <w:tc>
                <w:tcPr>
                  <w:tcW w:w="1275" w:type="dxa"/>
                  <w:vAlign w:val="center"/>
                </w:tcPr>
                <w:p>
                  <w:pPr>
                    <w:adjustRightInd w:val="0"/>
                    <w:snapToGrid w:val="0"/>
                    <w:jc w:val="center"/>
                    <w:rPr>
                      <w:szCs w:val="21"/>
                    </w:rPr>
                  </w:pPr>
                  <w:r>
                    <w:rPr>
                      <w:rFonts w:hint="eastAsia"/>
                      <w:szCs w:val="21"/>
                    </w:rPr>
                    <w:t>监测频次</w:t>
                  </w:r>
                </w:p>
              </w:tc>
              <w:tc>
                <w:tcPr>
                  <w:tcW w:w="3074" w:type="dxa"/>
                  <w:vAlign w:val="center"/>
                </w:tcPr>
                <w:p>
                  <w:pPr>
                    <w:adjustRightInd w:val="0"/>
                    <w:snapToGrid w:val="0"/>
                    <w:jc w:val="center"/>
                    <w:rPr>
                      <w:szCs w:val="21"/>
                    </w:rPr>
                  </w:pPr>
                  <w:r>
                    <w:rPr>
                      <w:rFonts w:hint="eastAsia"/>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restart"/>
                  <w:vAlign w:val="center"/>
                </w:tcPr>
                <w:p>
                  <w:pPr>
                    <w:adjustRightInd w:val="0"/>
                    <w:snapToGrid w:val="0"/>
                    <w:jc w:val="center"/>
                    <w:rPr>
                      <w:szCs w:val="21"/>
                    </w:rPr>
                  </w:pPr>
                  <w:r>
                    <w:rPr>
                      <w:rFonts w:hint="eastAsia"/>
                      <w:szCs w:val="21"/>
                    </w:rPr>
                    <w:t>废水</w:t>
                  </w:r>
                </w:p>
              </w:tc>
              <w:tc>
                <w:tcPr>
                  <w:tcW w:w="1404" w:type="dxa"/>
                  <w:vMerge w:val="restart"/>
                  <w:vAlign w:val="center"/>
                </w:tcPr>
                <w:p>
                  <w:pPr>
                    <w:adjustRightInd w:val="0"/>
                    <w:snapToGrid w:val="0"/>
                    <w:jc w:val="center"/>
                    <w:rPr>
                      <w:szCs w:val="21"/>
                    </w:rPr>
                  </w:pPr>
                  <w:r>
                    <w:rPr>
                      <w:rFonts w:hint="eastAsia"/>
                      <w:szCs w:val="21"/>
                    </w:rPr>
                    <w:t>一体化污水处理站排口</w:t>
                  </w:r>
                </w:p>
              </w:tc>
              <w:tc>
                <w:tcPr>
                  <w:tcW w:w="1495" w:type="dxa"/>
                  <w:vAlign w:val="center"/>
                </w:tcPr>
                <w:p>
                  <w:pPr>
                    <w:adjustRightInd w:val="0"/>
                    <w:snapToGrid w:val="0"/>
                    <w:jc w:val="center"/>
                    <w:rPr>
                      <w:szCs w:val="21"/>
                    </w:rPr>
                  </w:pPr>
                  <w:r>
                    <w:rPr>
                      <w:rFonts w:hint="eastAsia"/>
                      <w:szCs w:val="21"/>
                    </w:rPr>
                    <w:t>流量</w:t>
                  </w:r>
                </w:p>
              </w:tc>
              <w:tc>
                <w:tcPr>
                  <w:tcW w:w="1275" w:type="dxa"/>
                  <w:vAlign w:val="center"/>
                </w:tcPr>
                <w:p>
                  <w:pPr>
                    <w:adjustRightInd w:val="0"/>
                    <w:snapToGrid w:val="0"/>
                    <w:jc w:val="center"/>
                    <w:rPr>
                      <w:szCs w:val="21"/>
                    </w:rPr>
                  </w:pPr>
                  <w:r>
                    <w:rPr>
                      <w:rFonts w:hint="eastAsia"/>
                      <w:szCs w:val="21"/>
                    </w:rPr>
                    <w:t>自动监测</w:t>
                  </w:r>
                </w:p>
              </w:tc>
              <w:tc>
                <w:tcPr>
                  <w:tcW w:w="3074" w:type="dxa"/>
                  <w:vAlign w:val="center"/>
                </w:tcPr>
                <w:p>
                  <w:pPr>
                    <w:adjustRightInd w:val="0"/>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continue"/>
                  <w:vAlign w:val="center"/>
                </w:tcPr>
                <w:p>
                  <w:pPr>
                    <w:adjustRightInd w:val="0"/>
                    <w:snapToGrid w:val="0"/>
                    <w:jc w:val="center"/>
                    <w:rPr>
                      <w:szCs w:val="21"/>
                    </w:rPr>
                  </w:pPr>
                </w:p>
              </w:tc>
              <w:tc>
                <w:tcPr>
                  <w:tcW w:w="1404" w:type="dxa"/>
                  <w:vMerge w:val="continue"/>
                  <w:vAlign w:val="center"/>
                </w:tcPr>
                <w:p>
                  <w:pPr>
                    <w:adjustRightInd w:val="0"/>
                    <w:snapToGrid w:val="0"/>
                    <w:jc w:val="center"/>
                    <w:rPr>
                      <w:szCs w:val="21"/>
                    </w:rPr>
                  </w:pPr>
                </w:p>
              </w:tc>
              <w:tc>
                <w:tcPr>
                  <w:tcW w:w="1495" w:type="dxa"/>
                  <w:vAlign w:val="center"/>
                </w:tcPr>
                <w:p>
                  <w:pPr>
                    <w:adjustRightInd w:val="0"/>
                    <w:snapToGrid w:val="0"/>
                    <w:jc w:val="center"/>
                    <w:rPr>
                      <w:szCs w:val="21"/>
                    </w:rPr>
                  </w:pPr>
                  <w:r>
                    <w:rPr>
                      <w:rFonts w:hint="eastAsia"/>
                      <w:szCs w:val="21"/>
                    </w:rPr>
                    <w:t>pH、余氯</w:t>
                  </w:r>
                </w:p>
              </w:tc>
              <w:tc>
                <w:tcPr>
                  <w:tcW w:w="1275" w:type="dxa"/>
                  <w:vAlign w:val="center"/>
                </w:tcPr>
                <w:p>
                  <w:pPr>
                    <w:adjustRightInd w:val="0"/>
                    <w:snapToGrid w:val="0"/>
                    <w:jc w:val="center"/>
                    <w:rPr>
                      <w:szCs w:val="21"/>
                    </w:rPr>
                  </w:pPr>
                  <w:r>
                    <w:rPr>
                      <w:rFonts w:hint="eastAsia"/>
                      <w:szCs w:val="21"/>
                    </w:rPr>
                    <w:t>次/12小时</w:t>
                  </w:r>
                </w:p>
              </w:tc>
              <w:tc>
                <w:tcPr>
                  <w:tcW w:w="3074" w:type="dxa"/>
                  <w:vMerge w:val="restart"/>
                  <w:vAlign w:val="center"/>
                </w:tcPr>
                <w:p>
                  <w:pPr>
                    <w:adjustRightInd w:val="0"/>
                    <w:snapToGrid w:val="0"/>
                    <w:jc w:val="center"/>
                    <w:rPr>
                      <w:szCs w:val="21"/>
                    </w:rPr>
                  </w:pPr>
                  <w:r>
                    <w:rPr>
                      <w:rFonts w:hint="eastAsia"/>
                      <w:szCs w:val="21"/>
                    </w:rPr>
                    <w:t>《医疗机构水污染物排放标准》（GB18466-2005）表2（预处理）标准及</w:t>
                  </w:r>
                  <w:r>
                    <w:rPr>
                      <w:rFonts w:hint="eastAsia"/>
                      <w:szCs w:val="21"/>
                      <w:lang w:eastAsia="zh-CN"/>
                    </w:rPr>
                    <w:t>三阳港镇</w:t>
                  </w:r>
                  <w:r>
                    <w:rPr>
                      <w:rFonts w:hint="eastAsia"/>
                      <w:szCs w:val="21"/>
                    </w:rPr>
                    <w:t>污水厂进水水质要求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continue"/>
                  <w:vAlign w:val="center"/>
                </w:tcPr>
                <w:p>
                  <w:pPr>
                    <w:adjustRightInd w:val="0"/>
                    <w:snapToGrid w:val="0"/>
                    <w:jc w:val="center"/>
                    <w:rPr>
                      <w:szCs w:val="21"/>
                    </w:rPr>
                  </w:pPr>
                </w:p>
              </w:tc>
              <w:tc>
                <w:tcPr>
                  <w:tcW w:w="1404" w:type="dxa"/>
                  <w:vMerge w:val="continue"/>
                  <w:vAlign w:val="center"/>
                </w:tcPr>
                <w:p>
                  <w:pPr>
                    <w:adjustRightInd w:val="0"/>
                    <w:snapToGrid w:val="0"/>
                    <w:jc w:val="center"/>
                    <w:rPr>
                      <w:szCs w:val="21"/>
                    </w:rPr>
                  </w:pPr>
                </w:p>
              </w:tc>
              <w:tc>
                <w:tcPr>
                  <w:tcW w:w="1495" w:type="dxa"/>
                  <w:vAlign w:val="center"/>
                </w:tcPr>
                <w:p>
                  <w:pPr>
                    <w:tabs>
                      <w:tab w:val="left" w:pos="375"/>
                    </w:tabs>
                    <w:adjustRightInd w:val="0"/>
                    <w:snapToGrid w:val="0"/>
                    <w:jc w:val="left"/>
                    <w:rPr>
                      <w:szCs w:val="21"/>
                    </w:rPr>
                  </w:pPr>
                  <w:r>
                    <w:rPr>
                      <w:rFonts w:hint="eastAsia"/>
                      <w:szCs w:val="21"/>
                    </w:rPr>
                    <w:t>COD、悬浮物</w:t>
                  </w:r>
                </w:p>
              </w:tc>
              <w:tc>
                <w:tcPr>
                  <w:tcW w:w="1275" w:type="dxa"/>
                  <w:vAlign w:val="center"/>
                </w:tcPr>
                <w:p>
                  <w:pPr>
                    <w:adjustRightInd w:val="0"/>
                    <w:snapToGrid w:val="0"/>
                    <w:jc w:val="center"/>
                    <w:rPr>
                      <w:szCs w:val="21"/>
                    </w:rPr>
                  </w:pPr>
                  <w:r>
                    <w:rPr>
                      <w:rFonts w:hint="eastAsia"/>
                      <w:szCs w:val="21"/>
                    </w:rPr>
                    <w:t>次/周</w:t>
                  </w:r>
                </w:p>
              </w:tc>
              <w:tc>
                <w:tcPr>
                  <w:tcW w:w="3074" w:type="dxa"/>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continue"/>
                  <w:vAlign w:val="center"/>
                </w:tcPr>
                <w:p>
                  <w:pPr>
                    <w:adjustRightInd w:val="0"/>
                    <w:snapToGrid w:val="0"/>
                    <w:jc w:val="center"/>
                    <w:rPr>
                      <w:szCs w:val="21"/>
                    </w:rPr>
                  </w:pPr>
                </w:p>
              </w:tc>
              <w:tc>
                <w:tcPr>
                  <w:tcW w:w="1404" w:type="dxa"/>
                  <w:vMerge w:val="continue"/>
                  <w:vAlign w:val="center"/>
                </w:tcPr>
                <w:p>
                  <w:pPr>
                    <w:adjustRightInd w:val="0"/>
                    <w:snapToGrid w:val="0"/>
                    <w:jc w:val="center"/>
                    <w:rPr>
                      <w:szCs w:val="21"/>
                    </w:rPr>
                  </w:pPr>
                </w:p>
              </w:tc>
              <w:tc>
                <w:tcPr>
                  <w:tcW w:w="1495" w:type="dxa"/>
                  <w:vAlign w:val="center"/>
                </w:tcPr>
                <w:p>
                  <w:pPr>
                    <w:adjustRightInd w:val="0"/>
                    <w:snapToGrid w:val="0"/>
                    <w:jc w:val="center"/>
                    <w:rPr>
                      <w:szCs w:val="21"/>
                    </w:rPr>
                  </w:pPr>
                  <w:r>
                    <w:rPr>
                      <w:rFonts w:hint="eastAsia"/>
                      <w:szCs w:val="21"/>
                    </w:rPr>
                    <w:t>BOD</w:t>
                  </w:r>
                  <w:r>
                    <w:rPr>
                      <w:rFonts w:hint="eastAsia"/>
                      <w:szCs w:val="21"/>
                      <w:vertAlign w:val="subscript"/>
                    </w:rPr>
                    <w:t>5</w:t>
                  </w:r>
                  <w:r>
                    <w:rPr>
                      <w:szCs w:val="21"/>
                    </w:rPr>
                    <w:t>、石油类、挥发酚、动植物油、阴离子表面活性剂、总氰化物</w:t>
                  </w:r>
                </w:p>
              </w:tc>
              <w:tc>
                <w:tcPr>
                  <w:tcW w:w="1275" w:type="dxa"/>
                  <w:vAlign w:val="center"/>
                </w:tcPr>
                <w:p>
                  <w:pPr>
                    <w:adjustRightInd w:val="0"/>
                    <w:snapToGrid w:val="0"/>
                    <w:jc w:val="center"/>
                    <w:rPr>
                      <w:szCs w:val="21"/>
                    </w:rPr>
                  </w:pPr>
                  <w:r>
                    <w:rPr>
                      <w:rFonts w:hint="eastAsia"/>
                      <w:szCs w:val="21"/>
                    </w:rPr>
                    <w:t>次/季度</w:t>
                  </w:r>
                </w:p>
              </w:tc>
              <w:tc>
                <w:tcPr>
                  <w:tcW w:w="3074" w:type="dxa"/>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continue"/>
                  <w:vAlign w:val="center"/>
                </w:tcPr>
                <w:p>
                  <w:pPr>
                    <w:adjustRightInd w:val="0"/>
                    <w:snapToGrid w:val="0"/>
                    <w:jc w:val="center"/>
                    <w:rPr>
                      <w:szCs w:val="21"/>
                    </w:rPr>
                  </w:pPr>
                </w:p>
              </w:tc>
              <w:tc>
                <w:tcPr>
                  <w:tcW w:w="1404" w:type="dxa"/>
                  <w:vMerge w:val="continue"/>
                  <w:vAlign w:val="center"/>
                </w:tcPr>
                <w:p>
                  <w:pPr>
                    <w:adjustRightInd w:val="0"/>
                    <w:snapToGrid w:val="0"/>
                    <w:jc w:val="center"/>
                    <w:rPr>
                      <w:szCs w:val="21"/>
                    </w:rPr>
                  </w:pPr>
                </w:p>
              </w:tc>
              <w:tc>
                <w:tcPr>
                  <w:tcW w:w="1495" w:type="dxa"/>
                  <w:vAlign w:val="center"/>
                </w:tcPr>
                <w:p>
                  <w:pPr>
                    <w:adjustRightInd w:val="0"/>
                    <w:snapToGrid w:val="0"/>
                    <w:jc w:val="center"/>
                    <w:rPr>
                      <w:szCs w:val="21"/>
                    </w:rPr>
                  </w:pPr>
                  <w:r>
                    <w:rPr>
                      <w:rFonts w:hint="eastAsia"/>
                      <w:szCs w:val="21"/>
                    </w:rPr>
                    <w:t>粪大肠菌群</w:t>
                  </w:r>
                </w:p>
              </w:tc>
              <w:tc>
                <w:tcPr>
                  <w:tcW w:w="1275" w:type="dxa"/>
                  <w:vAlign w:val="center"/>
                </w:tcPr>
                <w:p>
                  <w:pPr>
                    <w:adjustRightInd w:val="0"/>
                    <w:snapToGrid w:val="0"/>
                    <w:jc w:val="center"/>
                    <w:rPr>
                      <w:szCs w:val="21"/>
                    </w:rPr>
                  </w:pPr>
                  <w:r>
                    <w:rPr>
                      <w:rFonts w:hint="eastAsia"/>
                      <w:szCs w:val="21"/>
                    </w:rPr>
                    <w:t>次/月</w:t>
                  </w:r>
                </w:p>
              </w:tc>
              <w:tc>
                <w:tcPr>
                  <w:tcW w:w="3074" w:type="dxa"/>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adjustRightInd w:val="0"/>
                    <w:snapToGrid w:val="0"/>
                    <w:jc w:val="center"/>
                    <w:rPr>
                      <w:szCs w:val="21"/>
                    </w:rPr>
                  </w:pPr>
                  <w:r>
                    <w:rPr>
                      <w:rFonts w:hint="eastAsia"/>
                      <w:szCs w:val="21"/>
                    </w:rPr>
                    <w:t>废气</w:t>
                  </w:r>
                </w:p>
              </w:tc>
              <w:tc>
                <w:tcPr>
                  <w:tcW w:w="1404" w:type="dxa"/>
                  <w:vAlign w:val="center"/>
                </w:tcPr>
                <w:p>
                  <w:pPr>
                    <w:adjustRightInd w:val="0"/>
                    <w:snapToGrid w:val="0"/>
                    <w:jc w:val="center"/>
                    <w:rPr>
                      <w:szCs w:val="21"/>
                    </w:rPr>
                  </w:pPr>
                  <w:r>
                    <w:rPr>
                      <w:rFonts w:hint="eastAsia"/>
                      <w:szCs w:val="21"/>
                    </w:rPr>
                    <w:t>一体化污水处理站上风向、下风向</w:t>
                  </w:r>
                </w:p>
              </w:tc>
              <w:tc>
                <w:tcPr>
                  <w:tcW w:w="1495" w:type="dxa"/>
                  <w:vAlign w:val="center"/>
                </w:tcPr>
                <w:p>
                  <w:pPr>
                    <w:adjustRightInd w:val="0"/>
                    <w:snapToGrid w:val="0"/>
                    <w:jc w:val="center"/>
                    <w:rPr>
                      <w:szCs w:val="21"/>
                    </w:rPr>
                  </w:pPr>
                  <w:r>
                    <w:rPr>
                      <w:szCs w:val="21"/>
                    </w:rPr>
                    <w:t>氨、硫化氢、臭气浓度、氯气、甲烷</w:t>
                  </w:r>
                </w:p>
              </w:tc>
              <w:tc>
                <w:tcPr>
                  <w:tcW w:w="1275" w:type="dxa"/>
                  <w:vAlign w:val="center"/>
                </w:tcPr>
                <w:p>
                  <w:pPr>
                    <w:adjustRightInd w:val="0"/>
                    <w:snapToGrid w:val="0"/>
                    <w:jc w:val="center"/>
                    <w:rPr>
                      <w:szCs w:val="21"/>
                    </w:rPr>
                  </w:pPr>
                  <w:r>
                    <w:rPr>
                      <w:rFonts w:hint="eastAsia"/>
                      <w:szCs w:val="21"/>
                    </w:rPr>
                    <w:t>次/季度</w:t>
                  </w:r>
                </w:p>
              </w:tc>
              <w:tc>
                <w:tcPr>
                  <w:tcW w:w="3074" w:type="dxa"/>
                  <w:vAlign w:val="center"/>
                </w:tcPr>
                <w:p>
                  <w:pPr>
                    <w:adjustRightInd w:val="0"/>
                    <w:snapToGrid w:val="0"/>
                    <w:jc w:val="center"/>
                    <w:rPr>
                      <w:szCs w:val="21"/>
                    </w:rPr>
                  </w:pPr>
                  <w:r>
                    <w:rPr>
                      <w:rFonts w:hint="eastAsia"/>
                      <w:szCs w:val="21"/>
                    </w:rPr>
                    <w:t>《医疗机构水污染物排放标准》（GB18466-2005）表3污水处理站周边大气污染物最高允许浓度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restart"/>
                  <w:vAlign w:val="center"/>
                </w:tcPr>
                <w:p>
                  <w:pPr>
                    <w:adjustRightInd w:val="0"/>
                    <w:snapToGrid w:val="0"/>
                    <w:jc w:val="center"/>
                    <w:rPr>
                      <w:szCs w:val="21"/>
                    </w:rPr>
                  </w:pPr>
                  <w:r>
                    <w:rPr>
                      <w:rFonts w:hint="eastAsia"/>
                      <w:szCs w:val="21"/>
                    </w:rPr>
                    <w:t>噪声</w:t>
                  </w:r>
                </w:p>
              </w:tc>
              <w:tc>
                <w:tcPr>
                  <w:tcW w:w="1404" w:type="dxa"/>
                  <w:vAlign w:val="center"/>
                </w:tcPr>
                <w:p>
                  <w:pPr>
                    <w:tabs>
                      <w:tab w:val="left" w:pos="1021"/>
                    </w:tabs>
                    <w:jc w:val="center"/>
                    <w:rPr>
                      <w:szCs w:val="21"/>
                    </w:rPr>
                  </w:pPr>
                  <w:r>
                    <w:rPr>
                      <w:szCs w:val="21"/>
                    </w:rPr>
                    <w:t>东、西、</w:t>
                  </w:r>
                  <w:r>
                    <w:rPr>
                      <w:rFonts w:hint="eastAsia"/>
                      <w:szCs w:val="21"/>
                    </w:rPr>
                    <w:t>南侧</w:t>
                  </w:r>
                  <w:r>
                    <w:rPr>
                      <w:szCs w:val="21"/>
                    </w:rPr>
                    <w:t>厂界外1m处</w:t>
                  </w:r>
                </w:p>
              </w:tc>
              <w:tc>
                <w:tcPr>
                  <w:tcW w:w="1495" w:type="dxa"/>
                  <w:vAlign w:val="center"/>
                </w:tcPr>
                <w:p>
                  <w:pPr>
                    <w:tabs>
                      <w:tab w:val="left" w:pos="1021"/>
                    </w:tabs>
                    <w:jc w:val="center"/>
                    <w:rPr>
                      <w:szCs w:val="21"/>
                    </w:rPr>
                  </w:pPr>
                  <w:r>
                    <w:rPr>
                      <w:szCs w:val="21"/>
                    </w:rPr>
                    <w:t>等效连续A声级</w:t>
                  </w:r>
                </w:p>
              </w:tc>
              <w:tc>
                <w:tcPr>
                  <w:tcW w:w="1275" w:type="dxa"/>
                  <w:vAlign w:val="center"/>
                </w:tcPr>
                <w:p>
                  <w:pPr>
                    <w:adjustRightInd w:val="0"/>
                    <w:snapToGrid w:val="0"/>
                    <w:jc w:val="center"/>
                    <w:rPr>
                      <w:szCs w:val="21"/>
                    </w:rPr>
                  </w:pPr>
                  <w:r>
                    <w:rPr>
                      <w:rFonts w:hint="eastAsia"/>
                      <w:szCs w:val="21"/>
                    </w:rPr>
                    <w:t>每季度/次</w:t>
                  </w:r>
                </w:p>
              </w:tc>
              <w:tc>
                <w:tcPr>
                  <w:tcW w:w="3074" w:type="dxa"/>
                  <w:vAlign w:val="center"/>
                </w:tcPr>
                <w:p>
                  <w:pPr>
                    <w:adjustRightInd w:val="0"/>
                    <w:snapToGrid w:val="0"/>
                    <w:jc w:val="center"/>
                    <w:rPr>
                      <w:szCs w:val="21"/>
                    </w:rPr>
                  </w:pPr>
                  <w:r>
                    <w:rPr>
                      <w:rFonts w:hint="eastAsia"/>
                      <w:szCs w:val="21"/>
                    </w:rPr>
                    <w:t>《工业企业厂界环境噪声排放标准》（GB12348-2008）中的2类标准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continue"/>
                  <w:vAlign w:val="center"/>
                </w:tcPr>
                <w:p>
                  <w:pPr>
                    <w:adjustRightInd w:val="0"/>
                    <w:snapToGrid w:val="0"/>
                    <w:jc w:val="center"/>
                    <w:rPr>
                      <w:szCs w:val="21"/>
                    </w:rPr>
                  </w:pPr>
                </w:p>
              </w:tc>
              <w:tc>
                <w:tcPr>
                  <w:tcW w:w="1404" w:type="dxa"/>
                  <w:vAlign w:val="center"/>
                </w:tcPr>
                <w:p>
                  <w:pPr>
                    <w:tabs>
                      <w:tab w:val="left" w:pos="1021"/>
                    </w:tabs>
                    <w:jc w:val="center"/>
                    <w:rPr>
                      <w:szCs w:val="21"/>
                    </w:rPr>
                  </w:pPr>
                  <w:r>
                    <w:rPr>
                      <w:rFonts w:hint="eastAsia"/>
                      <w:szCs w:val="21"/>
                    </w:rPr>
                    <w:t>北侧</w:t>
                  </w:r>
                  <w:r>
                    <w:rPr>
                      <w:szCs w:val="21"/>
                    </w:rPr>
                    <w:t>厂界外1m处</w:t>
                  </w:r>
                </w:p>
              </w:tc>
              <w:tc>
                <w:tcPr>
                  <w:tcW w:w="1495" w:type="dxa"/>
                  <w:vAlign w:val="center"/>
                </w:tcPr>
                <w:p>
                  <w:pPr>
                    <w:tabs>
                      <w:tab w:val="left" w:pos="1021"/>
                    </w:tabs>
                    <w:jc w:val="center"/>
                    <w:rPr>
                      <w:szCs w:val="21"/>
                    </w:rPr>
                  </w:pPr>
                  <w:r>
                    <w:rPr>
                      <w:szCs w:val="21"/>
                    </w:rPr>
                    <w:t>等效连续A声级</w:t>
                  </w:r>
                </w:p>
              </w:tc>
              <w:tc>
                <w:tcPr>
                  <w:tcW w:w="1275" w:type="dxa"/>
                  <w:vAlign w:val="center"/>
                </w:tcPr>
                <w:p>
                  <w:pPr>
                    <w:adjustRightInd w:val="0"/>
                    <w:snapToGrid w:val="0"/>
                    <w:jc w:val="center"/>
                    <w:rPr>
                      <w:szCs w:val="21"/>
                    </w:rPr>
                  </w:pPr>
                  <w:r>
                    <w:rPr>
                      <w:rFonts w:hint="eastAsia"/>
                      <w:szCs w:val="21"/>
                    </w:rPr>
                    <w:t>每季度/次</w:t>
                  </w:r>
                </w:p>
              </w:tc>
              <w:tc>
                <w:tcPr>
                  <w:tcW w:w="3074" w:type="dxa"/>
                  <w:vAlign w:val="center"/>
                </w:tcPr>
                <w:p>
                  <w:pPr>
                    <w:adjustRightInd w:val="0"/>
                    <w:snapToGrid w:val="0"/>
                    <w:jc w:val="center"/>
                    <w:rPr>
                      <w:szCs w:val="21"/>
                    </w:rPr>
                  </w:pPr>
                  <w:r>
                    <w:rPr>
                      <w:rFonts w:hint="eastAsia"/>
                      <w:szCs w:val="21"/>
                    </w:rPr>
                    <w:t>《工业企业厂界环境噪声排放标准》（GB12348-2008）中的4类标准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1" w:type="dxa"/>
                  <w:gridSpan w:val="5"/>
                  <w:vAlign w:val="center"/>
                </w:tcPr>
                <w:p>
                  <w:pPr>
                    <w:adjustRightInd w:val="0"/>
                    <w:snapToGrid w:val="0"/>
                    <w:jc w:val="center"/>
                    <w:rPr>
                      <w:szCs w:val="21"/>
                    </w:rPr>
                  </w:pPr>
                  <w:r>
                    <w:rPr>
                      <w:rFonts w:hint="eastAsia"/>
                      <w:szCs w:val="21"/>
                    </w:rPr>
                    <w:t>备注：若环保局对氨氮有在线监测要求则需补充安装氨氮在线监测系统。</w:t>
                  </w:r>
                </w:p>
              </w:tc>
            </w:tr>
          </w:tbl>
          <w:p>
            <w:pPr>
              <w:spacing w:line="360" w:lineRule="auto"/>
              <w:rPr>
                <w:b/>
                <w:bCs/>
                <w:sz w:val="24"/>
              </w:rPr>
            </w:pPr>
            <w:r>
              <w:rPr>
                <w:rFonts w:hint="eastAsia" w:eastAsia="新宋体"/>
                <w:b/>
                <w:bCs/>
                <w:sz w:val="24"/>
                <w:lang w:val="en-US" w:eastAsia="zh-CN"/>
              </w:rPr>
              <w:t>9</w:t>
            </w:r>
            <w:r>
              <w:rPr>
                <w:rFonts w:eastAsia="新宋体"/>
                <w:b/>
                <w:bCs/>
                <w:sz w:val="24"/>
              </w:rPr>
              <w:t>、项目环保投资</w:t>
            </w:r>
            <w:r>
              <w:rPr>
                <w:rFonts w:hint="eastAsia" w:eastAsia="新宋体"/>
                <w:b/>
                <w:bCs/>
                <w:sz w:val="24"/>
              </w:rPr>
              <w:t>及竣工验收</w:t>
            </w:r>
          </w:p>
          <w:p>
            <w:pPr>
              <w:spacing w:line="360" w:lineRule="auto"/>
              <w:ind w:firstLine="480" w:firstLineChars="200"/>
              <w:rPr>
                <w:rFonts w:hAnsi="宋体"/>
                <w:kern w:val="0"/>
                <w:sz w:val="24"/>
              </w:rPr>
            </w:pPr>
            <w:r>
              <w:rPr>
                <w:rFonts w:hAnsi="宋体"/>
                <w:kern w:val="0"/>
                <w:sz w:val="24"/>
              </w:rPr>
              <w:t>本项目总投资</w:t>
            </w:r>
            <w:r>
              <w:rPr>
                <w:rFonts w:hint="eastAsia" w:hAnsi="宋体"/>
                <w:kern w:val="0"/>
                <w:sz w:val="24"/>
                <w:lang w:eastAsia="zh-CN"/>
              </w:rPr>
              <w:t>956.65</w:t>
            </w:r>
            <w:r>
              <w:rPr>
                <w:rFonts w:hAnsi="宋体"/>
                <w:kern w:val="0"/>
                <w:sz w:val="24"/>
              </w:rPr>
              <w:t>万元，其中环保投资为</w:t>
            </w:r>
            <w:r>
              <w:rPr>
                <w:rFonts w:hint="eastAsia" w:hAnsi="宋体"/>
                <w:kern w:val="0"/>
                <w:sz w:val="24"/>
                <w:lang w:eastAsia="zh-CN"/>
              </w:rPr>
              <w:t>55.4</w:t>
            </w:r>
            <w:r>
              <w:rPr>
                <w:rFonts w:hAnsi="宋体"/>
                <w:kern w:val="0"/>
                <w:sz w:val="24"/>
              </w:rPr>
              <w:t>万元，占总投资的</w:t>
            </w:r>
            <w:r>
              <w:rPr>
                <w:rFonts w:hint="eastAsia" w:hAnsi="宋体"/>
                <w:kern w:val="0"/>
                <w:sz w:val="24"/>
                <w:lang w:eastAsia="zh-CN"/>
              </w:rPr>
              <w:t>5.79</w:t>
            </w:r>
            <w:r>
              <w:rPr>
                <w:rFonts w:hint="eastAsia" w:hAnsi="宋体"/>
                <w:kern w:val="0"/>
                <w:sz w:val="24"/>
              </w:rPr>
              <w:t>%</w:t>
            </w:r>
            <w:r>
              <w:rPr>
                <w:rFonts w:hAnsi="宋体"/>
                <w:kern w:val="0"/>
                <w:sz w:val="24"/>
              </w:rPr>
              <w:t>，环保投资明细详见表4-</w:t>
            </w:r>
            <w:r>
              <w:rPr>
                <w:rFonts w:hint="eastAsia" w:hAnsi="宋体"/>
                <w:kern w:val="0"/>
                <w:sz w:val="24"/>
              </w:rPr>
              <w:t>13</w:t>
            </w:r>
            <w:r>
              <w:rPr>
                <w:rFonts w:hAnsi="宋体"/>
                <w:kern w:val="0"/>
                <w:sz w:val="24"/>
              </w:rPr>
              <w:t>。</w:t>
            </w:r>
          </w:p>
          <w:p>
            <w:pPr>
              <w:adjustRightInd w:val="0"/>
              <w:snapToGrid w:val="0"/>
              <w:jc w:val="center"/>
              <w:rPr>
                <w:b/>
                <w:szCs w:val="21"/>
              </w:rPr>
            </w:pPr>
            <w:r>
              <w:rPr>
                <w:rFonts w:hint="eastAsia"/>
                <w:b/>
                <w:szCs w:val="21"/>
              </w:rPr>
              <w:t>表4-13环保投资估算一览表</w:t>
            </w:r>
          </w:p>
          <w:tbl>
            <w:tblPr>
              <w:tblStyle w:val="27"/>
              <w:tblW w:w="7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709"/>
              <w:gridCol w:w="1609"/>
              <w:gridCol w:w="3355"/>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8" w:type="dxa"/>
                  <w:gridSpan w:val="3"/>
                  <w:vAlign w:val="center"/>
                </w:tcPr>
                <w:p>
                  <w:pPr>
                    <w:adjustRightInd w:val="0"/>
                    <w:snapToGrid w:val="0"/>
                    <w:jc w:val="center"/>
                    <w:rPr>
                      <w:szCs w:val="21"/>
                    </w:rPr>
                  </w:pPr>
                  <w:r>
                    <w:rPr>
                      <w:rFonts w:hint="eastAsia"/>
                      <w:szCs w:val="21"/>
                    </w:rPr>
                    <w:t>类别</w:t>
                  </w:r>
                </w:p>
              </w:tc>
              <w:tc>
                <w:tcPr>
                  <w:tcW w:w="3355" w:type="dxa"/>
                  <w:vAlign w:val="center"/>
                </w:tcPr>
                <w:p>
                  <w:pPr>
                    <w:adjustRightInd w:val="0"/>
                    <w:snapToGrid w:val="0"/>
                    <w:jc w:val="center"/>
                    <w:rPr>
                      <w:szCs w:val="21"/>
                    </w:rPr>
                  </w:pPr>
                  <w:r>
                    <w:rPr>
                      <w:rFonts w:hint="eastAsia"/>
                      <w:szCs w:val="21"/>
                    </w:rPr>
                    <w:t>治理措施或环保设施</w:t>
                  </w:r>
                </w:p>
              </w:tc>
              <w:tc>
                <w:tcPr>
                  <w:tcW w:w="1848" w:type="dxa"/>
                  <w:vAlign w:val="center"/>
                </w:tcPr>
                <w:p>
                  <w:pPr>
                    <w:adjustRightInd w:val="0"/>
                    <w:snapToGrid w:val="0"/>
                    <w:jc w:val="center"/>
                    <w:rPr>
                      <w:szCs w:val="21"/>
                    </w:rPr>
                  </w:pPr>
                  <w:r>
                    <w:rPr>
                      <w:rFonts w:hint="eastAsia"/>
                      <w:szCs w:val="21"/>
                    </w:rPr>
                    <w:t>投资概算（万元）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vMerge w:val="restart"/>
                  <w:vAlign w:val="center"/>
                </w:tcPr>
                <w:p>
                  <w:pPr>
                    <w:adjustRightInd w:val="0"/>
                    <w:snapToGrid w:val="0"/>
                    <w:jc w:val="center"/>
                    <w:rPr>
                      <w:szCs w:val="21"/>
                    </w:rPr>
                  </w:pPr>
                  <w:r>
                    <w:rPr>
                      <w:rFonts w:hint="eastAsia"/>
                      <w:szCs w:val="21"/>
                    </w:rPr>
                    <w:t>施工期</w:t>
                  </w:r>
                </w:p>
              </w:tc>
              <w:tc>
                <w:tcPr>
                  <w:tcW w:w="2318" w:type="dxa"/>
                  <w:gridSpan w:val="2"/>
                  <w:vAlign w:val="center"/>
                </w:tcPr>
                <w:p>
                  <w:pPr>
                    <w:adjustRightInd w:val="0"/>
                    <w:snapToGrid w:val="0"/>
                    <w:jc w:val="center"/>
                    <w:rPr>
                      <w:szCs w:val="21"/>
                    </w:rPr>
                  </w:pPr>
                  <w:r>
                    <w:rPr>
                      <w:rFonts w:hint="eastAsia"/>
                      <w:szCs w:val="21"/>
                    </w:rPr>
                    <w:t>废水</w:t>
                  </w:r>
                </w:p>
              </w:tc>
              <w:tc>
                <w:tcPr>
                  <w:tcW w:w="3355" w:type="dxa"/>
                  <w:vAlign w:val="center"/>
                </w:tcPr>
                <w:p>
                  <w:pPr>
                    <w:adjustRightInd w:val="0"/>
                    <w:snapToGrid w:val="0"/>
                    <w:jc w:val="center"/>
                    <w:rPr>
                      <w:szCs w:val="21"/>
                    </w:rPr>
                  </w:pPr>
                  <w:r>
                    <w:rPr>
                      <w:szCs w:val="21"/>
                    </w:rPr>
                    <w:t>临时沉淀池</w:t>
                  </w:r>
                </w:p>
              </w:tc>
              <w:tc>
                <w:tcPr>
                  <w:tcW w:w="1848" w:type="dxa"/>
                  <w:vAlign w:val="center"/>
                </w:tcPr>
                <w:p>
                  <w:pPr>
                    <w:adjustRightInd w:val="0"/>
                    <w:snapToGrid w:val="0"/>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vMerge w:val="continue"/>
                  <w:vAlign w:val="center"/>
                </w:tcPr>
                <w:p>
                  <w:pPr>
                    <w:adjustRightInd w:val="0"/>
                    <w:snapToGrid w:val="0"/>
                    <w:jc w:val="center"/>
                    <w:rPr>
                      <w:szCs w:val="21"/>
                    </w:rPr>
                  </w:pPr>
                </w:p>
              </w:tc>
              <w:tc>
                <w:tcPr>
                  <w:tcW w:w="2318" w:type="dxa"/>
                  <w:gridSpan w:val="2"/>
                  <w:vAlign w:val="center"/>
                </w:tcPr>
                <w:p>
                  <w:pPr>
                    <w:adjustRightInd w:val="0"/>
                    <w:snapToGrid w:val="0"/>
                    <w:jc w:val="center"/>
                    <w:rPr>
                      <w:szCs w:val="21"/>
                    </w:rPr>
                  </w:pPr>
                  <w:r>
                    <w:rPr>
                      <w:rFonts w:hint="eastAsia"/>
                      <w:szCs w:val="21"/>
                    </w:rPr>
                    <w:t>废气</w:t>
                  </w:r>
                </w:p>
              </w:tc>
              <w:tc>
                <w:tcPr>
                  <w:tcW w:w="3355" w:type="dxa"/>
                  <w:vAlign w:val="center"/>
                </w:tcPr>
                <w:p>
                  <w:pPr>
                    <w:adjustRightInd w:val="0"/>
                    <w:snapToGrid w:val="0"/>
                    <w:jc w:val="center"/>
                    <w:rPr>
                      <w:szCs w:val="21"/>
                    </w:rPr>
                  </w:pPr>
                  <w:r>
                    <w:rPr>
                      <w:szCs w:val="21"/>
                    </w:rPr>
                    <w:t>围栏、洒水等</w:t>
                  </w:r>
                </w:p>
              </w:tc>
              <w:tc>
                <w:tcPr>
                  <w:tcW w:w="1848" w:type="dxa"/>
                  <w:vAlign w:val="center"/>
                </w:tcPr>
                <w:p>
                  <w:pPr>
                    <w:adjustRightInd w:val="0"/>
                    <w:snapToGrid w:val="0"/>
                    <w:jc w:val="center"/>
                    <w:rPr>
                      <w:szCs w:val="21"/>
                    </w:rPr>
                  </w:pPr>
                  <w:r>
                    <w:rPr>
                      <w:rFonts w:hint="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vMerge w:val="continue"/>
                  <w:vAlign w:val="center"/>
                </w:tcPr>
                <w:p>
                  <w:pPr>
                    <w:adjustRightInd w:val="0"/>
                    <w:snapToGrid w:val="0"/>
                    <w:jc w:val="center"/>
                    <w:rPr>
                      <w:szCs w:val="21"/>
                    </w:rPr>
                  </w:pPr>
                </w:p>
              </w:tc>
              <w:tc>
                <w:tcPr>
                  <w:tcW w:w="2318" w:type="dxa"/>
                  <w:gridSpan w:val="2"/>
                  <w:vAlign w:val="center"/>
                </w:tcPr>
                <w:p>
                  <w:pPr>
                    <w:pStyle w:val="14"/>
                    <w:spacing w:after="0"/>
                    <w:ind w:left="0" w:leftChars="0"/>
                    <w:jc w:val="center"/>
                    <w:rPr>
                      <w:sz w:val="21"/>
                      <w:szCs w:val="21"/>
                    </w:rPr>
                  </w:pPr>
                  <w:r>
                    <w:rPr>
                      <w:rFonts w:hint="eastAsia"/>
                      <w:sz w:val="21"/>
                      <w:szCs w:val="21"/>
                    </w:rPr>
                    <w:t>噪声</w:t>
                  </w:r>
                </w:p>
              </w:tc>
              <w:tc>
                <w:tcPr>
                  <w:tcW w:w="3355" w:type="dxa"/>
                  <w:vAlign w:val="center"/>
                </w:tcPr>
                <w:p>
                  <w:pPr>
                    <w:pStyle w:val="14"/>
                    <w:spacing w:after="0"/>
                    <w:ind w:left="0" w:leftChars="0"/>
                    <w:jc w:val="center"/>
                    <w:rPr>
                      <w:sz w:val="21"/>
                      <w:szCs w:val="21"/>
                    </w:rPr>
                  </w:pPr>
                  <w:r>
                    <w:rPr>
                      <w:rFonts w:hint="eastAsia"/>
                      <w:sz w:val="21"/>
                      <w:szCs w:val="21"/>
                    </w:rPr>
                    <w:t>施工棚、围栏等</w:t>
                  </w:r>
                </w:p>
              </w:tc>
              <w:tc>
                <w:tcPr>
                  <w:tcW w:w="1848" w:type="dxa"/>
                  <w:vAlign w:val="center"/>
                </w:tcPr>
                <w:p>
                  <w:pPr>
                    <w:adjustRightInd w:val="0"/>
                    <w:snapToGrid w:val="0"/>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vMerge w:val="continue"/>
                  <w:vAlign w:val="center"/>
                </w:tcPr>
                <w:p>
                  <w:pPr>
                    <w:adjustRightInd w:val="0"/>
                    <w:snapToGrid w:val="0"/>
                    <w:jc w:val="center"/>
                    <w:rPr>
                      <w:szCs w:val="21"/>
                    </w:rPr>
                  </w:pPr>
                </w:p>
              </w:tc>
              <w:tc>
                <w:tcPr>
                  <w:tcW w:w="2318" w:type="dxa"/>
                  <w:gridSpan w:val="2"/>
                  <w:vAlign w:val="center"/>
                </w:tcPr>
                <w:p>
                  <w:pPr>
                    <w:tabs>
                      <w:tab w:val="left" w:pos="1021"/>
                    </w:tabs>
                    <w:jc w:val="center"/>
                    <w:rPr>
                      <w:szCs w:val="21"/>
                    </w:rPr>
                  </w:pPr>
                  <w:r>
                    <w:rPr>
                      <w:rFonts w:hint="eastAsia"/>
                      <w:szCs w:val="21"/>
                    </w:rPr>
                    <w:t>固废</w:t>
                  </w:r>
                </w:p>
              </w:tc>
              <w:tc>
                <w:tcPr>
                  <w:tcW w:w="3355" w:type="dxa"/>
                  <w:vAlign w:val="center"/>
                </w:tcPr>
                <w:p>
                  <w:pPr>
                    <w:tabs>
                      <w:tab w:val="left" w:pos="1021"/>
                    </w:tabs>
                    <w:jc w:val="center"/>
                    <w:rPr>
                      <w:szCs w:val="21"/>
                    </w:rPr>
                  </w:pPr>
                  <w:r>
                    <w:rPr>
                      <w:rFonts w:hint="eastAsia"/>
                      <w:szCs w:val="21"/>
                    </w:rPr>
                    <w:t>建筑垃圾、生活垃圾处理</w:t>
                  </w:r>
                </w:p>
              </w:tc>
              <w:tc>
                <w:tcPr>
                  <w:tcW w:w="1848" w:type="dxa"/>
                  <w:vAlign w:val="center"/>
                </w:tcPr>
                <w:p>
                  <w:pPr>
                    <w:adjustRightInd w:val="0"/>
                    <w:snapToGrid w:val="0"/>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vMerge w:val="restart"/>
                  <w:vAlign w:val="center"/>
                </w:tcPr>
                <w:p>
                  <w:pPr>
                    <w:adjustRightInd w:val="0"/>
                    <w:snapToGrid w:val="0"/>
                    <w:jc w:val="center"/>
                    <w:rPr>
                      <w:szCs w:val="21"/>
                    </w:rPr>
                  </w:pPr>
                  <w:r>
                    <w:rPr>
                      <w:rFonts w:hint="eastAsia"/>
                      <w:szCs w:val="21"/>
                    </w:rPr>
                    <w:t>运营期</w:t>
                  </w:r>
                </w:p>
              </w:tc>
              <w:tc>
                <w:tcPr>
                  <w:tcW w:w="709" w:type="dxa"/>
                  <w:vMerge w:val="restart"/>
                  <w:vAlign w:val="center"/>
                </w:tcPr>
                <w:p>
                  <w:pPr>
                    <w:adjustRightInd w:val="0"/>
                    <w:snapToGrid w:val="0"/>
                    <w:jc w:val="center"/>
                    <w:rPr>
                      <w:szCs w:val="21"/>
                    </w:rPr>
                  </w:pPr>
                  <w:r>
                    <w:rPr>
                      <w:rFonts w:hint="eastAsia"/>
                      <w:szCs w:val="21"/>
                    </w:rPr>
                    <w:t>废水</w:t>
                  </w:r>
                </w:p>
              </w:tc>
              <w:tc>
                <w:tcPr>
                  <w:tcW w:w="1609" w:type="dxa"/>
                  <w:vAlign w:val="center"/>
                </w:tcPr>
                <w:p>
                  <w:pPr>
                    <w:adjustRightInd w:val="0"/>
                    <w:snapToGrid w:val="0"/>
                    <w:jc w:val="center"/>
                    <w:rPr>
                      <w:szCs w:val="21"/>
                    </w:rPr>
                  </w:pPr>
                  <w:r>
                    <w:rPr>
                      <w:rFonts w:hint="eastAsia"/>
                      <w:szCs w:val="21"/>
                    </w:rPr>
                    <w:t>生活污水</w:t>
                  </w:r>
                </w:p>
              </w:tc>
              <w:tc>
                <w:tcPr>
                  <w:tcW w:w="3355" w:type="dxa"/>
                  <w:vMerge w:val="restart"/>
                  <w:vAlign w:val="center"/>
                </w:tcPr>
                <w:p>
                  <w:pPr>
                    <w:adjustRightInd w:val="0"/>
                    <w:snapToGrid w:val="0"/>
                    <w:jc w:val="center"/>
                    <w:rPr>
                      <w:szCs w:val="21"/>
                      <w:u w:val="single"/>
                    </w:rPr>
                  </w:pPr>
                  <w:r>
                    <w:rPr>
                      <w:rFonts w:hint="eastAsia"/>
                      <w:szCs w:val="21"/>
                      <w:u w:val="single"/>
                    </w:rPr>
                    <w:t>一体化污水处理设施（</w:t>
                  </w:r>
                  <w:r>
                    <w:rPr>
                      <w:rFonts w:hint="eastAsia"/>
                      <w:szCs w:val="21"/>
                      <w:u w:val="single"/>
                      <w:lang w:eastAsia="zh-CN"/>
                    </w:rPr>
                    <w:t>20.71m</w:t>
                  </w:r>
                  <w:r>
                    <w:rPr>
                      <w:rFonts w:hint="eastAsia"/>
                      <w:szCs w:val="21"/>
                      <w:u w:val="single"/>
                      <w:vertAlign w:val="superscript"/>
                    </w:rPr>
                    <w:t>3</w:t>
                  </w:r>
                  <w:r>
                    <w:rPr>
                      <w:rFonts w:hint="eastAsia"/>
                      <w:szCs w:val="21"/>
                      <w:u w:val="single"/>
                    </w:rPr>
                    <w:t>/d）</w:t>
                  </w:r>
                </w:p>
              </w:tc>
              <w:tc>
                <w:tcPr>
                  <w:tcW w:w="1848" w:type="dxa"/>
                  <w:vMerge w:val="restart"/>
                  <w:vAlign w:val="center"/>
                </w:tcPr>
                <w:p>
                  <w:pPr>
                    <w:adjustRightInd w:val="0"/>
                    <w:snapToGrid w:val="0"/>
                    <w:jc w:val="center"/>
                    <w:rPr>
                      <w:rFonts w:hint="default" w:eastAsia="宋体"/>
                      <w:szCs w:val="21"/>
                      <w:lang w:val="en-US" w:eastAsia="zh-CN"/>
                    </w:rPr>
                  </w:pPr>
                  <w:r>
                    <w:rPr>
                      <w:rFonts w:hint="eastAsia"/>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vMerge w:val="continue"/>
                  <w:vAlign w:val="center"/>
                </w:tcPr>
                <w:p>
                  <w:pPr>
                    <w:adjustRightInd w:val="0"/>
                    <w:snapToGrid w:val="0"/>
                    <w:jc w:val="center"/>
                    <w:rPr>
                      <w:szCs w:val="21"/>
                    </w:rPr>
                  </w:pPr>
                </w:p>
              </w:tc>
              <w:tc>
                <w:tcPr>
                  <w:tcW w:w="709" w:type="dxa"/>
                  <w:vMerge w:val="continue"/>
                  <w:vAlign w:val="center"/>
                </w:tcPr>
                <w:p>
                  <w:pPr>
                    <w:adjustRightInd w:val="0"/>
                    <w:snapToGrid w:val="0"/>
                    <w:jc w:val="center"/>
                    <w:rPr>
                      <w:szCs w:val="21"/>
                    </w:rPr>
                  </w:pPr>
                </w:p>
              </w:tc>
              <w:tc>
                <w:tcPr>
                  <w:tcW w:w="1609" w:type="dxa"/>
                  <w:vAlign w:val="center"/>
                </w:tcPr>
                <w:p>
                  <w:pPr>
                    <w:tabs>
                      <w:tab w:val="left" w:pos="1021"/>
                    </w:tabs>
                    <w:jc w:val="center"/>
                    <w:rPr>
                      <w:szCs w:val="21"/>
                    </w:rPr>
                  </w:pPr>
                  <w:r>
                    <w:rPr>
                      <w:rFonts w:hint="eastAsia"/>
                      <w:szCs w:val="21"/>
                    </w:rPr>
                    <w:t>医疗废水</w:t>
                  </w:r>
                </w:p>
              </w:tc>
              <w:tc>
                <w:tcPr>
                  <w:tcW w:w="3355" w:type="dxa"/>
                  <w:vMerge w:val="continue"/>
                  <w:vAlign w:val="center"/>
                </w:tcPr>
                <w:p>
                  <w:pPr>
                    <w:tabs>
                      <w:tab w:val="left" w:pos="1021"/>
                    </w:tabs>
                    <w:jc w:val="center"/>
                    <w:rPr>
                      <w:szCs w:val="21"/>
                      <w:u w:val="single"/>
                    </w:rPr>
                  </w:pPr>
                </w:p>
              </w:tc>
              <w:tc>
                <w:tcPr>
                  <w:tcW w:w="1848" w:type="dxa"/>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vMerge w:val="continue"/>
                  <w:vAlign w:val="center"/>
                </w:tcPr>
                <w:p>
                  <w:pPr>
                    <w:adjustRightInd w:val="0"/>
                    <w:snapToGrid w:val="0"/>
                    <w:jc w:val="center"/>
                    <w:rPr>
                      <w:szCs w:val="21"/>
                    </w:rPr>
                  </w:pPr>
                </w:p>
              </w:tc>
              <w:tc>
                <w:tcPr>
                  <w:tcW w:w="709" w:type="dxa"/>
                  <w:vAlign w:val="center"/>
                </w:tcPr>
                <w:p>
                  <w:pPr>
                    <w:adjustRightInd w:val="0"/>
                    <w:snapToGrid w:val="0"/>
                    <w:jc w:val="center"/>
                    <w:rPr>
                      <w:szCs w:val="21"/>
                    </w:rPr>
                  </w:pPr>
                  <w:r>
                    <w:rPr>
                      <w:rFonts w:hint="eastAsia"/>
                      <w:szCs w:val="21"/>
                    </w:rPr>
                    <w:t>废气</w:t>
                  </w:r>
                </w:p>
              </w:tc>
              <w:tc>
                <w:tcPr>
                  <w:tcW w:w="1609" w:type="dxa"/>
                  <w:vAlign w:val="center"/>
                </w:tcPr>
                <w:p>
                  <w:pPr>
                    <w:adjustRightInd w:val="0"/>
                    <w:snapToGrid w:val="0"/>
                    <w:jc w:val="center"/>
                    <w:rPr>
                      <w:szCs w:val="21"/>
                    </w:rPr>
                  </w:pPr>
                  <w:r>
                    <w:rPr>
                      <w:rFonts w:hint="eastAsia"/>
                      <w:szCs w:val="21"/>
                    </w:rPr>
                    <w:t>厨房油烟</w:t>
                  </w:r>
                </w:p>
              </w:tc>
              <w:tc>
                <w:tcPr>
                  <w:tcW w:w="3355" w:type="dxa"/>
                  <w:vAlign w:val="center"/>
                </w:tcPr>
                <w:p>
                  <w:pPr>
                    <w:adjustRightInd w:val="0"/>
                    <w:snapToGrid w:val="0"/>
                    <w:jc w:val="center"/>
                    <w:rPr>
                      <w:rFonts w:hint="eastAsia" w:eastAsia="宋体"/>
                      <w:szCs w:val="21"/>
                      <w:u w:val="single"/>
                      <w:lang w:eastAsia="zh-CN"/>
                    </w:rPr>
                  </w:pPr>
                  <w:r>
                    <w:rPr>
                      <w:rFonts w:hint="eastAsia"/>
                      <w:szCs w:val="21"/>
                      <w:u w:val="single"/>
                      <w:lang w:eastAsia="zh-CN"/>
                    </w:rPr>
                    <w:t>油烟净化器</w:t>
                  </w:r>
                </w:p>
              </w:tc>
              <w:tc>
                <w:tcPr>
                  <w:tcW w:w="1848" w:type="dxa"/>
                  <w:vAlign w:val="center"/>
                </w:tcPr>
                <w:p>
                  <w:pPr>
                    <w:adjustRightInd w:val="0"/>
                    <w:snapToGrid w:val="0"/>
                    <w:jc w:val="center"/>
                    <w:rPr>
                      <w:szCs w:val="21"/>
                    </w:rPr>
                  </w:pPr>
                  <w:r>
                    <w:rPr>
                      <w:rFonts w:hint="eastAsia"/>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vMerge w:val="continue"/>
                  <w:vAlign w:val="center"/>
                </w:tcPr>
                <w:p>
                  <w:pPr>
                    <w:adjustRightInd w:val="0"/>
                    <w:snapToGrid w:val="0"/>
                    <w:jc w:val="center"/>
                    <w:rPr>
                      <w:szCs w:val="21"/>
                    </w:rPr>
                  </w:pPr>
                </w:p>
              </w:tc>
              <w:tc>
                <w:tcPr>
                  <w:tcW w:w="709" w:type="dxa"/>
                  <w:vAlign w:val="center"/>
                </w:tcPr>
                <w:p>
                  <w:pPr>
                    <w:adjustRightInd w:val="0"/>
                    <w:snapToGrid w:val="0"/>
                    <w:jc w:val="center"/>
                    <w:rPr>
                      <w:szCs w:val="21"/>
                    </w:rPr>
                  </w:pPr>
                  <w:r>
                    <w:rPr>
                      <w:rFonts w:hint="eastAsia"/>
                      <w:szCs w:val="21"/>
                    </w:rPr>
                    <w:t>噪声</w:t>
                  </w:r>
                </w:p>
              </w:tc>
              <w:tc>
                <w:tcPr>
                  <w:tcW w:w="1609" w:type="dxa"/>
                  <w:vAlign w:val="center"/>
                </w:tcPr>
                <w:p>
                  <w:pPr>
                    <w:pStyle w:val="14"/>
                    <w:spacing w:after="0"/>
                    <w:ind w:left="0" w:leftChars="0"/>
                    <w:jc w:val="center"/>
                    <w:rPr>
                      <w:sz w:val="21"/>
                      <w:szCs w:val="21"/>
                    </w:rPr>
                  </w:pPr>
                  <w:r>
                    <w:rPr>
                      <w:sz w:val="21"/>
                      <w:szCs w:val="21"/>
                    </w:rPr>
                    <w:t>噪声设备</w:t>
                  </w:r>
                </w:p>
              </w:tc>
              <w:tc>
                <w:tcPr>
                  <w:tcW w:w="3355" w:type="dxa"/>
                  <w:vAlign w:val="center"/>
                </w:tcPr>
                <w:p>
                  <w:pPr>
                    <w:pStyle w:val="14"/>
                    <w:spacing w:after="0"/>
                    <w:ind w:left="0" w:leftChars="0"/>
                    <w:jc w:val="center"/>
                    <w:rPr>
                      <w:sz w:val="21"/>
                      <w:szCs w:val="21"/>
                    </w:rPr>
                  </w:pPr>
                  <w:r>
                    <w:rPr>
                      <w:sz w:val="21"/>
                      <w:szCs w:val="21"/>
                    </w:rPr>
                    <w:t>隔声减振、距离衰减等</w:t>
                  </w:r>
                </w:p>
              </w:tc>
              <w:tc>
                <w:tcPr>
                  <w:tcW w:w="1848" w:type="dxa"/>
                  <w:vAlign w:val="center"/>
                </w:tcPr>
                <w:p>
                  <w:pPr>
                    <w:adjustRightInd w:val="0"/>
                    <w:snapToGrid w:val="0"/>
                    <w:jc w:val="center"/>
                    <w:rPr>
                      <w:szCs w:val="21"/>
                    </w:rPr>
                  </w:pPr>
                  <w:r>
                    <w:rPr>
                      <w:rFonts w:hint="eastAsia"/>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vMerge w:val="continue"/>
                  <w:vAlign w:val="center"/>
                </w:tcPr>
                <w:p>
                  <w:pPr>
                    <w:adjustRightInd w:val="0"/>
                    <w:snapToGrid w:val="0"/>
                    <w:jc w:val="center"/>
                    <w:rPr>
                      <w:szCs w:val="21"/>
                    </w:rPr>
                  </w:pPr>
                </w:p>
              </w:tc>
              <w:tc>
                <w:tcPr>
                  <w:tcW w:w="709" w:type="dxa"/>
                  <w:vMerge w:val="restart"/>
                  <w:vAlign w:val="center"/>
                </w:tcPr>
                <w:p>
                  <w:pPr>
                    <w:adjustRightInd w:val="0"/>
                    <w:snapToGrid w:val="0"/>
                    <w:jc w:val="center"/>
                    <w:rPr>
                      <w:szCs w:val="21"/>
                    </w:rPr>
                  </w:pPr>
                  <w:r>
                    <w:rPr>
                      <w:rFonts w:hint="eastAsia"/>
                      <w:szCs w:val="21"/>
                    </w:rPr>
                    <w:t>固废</w:t>
                  </w:r>
                </w:p>
              </w:tc>
              <w:tc>
                <w:tcPr>
                  <w:tcW w:w="1609" w:type="dxa"/>
                  <w:vAlign w:val="center"/>
                </w:tcPr>
                <w:p>
                  <w:pPr>
                    <w:tabs>
                      <w:tab w:val="left" w:pos="1021"/>
                    </w:tabs>
                    <w:jc w:val="center"/>
                    <w:rPr>
                      <w:szCs w:val="21"/>
                    </w:rPr>
                  </w:pPr>
                  <w:r>
                    <w:rPr>
                      <w:rFonts w:hint="eastAsia"/>
                      <w:szCs w:val="21"/>
                    </w:rPr>
                    <w:t>生活垃圾</w:t>
                  </w:r>
                </w:p>
              </w:tc>
              <w:tc>
                <w:tcPr>
                  <w:tcW w:w="3355" w:type="dxa"/>
                  <w:vAlign w:val="center"/>
                </w:tcPr>
                <w:p>
                  <w:pPr>
                    <w:tabs>
                      <w:tab w:val="left" w:pos="1021"/>
                    </w:tabs>
                    <w:jc w:val="center"/>
                    <w:rPr>
                      <w:szCs w:val="21"/>
                    </w:rPr>
                  </w:pPr>
                  <w:r>
                    <w:rPr>
                      <w:rFonts w:hint="eastAsia"/>
                      <w:szCs w:val="21"/>
                    </w:rPr>
                    <w:t>垃圾桶、垃圾箱</w:t>
                  </w:r>
                </w:p>
              </w:tc>
              <w:tc>
                <w:tcPr>
                  <w:tcW w:w="1848" w:type="dxa"/>
                  <w:vAlign w:val="center"/>
                </w:tcPr>
                <w:p>
                  <w:pPr>
                    <w:adjustRightInd w:val="0"/>
                    <w:snapToGrid w:val="0"/>
                    <w:jc w:val="center"/>
                    <w:rPr>
                      <w:szCs w:val="21"/>
                    </w:rPr>
                  </w:pPr>
                  <w:r>
                    <w:rPr>
                      <w:rFonts w:hint="eastAsia"/>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vMerge w:val="continue"/>
                  <w:vAlign w:val="center"/>
                </w:tcPr>
                <w:p>
                  <w:pPr>
                    <w:adjustRightInd w:val="0"/>
                    <w:snapToGrid w:val="0"/>
                    <w:jc w:val="center"/>
                    <w:rPr>
                      <w:szCs w:val="21"/>
                    </w:rPr>
                  </w:pPr>
                </w:p>
              </w:tc>
              <w:tc>
                <w:tcPr>
                  <w:tcW w:w="709" w:type="dxa"/>
                  <w:vMerge w:val="continue"/>
                  <w:vAlign w:val="center"/>
                </w:tcPr>
                <w:p>
                  <w:pPr>
                    <w:adjustRightInd w:val="0"/>
                    <w:snapToGrid w:val="0"/>
                    <w:jc w:val="center"/>
                    <w:rPr>
                      <w:szCs w:val="21"/>
                    </w:rPr>
                  </w:pPr>
                </w:p>
              </w:tc>
              <w:tc>
                <w:tcPr>
                  <w:tcW w:w="1609" w:type="dxa"/>
                  <w:vAlign w:val="center"/>
                </w:tcPr>
                <w:p>
                  <w:pPr>
                    <w:tabs>
                      <w:tab w:val="left" w:pos="1021"/>
                    </w:tabs>
                    <w:jc w:val="center"/>
                    <w:rPr>
                      <w:szCs w:val="21"/>
                    </w:rPr>
                  </w:pPr>
                  <w:r>
                    <w:rPr>
                      <w:rFonts w:hint="eastAsia"/>
                      <w:szCs w:val="21"/>
                    </w:rPr>
                    <w:t>医疗废物</w:t>
                  </w:r>
                </w:p>
              </w:tc>
              <w:tc>
                <w:tcPr>
                  <w:tcW w:w="3355" w:type="dxa"/>
                  <w:vMerge w:val="restart"/>
                  <w:vAlign w:val="center"/>
                </w:tcPr>
                <w:p>
                  <w:pPr>
                    <w:tabs>
                      <w:tab w:val="left" w:pos="1021"/>
                    </w:tabs>
                    <w:jc w:val="center"/>
                    <w:rPr>
                      <w:szCs w:val="21"/>
                    </w:rPr>
                  </w:pPr>
                  <w:r>
                    <w:rPr>
                      <w:rFonts w:hint="eastAsia"/>
                      <w:szCs w:val="21"/>
                    </w:rPr>
                    <w:t>危废暂存间（20m</w:t>
                  </w:r>
                  <w:r>
                    <w:rPr>
                      <w:rFonts w:hint="eastAsia"/>
                      <w:szCs w:val="21"/>
                      <w:vertAlign w:val="superscript"/>
                    </w:rPr>
                    <w:t>2</w:t>
                  </w:r>
                  <w:r>
                    <w:rPr>
                      <w:rFonts w:hint="eastAsia"/>
                      <w:szCs w:val="21"/>
                    </w:rPr>
                    <w:t>），危废协议</w:t>
                  </w:r>
                </w:p>
              </w:tc>
              <w:tc>
                <w:tcPr>
                  <w:tcW w:w="1848" w:type="dxa"/>
                  <w:vMerge w:val="restart"/>
                  <w:vAlign w:val="center"/>
                </w:tcPr>
                <w:p>
                  <w:pPr>
                    <w:adjustRightInd w:val="0"/>
                    <w:snapToGrid w:val="0"/>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vMerge w:val="continue"/>
                  <w:vAlign w:val="center"/>
                </w:tcPr>
                <w:p>
                  <w:pPr>
                    <w:adjustRightInd w:val="0"/>
                    <w:snapToGrid w:val="0"/>
                    <w:jc w:val="center"/>
                    <w:rPr>
                      <w:szCs w:val="21"/>
                    </w:rPr>
                  </w:pPr>
                </w:p>
              </w:tc>
              <w:tc>
                <w:tcPr>
                  <w:tcW w:w="709" w:type="dxa"/>
                  <w:vMerge w:val="continue"/>
                  <w:vAlign w:val="center"/>
                </w:tcPr>
                <w:p>
                  <w:pPr>
                    <w:adjustRightInd w:val="0"/>
                    <w:snapToGrid w:val="0"/>
                    <w:jc w:val="center"/>
                    <w:rPr>
                      <w:szCs w:val="21"/>
                    </w:rPr>
                  </w:pPr>
                </w:p>
              </w:tc>
              <w:tc>
                <w:tcPr>
                  <w:tcW w:w="1609" w:type="dxa"/>
                  <w:vAlign w:val="center"/>
                </w:tcPr>
                <w:p>
                  <w:pPr>
                    <w:tabs>
                      <w:tab w:val="left" w:pos="1021"/>
                    </w:tabs>
                    <w:jc w:val="center"/>
                    <w:rPr>
                      <w:szCs w:val="21"/>
                    </w:rPr>
                  </w:pPr>
                  <w:r>
                    <w:rPr>
                      <w:rFonts w:hint="eastAsia"/>
                      <w:szCs w:val="21"/>
                    </w:rPr>
                    <w:t>污水站污泥</w:t>
                  </w:r>
                </w:p>
              </w:tc>
              <w:tc>
                <w:tcPr>
                  <w:tcW w:w="3355" w:type="dxa"/>
                  <w:vMerge w:val="continue"/>
                  <w:vAlign w:val="center"/>
                </w:tcPr>
                <w:p>
                  <w:pPr>
                    <w:tabs>
                      <w:tab w:val="left" w:pos="1021"/>
                    </w:tabs>
                    <w:jc w:val="center"/>
                    <w:rPr>
                      <w:szCs w:val="21"/>
                    </w:rPr>
                  </w:pPr>
                </w:p>
              </w:tc>
              <w:tc>
                <w:tcPr>
                  <w:tcW w:w="1848" w:type="dxa"/>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vMerge w:val="continue"/>
                  <w:vAlign w:val="center"/>
                </w:tcPr>
                <w:p>
                  <w:pPr>
                    <w:adjustRightInd w:val="0"/>
                    <w:snapToGrid w:val="0"/>
                    <w:jc w:val="center"/>
                    <w:rPr>
                      <w:szCs w:val="21"/>
                    </w:rPr>
                  </w:pPr>
                </w:p>
              </w:tc>
              <w:tc>
                <w:tcPr>
                  <w:tcW w:w="2318" w:type="dxa"/>
                  <w:gridSpan w:val="2"/>
                  <w:vAlign w:val="center"/>
                </w:tcPr>
                <w:p>
                  <w:pPr>
                    <w:tabs>
                      <w:tab w:val="left" w:pos="1021"/>
                    </w:tabs>
                    <w:jc w:val="center"/>
                    <w:rPr>
                      <w:szCs w:val="21"/>
                    </w:rPr>
                  </w:pPr>
                  <w:r>
                    <w:rPr>
                      <w:rFonts w:hint="eastAsia"/>
                      <w:szCs w:val="21"/>
                    </w:rPr>
                    <w:t>绿化</w:t>
                  </w:r>
                </w:p>
              </w:tc>
              <w:tc>
                <w:tcPr>
                  <w:tcW w:w="3355" w:type="dxa"/>
                  <w:vAlign w:val="center"/>
                </w:tcPr>
                <w:p>
                  <w:pPr>
                    <w:tabs>
                      <w:tab w:val="left" w:pos="1021"/>
                    </w:tabs>
                    <w:jc w:val="center"/>
                    <w:rPr>
                      <w:szCs w:val="21"/>
                    </w:rPr>
                  </w:pPr>
                  <w:r>
                    <w:rPr>
                      <w:szCs w:val="21"/>
                    </w:rPr>
                    <w:t>栽种树和花卉，铺设草皮以及景观设计等</w:t>
                  </w:r>
                </w:p>
              </w:tc>
              <w:tc>
                <w:tcPr>
                  <w:tcW w:w="1848" w:type="dxa"/>
                  <w:vAlign w:val="center"/>
                </w:tcPr>
                <w:p>
                  <w:pPr>
                    <w:adjustRightInd w:val="0"/>
                    <w:snapToGrid w:val="0"/>
                    <w:jc w:val="center"/>
                    <w:rPr>
                      <w:szCs w:val="21"/>
                    </w:rPr>
                  </w:pPr>
                  <w:r>
                    <w:rPr>
                      <w:rFonts w:hint="eastAsia"/>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3" w:type="dxa"/>
                  <w:gridSpan w:val="4"/>
                  <w:vAlign w:val="center"/>
                </w:tcPr>
                <w:p>
                  <w:pPr>
                    <w:tabs>
                      <w:tab w:val="left" w:pos="1021"/>
                    </w:tabs>
                    <w:jc w:val="center"/>
                    <w:rPr>
                      <w:szCs w:val="21"/>
                    </w:rPr>
                  </w:pPr>
                  <w:r>
                    <w:rPr>
                      <w:rFonts w:hint="eastAsia"/>
                      <w:szCs w:val="21"/>
                    </w:rPr>
                    <w:t>合计</w:t>
                  </w:r>
                </w:p>
              </w:tc>
              <w:tc>
                <w:tcPr>
                  <w:tcW w:w="1848" w:type="dxa"/>
                  <w:vAlign w:val="center"/>
                </w:tcPr>
                <w:p>
                  <w:pPr>
                    <w:adjustRightInd w:val="0"/>
                    <w:snapToGrid w:val="0"/>
                    <w:jc w:val="center"/>
                    <w:rPr>
                      <w:rFonts w:hint="eastAsia" w:eastAsia="宋体"/>
                      <w:szCs w:val="21"/>
                      <w:lang w:eastAsia="zh-CN"/>
                    </w:rPr>
                  </w:pPr>
                  <w:r>
                    <w:rPr>
                      <w:rFonts w:hint="eastAsia"/>
                      <w:szCs w:val="21"/>
                      <w:lang w:eastAsia="zh-CN"/>
                    </w:rPr>
                    <w:t>55.4</w:t>
                  </w:r>
                </w:p>
              </w:tc>
            </w:tr>
          </w:tbl>
          <w:p>
            <w:pPr>
              <w:spacing w:line="360" w:lineRule="auto"/>
              <w:ind w:firstLine="480" w:firstLineChars="200"/>
              <w:rPr>
                <w:sz w:val="24"/>
              </w:rPr>
            </w:pPr>
            <w:r>
              <w:rPr>
                <w:sz w:val="24"/>
              </w:rPr>
              <w:t>为加强建设项目竣工环境保护验收管理，监督落实环境保护设施与建设项目主体工程同时投产或者使用，以及落实其他需配套采取的环境保护措施，防治环境污染和生态破坏，根据《建设项目环境保护管理条例》和《中华人民共和国环境保护法》（第二十六条）“建设项目中防治污染的设施，必须与主体工程同时设计、同时施工、同时投产使用。防治污染的设施必须经原环境保护行政主管部门验收合格后，该建设项目方可投入生产或者使用”。</w:t>
            </w:r>
          </w:p>
          <w:p>
            <w:pPr>
              <w:spacing w:line="360" w:lineRule="auto"/>
              <w:ind w:firstLine="480" w:firstLineChars="200"/>
              <w:rPr>
                <w:b/>
                <w:szCs w:val="21"/>
              </w:rPr>
            </w:pPr>
            <w:r>
              <w:rPr>
                <w:sz w:val="24"/>
              </w:rPr>
              <w:t>按照《建设项目竣工环境保护验收管理办法》中的要求，同时针对本项目实际情况，根据本环评中提出的污染治理措施，项目在进行三同时验收时建议达到下表</w:t>
            </w:r>
            <w:r>
              <w:rPr>
                <w:rFonts w:hint="eastAsia"/>
                <w:sz w:val="24"/>
              </w:rPr>
              <w:t>4-14</w:t>
            </w:r>
            <w:r>
              <w:rPr>
                <w:sz w:val="24"/>
              </w:rPr>
              <w:t>要求。</w:t>
            </w:r>
          </w:p>
          <w:p>
            <w:pPr>
              <w:spacing w:line="360" w:lineRule="auto"/>
              <w:jc w:val="center"/>
              <w:rPr>
                <w:b/>
                <w:szCs w:val="21"/>
              </w:rPr>
            </w:pPr>
            <w:r>
              <w:rPr>
                <w:b/>
                <w:szCs w:val="21"/>
              </w:rPr>
              <w:t>表</w:t>
            </w:r>
            <w:r>
              <w:rPr>
                <w:rFonts w:hint="eastAsia"/>
                <w:b/>
                <w:szCs w:val="21"/>
              </w:rPr>
              <w:t>4-14建设项目竣工环保验收</w:t>
            </w:r>
            <w:r>
              <w:rPr>
                <w:b/>
                <w:szCs w:val="21"/>
              </w:rPr>
              <w:t>一览表</w:t>
            </w:r>
          </w:p>
          <w:tbl>
            <w:tblPr>
              <w:tblStyle w:val="27"/>
              <w:tblW w:w="79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3"/>
              <w:gridCol w:w="1753"/>
              <w:gridCol w:w="3417"/>
              <w:gridCol w:w="1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jc w:val="center"/>
              </w:trPr>
              <w:tc>
                <w:tcPr>
                  <w:tcW w:w="813" w:type="dxa"/>
                  <w:vAlign w:val="center"/>
                </w:tcPr>
                <w:p>
                  <w:pPr>
                    <w:jc w:val="center"/>
                    <w:rPr>
                      <w:rFonts w:eastAsiaTheme="minorEastAsia"/>
                      <w:szCs w:val="21"/>
                    </w:rPr>
                  </w:pPr>
                  <w:r>
                    <w:rPr>
                      <w:rFonts w:eastAsiaTheme="minorEastAsia"/>
                      <w:szCs w:val="21"/>
                    </w:rPr>
                    <w:t>类别</w:t>
                  </w:r>
                </w:p>
              </w:tc>
              <w:tc>
                <w:tcPr>
                  <w:tcW w:w="1753" w:type="dxa"/>
                  <w:vAlign w:val="center"/>
                </w:tcPr>
                <w:p>
                  <w:pPr>
                    <w:jc w:val="center"/>
                    <w:rPr>
                      <w:rFonts w:eastAsiaTheme="minorEastAsia"/>
                      <w:szCs w:val="21"/>
                    </w:rPr>
                  </w:pPr>
                  <w:r>
                    <w:rPr>
                      <w:rFonts w:eastAsiaTheme="minorEastAsia"/>
                      <w:szCs w:val="21"/>
                    </w:rPr>
                    <w:t>污染物</w:t>
                  </w:r>
                </w:p>
                <w:p>
                  <w:pPr>
                    <w:jc w:val="center"/>
                    <w:rPr>
                      <w:rFonts w:eastAsiaTheme="minorEastAsia"/>
                      <w:szCs w:val="21"/>
                    </w:rPr>
                  </w:pPr>
                  <w:r>
                    <w:rPr>
                      <w:rFonts w:eastAsiaTheme="minorEastAsia"/>
                      <w:szCs w:val="21"/>
                    </w:rPr>
                    <w:t>（因子）</w:t>
                  </w:r>
                </w:p>
              </w:tc>
              <w:tc>
                <w:tcPr>
                  <w:tcW w:w="3417" w:type="dxa"/>
                  <w:vAlign w:val="center"/>
                </w:tcPr>
                <w:p>
                  <w:pPr>
                    <w:jc w:val="center"/>
                    <w:rPr>
                      <w:rFonts w:eastAsiaTheme="minorEastAsia"/>
                      <w:szCs w:val="21"/>
                    </w:rPr>
                  </w:pPr>
                  <w:r>
                    <w:rPr>
                      <w:rFonts w:eastAsiaTheme="minorEastAsia"/>
                      <w:szCs w:val="21"/>
                    </w:rPr>
                    <w:t>环保设施名称及治理内容</w:t>
                  </w:r>
                </w:p>
              </w:tc>
              <w:tc>
                <w:tcPr>
                  <w:tcW w:w="1975" w:type="dxa"/>
                  <w:vAlign w:val="center"/>
                </w:tcPr>
                <w:p>
                  <w:pPr>
                    <w:jc w:val="center"/>
                    <w:rPr>
                      <w:rFonts w:eastAsiaTheme="minorEastAsia"/>
                      <w:szCs w:val="21"/>
                    </w:rPr>
                  </w:pPr>
                  <w:r>
                    <w:rPr>
                      <w:rFonts w:eastAsiaTheme="minorEastAsia"/>
                      <w:szCs w:val="21"/>
                    </w:rPr>
                    <w:t>验收标准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813" w:type="dxa"/>
                  <w:vAlign w:val="center"/>
                </w:tcPr>
                <w:p>
                  <w:pPr>
                    <w:jc w:val="center"/>
                    <w:rPr>
                      <w:rFonts w:eastAsiaTheme="minorEastAsia"/>
                      <w:szCs w:val="21"/>
                    </w:rPr>
                  </w:pPr>
                  <w:r>
                    <w:rPr>
                      <w:rFonts w:eastAsiaTheme="minorEastAsia"/>
                      <w:szCs w:val="21"/>
                    </w:rPr>
                    <w:t>废水</w:t>
                  </w:r>
                </w:p>
              </w:tc>
              <w:tc>
                <w:tcPr>
                  <w:tcW w:w="1753" w:type="dxa"/>
                  <w:vAlign w:val="center"/>
                </w:tcPr>
                <w:p>
                  <w:pPr>
                    <w:jc w:val="center"/>
                    <w:rPr>
                      <w:rFonts w:eastAsiaTheme="minorEastAsia"/>
                      <w:szCs w:val="21"/>
                    </w:rPr>
                  </w:pPr>
                  <w:r>
                    <w:rPr>
                      <w:rFonts w:eastAsiaTheme="minorEastAsia"/>
                      <w:szCs w:val="21"/>
                    </w:rPr>
                    <w:t>医疗废水</w:t>
                  </w:r>
                </w:p>
                <w:p>
                  <w:pPr>
                    <w:jc w:val="center"/>
                    <w:rPr>
                      <w:rFonts w:eastAsiaTheme="minorEastAsia"/>
                      <w:szCs w:val="21"/>
                    </w:rPr>
                  </w:pPr>
                  <w:r>
                    <w:rPr>
                      <w:rFonts w:eastAsiaTheme="minorEastAsia"/>
                      <w:szCs w:val="21"/>
                    </w:rPr>
                    <w:t>COD、BOD、SS、NH</w:t>
                  </w:r>
                  <w:r>
                    <w:rPr>
                      <w:rFonts w:eastAsiaTheme="minorEastAsia"/>
                      <w:szCs w:val="21"/>
                      <w:vertAlign w:val="subscript"/>
                    </w:rPr>
                    <w:t>3</w:t>
                  </w:r>
                  <w:r>
                    <w:rPr>
                      <w:rFonts w:eastAsiaTheme="minorEastAsia"/>
                      <w:szCs w:val="21"/>
                    </w:rPr>
                    <w:t>-N、粪大肠菌群、余氯</w:t>
                  </w:r>
                </w:p>
              </w:tc>
              <w:tc>
                <w:tcPr>
                  <w:tcW w:w="3417" w:type="dxa"/>
                  <w:vAlign w:val="center"/>
                </w:tcPr>
                <w:p>
                  <w:pPr>
                    <w:jc w:val="center"/>
                    <w:rPr>
                      <w:rFonts w:eastAsiaTheme="minorEastAsia"/>
                      <w:szCs w:val="21"/>
                    </w:rPr>
                  </w:pPr>
                  <w:r>
                    <w:rPr>
                      <w:rFonts w:eastAsiaTheme="minorEastAsia"/>
                      <w:szCs w:val="21"/>
                      <w:u w:val="single"/>
                    </w:rPr>
                    <w:t>废水经一体化污水处理设施(</w:t>
                  </w:r>
                  <w:r>
                    <w:rPr>
                      <w:rFonts w:hint="eastAsia" w:eastAsiaTheme="minorEastAsia"/>
                      <w:szCs w:val="21"/>
                      <w:u w:val="single"/>
                      <w:lang w:eastAsia="zh-CN"/>
                    </w:rPr>
                    <w:t>20.71m</w:t>
                  </w:r>
                  <w:r>
                    <w:rPr>
                      <w:rFonts w:eastAsiaTheme="minorEastAsia"/>
                      <w:szCs w:val="21"/>
                      <w:u w:val="single"/>
                      <w:vertAlign w:val="superscript"/>
                    </w:rPr>
                    <w:t>3</w:t>
                  </w:r>
                  <w:r>
                    <w:rPr>
                      <w:rFonts w:eastAsiaTheme="minorEastAsia"/>
                      <w:szCs w:val="21"/>
                      <w:u w:val="single"/>
                    </w:rPr>
                    <w:t>/d)</w:t>
                  </w:r>
                </w:p>
              </w:tc>
              <w:tc>
                <w:tcPr>
                  <w:tcW w:w="1975" w:type="dxa"/>
                  <w:vAlign w:val="center"/>
                </w:tcPr>
                <w:p>
                  <w:pPr>
                    <w:jc w:val="center"/>
                    <w:rPr>
                      <w:rFonts w:eastAsiaTheme="minorEastAsia"/>
                      <w:szCs w:val="21"/>
                    </w:rPr>
                  </w:pPr>
                  <w:r>
                    <w:rPr>
                      <w:rFonts w:eastAsiaTheme="minorEastAsia"/>
                      <w:szCs w:val="21"/>
                    </w:rPr>
                    <w:t>《医疗机构水污染物</w:t>
                  </w:r>
                  <w:r>
                    <w:rPr>
                      <w:rFonts w:hint="eastAsia" w:eastAsiaTheme="minorEastAsia"/>
                      <w:szCs w:val="21"/>
                    </w:rPr>
                    <w:t>排放</w:t>
                  </w:r>
                  <w:r>
                    <w:rPr>
                      <w:rFonts w:eastAsiaTheme="minorEastAsia"/>
                      <w:szCs w:val="21"/>
                    </w:rPr>
                    <w:t>标准》（GB18466-2005）表2中</w:t>
                  </w:r>
                  <w:r>
                    <w:rPr>
                      <w:rFonts w:hint="eastAsia" w:eastAsiaTheme="minorEastAsia"/>
                      <w:szCs w:val="21"/>
                    </w:rPr>
                    <w:t>预处理</w:t>
                  </w:r>
                  <w:r>
                    <w:rPr>
                      <w:rFonts w:eastAsiaTheme="minorEastAsia"/>
                      <w:szCs w:val="21"/>
                    </w:rPr>
                    <w:t>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3" w:type="dxa"/>
                  <w:vMerge w:val="restart"/>
                  <w:vAlign w:val="center"/>
                </w:tcPr>
                <w:p>
                  <w:pPr>
                    <w:jc w:val="center"/>
                    <w:rPr>
                      <w:rFonts w:eastAsiaTheme="minorEastAsia"/>
                      <w:szCs w:val="21"/>
                    </w:rPr>
                  </w:pPr>
                  <w:r>
                    <w:rPr>
                      <w:rFonts w:eastAsiaTheme="minorEastAsia"/>
                      <w:szCs w:val="21"/>
                    </w:rPr>
                    <w:t>废气</w:t>
                  </w:r>
                </w:p>
              </w:tc>
              <w:tc>
                <w:tcPr>
                  <w:tcW w:w="1753" w:type="dxa"/>
                  <w:vAlign w:val="center"/>
                </w:tcPr>
                <w:p>
                  <w:pPr>
                    <w:jc w:val="center"/>
                    <w:rPr>
                      <w:rFonts w:eastAsiaTheme="minorEastAsia"/>
                      <w:szCs w:val="21"/>
                    </w:rPr>
                  </w:pPr>
                  <w:r>
                    <w:rPr>
                      <w:rFonts w:hint="eastAsia" w:eastAsiaTheme="minorEastAsia"/>
                      <w:szCs w:val="21"/>
                    </w:rPr>
                    <w:t>污水处理设施恶臭</w:t>
                  </w:r>
                </w:p>
              </w:tc>
              <w:tc>
                <w:tcPr>
                  <w:tcW w:w="3417" w:type="dxa"/>
                  <w:vAlign w:val="center"/>
                </w:tcPr>
                <w:p>
                  <w:pPr>
                    <w:jc w:val="center"/>
                    <w:rPr>
                      <w:rFonts w:eastAsiaTheme="minorEastAsia"/>
                      <w:szCs w:val="21"/>
                    </w:rPr>
                  </w:pPr>
                  <w:r>
                    <w:rPr>
                      <w:rFonts w:hint="eastAsia"/>
                      <w:bCs/>
                      <w:szCs w:val="21"/>
                    </w:rPr>
                    <w:t>一体化设备</w:t>
                  </w:r>
                  <w:r>
                    <w:rPr>
                      <w:bCs/>
                      <w:szCs w:val="21"/>
                    </w:rPr>
                    <w:t>布置于地下，同时</w:t>
                  </w:r>
                  <w:r>
                    <w:rPr>
                      <w:szCs w:val="21"/>
                    </w:rPr>
                    <w:t>在污水处理站周围设置绿化带</w:t>
                  </w:r>
                </w:p>
              </w:tc>
              <w:tc>
                <w:tcPr>
                  <w:tcW w:w="1975" w:type="dxa"/>
                  <w:vAlign w:val="center"/>
                </w:tcPr>
                <w:p>
                  <w:pPr>
                    <w:jc w:val="center"/>
                    <w:rPr>
                      <w:rFonts w:eastAsiaTheme="minorEastAsia"/>
                      <w:szCs w:val="21"/>
                    </w:rPr>
                  </w:pPr>
                  <w:r>
                    <w:rPr>
                      <w:rFonts w:eastAsiaTheme="minorEastAsia"/>
                      <w:szCs w:val="21"/>
                      <w:u w:val="single"/>
                    </w:rPr>
                    <w:t>《医疗机构水污染物排放标准》（GB</w:t>
                  </w:r>
                  <w:r>
                    <w:rPr>
                      <w:rFonts w:hint="eastAsia" w:eastAsiaTheme="minorEastAsia"/>
                      <w:szCs w:val="21"/>
                      <w:u w:val="single"/>
                    </w:rPr>
                    <w:t>18466</w:t>
                  </w:r>
                  <w:r>
                    <w:rPr>
                      <w:rFonts w:eastAsiaTheme="minorEastAsia"/>
                      <w:szCs w:val="21"/>
                      <w:u w:val="single"/>
                    </w:rPr>
                    <w:t>-</w:t>
                  </w:r>
                  <w:r>
                    <w:rPr>
                      <w:rFonts w:hint="eastAsia" w:eastAsiaTheme="minorEastAsia"/>
                      <w:szCs w:val="21"/>
                      <w:u w:val="single"/>
                    </w:rPr>
                    <w:t>2005</w:t>
                  </w:r>
                  <w:r>
                    <w:rPr>
                      <w:rFonts w:eastAsiaTheme="minorEastAsia"/>
                      <w:szCs w:val="21"/>
                      <w:u w:val="single"/>
                    </w:rPr>
                    <w:t>）</w:t>
                  </w:r>
                  <w:r>
                    <w:rPr>
                      <w:rFonts w:hint="eastAsia" w:eastAsiaTheme="minorEastAsia"/>
                      <w:szCs w:val="21"/>
                      <w:u w:val="single"/>
                    </w:rPr>
                    <w:t>中表3污水处理站周边大气污染物最高允许浓度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4" w:hRule="atLeast"/>
                <w:jc w:val="center"/>
              </w:trPr>
              <w:tc>
                <w:tcPr>
                  <w:tcW w:w="813" w:type="dxa"/>
                  <w:vMerge w:val="continue"/>
                  <w:vAlign w:val="center"/>
                </w:tcPr>
                <w:p>
                  <w:pPr>
                    <w:jc w:val="center"/>
                    <w:rPr>
                      <w:rFonts w:eastAsiaTheme="minorEastAsia"/>
                      <w:szCs w:val="21"/>
                    </w:rPr>
                  </w:pPr>
                </w:p>
              </w:tc>
              <w:tc>
                <w:tcPr>
                  <w:tcW w:w="1753" w:type="dxa"/>
                  <w:vAlign w:val="center"/>
                </w:tcPr>
                <w:p>
                  <w:pPr>
                    <w:jc w:val="center"/>
                    <w:rPr>
                      <w:rFonts w:eastAsiaTheme="minorEastAsia"/>
                      <w:szCs w:val="21"/>
                    </w:rPr>
                  </w:pPr>
                  <w:r>
                    <w:rPr>
                      <w:rFonts w:hint="eastAsia" w:eastAsiaTheme="minorEastAsia"/>
                      <w:szCs w:val="21"/>
                    </w:rPr>
                    <w:t>食堂油烟</w:t>
                  </w:r>
                </w:p>
              </w:tc>
              <w:tc>
                <w:tcPr>
                  <w:tcW w:w="3417" w:type="dxa"/>
                  <w:vAlign w:val="center"/>
                </w:tcPr>
                <w:p>
                  <w:pPr>
                    <w:jc w:val="center"/>
                    <w:rPr>
                      <w:bCs/>
                      <w:szCs w:val="21"/>
                    </w:rPr>
                  </w:pPr>
                  <w:r>
                    <w:rPr>
                      <w:rFonts w:hint="eastAsia"/>
                      <w:u w:val="single"/>
                      <w:lang w:eastAsia="zh-CN"/>
                    </w:rPr>
                    <w:t>油烟净化器</w:t>
                  </w:r>
                  <w:r>
                    <w:rPr>
                      <w:rFonts w:hint="eastAsia"/>
                      <w:bCs/>
                      <w:szCs w:val="21"/>
                    </w:rPr>
                    <w:t>，风量2000m</w:t>
                  </w:r>
                  <w:r>
                    <w:rPr>
                      <w:rFonts w:hint="eastAsia"/>
                      <w:bCs/>
                      <w:szCs w:val="21"/>
                      <w:vertAlign w:val="superscript"/>
                    </w:rPr>
                    <w:t>3</w:t>
                  </w:r>
                  <w:r>
                    <w:rPr>
                      <w:rFonts w:hint="eastAsia"/>
                      <w:bCs/>
                      <w:szCs w:val="21"/>
                    </w:rPr>
                    <w:t>/h</w:t>
                  </w:r>
                </w:p>
              </w:tc>
              <w:tc>
                <w:tcPr>
                  <w:tcW w:w="1975" w:type="dxa"/>
                  <w:vAlign w:val="center"/>
                </w:tcPr>
                <w:p>
                  <w:pPr>
                    <w:jc w:val="center"/>
                    <w:rPr>
                      <w:rFonts w:eastAsiaTheme="minorEastAsia"/>
                      <w:szCs w:val="21"/>
                    </w:rPr>
                  </w:pPr>
                  <w:r>
                    <w:rPr>
                      <w:rFonts w:eastAsiaTheme="minorEastAsia"/>
                      <w:szCs w:val="21"/>
                      <w:u w:val="single"/>
                    </w:rPr>
                    <w:t>《饮食业油烟排放标准（试行）》</w:t>
                  </w:r>
                  <w:r>
                    <w:rPr>
                      <w:rFonts w:hint="eastAsia" w:eastAsiaTheme="minorEastAsia"/>
                      <w:szCs w:val="21"/>
                      <w:u w:val="single"/>
                    </w:rPr>
                    <w:t>（</w:t>
                  </w:r>
                  <w:r>
                    <w:rPr>
                      <w:rFonts w:eastAsiaTheme="minorEastAsia"/>
                      <w:szCs w:val="21"/>
                      <w:u w:val="single"/>
                    </w:rPr>
                    <w:t>GB18483-2001</w:t>
                  </w:r>
                  <w:r>
                    <w:rPr>
                      <w:rFonts w:hint="eastAsia" w:eastAsiaTheme="minorEastAsia"/>
                      <w:szCs w:val="21"/>
                      <w:u w:val="single"/>
                    </w:rPr>
                    <w:t>）</w:t>
                  </w:r>
                  <w:r>
                    <w:rPr>
                      <w:rFonts w:eastAsiaTheme="minorEastAsia"/>
                      <w:szCs w:val="21"/>
                      <w:u w:val="single"/>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813" w:type="dxa"/>
                  <w:vMerge w:val="continue"/>
                  <w:vAlign w:val="center"/>
                </w:tcPr>
                <w:p>
                  <w:pPr>
                    <w:jc w:val="center"/>
                  </w:pPr>
                </w:p>
              </w:tc>
              <w:tc>
                <w:tcPr>
                  <w:tcW w:w="1753" w:type="dxa"/>
                  <w:vAlign w:val="center"/>
                </w:tcPr>
                <w:p>
                  <w:pPr>
                    <w:jc w:val="center"/>
                    <w:rPr>
                      <w:rFonts w:eastAsiaTheme="minorEastAsia"/>
                      <w:szCs w:val="21"/>
                    </w:rPr>
                  </w:pPr>
                  <w:r>
                    <w:rPr>
                      <w:rFonts w:eastAsiaTheme="minorEastAsia"/>
                      <w:szCs w:val="21"/>
                    </w:rPr>
                    <w:t>柴油机房</w:t>
                  </w:r>
                  <w:r>
                    <w:rPr>
                      <w:rFonts w:hint="eastAsia" w:eastAsiaTheme="minorEastAsia"/>
                      <w:szCs w:val="21"/>
                    </w:rPr>
                    <w:t>柴油废气</w:t>
                  </w:r>
                </w:p>
              </w:tc>
              <w:tc>
                <w:tcPr>
                  <w:tcW w:w="3417" w:type="dxa"/>
                  <w:vAlign w:val="center"/>
                </w:tcPr>
                <w:p>
                  <w:pPr>
                    <w:jc w:val="center"/>
                    <w:rPr>
                      <w:rFonts w:eastAsiaTheme="minorEastAsia"/>
                      <w:szCs w:val="21"/>
                    </w:rPr>
                  </w:pPr>
                  <w:r>
                    <w:rPr>
                      <w:rFonts w:hint="eastAsia"/>
                      <w:szCs w:val="21"/>
                    </w:rPr>
                    <w:t>柴油机后接一套消烟除尘一体化设备。</w:t>
                  </w:r>
                </w:p>
              </w:tc>
              <w:tc>
                <w:tcPr>
                  <w:tcW w:w="1975" w:type="dxa"/>
                  <w:vAlign w:val="center"/>
                </w:tcPr>
                <w:p>
                  <w:pPr>
                    <w:jc w:val="center"/>
                    <w:rPr>
                      <w:rFonts w:hint="eastAsia" w:eastAsiaTheme="minorEastAsia"/>
                      <w:szCs w:val="21"/>
                      <w:lang w:eastAsia="zh-CN"/>
                    </w:rPr>
                  </w:pPr>
                  <w:r>
                    <w:rPr>
                      <w:rFonts w:hint="eastAsia" w:eastAsiaTheme="minorEastAsia"/>
                      <w:szCs w:val="21"/>
                      <w:lang w:eastAsia="zh-CN"/>
                    </w:rPr>
                    <w:t>对环境污染小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0" w:hRule="atLeast"/>
                <w:jc w:val="center"/>
              </w:trPr>
              <w:tc>
                <w:tcPr>
                  <w:tcW w:w="813" w:type="dxa"/>
                  <w:vAlign w:val="center"/>
                </w:tcPr>
                <w:p>
                  <w:pPr>
                    <w:jc w:val="center"/>
                    <w:rPr>
                      <w:rFonts w:eastAsiaTheme="minorEastAsia"/>
                      <w:szCs w:val="21"/>
                    </w:rPr>
                  </w:pPr>
                  <w:r>
                    <w:rPr>
                      <w:rFonts w:eastAsiaTheme="minorEastAsia"/>
                      <w:szCs w:val="21"/>
                    </w:rPr>
                    <w:t>噪声</w:t>
                  </w:r>
                </w:p>
              </w:tc>
              <w:tc>
                <w:tcPr>
                  <w:tcW w:w="1753" w:type="dxa"/>
                  <w:vAlign w:val="center"/>
                </w:tcPr>
                <w:p>
                  <w:pPr>
                    <w:jc w:val="center"/>
                    <w:rPr>
                      <w:rFonts w:eastAsiaTheme="minorEastAsia"/>
                      <w:szCs w:val="21"/>
                    </w:rPr>
                  </w:pPr>
                  <w:r>
                    <w:rPr>
                      <w:rFonts w:eastAsiaTheme="minorEastAsia"/>
                      <w:szCs w:val="21"/>
                    </w:rPr>
                    <w:t>污水处理站风机</w:t>
                  </w:r>
                  <w:r>
                    <w:rPr>
                      <w:rFonts w:hint="eastAsia" w:eastAsiaTheme="minorEastAsia"/>
                      <w:szCs w:val="21"/>
                    </w:rPr>
                    <w:t>、柴油发电机</w:t>
                  </w:r>
                </w:p>
              </w:tc>
              <w:tc>
                <w:tcPr>
                  <w:tcW w:w="3417" w:type="dxa"/>
                  <w:vAlign w:val="center"/>
                </w:tcPr>
                <w:p>
                  <w:pPr>
                    <w:jc w:val="center"/>
                    <w:rPr>
                      <w:rFonts w:eastAsiaTheme="minorEastAsia"/>
                      <w:szCs w:val="21"/>
                    </w:rPr>
                  </w:pPr>
                  <w:r>
                    <w:rPr>
                      <w:rFonts w:eastAsiaTheme="minorEastAsia"/>
                      <w:szCs w:val="21"/>
                    </w:rPr>
                    <w:t>放置在构筑物内，风机底座设置基础减震等</w:t>
                  </w:r>
                  <w:r>
                    <w:rPr>
                      <w:rFonts w:hint="eastAsia" w:eastAsiaTheme="minorEastAsia"/>
                      <w:szCs w:val="21"/>
                    </w:rPr>
                    <w:t>、柴油发电机放置在专门的发电机房并配置相应的减噪设备。</w:t>
                  </w:r>
                </w:p>
              </w:tc>
              <w:tc>
                <w:tcPr>
                  <w:tcW w:w="1975" w:type="dxa"/>
                  <w:vAlign w:val="center"/>
                </w:tcPr>
                <w:p>
                  <w:pPr>
                    <w:jc w:val="center"/>
                    <w:rPr>
                      <w:rFonts w:eastAsiaTheme="minorEastAsia"/>
                      <w:szCs w:val="21"/>
                    </w:rPr>
                  </w:pPr>
                  <w:r>
                    <w:rPr>
                      <w:rFonts w:eastAsiaTheme="minorEastAsia"/>
                      <w:szCs w:val="21"/>
                    </w:rPr>
                    <w:t>满足《工业企业厂界环境噪声排放标准》（GB12348-2008）2类标准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813" w:type="dxa"/>
                  <w:vMerge w:val="restart"/>
                  <w:vAlign w:val="center"/>
                </w:tcPr>
                <w:p>
                  <w:pPr>
                    <w:jc w:val="center"/>
                    <w:rPr>
                      <w:rFonts w:eastAsiaTheme="minorEastAsia"/>
                      <w:szCs w:val="21"/>
                    </w:rPr>
                  </w:pPr>
                  <w:r>
                    <w:rPr>
                      <w:rFonts w:eastAsiaTheme="minorEastAsia"/>
                      <w:szCs w:val="21"/>
                    </w:rPr>
                    <w:t>固废</w:t>
                  </w:r>
                </w:p>
              </w:tc>
              <w:tc>
                <w:tcPr>
                  <w:tcW w:w="1753" w:type="dxa"/>
                  <w:vAlign w:val="center"/>
                </w:tcPr>
                <w:p>
                  <w:pPr>
                    <w:jc w:val="center"/>
                    <w:rPr>
                      <w:rFonts w:eastAsiaTheme="minorEastAsia"/>
                      <w:szCs w:val="21"/>
                    </w:rPr>
                  </w:pPr>
                  <w:r>
                    <w:rPr>
                      <w:rFonts w:eastAsiaTheme="minorEastAsia"/>
                      <w:szCs w:val="21"/>
                    </w:rPr>
                    <w:t>医疗废物</w:t>
                  </w:r>
                </w:p>
              </w:tc>
              <w:tc>
                <w:tcPr>
                  <w:tcW w:w="3417" w:type="dxa"/>
                  <w:vAlign w:val="center"/>
                </w:tcPr>
                <w:p>
                  <w:pPr>
                    <w:jc w:val="center"/>
                    <w:rPr>
                      <w:rFonts w:eastAsiaTheme="minorEastAsia"/>
                      <w:szCs w:val="21"/>
                    </w:rPr>
                  </w:pPr>
                  <w:r>
                    <w:rPr>
                      <w:rFonts w:eastAsiaTheme="minorEastAsia"/>
                      <w:szCs w:val="21"/>
                    </w:rPr>
                    <w:t>危废暂存间</w:t>
                  </w:r>
                  <w:r>
                    <w:rPr>
                      <w:rFonts w:hint="eastAsia" w:eastAsiaTheme="minorEastAsia"/>
                      <w:szCs w:val="21"/>
                    </w:rPr>
                    <w:t>暂存</w:t>
                  </w:r>
                  <w:r>
                    <w:rPr>
                      <w:rFonts w:eastAsiaTheme="minorEastAsia"/>
                      <w:szCs w:val="21"/>
                    </w:rPr>
                    <w:t>，并委托给常德安邦医疗废物处置中心进行处置。</w:t>
                  </w:r>
                </w:p>
              </w:tc>
              <w:tc>
                <w:tcPr>
                  <w:tcW w:w="1975" w:type="dxa"/>
                  <w:vAlign w:val="center"/>
                </w:tcPr>
                <w:p>
                  <w:pPr>
                    <w:jc w:val="center"/>
                    <w:rPr>
                      <w:rFonts w:eastAsiaTheme="minorEastAsia"/>
                      <w:szCs w:val="21"/>
                    </w:rPr>
                  </w:pPr>
                  <w:r>
                    <w:rPr>
                      <w:rFonts w:eastAsiaTheme="minorEastAsia"/>
                      <w:szCs w:val="21"/>
                    </w:rPr>
                    <w:t>零排放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6" w:hRule="atLeast"/>
                <w:jc w:val="center"/>
              </w:trPr>
              <w:tc>
                <w:tcPr>
                  <w:tcW w:w="813" w:type="dxa"/>
                  <w:vMerge w:val="continue"/>
                  <w:vAlign w:val="center"/>
                </w:tcPr>
                <w:p>
                  <w:pPr>
                    <w:jc w:val="center"/>
                    <w:rPr>
                      <w:rFonts w:eastAsiaTheme="minorEastAsia"/>
                      <w:szCs w:val="21"/>
                    </w:rPr>
                  </w:pPr>
                </w:p>
              </w:tc>
              <w:tc>
                <w:tcPr>
                  <w:tcW w:w="1753" w:type="dxa"/>
                  <w:vAlign w:val="center"/>
                </w:tcPr>
                <w:p>
                  <w:pPr>
                    <w:jc w:val="center"/>
                    <w:rPr>
                      <w:rFonts w:eastAsiaTheme="minorEastAsia"/>
                      <w:szCs w:val="21"/>
                    </w:rPr>
                  </w:pPr>
                  <w:r>
                    <w:rPr>
                      <w:rFonts w:eastAsiaTheme="minorEastAsia"/>
                      <w:szCs w:val="21"/>
                    </w:rPr>
                    <w:t>生活垃圾</w:t>
                  </w:r>
                  <w:r>
                    <w:rPr>
                      <w:rFonts w:hint="eastAsia" w:eastAsiaTheme="minorEastAsia"/>
                      <w:szCs w:val="21"/>
                    </w:rPr>
                    <w:t>和中药渣</w:t>
                  </w:r>
                </w:p>
              </w:tc>
              <w:tc>
                <w:tcPr>
                  <w:tcW w:w="3417" w:type="dxa"/>
                  <w:vAlign w:val="center"/>
                </w:tcPr>
                <w:p>
                  <w:pPr>
                    <w:jc w:val="center"/>
                    <w:rPr>
                      <w:rFonts w:eastAsiaTheme="minorEastAsia"/>
                      <w:szCs w:val="21"/>
                    </w:rPr>
                  </w:pPr>
                  <w:r>
                    <w:rPr>
                      <w:rFonts w:eastAsiaTheme="minorEastAsia"/>
                      <w:szCs w:val="21"/>
                    </w:rPr>
                    <w:t>收集后与当地生活垃圾</w:t>
                  </w:r>
                  <w:r>
                    <w:rPr>
                      <w:rFonts w:hint="eastAsia" w:eastAsiaTheme="minorEastAsia"/>
                      <w:szCs w:val="21"/>
                    </w:rPr>
                    <w:t>交环卫部门一并处理</w:t>
                  </w:r>
                </w:p>
              </w:tc>
              <w:tc>
                <w:tcPr>
                  <w:tcW w:w="1975" w:type="dxa"/>
                  <w:vAlign w:val="center"/>
                </w:tcPr>
                <w:p>
                  <w:pPr>
                    <w:jc w:val="center"/>
                    <w:rPr>
                      <w:rFonts w:eastAsiaTheme="minorEastAsia"/>
                      <w:szCs w:val="21"/>
                    </w:rPr>
                  </w:pPr>
                  <w:r>
                    <w:rPr>
                      <w:rFonts w:eastAsiaTheme="minorEastAsia"/>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1" w:hRule="atLeast"/>
                <w:jc w:val="center"/>
              </w:trPr>
              <w:tc>
                <w:tcPr>
                  <w:tcW w:w="813" w:type="dxa"/>
                  <w:vMerge w:val="continue"/>
                  <w:vAlign w:val="center"/>
                </w:tcPr>
                <w:p>
                  <w:pPr>
                    <w:jc w:val="center"/>
                    <w:rPr>
                      <w:rFonts w:eastAsiaTheme="minorEastAsia"/>
                      <w:szCs w:val="21"/>
                    </w:rPr>
                  </w:pPr>
                </w:p>
              </w:tc>
              <w:tc>
                <w:tcPr>
                  <w:tcW w:w="1753" w:type="dxa"/>
                  <w:vAlign w:val="center"/>
                </w:tcPr>
                <w:p>
                  <w:pPr>
                    <w:jc w:val="center"/>
                    <w:rPr>
                      <w:rFonts w:eastAsiaTheme="minorEastAsia"/>
                      <w:szCs w:val="21"/>
                    </w:rPr>
                  </w:pPr>
                  <w:r>
                    <w:rPr>
                      <w:rFonts w:eastAsiaTheme="minorEastAsia"/>
                      <w:szCs w:val="21"/>
                    </w:rPr>
                    <w:t>污水处理站污泥</w:t>
                  </w:r>
                </w:p>
              </w:tc>
              <w:tc>
                <w:tcPr>
                  <w:tcW w:w="3417" w:type="dxa"/>
                  <w:vAlign w:val="center"/>
                </w:tcPr>
                <w:p>
                  <w:pPr>
                    <w:jc w:val="center"/>
                    <w:rPr>
                      <w:rFonts w:eastAsiaTheme="minorEastAsia"/>
                      <w:szCs w:val="21"/>
                    </w:rPr>
                  </w:pPr>
                  <w:r>
                    <w:rPr>
                      <w:rFonts w:hint="eastAsia" w:eastAsiaTheme="minorEastAsia"/>
                      <w:szCs w:val="21"/>
                    </w:rPr>
                    <w:t>固化</w:t>
                  </w:r>
                  <w:r>
                    <w:rPr>
                      <w:rFonts w:eastAsiaTheme="minorEastAsia"/>
                      <w:szCs w:val="21"/>
                    </w:rPr>
                    <w:t>后与医疗废物一并交由常德安邦医疗废物处置中心进行处置。</w:t>
                  </w:r>
                </w:p>
              </w:tc>
              <w:tc>
                <w:tcPr>
                  <w:tcW w:w="1975" w:type="dxa"/>
                  <w:vAlign w:val="center"/>
                </w:tcPr>
                <w:p>
                  <w:pPr>
                    <w:jc w:val="center"/>
                    <w:rPr>
                      <w:rFonts w:eastAsiaTheme="minorEastAsia"/>
                      <w:szCs w:val="21"/>
                    </w:rPr>
                  </w:pPr>
                  <w:r>
                    <w:rPr>
                      <w:rFonts w:eastAsiaTheme="minorEastAsia"/>
                      <w:szCs w:val="21"/>
                    </w:rPr>
                    <w:t>零排放</w:t>
                  </w:r>
                </w:p>
              </w:tc>
            </w:tr>
          </w:tbl>
          <w:p>
            <w:pPr>
              <w:tabs>
                <w:tab w:val="left" w:pos="360"/>
              </w:tabs>
              <w:spacing w:line="360" w:lineRule="auto"/>
              <w:ind w:firstLine="482" w:firstLineChars="200"/>
              <w:rPr>
                <w:b/>
                <w:sz w:val="24"/>
              </w:rPr>
            </w:pPr>
          </w:p>
          <w:p>
            <w:pPr>
              <w:tabs>
                <w:tab w:val="left" w:pos="360"/>
              </w:tabs>
              <w:spacing w:line="360" w:lineRule="auto"/>
              <w:ind w:firstLine="482" w:firstLineChars="200"/>
              <w:rPr>
                <w:b/>
                <w:sz w:val="24"/>
              </w:rPr>
            </w:pPr>
            <w:r>
              <w:rPr>
                <w:rFonts w:hint="eastAsia"/>
                <w:b/>
                <w:sz w:val="24"/>
                <w:lang w:val="en-US" w:eastAsia="zh-CN"/>
              </w:rPr>
              <w:t>10</w:t>
            </w:r>
            <w:r>
              <w:rPr>
                <w:b/>
                <w:sz w:val="24"/>
              </w:rPr>
              <w:t>、生态环境影响分析及保护措施</w:t>
            </w:r>
          </w:p>
          <w:p>
            <w:pPr>
              <w:spacing w:line="360" w:lineRule="auto"/>
              <w:ind w:firstLine="480" w:firstLineChars="200"/>
              <w:rPr>
                <w:sz w:val="24"/>
              </w:rPr>
            </w:pPr>
            <w:r>
              <w:rPr>
                <w:sz w:val="24"/>
              </w:rPr>
              <w:t>项目对生态环境的影响主要为排污影响。项目生产过程中产生的大气污染以粒径大于30µm的颗粒物（可以TSP计）为主，污染物在扩散过程中可快速沉降，吸附于植物叶片上，阻塞气孔，影响生长，使叶片褪色、变硬，植物生长不良；落到地面后又会影响土壤透水透气性，不利于植物吸收土壤养分，间接造成植物生长缓慢。另外，生产排放的噪声对周边动物会产生惊扰。</w:t>
            </w:r>
          </w:p>
          <w:p>
            <w:pPr>
              <w:tabs>
                <w:tab w:val="left" w:pos="360"/>
              </w:tabs>
              <w:spacing w:line="360" w:lineRule="auto"/>
              <w:ind w:firstLine="480" w:firstLineChars="200"/>
              <w:rPr>
                <w:b/>
                <w:sz w:val="24"/>
              </w:rPr>
            </w:pPr>
            <w:r>
              <w:rPr>
                <w:sz w:val="24"/>
                <w:u w:val="single"/>
              </w:rPr>
              <w:t>项目不新增用地，医院原址建设。</w:t>
            </w:r>
            <w:r>
              <w:rPr>
                <w:sz w:val="24"/>
              </w:rPr>
              <w:t>项目在生产过程采取了原料堆场喷雾降尘、加工收尘处理、减震降噪等污染防治措施，可确保各类污染物达标排放，不影响区域环境质量，因此项目正常排污对周边动植物的影响很小，不会对生态环境功能产生影响。</w:t>
            </w:r>
          </w:p>
          <w:p>
            <w:pPr>
              <w:spacing w:line="360" w:lineRule="auto"/>
              <w:rPr>
                <w:bCs/>
                <w:spacing w:val="-10"/>
                <w:szCs w:val="21"/>
              </w:rPr>
            </w:pPr>
          </w:p>
        </w:tc>
      </w:tr>
    </w:tbl>
    <w:p>
      <w:pPr>
        <w:adjustRightInd w:val="0"/>
        <w:snapToGrid w:val="0"/>
        <w:spacing w:line="360" w:lineRule="auto"/>
        <w:rPr>
          <w:b/>
          <w:kern w:val="0"/>
          <w:sz w:val="28"/>
          <w:szCs w:val="28"/>
        </w:rPr>
        <w:sectPr>
          <w:pgSz w:w="11907" w:h="16840"/>
          <w:pgMar w:top="1701" w:right="1531" w:bottom="2127" w:left="1531" w:header="851" w:footer="851" w:gutter="0"/>
          <w:cols w:space="720" w:num="1"/>
          <w:docGrid w:linePitch="312" w:charSpace="0"/>
        </w:sectPr>
      </w:pPr>
    </w:p>
    <w:p>
      <w:pPr>
        <w:pStyle w:val="3"/>
        <w:rPr>
          <w:snapToGrid w:val="0"/>
        </w:rPr>
      </w:pPr>
      <w:bookmarkStart w:id="19" w:name="_Toc19536"/>
      <w:r>
        <w:t>五、</w:t>
      </w:r>
      <w:bookmarkStart w:id="20" w:name="_Hlk54167917"/>
      <w:r>
        <w:t>环境保护措施监督检查清单</w:t>
      </w:r>
      <w:bookmarkEnd w:id="19"/>
      <w:bookmarkEnd w:id="20"/>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2010"/>
        <w:gridCol w:w="1755"/>
        <w:gridCol w:w="1755"/>
        <w:gridCol w:w="17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3" w:type="dxa"/>
            <w:tcBorders>
              <w:tl2br w:val="single" w:color="auto" w:sz="4" w:space="0"/>
            </w:tcBorders>
          </w:tcPr>
          <w:p>
            <w:pPr>
              <w:adjustRightInd w:val="0"/>
              <w:snapToGrid w:val="0"/>
              <w:ind w:firstLine="840"/>
              <w:rPr>
                <w:szCs w:val="21"/>
              </w:rPr>
            </w:pPr>
            <w:r>
              <w:rPr>
                <w:szCs w:val="21"/>
              </w:rPr>
              <w:t>内容</w:t>
            </w:r>
          </w:p>
          <w:p>
            <w:pPr>
              <w:adjustRightInd w:val="0"/>
              <w:snapToGrid w:val="0"/>
              <w:rPr>
                <w:szCs w:val="21"/>
              </w:rPr>
            </w:pPr>
            <w:r>
              <w:rPr>
                <w:szCs w:val="21"/>
              </w:rPr>
              <w:t>要素</w:t>
            </w:r>
          </w:p>
        </w:tc>
        <w:tc>
          <w:tcPr>
            <w:tcW w:w="2010" w:type="dxa"/>
            <w:vAlign w:val="center"/>
          </w:tcPr>
          <w:p>
            <w:pPr>
              <w:adjustRightInd w:val="0"/>
              <w:snapToGrid w:val="0"/>
              <w:jc w:val="center"/>
              <w:rPr>
                <w:szCs w:val="21"/>
              </w:rPr>
            </w:pPr>
            <w:r>
              <w:rPr>
                <w:szCs w:val="21"/>
              </w:rPr>
              <w:t>排放口(编号、</w:t>
            </w:r>
          </w:p>
          <w:p>
            <w:pPr>
              <w:adjustRightInd w:val="0"/>
              <w:snapToGrid w:val="0"/>
              <w:jc w:val="center"/>
              <w:rPr>
                <w:szCs w:val="21"/>
              </w:rPr>
            </w:pPr>
            <w:r>
              <w:rPr>
                <w:szCs w:val="21"/>
              </w:rPr>
              <w:t>名称)/污染源</w:t>
            </w:r>
          </w:p>
        </w:tc>
        <w:tc>
          <w:tcPr>
            <w:tcW w:w="1755" w:type="dxa"/>
            <w:vAlign w:val="center"/>
          </w:tcPr>
          <w:p>
            <w:pPr>
              <w:adjustRightInd w:val="0"/>
              <w:snapToGrid w:val="0"/>
              <w:jc w:val="center"/>
              <w:rPr>
                <w:szCs w:val="21"/>
              </w:rPr>
            </w:pPr>
            <w:r>
              <w:rPr>
                <w:szCs w:val="21"/>
              </w:rPr>
              <w:t>污染物项目</w:t>
            </w:r>
          </w:p>
        </w:tc>
        <w:tc>
          <w:tcPr>
            <w:tcW w:w="1755" w:type="dxa"/>
            <w:vAlign w:val="center"/>
          </w:tcPr>
          <w:p>
            <w:pPr>
              <w:adjustRightInd w:val="0"/>
              <w:snapToGrid w:val="0"/>
              <w:jc w:val="center"/>
              <w:rPr>
                <w:szCs w:val="21"/>
              </w:rPr>
            </w:pPr>
            <w:r>
              <w:rPr>
                <w:szCs w:val="21"/>
              </w:rPr>
              <w:t>环境保护措施</w:t>
            </w:r>
          </w:p>
        </w:tc>
        <w:tc>
          <w:tcPr>
            <w:tcW w:w="1757" w:type="dxa"/>
            <w:vAlign w:val="center"/>
          </w:tcPr>
          <w:p>
            <w:pPr>
              <w:adjustRightInd w:val="0"/>
              <w:snapToGrid w:val="0"/>
              <w:jc w:val="center"/>
              <w:rPr>
                <w:szCs w:val="21"/>
              </w:rPr>
            </w:pPr>
            <w:r>
              <w:rPr>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3" w:type="dxa"/>
            <w:vMerge w:val="restart"/>
            <w:vAlign w:val="center"/>
          </w:tcPr>
          <w:p>
            <w:pPr>
              <w:adjustRightInd w:val="0"/>
              <w:snapToGrid w:val="0"/>
              <w:jc w:val="center"/>
              <w:rPr>
                <w:szCs w:val="21"/>
              </w:rPr>
            </w:pPr>
            <w:r>
              <w:rPr>
                <w:szCs w:val="21"/>
              </w:rPr>
              <w:t>大气环境</w:t>
            </w:r>
          </w:p>
        </w:tc>
        <w:tc>
          <w:tcPr>
            <w:tcW w:w="2010" w:type="dxa"/>
            <w:vAlign w:val="center"/>
          </w:tcPr>
          <w:p>
            <w:pPr>
              <w:adjustRightInd w:val="0"/>
              <w:snapToGrid w:val="0"/>
              <w:jc w:val="center"/>
              <w:rPr>
                <w:szCs w:val="21"/>
              </w:rPr>
            </w:pPr>
            <w:r>
              <w:rPr>
                <w:rFonts w:hint="eastAsia"/>
                <w:szCs w:val="21"/>
              </w:rPr>
              <w:t>食堂油烟</w:t>
            </w:r>
          </w:p>
        </w:tc>
        <w:tc>
          <w:tcPr>
            <w:tcW w:w="1755" w:type="dxa"/>
            <w:vAlign w:val="center"/>
          </w:tcPr>
          <w:p>
            <w:pPr>
              <w:jc w:val="center"/>
              <w:rPr>
                <w:szCs w:val="21"/>
              </w:rPr>
            </w:pPr>
            <w:r>
              <w:t>油烟</w:t>
            </w:r>
          </w:p>
        </w:tc>
        <w:tc>
          <w:tcPr>
            <w:tcW w:w="1755" w:type="dxa"/>
            <w:vAlign w:val="center"/>
          </w:tcPr>
          <w:p>
            <w:pPr>
              <w:jc w:val="center"/>
              <w:rPr>
                <w:szCs w:val="21"/>
              </w:rPr>
            </w:pPr>
            <w:r>
              <w:rPr>
                <w:rFonts w:hint="eastAsia"/>
                <w:u w:val="single"/>
                <w:lang w:eastAsia="zh-CN"/>
              </w:rPr>
              <w:t>油烟净化器</w:t>
            </w:r>
          </w:p>
        </w:tc>
        <w:tc>
          <w:tcPr>
            <w:tcW w:w="1757" w:type="dxa"/>
            <w:vAlign w:val="center"/>
          </w:tcPr>
          <w:p>
            <w:pPr>
              <w:jc w:val="center"/>
              <w:rPr>
                <w:szCs w:val="21"/>
              </w:rPr>
            </w:pPr>
            <w:r>
              <w:t>《饮食业油烟排放标准（试行）》</w:t>
            </w:r>
            <w:r>
              <w:rPr>
                <w:rFonts w:hint="eastAsia"/>
              </w:rPr>
              <w:t>（</w:t>
            </w:r>
            <w:r>
              <w:t>GB18483-2001</w:t>
            </w:r>
            <w:r>
              <w:rPr>
                <w:rFonts w:hint="eastAsia"/>
              </w:rPr>
              <w:t>）</w:t>
            </w:r>
            <w: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3" w:type="dxa"/>
            <w:vMerge w:val="continue"/>
            <w:vAlign w:val="center"/>
          </w:tcPr>
          <w:p>
            <w:pPr>
              <w:adjustRightInd w:val="0"/>
              <w:snapToGrid w:val="0"/>
              <w:jc w:val="center"/>
              <w:rPr>
                <w:szCs w:val="21"/>
              </w:rPr>
            </w:pPr>
          </w:p>
        </w:tc>
        <w:tc>
          <w:tcPr>
            <w:tcW w:w="2010" w:type="dxa"/>
            <w:vAlign w:val="center"/>
          </w:tcPr>
          <w:p>
            <w:pPr>
              <w:adjustRightInd w:val="0"/>
              <w:snapToGrid w:val="0"/>
              <w:jc w:val="center"/>
              <w:rPr>
                <w:szCs w:val="21"/>
              </w:rPr>
            </w:pPr>
            <w:r>
              <w:rPr>
                <w:rFonts w:hint="eastAsia"/>
                <w:szCs w:val="21"/>
              </w:rPr>
              <w:t>一体化污水处理系统恶臭</w:t>
            </w:r>
          </w:p>
        </w:tc>
        <w:tc>
          <w:tcPr>
            <w:tcW w:w="1755" w:type="dxa"/>
            <w:vAlign w:val="center"/>
          </w:tcPr>
          <w:p>
            <w:pPr>
              <w:jc w:val="center"/>
              <w:rPr>
                <w:szCs w:val="21"/>
              </w:rPr>
            </w:pPr>
            <w:r>
              <w:t>恶臭</w:t>
            </w:r>
          </w:p>
        </w:tc>
        <w:tc>
          <w:tcPr>
            <w:tcW w:w="1755" w:type="dxa"/>
            <w:vAlign w:val="center"/>
          </w:tcPr>
          <w:p>
            <w:pPr>
              <w:jc w:val="center"/>
              <w:rPr>
                <w:szCs w:val="21"/>
              </w:rPr>
            </w:pPr>
            <w:r>
              <w:rPr>
                <w:rFonts w:hint="eastAsia"/>
                <w:bCs/>
                <w:szCs w:val="21"/>
              </w:rPr>
              <w:t>一体化设备</w:t>
            </w:r>
            <w:r>
              <w:rPr>
                <w:bCs/>
                <w:szCs w:val="21"/>
              </w:rPr>
              <w:t>布置于地下，同时</w:t>
            </w:r>
            <w:r>
              <w:rPr>
                <w:szCs w:val="21"/>
              </w:rPr>
              <w:t>在污水处理站周围设置绿化带</w:t>
            </w:r>
          </w:p>
        </w:tc>
        <w:tc>
          <w:tcPr>
            <w:tcW w:w="1757" w:type="dxa"/>
            <w:vAlign w:val="center"/>
          </w:tcPr>
          <w:p>
            <w:pPr>
              <w:jc w:val="center"/>
              <w:rPr>
                <w:szCs w:val="21"/>
              </w:rPr>
            </w:pPr>
            <w:r>
              <w:t>《医疗机构水污染物排放标准》（GB18466-2005）表3污水处理站周边大气污染物最高允许浓度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3" w:type="dxa"/>
            <w:vMerge w:val="restart"/>
            <w:vAlign w:val="center"/>
          </w:tcPr>
          <w:p>
            <w:pPr>
              <w:adjustRightInd w:val="0"/>
              <w:snapToGrid w:val="0"/>
              <w:jc w:val="center"/>
              <w:rPr>
                <w:szCs w:val="21"/>
              </w:rPr>
            </w:pPr>
            <w:r>
              <w:rPr>
                <w:szCs w:val="21"/>
              </w:rPr>
              <w:t>地表水环境</w:t>
            </w:r>
          </w:p>
        </w:tc>
        <w:tc>
          <w:tcPr>
            <w:tcW w:w="2010" w:type="dxa"/>
            <w:vAlign w:val="center"/>
          </w:tcPr>
          <w:p>
            <w:pPr>
              <w:adjustRightInd w:val="0"/>
              <w:snapToGrid w:val="0"/>
              <w:jc w:val="center"/>
              <w:rPr>
                <w:szCs w:val="21"/>
              </w:rPr>
            </w:pPr>
            <w:r>
              <w:rPr>
                <w:rFonts w:hint="eastAsia"/>
                <w:szCs w:val="21"/>
              </w:rPr>
              <w:t>生活污水</w:t>
            </w:r>
          </w:p>
        </w:tc>
        <w:tc>
          <w:tcPr>
            <w:tcW w:w="1755" w:type="dxa"/>
            <w:vMerge w:val="restart"/>
            <w:vAlign w:val="center"/>
          </w:tcPr>
          <w:p>
            <w:pPr>
              <w:adjustRightInd w:val="0"/>
              <w:snapToGrid w:val="0"/>
              <w:jc w:val="center"/>
              <w:rPr>
                <w:szCs w:val="21"/>
              </w:rPr>
            </w:pPr>
            <w:r>
              <w:rPr>
                <w:rFonts w:hint="eastAsia"/>
                <w:szCs w:val="21"/>
              </w:rPr>
              <w:t>pH、余氯、粪大肠菌群、COD、BOD5、氨氮、总磷、石油类</w:t>
            </w:r>
          </w:p>
        </w:tc>
        <w:tc>
          <w:tcPr>
            <w:tcW w:w="1755" w:type="dxa"/>
            <w:vMerge w:val="restart"/>
            <w:vAlign w:val="center"/>
          </w:tcPr>
          <w:p>
            <w:pPr>
              <w:adjustRightInd w:val="0"/>
              <w:snapToGrid w:val="0"/>
              <w:jc w:val="center"/>
              <w:rPr>
                <w:szCs w:val="21"/>
              </w:rPr>
            </w:pPr>
            <w:r>
              <w:rPr>
                <w:rFonts w:hint="eastAsia"/>
                <w:szCs w:val="21"/>
                <w:u w:val="single"/>
                <w:lang w:eastAsia="zh-CN"/>
              </w:rPr>
              <w:t>20.71m</w:t>
            </w:r>
            <w:r>
              <w:rPr>
                <w:rFonts w:hint="eastAsia"/>
                <w:szCs w:val="21"/>
                <w:u w:val="single"/>
                <w:vertAlign w:val="superscript"/>
              </w:rPr>
              <w:t>3</w:t>
            </w:r>
            <w:r>
              <w:rPr>
                <w:rFonts w:hint="eastAsia"/>
                <w:szCs w:val="21"/>
                <w:u w:val="single"/>
              </w:rPr>
              <w:t>/d一体化污水处理系统</w:t>
            </w:r>
          </w:p>
        </w:tc>
        <w:tc>
          <w:tcPr>
            <w:tcW w:w="1757" w:type="dxa"/>
            <w:vMerge w:val="restart"/>
            <w:vAlign w:val="center"/>
          </w:tcPr>
          <w:p>
            <w:pPr>
              <w:adjustRightInd w:val="0"/>
              <w:snapToGrid w:val="0"/>
              <w:jc w:val="center"/>
              <w:rPr>
                <w:szCs w:val="21"/>
              </w:rPr>
            </w:pPr>
            <w:r>
              <w:rPr>
                <w:szCs w:val="21"/>
              </w:rPr>
              <w:t>《医疗机构水污染物排放标准》（GB18466-2005）表2（预处理）标准及</w:t>
            </w:r>
            <w:r>
              <w:rPr>
                <w:rFonts w:hint="eastAsia"/>
                <w:szCs w:val="21"/>
                <w:lang w:eastAsia="zh-CN"/>
              </w:rPr>
              <w:t>三阳港镇污水处理厂</w:t>
            </w:r>
            <w:r>
              <w:rPr>
                <w:szCs w:val="21"/>
              </w:rPr>
              <w:t>进水水质要求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3" w:type="dxa"/>
            <w:vMerge w:val="continue"/>
            <w:vAlign w:val="center"/>
          </w:tcPr>
          <w:p>
            <w:pPr>
              <w:adjustRightInd w:val="0"/>
              <w:snapToGrid w:val="0"/>
              <w:jc w:val="center"/>
              <w:rPr>
                <w:szCs w:val="21"/>
              </w:rPr>
            </w:pPr>
          </w:p>
        </w:tc>
        <w:tc>
          <w:tcPr>
            <w:tcW w:w="2010" w:type="dxa"/>
            <w:vAlign w:val="center"/>
          </w:tcPr>
          <w:p>
            <w:pPr>
              <w:adjustRightInd w:val="0"/>
              <w:snapToGrid w:val="0"/>
              <w:jc w:val="center"/>
              <w:rPr>
                <w:szCs w:val="21"/>
              </w:rPr>
            </w:pPr>
            <w:r>
              <w:rPr>
                <w:rFonts w:hint="eastAsia"/>
                <w:szCs w:val="21"/>
              </w:rPr>
              <w:t>医疗废水</w:t>
            </w:r>
          </w:p>
        </w:tc>
        <w:tc>
          <w:tcPr>
            <w:tcW w:w="1755" w:type="dxa"/>
            <w:vMerge w:val="continue"/>
            <w:vAlign w:val="center"/>
          </w:tcPr>
          <w:p>
            <w:pPr>
              <w:adjustRightInd w:val="0"/>
              <w:snapToGrid w:val="0"/>
              <w:jc w:val="center"/>
              <w:rPr>
                <w:szCs w:val="21"/>
              </w:rPr>
            </w:pPr>
          </w:p>
        </w:tc>
        <w:tc>
          <w:tcPr>
            <w:tcW w:w="1755" w:type="dxa"/>
            <w:vMerge w:val="continue"/>
            <w:vAlign w:val="center"/>
          </w:tcPr>
          <w:p>
            <w:pPr>
              <w:adjustRightInd w:val="0"/>
              <w:snapToGrid w:val="0"/>
              <w:jc w:val="center"/>
              <w:rPr>
                <w:szCs w:val="21"/>
              </w:rPr>
            </w:pPr>
          </w:p>
        </w:tc>
        <w:tc>
          <w:tcPr>
            <w:tcW w:w="1757" w:type="dxa"/>
            <w:vMerge w:val="continue"/>
            <w:vAlign w:val="center"/>
          </w:tcPr>
          <w:p>
            <w:pPr>
              <w:adjustRightInd w:val="0"/>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3" w:type="dxa"/>
            <w:vAlign w:val="center"/>
          </w:tcPr>
          <w:p>
            <w:pPr>
              <w:adjustRightInd w:val="0"/>
              <w:snapToGrid w:val="0"/>
              <w:jc w:val="center"/>
              <w:rPr>
                <w:szCs w:val="21"/>
              </w:rPr>
            </w:pPr>
            <w:r>
              <w:rPr>
                <w:szCs w:val="21"/>
              </w:rPr>
              <w:t>声环境</w:t>
            </w:r>
          </w:p>
        </w:tc>
        <w:tc>
          <w:tcPr>
            <w:tcW w:w="2010" w:type="dxa"/>
            <w:vAlign w:val="center"/>
          </w:tcPr>
          <w:p>
            <w:pPr>
              <w:adjustRightInd w:val="0"/>
              <w:snapToGrid w:val="0"/>
              <w:jc w:val="center"/>
              <w:rPr>
                <w:szCs w:val="21"/>
              </w:rPr>
            </w:pPr>
            <w:r>
              <w:rPr>
                <w:rFonts w:hint="eastAsia"/>
                <w:szCs w:val="21"/>
              </w:rPr>
              <w:t>医疗设备</w:t>
            </w:r>
          </w:p>
        </w:tc>
        <w:tc>
          <w:tcPr>
            <w:tcW w:w="1755" w:type="dxa"/>
            <w:vAlign w:val="center"/>
          </w:tcPr>
          <w:p>
            <w:pPr>
              <w:jc w:val="center"/>
              <w:rPr>
                <w:szCs w:val="21"/>
              </w:rPr>
            </w:pPr>
            <w:r>
              <w:t>噪声</w:t>
            </w:r>
          </w:p>
        </w:tc>
        <w:tc>
          <w:tcPr>
            <w:tcW w:w="1755" w:type="dxa"/>
            <w:vAlign w:val="center"/>
          </w:tcPr>
          <w:p>
            <w:pPr>
              <w:jc w:val="center"/>
              <w:rPr>
                <w:szCs w:val="21"/>
              </w:rPr>
            </w:pPr>
            <w:r>
              <w:t>机器维护，设备减震</w:t>
            </w:r>
          </w:p>
        </w:tc>
        <w:tc>
          <w:tcPr>
            <w:tcW w:w="1757" w:type="dxa"/>
            <w:vAlign w:val="center"/>
          </w:tcPr>
          <w:p>
            <w:pPr>
              <w:jc w:val="center"/>
              <w:rPr>
                <w:szCs w:val="21"/>
              </w:rPr>
            </w:pPr>
            <w:r>
              <w:t>《工业企业厂界环境噪声排放标准》</w:t>
            </w:r>
            <w:r>
              <w:rPr>
                <w:rFonts w:hint="eastAsia"/>
              </w:rPr>
              <w:t>（</w:t>
            </w:r>
            <w:r>
              <w:t>GB12348-2008</w:t>
            </w:r>
            <w:r>
              <w:rPr>
                <w:rFonts w:hint="eastAsia"/>
              </w:rPr>
              <w:t>）2、4类标准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3" w:type="dxa"/>
            <w:vAlign w:val="center"/>
          </w:tcPr>
          <w:p>
            <w:pPr>
              <w:adjustRightInd w:val="0"/>
              <w:snapToGrid w:val="0"/>
              <w:jc w:val="center"/>
              <w:rPr>
                <w:szCs w:val="21"/>
              </w:rPr>
            </w:pPr>
            <w:r>
              <w:rPr>
                <w:szCs w:val="21"/>
              </w:rPr>
              <w:t>电磁辐射</w:t>
            </w:r>
          </w:p>
        </w:tc>
        <w:tc>
          <w:tcPr>
            <w:tcW w:w="7277" w:type="dxa"/>
            <w:gridSpan w:val="4"/>
            <w:vAlign w:val="center"/>
          </w:tcPr>
          <w:p>
            <w:pPr>
              <w:adjustRightInd w:val="0"/>
              <w:snapToGrid w:val="0"/>
              <w:jc w:val="center"/>
              <w:rPr>
                <w:szCs w:val="21"/>
              </w:rPr>
            </w:pPr>
            <w:r>
              <w:rPr>
                <w:szCs w:val="21"/>
              </w:rPr>
              <w:t>项目中涉及放射性和电磁辐射方面的内容需按《射线装置及放射性同位素管理条例》的规定，由建设方委托有相关资质的单位对辐射内容另进行单独的环境影响评价，本报告不涉及。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523" w:type="dxa"/>
            <w:vAlign w:val="center"/>
          </w:tcPr>
          <w:p>
            <w:pPr>
              <w:adjustRightInd w:val="0"/>
              <w:snapToGrid w:val="0"/>
              <w:jc w:val="center"/>
              <w:rPr>
                <w:szCs w:val="21"/>
              </w:rPr>
            </w:pPr>
            <w:r>
              <w:rPr>
                <w:szCs w:val="21"/>
              </w:rPr>
              <w:t>固体废物</w:t>
            </w:r>
          </w:p>
        </w:tc>
        <w:tc>
          <w:tcPr>
            <w:tcW w:w="7277" w:type="dxa"/>
            <w:gridSpan w:val="4"/>
            <w:vAlign w:val="center"/>
          </w:tcPr>
          <w:p>
            <w:pPr>
              <w:ind w:firstLine="420" w:firstLineChars="200"/>
              <w:rPr>
                <w:rFonts w:hAnsi="宋体"/>
                <w:kern w:val="0"/>
                <w:szCs w:val="21"/>
              </w:rPr>
            </w:pPr>
            <w:r>
              <w:rPr>
                <w:rFonts w:hAnsi="宋体"/>
                <w:kern w:val="0"/>
                <w:szCs w:val="21"/>
              </w:rPr>
              <w:t>①医疗垃圾全部分类集中收集，置于医疗废物暂存间，委托委托常德市安邦医疗废物处置有限公司处置。</w:t>
            </w:r>
          </w:p>
          <w:p>
            <w:pPr>
              <w:ind w:firstLine="420" w:firstLineChars="200"/>
              <w:rPr>
                <w:rFonts w:hAnsi="宋体"/>
                <w:kern w:val="0"/>
                <w:szCs w:val="21"/>
              </w:rPr>
            </w:pPr>
            <w:r>
              <w:rPr>
                <w:rFonts w:hAnsi="宋体"/>
                <w:kern w:val="0"/>
                <w:szCs w:val="21"/>
              </w:rPr>
              <w:t>②生活垃圾</w:t>
            </w:r>
            <w:r>
              <w:rPr>
                <w:rFonts w:hint="eastAsia" w:hAnsi="宋体"/>
                <w:kern w:val="0"/>
                <w:szCs w:val="21"/>
              </w:rPr>
              <w:t>和中药渣</w:t>
            </w:r>
            <w:r>
              <w:rPr>
                <w:rFonts w:hint="eastAsia"/>
                <w:spacing w:val="4"/>
                <w:kern w:val="0"/>
                <w:szCs w:val="16"/>
              </w:rPr>
              <w:t>交由环卫部门处置</w:t>
            </w:r>
            <w:r>
              <w:rPr>
                <w:rFonts w:hAnsi="宋体"/>
                <w:kern w:val="0"/>
                <w:szCs w:val="21"/>
              </w:rPr>
              <w:t>。</w:t>
            </w:r>
          </w:p>
          <w:p>
            <w:pPr>
              <w:tabs>
                <w:tab w:val="left" w:pos="1021"/>
              </w:tabs>
              <w:ind w:firstLine="420" w:firstLineChars="200"/>
              <w:rPr>
                <w:rFonts w:hint="eastAsia" w:eastAsia="宋体"/>
                <w:szCs w:val="21"/>
                <w:lang w:val="en-US" w:eastAsia="zh-CN"/>
              </w:rPr>
            </w:pPr>
            <w:r>
              <w:rPr>
                <w:rFonts w:hAnsi="宋体"/>
                <w:kern w:val="0"/>
                <w:szCs w:val="21"/>
                <w:u w:val="single"/>
              </w:rPr>
              <w:t>③污水处理系统污泥</w:t>
            </w:r>
            <w:r>
              <w:rPr>
                <w:rFonts w:hint="eastAsia" w:hAnsi="宋体"/>
                <w:kern w:val="0"/>
                <w:szCs w:val="21"/>
                <w:u w:val="single"/>
                <w:lang w:eastAsia="zh-CN"/>
              </w:rPr>
              <w:t>采用石灰处置后</w:t>
            </w:r>
            <w:r>
              <w:rPr>
                <w:rFonts w:hAnsi="宋体"/>
                <w:kern w:val="0"/>
                <w:szCs w:val="21"/>
                <w:u w:val="single"/>
              </w:rPr>
              <w:t>用编织袋收集后委托有资质单位处理。</w:t>
            </w:r>
            <w:r>
              <w:rPr>
                <w:rFonts w:hint="eastAsia" w:hAnsi="宋体"/>
                <w:kern w:val="0"/>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23" w:type="dxa"/>
            <w:vAlign w:val="center"/>
          </w:tcPr>
          <w:p>
            <w:pPr>
              <w:adjustRightInd w:val="0"/>
              <w:snapToGrid w:val="0"/>
              <w:jc w:val="center"/>
              <w:rPr>
                <w:szCs w:val="21"/>
              </w:rPr>
            </w:pPr>
            <w:r>
              <w:rPr>
                <w:szCs w:val="21"/>
              </w:rPr>
              <w:t>土壤及地下水</w:t>
            </w:r>
          </w:p>
          <w:p>
            <w:pPr>
              <w:adjustRightInd w:val="0"/>
              <w:snapToGrid w:val="0"/>
              <w:jc w:val="center"/>
              <w:rPr>
                <w:szCs w:val="21"/>
              </w:rPr>
            </w:pPr>
            <w:r>
              <w:rPr>
                <w:szCs w:val="21"/>
              </w:rPr>
              <w:t>污染防治措施</w:t>
            </w:r>
          </w:p>
        </w:tc>
        <w:tc>
          <w:tcPr>
            <w:tcW w:w="7277" w:type="dxa"/>
            <w:gridSpan w:val="4"/>
            <w:vAlign w:val="center"/>
          </w:tcPr>
          <w:p>
            <w:pPr>
              <w:adjustRightInd w:val="0"/>
              <w:snapToGrid w:val="0"/>
              <w:jc w:val="center"/>
              <w:rPr>
                <w:szCs w:val="21"/>
              </w:rPr>
            </w:pPr>
            <w:r>
              <w:rPr>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523" w:type="dxa"/>
            <w:vAlign w:val="center"/>
          </w:tcPr>
          <w:p>
            <w:pPr>
              <w:adjustRightInd w:val="0"/>
              <w:snapToGrid w:val="0"/>
              <w:jc w:val="center"/>
              <w:rPr>
                <w:szCs w:val="21"/>
              </w:rPr>
            </w:pPr>
            <w:r>
              <w:rPr>
                <w:szCs w:val="21"/>
              </w:rPr>
              <w:t>生态保护措施</w:t>
            </w:r>
          </w:p>
        </w:tc>
        <w:tc>
          <w:tcPr>
            <w:tcW w:w="7277" w:type="dxa"/>
            <w:gridSpan w:val="4"/>
            <w:vAlign w:val="center"/>
          </w:tcPr>
          <w:p>
            <w:pPr>
              <w:ind w:firstLine="420" w:firstLineChars="200"/>
            </w:pPr>
            <w:r>
              <w:t>本项目对生态环境的影响主要为排污影响。项目所在地植被覆盖率较高，主要为常见灌木林，对环境适应能力较强，周边无珍惜濒危保护动物。项目在生产过程采取了洒水抑尘、减震降噪等污染防治措施，可确保各类污染物达标排放，不影响区域环境质量，同时应加强人员管理，禁止捕杀动物或在项目区域内外乱砍乱伐。在采取各项措施后，项目对生态环境的影响很小，是可恢复、可接受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523" w:type="dxa"/>
            <w:vAlign w:val="center"/>
          </w:tcPr>
          <w:p>
            <w:pPr>
              <w:adjustRightInd w:val="0"/>
              <w:snapToGrid w:val="0"/>
              <w:jc w:val="center"/>
              <w:rPr>
                <w:spacing w:val="-8"/>
                <w:szCs w:val="21"/>
              </w:rPr>
            </w:pPr>
            <w:r>
              <w:rPr>
                <w:spacing w:val="-8"/>
                <w:szCs w:val="21"/>
              </w:rPr>
              <w:t>环境风险</w:t>
            </w:r>
          </w:p>
          <w:p>
            <w:pPr>
              <w:adjustRightInd w:val="0"/>
              <w:snapToGrid w:val="0"/>
              <w:jc w:val="center"/>
              <w:rPr>
                <w:spacing w:val="-8"/>
                <w:szCs w:val="21"/>
              </w:rPr>
            </w:pPr>
            <w:r>
              <w:rPr>
                <w:spacing w:val="-8"/>
                <w:szCs w:val="21"/>
              </w:rPr>
              <w:t>防范措施</w:t>
            </w:r>
          </w:p>
        </w:tc>
        <w:tc>
          <w:tcPr>
            <w:tcW w:w="7277" w:type="dxa"/>
            <w:gridSpan w:val="4"/>
            <w:vAlign w:val="center"/>
          </w:tcPr>
          <w:p>
            <w:pPr>
              <w:ind w:firstLine="420" w:firstLineChars="200"/>
              <w:rPr>
                <w:rFonts w:eastAsia="新宋体"/>
                <w:szCs w:val="21"/>
              </w:rPr>
            </w:pPr>
            <w:r>
              <w:rPr>
                <w:rFonts w:eastAsia="新宋体"/>
                <w:szCs w:val="21"/>
              </w:rPr>
              <w:t>根据《医疗卫生机构灾害事故防范和应急处置指导意见》（卫办发[2006]16号）和《医疗机构基础设施消防安全规范》中的相关规定，要求项目做好医疗卫生机构的安全管理、灾害事故应急处置工作。</w:t>
            </w:r>
          </w:p>
          <w:p>
            <w:pPr>
              <w:ind w:firstLine="420" w:firstLineChars="200"/>
              <w:rPr>
                <w:rFonts w:eastAsia="新宋体"/>
                <w:szCs w:val="21"/>
              </w:rPr>
            </w:pPr>
            <w:r>
              <w:rPr>
                <w:rFonts w:eastAsia="新宋体"/>
                <w:szCs w:val="21"/>
              </w:rPr>
              <w:t>（1）医疗废物暂存场所的选址、安全间距、防护距离要求</w:t>
            </w:r>
          </w:p>
          <w:p>
            <w:pPr>
              <w:ind w:firstLine="420" w:firstLineChars="200"/>
              <w:rPr>
                <w:rFonts w:eastAsia="新宋体"/>
                <w:szCs w:val="21"/>
              </w:rPr>
            </w:pPr>
            <w:r>
              <w:rPr>
                <w:rFonts w:eastAsia="新宋体"/>
                <w:szCs w:val="21"/>
              </w:rPr>
              <w:t>医疗废物暂存场所的选址应根据《医疗废物集中处置技术规范（试行）》和《医疗卫生机构医疗废物管理办法》中的有关规定建设：</w:t>
            </w:r>
          </w:p>
          <w:p>
            <w:pPr>
              <w:ind w:firstLine="420" w:firstLineChars="200"/>
              <w:rPr>
                <w:rFonts w:eastAsia="新宋体"/>
                <w:szCs w:val="21"/>
              </w:rPr>
            </w:pPr>
            <w:r>
              <w:rPr>
                <w:rFonts w:eastAsia="新宋体"/>
                <w:szCs w:val="21"/>
              </w:rPr>
              <w:t>①必须与生活垃圾存放地分开，有防水的装置，地基高度应确保设施内不受外部水的浸泡；</w:t>
            </w:r>
          </w:p>
          <w:p>
            <w:pPr>
              <w:ind w:firstLine="420" w:firstLineChars="200"/>
              <w:rPr>
                <w:rFonts w:eastAsia="新宋体"/>
                <w:szCs w:val="21"/>
              </w:rPr>
            </w:pPr>
            <w:r>
              <w:rPr>
                <w:rFonts w:eastAsia="新宋体"/>
                <w:szCs w:val="21"/>
              </w:rPr>
              <w:t>②必须与医疗区和人员活动密集区隔开，方便医疗废物的装卸、装卸人员及运送车辆的出入；</w:t>
            </w:r>
          </w:p>
          <w:p>
            <w:pPr>
              <w:ind w:firstLine="420" w:firstLineChars="200"/>
              <w:rPr>
                <w:rFonts w:eastAsia="新宋体"/>
                <w:szCs w:val="21"/>
              </w:rPr>
            </w:pPr>
            <w:r>
              <w:rPr>
                <w:rFonts w:eastAsia="新宋体"/>
                <w:szCs w:val="21"/>
              </w:rPr>
              <w:t>③应有严密的封闭措施，设专人管理，避免非工作人员进出，以及防鼠、防蚊蝇、防蟑螂、防盗以及预防儿童接触等安全措施；</w:t>
            </w:r>
          </w:p>
          <w:p>
            <w:pPr>
              <w:ind w:firstLine="420" w:firstLineChars="200"/>
              <w:rPr>
                <w:rFonts w:eastAsia="新宋体"/>
                <w:szCs w:val="21"/>
              </w:rPr>
            </w:pPr>
            <w:r>
              <w:rPr>
                <w:rFonts w:eastAsia="新宋体"/>
                <w:szCs w:val="21"/>
              </w:rPr>
              <w:t>④地面和1.0m高的墙裙必须进行防渗处理，地面有良好的排水性能，易于清洁和消毒，产生的废水应采用管道直接排入医疗卫生机构内的医疗废水消毒、处理系统，禁止将产生的废水直接排入外环境；</w:t>
            </w:r>
          </w:p>
          <w:p>
            <w:pPr>
              <w:ind w:firstLine="420" w:firstLineChars="200"/>
              <w:rPr>
                <w:rFonts w:eastAsia="新宋体"/>
                <w:szCs w:val="21"/>
              </w:rPr>
            </w:pPr>
            <w:r>
              <w:rPr>
                <w:rFonts w:eastAsia="新宋体"/>
                <w:szCs w:val="21"/>
              </w:rPr>
              <w:t>⑤库房外宜设有供水龙头，以供暂时贮存库房的清洗用；</w:t>
            </w:r>
          </w:p>
          <w:p>
            <w:pPr>
              <w:ind w:firstLine="420" w:firstLineChars="200"/>
              <w:rPr>
                <w:rFonts w:eastAsia="新宋体"/>
                <w:szCs w:val="21"/>
              </w:rPr>
            </w:pPr>
            <w:r>
              <w:rPr>
                <w:rFonts w:eastAsia="新宋体"/>
                <w:szCs w:val="21"/>
              </w:rPr>
              <w:t>⑥库房内应张贴</w:t>
            </w:r>
            <w:r>
              <w:rPr>
                <w:rFonts w:hint="eastAsia" w:eastAsia="新宋体"/>
                <w:szCs w:val="21"/>
              </w:rPr>
              <w:t>“</w:t>
            </w:r>
            <w:r>
              <w:rPr>
                <w:rFonts w:eastAsia="新宋体"/>
                <w:szCs w:val="21"/>
              </w:rPr>
              <w:t>禁止吸烟、饮食</w:t>
            </w:r>
            <w:r>
              <w:rPr>
                <w:rFonts w:hint="eastAsia" w:eastAsia="新宋体"/>
                <w:szCs w:val="21"/>
              </w:rPr>
              <w:t>”</w:t>
            </w:r>
            <w:r>
              <w:rPr>
                <w:rFonts w:eastAsia="新宋体"/>
                <w:szCs w:val="21"/>
              </w:rPr>
              <w:t>的警示标识；</w:t>
            </w:r>
          </w:p>
          <w:p>
            <w:pPr>
              <w:ind w:firstLine="420" w:firstLineChars="200"/>
              <w:rPr>
                <w:rFonts w:eastAsia="新宋体"/>
                <w:szCs w:val="21"/>
              </w:rPr>
            </w:pPr>
            <w:r>
              <w:rPr>
                <w:rFonts w:eastAsia="新宋体"/>
                <w:szCs w:val="21"/>
              </w:rPr>
              <w:t>⑦应按GB15562.2和卫生、环保部门制定的专用医疗废物警示标识要求，在库房外的明显处同时设置危险废物和医疗废物的警示标识；医院及时收集本单位产生的医疗废物，并按照类别分置于防渗漏、防锐器穿透的专用包装物或者密闭的容器内，收集时严防洒漏和违反操作规程，医疗废物专用包装物、容器应当有明显的警示标志和警示说明，医院应当建立医疗废物的临时贮存设施和设备，不得露天存放医疗废物。</w:t>
            </w:r>
          </w:p>
          <w:p>
            <w:pPr>
              <w:ind w:firstLine="420" w:firstLineChars="200"/>
              <w:rPr>
                <w:rFonts w:eastAsia="新宋体"/>
                <w:szCs w:val="21"/>
              </w:rPr>
            </w:pPr>
            <w:r>
              <w:rPr>
                <w:rFonts w:eastAsia="新宋体"/>
                <w:szCs w:val="21"/>
              </w:rPr>
              <w:t>（2）卫生要求和管理制度</w:t>
            </w:r>
          </w:p>
          <w:p>
            <w:pPr>
              <w:ind w:firstLine="420" w:firstLineChars="200"/>
              <w:rPr>
                <w:rFonts w:eastAsia="新宋体"/>
                <w:szCs w:val="21"/>
              </w:rPr>
            </w:pPr>
            <w:r>
              <w:rPr>
                <w:rFonts w:eastAsia="新宋体"/>
                <w:szCs w:val="21"/>
              </w:rPr>
              <w:t>①应防止医疗废物在暂时贮存库房和专用暂时贮存柜（箱）中腐败散发恶臭，尽量做到日产日清。</w:t>
            </w:r>
          </w:p>
          <w:p>
            <w:pPr>
              <w:ind w:firstLine="420" w:firstLineChars="200"/>
              <w:rPr>
                <w:rFonts w:eastAsia="新宋体"/>
                <w:szCs w:val="21"/>
              </w:rPr>
            </w:pPr>
            <w:r>
              <w:rPr>
                <w:rFonts w:eastAsia="新宋体"/>
                <w:szCs w:val="21"/>
              </w:rPr>
              <w:t>②确实不能做到日产日清，且当地最高气温高于25℃时，应将医疗废物低温暂时贮存，暂时贮存温度应低于20℃，时间最长不超过48小时。</w:t>
            </w:r>
          </w:p>
          <w:p>
            <w:r>
              <w:rPr>
                <w:rFonts w:eastAsia="新宋体"/>
                <w:bCs/>
                <w:szCs w:val="21"/>
              </w:rPr>
              <w:t>③医疗卫生机构应制定医疗废物暂时贮存管理的有关规章制度、工作程序及应急处理措施。医疗卫生机构的暂时贮存库房和医疗废物专用暂时贮存柜（箱）存放地，应当接受当地环保和卫生主管部门的监督检查。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523" w:type="dxa"/>
            <w:vAlign w:val="center"/>
          </w:tcPr>
          <w:p>
            <w:pPr>
              <w:adjustRightInd w:val="0"/>
              <w:snapToGrid w:val="0"/>
              <w:jc w:val="center"/>
              <w:rPr>
                <w:spacing w:val="-8"/>
                <w:szCs w:val="21"/>
              </w:rPr>
            </w:pPr>
            <w:r>
              <w:rPr>
                <w:spacing w:val="-8"/>
                <w:szCs w:val="21"/>
              </w:rPr>
              <w:t>其他环境</w:t>
            </w:r>
          </w:p>
          <w:p>
            <w:pPr>
              <w:adjustRightInd w:val="0"/>
              <w:snapToGrid w:val="0"/>
              <w:jc w:val="center"/>
              <w:rPr>
                <w:spacing w:val="-8"/>
                <w:szCs w:val="21"/>
              </w:rPr>
            </w:pPr>
            <w:r>
              <w:rPr>
                <w:spacing w:val="-8"/>
                <w:szCs w:val="21"/>
              </w:rPr>
              <w:t>管理要求</w:t>
            </w:r>
          </w:p>
        </w:tc>
        <w:tc>
          <w:tcPr>
            <w:tcW w:w="7277" w:type="dxa"/>
            <w:gridSpan w:val="4"/>
            <w:vAlign w:val="center"/>
          </w:tcPr>
          <w:p>
            <w:pPr>
              <w:adjustRightInd w:val="0"/>
              <w:snapToGrid w:val="0"/>
              <w:jc w:val="center"/>
              <w:rPr>
                <w:szCs w:val="21"/>
              </w:rPr>
            </w:pPr>
            <w:r>
              <w:rPr>
                <w:szCs w:val="21"/>
              </w:rPr>
              <w:t>/</w:t>
            </w:r>
          </w:p>
        </w:tc>
      </w:tr>
    </w:tbl>
    <w:p>
      <w:pPr>
        <w:pStyle w:val="24"/>
        <w:jc w:val="both"/>
        <w:outlineLvl w:val="0"/>
        <w:rPr>
          <w:rStyle w:val="70"/>
          <w:rFonts w:ascii="Times New Roman" w:hAnsi="Times New Roman"/>
        </w:rPr>
      </w:pPr>
      <w:r>
        <w:rPr>
          <w:rFonts w:ascii="Times New Roman" w:hAnsi="Times New Roman"/>
          <w:snapToGrid w:val="0"/>
        </w:rPr>
        <w:br w:type="page"/>
      </w:r>
      <w:bookmarkStart w:id="21" w:name="_Toc22623"/>
      <w:r>
        <w:rPr>
          <w:rStyle w:val="70"/>
          <w:rFonts w:ascii="Times New Roman" w:hAnsi="Times New Roman"/>
        </w:rPr>
        <w:t>六、结论</w:t>
      </w:r>
      <w:bookmarkEnd w:id="21"/>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3" w:hRule="atLeast"/>
          <w:jc w:val="center"/>
        </w:trPr>
        <w:tc>
          <w:tcPr>
            <w:tcW w:w="8865" w:type="dxa"/>
            <w:vAlign w:val="center"/>
          </w:tcPr>
          <w:p>
            <w:pPr>
              <w:spacing w:line="360" w:lineRule="auto"/>
              <w:rPr>
                <w:b/>
                <w:bCs/>
                <w:sz w:val="24"/>
                <w:lang w:val="zh-CN"/>
              </w:rPr>
            </w:pPr>
            <w:r>
              <w:rPr>
                <w:rFonts w:hint="eastAsia"/>
                <w:b/>
                <w:bCs/>
                <w:sz w:val="24"/>
                <w:lang w:val="en-US" w:eastAsia="zh-CN"/>
              </w:rPr>
              <w:t>1</w:t>
            </w:r>
            <w:r>
              <w:rPr>
                <w:b/>
                <w:bCs/>
                <w:sz w:val="24"/>
                <w:lang w:val="zh-CN"/>
              </w:rPr>
              <w:t>、结论</w:t>
            </w:r>
          </w:p>
          <w:p>
            <w:pPr>
              <w:pStyle w:val="18"/>
              <w:spacing w:after="0" w:line="360" w:lineRule="auto"/>
              <w:ind w:left="0" w:leftChars="0" w:firstLine="480" w:firstLineChars="200"/>
              <w:rPr>
                <w:sz w:val="24"/>
              </w:rPr>
            </w:pPr>
            <w:r>
              <w:rPr>
                <w:sz w:val="24"/>
              </w:rPr>
              <w:t>综上所述，本建设项目符合国家相关产业政策，选址合理，总平面布置合理可行，项目对废气、废水、噪声和固体废物等污染物采取了妥善的处理处置措施，污染物排放总量较小，在落实各项规定的污染防治措施后，各污染物能达标排放，对周围的环境影响可控制在允许的范围内，周围环境质量能满足功能区划要求。在全面落实各项污染防范措施、搞好“三同时”制度、保证安全生产的前提下，项目的建设整体上符合环境保护和社会可持续发展的要求，从环境保护角度分析，本项目是可行的。</w:t>
            </w:r>
          </w:p>
          <w:p>
            <w:pPr>
              <w:tabs>
                <w:tab w:val="left" w:pos="360"/>
              </w:tabs>
              <w:spacing w:line="360" w:lineRule="auto"/>
              <w:rPr>
                <w:b/>
                <w:sz w:val="24"/>
              </w:rPr>
            </w:pPr>
            <w:r>
              <w:rPr>
                <w:rFonts w:hint="eastAsia"/>
                <w:b/>
                <w:snapToGrid w:val="0"/>
                <w:sz w:val="24"/>
                <w:lang w:val="en-US" w:eastAsia="zh-CN"/>
              </w:rPr>
              <w:t>2</w:t>
            </w:r>
            <w:r>
              <w:rPr>
                <w:b/>
                <w:snapToGrid w:val="0"/>
                <w:sz w:val="24"/>
                <w:lang w:val="zh-CN"/>
              </w:rPr>
              <w:t>、建议</w:t>
            </w:r>
          </w:p>
          <w:p>
            <w:pPr>
              <w:spacing w:line="360" w:lineRule="auto"/>
              <w:ind w:firstLine="480" w:firstLineChars="200"/>
              <w:rPr>
                <w:sz w:val="24"/>
              </w:rPr>
            </w:pPr>
            <w:r>
              <w:rPr>
                <w:sz w:val="24"/>
              </w:rPr>
              <w:t>1、安排专人负责医院环保，对医疗废物实行严格管理，避免二次污染。</w:t>
            </w:r>
          </w:p>
          <w:p>
            <w:pPr>
              <w:spacing w:line="360" w:lineRule="auto"/>
              <w:ind w:firstLine="480" w:firstLineChars="200"/>
              <w:rPr>
                <w:sz w:val="24"/>
                <w:u w:val="single"/>
              </w:rPr>
            </w:pPr>
            <w:r>
              <w:rPr>
                <w:sz w:val="24"/>
                <w:u w:val="single"/>
              </w:rPr>
              <w:t>2、</w:t>
            </w:r>
            <w:r>
              <w:rPr>
                <w:rFonts w:hint="eastAsia"/>
                <w:sz w:val="24"/>
                <w:u w:val="single"/>
                <w:lang w:eastAsia="zh-CN"/>
              </w:rPr>
              <w:t>按照相关法律法规建设符合规范要求的废水排放口</w:t>
            </w:r>
            <w:r>
              <w:rPr>
                <w:rFonts w:hint="eastAsia"/>
                <w:sz w:val="24"/>
                <w:u w:val="single"/>
              </w:rPr>
              <w:t>。</w:t>
            </w:r>
          </w:p>
          <w:p>
            <w:pPr>
              <w:spacing w:line="360" w:lineRule="auto"/>
              <w:ind w:firstLine="480" w:firstLineChars="200"/>
              <w:rPr>
                <w:sz w:val="24"/>
                <w:u w:val="none"/>
              </w:rPr>
            </w:pPr>
            <w:r>
              <w:rPr>
                <w:rFonts w:hint="eastAsia"/>
                <w:sz w:val="24"/>
                <w:u w:val="none"/>
              </w:rPr>
              <w:t>3</w:t>
            </w:r>
            <w:r>
              <w:rPr>
                <w:sz w:val="24"/>
                <w:u w:val="none"/>
              </w:rPr>
              <w:t>、加强对废水排放的定期监测及主要污染物排放的监控和管理</w:t>
            </w:r>
            <w:r>
              <w:rPr>
                <w:rFonts w:hint="eastAsia"/>
                <w:sz w:val="24"/>
                <w:u w:val="none"/>
              </w:rPr>
              <w:t>。</w:t>
            </w:r>
          </w:p>
          <w:p>
            <w:pPr>
              <w:spacing w:line="360" w:lineRule="auto"/>
              <w:ind w:firstLine="480" w:firstLineChars="200"/>
              <w:rPr>
                <w:sz w:val="24"/>
                <w:u w:val="single"/>
              </w:rPr>
            </w:pPr>
            <w:r>
              <w:rPr>
                <w:rFonts w:hint="eastAsia"/>
                <w:sz w:val="24"/>
                <w:u w:val="single"/>
              </w:rPr>
              <w:t>4、院方</w:t>
            </w:r>
            <w:r>
              <w:rPr>
                <w:rFonts w:hint="eastAsia"/>
                <w:sz w:val="24"/>
                <w:u w:val="single"/>
                <w:lang w:eastAsia="zh-CN"/>
              </w:rPr>
              <w:t>在辐射安全许可证到期之后或新增辐射类设备时</w:t>
            </w:r>
            <w:r>
              <w:rPr>
                <w:rFonts w:hint="eastAsia"/>
                <w:sz w:val="24"/>
                <w:u w:val="single"/>
              </w:rPr>
              <w:t>须</w:t>
            </w:r>
            <w:r>
              <w:rPr>
                <w:rFonts w:hint="eastAsia"/>
                <w:sz w:val="24"/>
                <w:u w:val="single"/>
                <w:lang w:eastAsia="zh-CN"/>
              </w:rPr>
              <w:t>立即</w:t>
            </w:r>
            <w:r>
              <w:rPr>
                <w:rFonts w:hint="eastAsia"/>
                <w:sz w:val="24"/>
                <w:u w:val="single"/>
              </w:rPr>
              <w:t>另行委托有资质的环评单位进行，按规定报环保行政主管部门审批并办理相应经营许可证。</w:t>
            </w:r>
          </w:p>
          <w:p>
            <w:pPr>
              <w:spacing w:line="360" w:lineRule="auto"/>
              <w:ind w:firstLine="480" w:firstLineChars="200"/>
              <w:rPr>
                <w:rFonts w:hint="eastAsia"/>
                <w:sz w:val="24"/>
              </w:rPr>
            </w:pPr>
            <w:r>
              <w:rPr>
                <w:rFonts w:hint="eastAsia"/>
                <w:sz w:val="24"/>
              </w:rPr>
              <w:t>5、加强对操作、管理人员的岗位培训，增强安全生产意识和环境保护意识，完善并严格执行各项工作规程，杜绝事故的发生。</w:t>
            </w: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eastAsia="宋体"/>
                <w:sz w:val="24"/>
                <w:lang w:val="en-US" w:eastAsia="zh-CN"/>
              </w:rPr>
            </w:pPr>
            <w:r>
              <w:rPr>
                <w:rFonts w:hint="eastAsia"/>
                <w:sz w:val="24"/>
                <w:lang w:val="en-US" w:eastAsia="zh-CN"/>
              </w:rPr>
              <w:t xml:space="preserve"> </w:t>
            </w:r>
          </w:p>
        </w:tc>
      </w:tr>
    </w:tbl>
    <w:p>
      <w:pPr>
        <w:sectPr>
          <w:pgSz w:w="11906" w:h="16838"/>
          <w:pgMar w:top="1701" w:right="1531" w:bottom="1701" w:left="1531" w:header="851" w:footer="851" w:gutter="0"/>
          <w:cols w:space="720" w:num="1"/>
          <w:docGrid w:linePitch="312" w:charSpace="0"/>
        </w:sectPr>
      </w:pPr>
    </w:p>
    <w:p>
      <w:pPr>
        <w:pStyle w:val="3"/>
      </w:pPr>
      <w:bookmarkStart w:id="22" w:name="_Toc20942"/>
      <w:r>
        <w:t>附表</w:t>
      </w:r>
      <w:bookmarkEnd w:id="22"/>
    </w:p>
    <w:p>
      <w:pPr>
        <w:pStyle w:val="3"/>
        <w:jc w:val="center"/>
        <w:rPr>
          <w:rFonts w:eastAsia="方正小标宋_GBK"/>
          <w:snapToGrid w:val="0"/>
          <w:szCs w:val="38"/>
        </w:rPr>
      </w:pPr>
      <w:bookmarkStart w:id="23" w:name="_Toc26530"/>
      <w:r>
        <w:t>建设项目污染物排放量汇总表</w:t>
      </w:r>
      <w:bookmarkEnd w:id="23"/>
    </w:p>
    <w:tbl>
      <w:tblPr>
        <w:tblStyle w:val="27"/>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8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pPr>
              <w:pStyle w:val="35"/>
              <w:spacing w:beforeLines="0" w:afterLines="0" w:line="240" w:lineRule="auto"/>
              <w:ind w:left="396" w:hanging="396"/>
              <w:jc w:val="right"/>
              <w:rPr>
                <w:rFonts w:ascii="Times New Roman" w:eastAsia="黑体"/>
                <w:snapToGrid w:val="0"/>
                <w:color w:val="000000"/>
                <w:spacing w:val="-6"/>
                <w:kern w:val="21"/>
                <w:szCs w:val="21"/>
              </w:rPr>
            </w:pPr>
            <w:r>
              <w:rPr>
                <w:rFonts w:ascii="Times New Roman" w:eastAsia="黑体"/>
                <w:snapToGrid w:val="0"/>
                <w:color w:val="000000"/>
                <w:spacing w:val="-6"/>
                <w:kern w:val="21"/>
                <w:szCs w:val="21"/>
              </w:rPr>
              <w:t>项目</w:t>
            </w:r>
          </w:p>
          <w:p>
            <w:pPr>
              <w:pStyle w:val="35"/>
              <w:spacing w:beforeLines="0" w:afterLines="0" w:line="240" w:lineRule="auto"/>
              <w:ind w:left="396" w:hanging="396"/>
              <w:jc w:val="left"/>
              <w:rPr>
                <w:rFonts w:ascii="Times New Roman" w:eastAsia="黑体"/>
                <w:snapToGrid w:val="0"/>
                <w:color w:val="000000"/>
                <w:spacing w:val="-6"/>
                <w:kern w:val="21"/>
                <w:szCs w:val="21"/>
              </w:rPr>
            </w:pPr>
            <w:r>
              <w:rPr>
                <w:rFonts w:ascii="Times New Roman" w:eastAsia="黑体"/>
                <w:snapToGrid w:val="0"/>
                <w:color w:val="000000"/>
                <w:spacing w:val="-6"/>
                <w:kern w:val="21"/>
                <w:szCs w:val="21"/>
              </w:rPr>
              <w:t>分类</w:t>
            </w:r>
          </w:p>
        </w:tc>
        <w:tc>
          <w:tcPr>
            <w:tcW w:w="1417" w:type="dxa"/>
            <w:tcMar>
              <w:left w:w="28" w:type="dxa"/>
              <w:right w:w="28" w:type="dxa"/>
            </w:tcMar>
            <w:vAlign w:val="center"/>
          </w:tcPr>
          <w:p>
            <w:pPr>
              <w:pStyle w:val="35"/>
              <w:spacing w:beforeLines="0" w:afterLines="0" w:line="240" w:lineRule="auto"/>
              <w:ind w:left="396" w:hanging="396"/>
              <w:rPr>
                <w:rFonts w:ascii="Times New Roman" w:eastAsia="黑体"/>
                <w:snapToGrid w:val="0"/>
                <w:color w:val="000000"/>
                <w:spacing w:val="-6"/>
                <w:kern w:val="21"/>
                <w:szCs w:val="21"/>
              </w:rPr>
            </w:pPr>
            <w:r>
              <w:rPr>
                <w:rFonts w:ascii="Times New Roman" w:eastAsia="黑体"/>
                <w:snapToGrid w:val="0"/>
                <w:color w:val="000000"/>
                <w:spacing w:val="-6"/>
                <w:kern w:val="21"/>
                <w:szCs w:val="21"/>
              </w:rPr>
              <w:t>污染物名称</w:t>
            </w:r>
          </w:p>
        </w:tc>
        <w:tc>
          <w:tcPr>
            <w:tcW w:w="1701" w:type="dxa"/>
            <w:tcMar>
              <w:left w:w="28" w:type="dxa"/>
              <w:right w:w="28" w:type="dxa"/>
            </w:tcMar>
            <w:vAlign w:val="center"/>
          </w:tcPr>
          <w:p>
            <w:pPr>
              <w:pStyle w:val="35"/>
              <w:spacing w:beforeLines="0" w:afterLines="0" w:line="240" w:lineRule="auto"/>
              <w:ind w:left="396" w:hanging="396"/>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pPr>
              <w:pStyle w:val="35"/>
              <w:spacing w:beforeLines="0" w:afterLines="0" w:line="240" w:lineRule="auto"/>
              <w:ind w:left="396" w:hanging="396"/>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1 \* GB3 \* MERGEFORMAT </w:instrText>
            </w:r>
            <w:r>
              <w:rPr>
                <w:rFonts w:ascii="Times New Roman" w:eastAsia="黑体"/>
                <w:snapToGrid w:val="0"/>
                <w:color w:val="000000"/>
                <w:spacing w:val="-6"/>
                <w:kern w:val="21"/>
                <w:szCs w:val="21"/>
              </w:rPr>
              <w:fldChar w:fldCharType="separate"/>
            </w:r>
            <w:r>
              <w:rPr>
                <w:rFonts w:hint="eastAsia" w:hAnsi="宋体" w:cs="宋体"/>
                <w:kern w:val="2"/>
                <w:szCs w:val="21"/>
              </w:rPr>
              <w:t>①</w:t>
            </w:r>
            <w:r>
              <w:rPr>
                <w:rFonts w:ascii="Times New Roman" w:eastAsia="黑体"/>
                <w:snapToGrid w:val="0"/>
                <w:color w:val="000000"/>
                <w:spacing w:val="-6"/>
                <w:kern w:val="21"/>
                <w:szCs w:val="21"/>
              </w:rPr>
              <w:fldChar w:fldCharType="end"/>
            </w:r>
          </w:p>
        </w:tc>
        <w:tc>
          <w:tcPr>
            <w:tcW w:w="1276" w:type="dxa"/>
            <w:tcMar>
              <w:left w:w="28" w:type="dxa"/>
              <w:right w:w="28" w:type="dxa"/>
            </w:tcMar>
            <w:vAlign w:val="center"/>
          </w:tcPr>
          <w:p>
            <w:pPr>
              <w:pStyle w:val="35"/>
              <w:spacing w:beforeLines="0" w:afterLines="0" w:line="240" w:lineRule="auto"/>
              <w:ind w:left="396" w:hanging="396"/>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pPr>
              <w:pStyle w:val="35"/>
              <w:spacing w:beforeLines="0" w:afterLines="0" w:line="240" w:lineRule="auto"/>
              <w:ind w:left="396" w:hanging="396"/>
              <w:rPr>
                <w:rFonts w:ascii="Times New Roman" w:eastAsia="黑体"/>
                <w:snapToGrid w:val="0"/>
                <w:color w:val="000000"/>
                <w:spacing w:val="-6"/>
                <w:kern w:val="21"/>
                <w:szCs w:val="21"/>
              </w:rPr>
            </w:pPr>
            <w:r>
              <w:rPr>
                <w:rFonts w:ascii="Times New Roman" w:eastAsia="黑体"/>
                <w:snapToGrid w:val="0"/>
                <w:color w:val="000000"/>
                <w:spacing w:val="-6"/>
                <w:kern w:val="21"/>
                <w:szCs w:val="21"/>
              </w:rPr>
              <w:t>许可排放量</w:t>
            </w:r>
          </w:p>
          <w:p>
            <w:pPr>
              <w:pStyle w:val="35"/>
              <w:spacing w:beforeLines="0" w:afterLines="0"/>
              <w:ind w:left="420" w:hanging="420"/>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2 \* GB3 \* MERGEFORMAT </w:instrText>
            </w:r>
            <w:r>
              <w:rPr>
                <w:rFonts w:ascii="Times New Roman" w:eastAsia="黑体"/>
                <w:snapToGrid w:val="0"/>
                <w:color w:val="000000"/>
                <w:spacing w:val="-6"/>
                <w:kern w:val="21"/>
                <w:szCs w:val="21"/>
              </w:rPr>
              <w:fldChar w:fldCharType="separate"/>
            </w:r>
            <w:r>
              <w:rPr>
                <w:rFonts w:hint="eastAsia" w:hAnsi="宋体" w:cs="宋体"/>
                <w:snapToGrid w:val="0"/>
                <w:color w:val="000000"/>
                <w:spacing w:val="-6"/>
                <w:kern w:val="21"/>
                <w:szCs w:val="21"/>
              </w:rPr>
              <w:t>②</w:t>
            </w:r>
            <w:r>
              <w:rPr>
                <w:rFonts w:ascii="Times New Roman" w:eastAsia="黑体"/>
                <w:snapToGrid w:val="0"/>
                <w:color w:val="000000"/>
                <w:spacing w:val="-6"/>
                <w:kern w:val="21"/>
                <w:szCs w:val="21"/>
              </w:rPr>
              <w:fldChar w:fldCharType="end"/>
            </w:r>
          </w:p>
        </w:tc>
        <w:tc>
          <w:tcPr>
            <w:tcW w:w="1701" w:type="dxa"/>
            <w:tcMar>
              <w:left w:w="28" w:type="dxa"/>
              <w:right w:w="28" w:type="dxa"/>
            </w:tcMar>
            <w:vAlign w:val="center"/>
          </w:tcPr>
          <w:p>
            <w:pPr>
              <w:pStyle w:val="35"/>
              <w:spacing w:beforeLines="0" w:afterLines="0" w:line="240" w:lineRule="auto"/>
              <w:ind w:left="396" w:hanging="396"/>
              <w:rPr>
                <w:rFonts w:ascii="Times New Roman" w:eastAsia="黑体"/>
                <w:snapToGrid w:val="0"/>
                <w:color w:val="000000"/>
                <w:spacing w:val="-6"/>
                <w:kern w:val="21"/>
                <w:szCs w:val="21"/>
              </w:rPr>
            </w:pPr>
            <w:r>
              <w:rPr>
                <w:rFonts w:ascii="Times New Roman" w:eastAsia="黑体"/>
                <w:snapToGrid w:val="0"/>
                <w:color w:val="000000"/>
                <w:spacing w:val="-6"/>
                <w:kern w:val="21"/>
                <w:szCs w:val="21"/>
              </w:rPr>
              <w:t>在建工程</w:t>
            </w:r>
          </w:p>
          <w:p>
            <w:pPr>
              <w:pStyle w:val="35"/>
              <w:spacing w:beforeLines="0" w:afterLines="0" w:line="240" w:lineRule="auto"/>
              <w:ind w:left="396" w:hanging="396"/>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3 \* GB3 \* MERGEFORMAT </w:instrText>
            </w:r>
            <w:r>
              <w:rPr>
                <w:rFonts w:ascii="Times New Roman" w:eastAsia="黑体"/>
                <w:snapToGrid w:val="0"/>
                <w:color w:val="000000"/>
                <w:spacing w:val="-6"/>
                <w:kern w:val="21"/>
                <w:szCs w:val="21"/>
              </w:rPr>
              <w:fldChar w:fldCharType="separate"/>
            </w:r>
            <w:r>
              <w:rPr>
                <w:rFonts w:hint="eastAsia" w:hAnsi="宋体" w:cs="宋体"/>
                <w:kern w:val="2"/>
                <w:szCs w:val="21"/>
              </w:rPr>
              <w:t>③</w:t>
            </w:r>
            <w:r>
              <w:rPr>
                <w:rFonts w:ascii="Times New Roman" w:eastAsia="黑体"/>
                <w:snapToGrid w:val="0"/>
                <w:color w:val="000000"/>
                <w:spacing w:val="-6"/>
                <w:kern w:val="21"/>
                <w:szCs w:val="21"/>
              </w:rPr>
              <w:fldChar w:fldCharType="end"/>
            </w:r>
          </w:p>
        </w:tc>
        <w:tc>
          <w:tcPr>
            <w:tcW w:w="1559" w:type="dxa"/>
            <w:tcMar>
              <w:left w:w="28" w:type="dxa"/>
              <w:right w:w="28" w:type="dxa"/>
            </w:tcMar>
            <w:vAlign w:val="center"/>
          </w:tcPr>
          <w:p>
            <w:pPr>
              <w:pStyle w:val="35"/>
              <w:spacing w:beforeLines="0" w:afterLines="0" w:line="240" w:lineRule="auto"/>
              <w:ind w:left="396" w:hanging="396"/>
              <w:rPr>
                <w:rFonts w:ascii="Times New Roman" w:eastAsia="黑体"/>
                <w:snapToGrid w:val="0"/>
                <w:color w:val="000000"/>
                <w:spacing w:val="-6"/>
                <w:kern w:val="21"/>
                <w:szCs w:val="21"/>
              </w:rPr>
            </w:pPr>
            <w:r>
              <w:rPr>
                <w:rFonts w:ascii="Times New Roman" w:eastAsia="黑体"/>
                <w:snapToGrid w:val="0"/>
                <w:color w:val="000000"/>
                <w:spacing w:val="-6"/>
                <w:kern w:val="21"/>
                <w:szCs w:val="21"/>
              </w:rPr>
              <w:t>本项目</w:t>
            </w:r>
          </w:p>
          <w:p>
            <w:pPr>
              <w:pStyle w:val="35"/>
              <w:spacing w:beforeLines="0" w:afterLines="0" w:line="240" w:lineRule="auto"/>
              <w:ind w:left="396" w:hanging="396"/>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4 \* GB3 \* MERGEFORMAT </w:instrText>
            </w:r>
            <w:r>
              <w:rPr>
                <w:rFonts w:ascii="Times New Roman" w:eastAsia="黑体"/>
                <w:snapToGrid w:val="0"/>
                <w:color w:val="000000"/>
                <w:spacing w:val="-6"/>
                <w:kern w:val="21"/>
                <w:szCs w:val="21"/>
              </w:rPr>
              <w:fldChar w:fldCharType="separate"/>
            </w:r>
            <w:r>
              <w:rPr>
                <w:rFonts w:hint="eastAsia" w:hAnsi="宋体" w:cs="宋体"/>
                <w:kern w:val="2"/>
                <w:szCs w:val="21"/>
              </w:rPr>
              <w:t>④</w:t>
            </w:r>
            <w:r>
              <w:rPr>
                <w:rFonts w:ascii="Times New Roman" w:eastAsia="黑体"/>
                <w:snapToGrid w:val="0"/>
                <w:color w:val="000000"/>
                <w:spacing w:val="-6"/>
                <w:kern w:val="21"/>
                <w:szCs w:val="21"/>
              </w:rPr>
              <w:fldChar w:fldCharType="end"/>
            </w:r>
          </w:p>
        </w:tc>
        <w:tc>
          <w:tcPr>
            <w:tcW w:w="1761" w:type="dxa"/>
            <w:tcMar>
              <w:left w:w="28" w:type="dxa"/>
              <w:right w:w="28" w:type="dxa"/>
            </w:tcMar>
            <w:vAlign w:val="center"/>
          </w:tcPr>
          <w:p>
            <w:pPr>
              <w:pStyle w:val="35"/>
              <w:spacing w:beforeLines="0" w:afterLines="0" w:line="240" w:lineRule="auto"/>
              <w:ind w:left="356" w:hanging="356"/>
              <w:rPr>
                <w:rFonts w:ascii="Times New Roman" w:eastAsia="黑体"/>
                <w:snapToGrid w:val="0"/>
                <w:color w:val="000000"/>
                <w:spacing w:val="-16"/>
                <w:kern w:val="21"/>
                <w:szCs w:val="21"/>
              </w:rPr>
            </w:pPr>
            <w:r>
              <w:rPr>
                <w:rFonts w:ascii="Times New Roman" w:eastAsia="黑体"/>
                <w:snapToGrid w:val="0"/>
                <w:color w:val="000000"/>
                <w:spacing w:val="-16"/>
                <w:kern w:val="21"/>
                <w:szCs w:val="21"/>
              </w:rPr>
              <w:t>以新带老削减量</w:t>
            </w:r>
          </w:p>
          <w:p>
            <w:pPr>
              <w:pStyle w:val="35"/>
              <w:spacing w:beforeLines="0" w:afterLines="0" w:line="240" w:lineRule="auto"/>
              <w:ind w:left="356" w:hanging="356"/>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（新建项目不填）</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5 \* GB3 \* MERGEFORMAT </w:instrText>
            </w:r>
            <w:r>
              <w:rPr>
                <w:rFonts w:ascii="Times New Roman" w:eastAsia="黑体"/>
                <w:snapToGrid w:val="0"/>
                <w:color w:val="000000"/>
                <w:spacing w:val="-16"/>
                <w:kern w:val="21"/>
                <w:szCs w:val="21"/>
              </w:rPr>
              <w:fldChar w:fldCharType="separate"/>
            </w:r>
            <w:r>
              <w:rPr>
                <w:rFonts w:hint="eastAsia" w:hAnsi="宋体" w:cs="宋体"/>
                <w:kern w:val="2"/>
                <w:szCs w:val="21"/>
              </w:rPr>
              <w:t>⑤</w:t>
            </w:r>
            <w:r>
              <w:rPr>
                <w:rFonts w:ascii="Times New Roman" w:eastAsia="黑体"/>
                <w:snapToGrid w:val="0"/>
                <w:color w:val="000000"/>
                <w:spacing w:val="-16"/>
                <w:kern w:val="21"/>
                <w:szCs w:val="21"/>
              </w:rPr>
              <w:fldChar w:fldCharType="end"/>
            </w:r>
          </w:p>
        </w:tc>
        <w:tc>
          <w:tcPr>
            <w:tcW w:w="1959" w:type="dxa"/>
            <w:tcMar>
              <w:left w:w="28" w:type="dxa"/>
              <w:right w:w="28" w:type="dxa"/>
            </w:tcMar>
            <w:vAlign w:val="center"/>
          </w:tcPr>
          <w:p>
            <w:pPr>
              <w:pStyle w:val="35"/>
              <w:spacing w:beforeLines="0" w:afterLines="0" w:line="240" w:lineRule="auto"/>
              <w:ind w:left="356" w:hanging="356"/>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本项目建成后</w:t>
            </w:r>
          </w:p>
          <w:p>
            <w:pPr>
              <w:pStyle w:val="35"/>
              <w:spacing w:beforeLines="0" w:afterLines="0" w:line="240" w:lineRule="auto"/>
              <w:ind w:left="356" w:hanging="356"/>
              <w:rPr>
                <w:rFonts w:ascii="Times New Roman" w:eastAsia="黑体"/>
                <w:snapToGrid w:val="0"/>
                <w:color w:val="000000"/>
                <w:spacing w:val="-16"/>
                <w:kern w:val="21"/>
                <w:szCs w:val="21"/>
              </w:rPr>
            </w:pPr>
            <w:r>
              <w:rPr>
                <w:rFonts w:ascii="Times New Roman" w:eastAsia="黑体"/>
                <w:snapToGrid w:val="0"/>
                <w:color w:val="000000"/>
                <w:spacing w:val="-16"/>
                <w:kern w:val="21"/>
                <w:szCs w:val="21"/>
              </w:rPr>
              <w:t>全厂排放量（固体废物产生量）</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6 \* GB3 \* MERGEFORMAT </w:instrText>
            </w:r>
            <w:r>
              <w:rPr>
                <w:rFonts w:ascii="Times New Roman" w:eastAsia="黑体"/>
                <w:snapToGrid w:val="0"/>
                <w:color w:val="000000"/>
                <w:spacing w:val="-16"/>
                <w:kern w:val="21"/>
                <w:szCs w:val="21"/>
              </w:rPr>
              <w:fldChar w:fldCharType="separate"/>
            </w:r>
            <w:r>
              <w:rPr>
                <w:rFonts w:hint="eastAsia" w:hAnsi="宋体" w:cs="宋体"/>
                <w:kern w:val="2"/>
                <w:szCs w:val="21"/>
              </w:rPr>
              <w:t>⑥</w:t>
            </w:r>
            <w:r>
              <w:rPr>
                <w:rFonts w:ascii="Times New Roman" w:eastAsia="黑体"/>
                <w:snapToGrid w:val="0"/>
                <w:color w:val="000000"/>
                <w:spacing w:val="-16"/>
                <w:kern w:val="21"/>
                <w:szCs w:val="21"/>
              </w:rPr>
              <w:fldChar w:fldCharType="end"/>
            </w:r>
          </w:p>
        </w:tc>
        <w:tc>
          <w:tcPr>
            <w:tcW w:w="826" w:type="dxa"/>
            <w:tcMar>
              <w:left w:w="28" w:type="dxa"/>
              <w:right w:w="28" w:type="dxa"/>
            </w:tcMar>
            <w:vAlign w:val="center"/>
          </w:tcPr>
          <w:p>
            <w:pPr>
              <w:pStyle w:val="35"/>
              <w:spacing w:beforeLines="0" w:afterLines="0" w:line="240" w:lineRule="auto"/>
              <w:ind w:left="396" w:hanging="396"/>
              <w:rPr>
                <w:rFonts w:ascii="Times New Roman" w:eastAsia="黑体"/>
                <w:snapToGrid w:val="0"/>
                <w:color w:val="000000"/>
                <w:spacing w:val="-6"/>
                <w:kern w:val="21"/>
                <w:szCs w:val="21"/>
              </w:rPr>
            </w:pPr>
            <w:r>
              <w:rPr>
                <w:rFonts w:ascii="Times New Roman" w:eastAsia="黑体"/>
                <w:snapToGrid w:val="0"/>
                <w:color w:val="000000"/>
                <w:spacing w:val="-6"/>
                <w:kern w:val="21"/>
                <w:szCs w:val="21"/>
              </w:rPr>
              <w:t>变化量</w:t>
            </w:r>
          </w:p>
          <w:p>
            <w:pPr>
              <w:pStyle w:val="35"/>
              <w:spacing w:beforeLines="0" w:afterLines="0" w:line="240" w:lineRule="auto"/>
              <w:ind w:left="420" w:hanging="420"/>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7 \* GB3 \* MERGEFORMAT </w:instrText>
            </w:r>
            <w:r>
              <w:rPr>
                <w:rFonts w:ascii="Times New Roman" w:eastAsia="黑体"/>
                <w:snapToGrid w:val="0"/>
                <w:color w:val="000000"/>
                <w:spacing w:val="-6"/>
                <w:kern w:val="21"/>
                <w:szCs w:val="21"/>
              </w:rPr>
              <w:fldChar w:fldCharType="separate"/>
            </w:r>
            <w:r>
              <w:rPr>
                <w:rFonts w:hint="eastAsia" w:hAnsi="宋体" w:cs="宋体"/>
                <w:kern w:val="2"/>
                <w:szCs w:val="21"/>
              </w:rPr>
              <w:t>⑦</w:t>
            </w:r>
            <w:r>
              <w:rPr>
                <w:rFonts w:ascii="Times New Roman" w:eastAsia="黑体"/>
                <w:snapToGrid w:val="0"/>
                <w:color w:val="00000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废气</w:t>
            </w:r>
          </w:p>
        </w:tc>
        <w:tc>
          <w:tcPr>
            <w:tcW w:w="1417" w:type="dxa"/>
            <w:vAlign w:val="center"/>
          </w:tcPr>
          <w:p>
            <w:pPr>
              <w:widowControl/>
              <w:jc w:val="center"/>
              <w:textAlignment w:val="center"/>
              <w:rPr>
                <w:b/>
                <w:color w:val="000000"/>
                <w:sz w:val="18"/>
                <w:szCs w:val="18"/>
              </w:rPr>
            </w:pPr>
            <w:r>
              <w:rPr>
                <w:bCs/>
                <w:color w:val="000000"/>
                <w:kern w:val="0"/>
                <w:sz w:val="18"/>
                <w:szCs w:val="18"/>
                <w:lang w:bidi="ar"/>
              </w:rPr>
              <w:t>废气量（万标立方米</w:t>
            </w:r>
            <w:r>
              <w:rPr>
                <w:rStyle w:val="73"/>
                <w:b w:val="0"/>
                <w:bCs/>
                <w:lang w:bidi="ar"/>
              </w:rPr>
              <w:t>/</w:t>
            </w:r>
            <w:r>
              <w:rPr>
                <w:bCs/>
                <w:color w:val="000000"/>
                <w:kern w:val="0"/>
                <w:sz w:val="18"/>
                <w:szCs w:val="18"/>
                <w:lang w:bidi="ar"/>
              </w:rPr>
              <w:t>年）</w:t>
            </w:r>
          </w:p>
        </w:tc>
        <w:tc>
          <w:tcPr>
            <w:tcW w:w="1701"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1761"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1959"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826"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ind w:left="420" w:hanging="420"/>
              <w:rPr>
                <w:rFonts w:ascii="Times New Roman"/>
                <w:snapToGrid w:val="0"/>
                <w:color w:val="000000"/>
                <w:kern w:val="21"/>
                <w:szCs w:val="21"/>
              </w:rPr>
            </w:pPr>
          </w:p>
        </w:tc>
        <w:tc>
          <w:tcPr>
            <w:tcW w:w="1417" w:type="dxa"/>
            <w:vAlign w:val="center"/>
          </w:tcPr>
          <w:p>
            <w:pPr>
              <w:widowControl/>
              <w:jc w:val="center"/>
              <w:textAlignment w:val="center"/>
              <w:rPr>
                <w:bCs/>
                <w:snapToGrid w:val="0"/>
                <w:color w:val="000000"/>
                <w:kern w:val="21"/>
                <w:szCs w:val="21"/>
              </w:rPr>
            </w:pPr>
            <w:r>
              <w:rPr>
                <w:rStyle w:val="72"/>
                <w:rFonts w:hint="default" w:ascii="Times New Roman" w:hAnsi="Times New Roman" w:cs="Times New Roman"/>
                <w:b w:val="0"/>
                <w:bCs/>
                <w:lang w:bidi="ar"/>
              </w:rPr>
              <w:t>二氧化硫</w:t>
            </w:r>
          </w:p>
        </w:tc>
        <w:tc>
          <w:tcPr>
            <w:tcW w:w="1701"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1761"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1959"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826"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ind w:left="420" w:hanging="420"/>
              <w:rPr>
                <w:rFonts w:ascii="Times New Roman"/>
                <w:snapToGrid w:val="0"/>
                <w:color w:val="000000"/>
                <w:kern w:val="21"/>
                <w:szCs w:val="21"/>
              </w:rPr>
            </w:pPr>
          </w:p>
        </w:tc>
        <w:tc>
          <w:tcPr>
            <w:tcW w:w="1417" w:type="dxa"/>
            <w:vAlign w:val="center"/>
          </w:tcPr>
          <w:p>
            <w:pPr>
              <w:widowControl/>
              <w:jc w:val="center"/>
              <w:textAlignment w:val="center"/>
              <w:rPr>
                <w:bCs/>
                <w:snapToGrid w:val="0"/>
                <w:color w:val="000000"/>
                <w:kern w:val="21"/>
                <w:szCs w:val="21"/>
              </w:rPr>
            </w:pPr>
            <w:r>
              <w:rPr>
                <w:rStyle w:val="72"/>
                <w:rFonts w:hint="default" w:ascii="Times New Roman" w:hAnsi="Times New Roman" w:cs="Times New Roman"/>
                <w:b w:val="0"/>
                <w:bCs/>
                <w:lang w:bidi="ar"/>
              </w:rPr>
              <w:t>氮氧化物</w:t>
            </w:r>
          </w:p>
        </w:tc>
        <w:tc>
          <w:tcPr>
            <w:tcW w:w="1701"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1761"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1959"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826"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ind w:left="420" w:hanging="420"/>
              <w:rPr>
                <w:rFonts w:ascii="Times New Roman"/>
                <w:snapToGrid w:val="0"/>
                <w:color w:val="000000"/>
                <w:kern w:val="21"/>
                <w:szCs w:val="21"/>
              </w:rPr>
            </w:pPr>
          </w:p>
        </w:tc>
        <w:tc>
          <w:tcPr>
            <w:tcW w:w="1417" w:type="dxa"/>
            <w:vAlign w:val="center"/>
          </w:tcPr>
          <w:p>
            <w:pPr>
              <w:widowControl/>
              <w:jc w:val="center"/>
              <w:textAlignment w:val="center"/>
              <w:rPr>
                <w:bCs/>
                <w:snapToGrid w:val="0"/>
                <w:color w:val="000000"/>
                <w:kern w:val="21"/>
                <w:szCs w:val="21"/>
              </w:rPr>
            </w:pPr>
            <w:r>
              <w:rPr>
                <w:rStyle w:val="72"/>
                <w:rFonts w:hint="default" w:ascii="Times New Roman" w:hAnsi="Times New Roman" w:cs="Times New Roman"/>
                <w:b w:val="0"/>
                <w:bCs/>
                <w:lang w:bidi="ar"/>
              </w:rPr>
              <w:t>颗粒物</w:t>
            </w:r>
          </w:p>
        </w:tc>
        <w:tc>
          <w:tcPr>
            <w:tcW w:w="1701"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1761"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1959"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c>
          <w:tcPr>
            <w:tcW w:w="826"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废水</w:t>
            </w:r>
          </w:p>
        </w:tc>
        <w:tc>
          <w:tcPr>
            <w:tcW w:w="1417" w:type="dxa"/>
            <w:vAlign w:val="center"/>
          </w:tcPr>
          <w:p>
            <w:pPr>
              <w:widowControl/>
              <w:jc w:val="center"/>
              <w:textAlignment w:val="center"/>
              <w:rPr>
                <w:bCs/>
                <w:snapToGrid w:val="0"/>
                <w:color w:val="000000"/>
                <w:kern w:val="21"/>
                <w:szCs w:val="21"/>
              </w:rPr>
            </w:pPr>
            <w:r>
              <w:rPr>
                <w:bCs/>
                <w:color w:val="000000"/>
                <w:kern w:val="0"/>
                <w:sz w:val="18"/>
                <w:szCs w:val="18"/>
                <w:lang w:bidi="ar"/>
              </w:rPr>
              <w:t>废水量(万吨/年)</w:t>
            </w:r>
          </w:p>
        </w:tc>
        <w:tc>
          <w:tcPr>
            <w:tcW w:w="170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276" w:type="dxa"/>
            <w:vAlign w:val="center"/>
          </w:tcPr>
          <w:p>
            <w:pPr>
              <w:pStyle w:val="35"/>
              <w:spacing w:beforeLines="0" w:afterLines="0" w:line="240" w:lineRule="auto"/>
              <w:ind w:left="420" w:hanging="420"/>
              <w:rPr>
                <w:rFonts w:hint="default" w:ascii="Times New Roman" w:eastAsia="宋体"/>
                <w:snapToGrid w:val="0"/>
                <w:color w:val="000000"/>
                <w:kern w:val="21"/>
                <w:szCs w:val="21"/>
                <w:u w:val="single"/>
                <w:lang w:val="en-US" w:eastAsia="zh-CN"/>
              </w:rPr>
            </w:pPr>
            <w:r>
              <w:rPr>
                <w:rFonts w:hint="eastAsia" w:ascii="Times New Roman"/>
                <w:snapToGrid w:val="0"/>
                <w:color w:val="000000"/>
                <w:kern w:val="21"/>
                <w:szCs w:val="21"/>
                <w:u w:val="single"/>
                <w:lang w:val="en-US" w:eastAsia="zh-CN"/>
              </w:rPr>
              <w:t>0.6216</w:t>
            </w:r>
          </w:p>
        </w:tc>
        <w:tc>
          <w:tcPr>
            <w:tcW w:w="170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559" w:type="dxa"/>
            <w:vAlign w:val="center"/>
          </w:tcPr>
          <w:p>
            <w:pPr>
              <w:pStyle w:val="35"/>
              <w:spacing w:beforeLines="0" w:afterLines="0" w:line="240" w:lineRule="auto"/>
              <w:ind w:left="420" w:hanging="420"/>
              <w:rPr>
                <w:rFonts w:hint="default" w:ascii="Times New Roman" w:eastAsia="宋体"/>
                <w:snapToGrid w:val="0"/>
                <w:color w:val="000000"/>
                <w:kern w:val="21"/>
                <w:szCs w:val="21"/>
                <w:u w:val="single"/>
                <w:lang w:val="en-US" w:eastAsia="zh-CN"/>
              </w:rPr>
            </w:pPr>
            <w:r>
              <w:rPr>
                <w:rFonts w:hint="eastAsia" w:ascii="Times New Roman"/>
                <w:snapToGrid w:val="0"/>
                <w:color w:val="000000"/>
                <w:kern w:val="21"/>
                <w:szCs w:val="21"/>
                <w:u w:val="single"/>
                <w:lang w:val="en-US" w:eastAsia="zh-CN"/>
              </w:rPr>
              <w:t>0.7539</w:t>
            </w:r>
          </w:p>
        </w:tc>
        <w:tc>
          <w:tcPr>
            <w:tcW w:w="176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959" w:type="dxa"/>
            <w:vAlign w:val="center"/>
          </w:tcPr>
          <w:p>
            <w:pPr>
              <w:pStyle w:val="35"/>
              <w:spacing w:beforeLines="0" w:afterLines="0" w:line="240" w:lineRule="auto"/>
              <w:ind w:left="420" w:leftChars="0" w:hanging="420" w:hangingChars="200"/>
              <w:rPr>
                <w:rFonts w:ascii="Times New Roman"/>
                <w:snapToGrid w:val="0"/>
                <w:color w:val="000000"/>
                <w:kern w:val="21"/>
                <w:szCs w:val="21"/>
                <w:u w:val="single"/>
              </w:rPr>
            </w:pPr>
            <w:r>
              <w:rPr>
                <w:rFonts w:hint="eastAsia" w:ascii="Times New Roman"/>
                <w:snapToGrid w:val="0"/>
                <w:color w:val="000000"/>
                <w:kern w:val="21"/>
                <w:szCs w:val="21"/>
                <w:u w:val="single"/>
                <w:lang w:val="en-US" w:eastAsia="zh-CN"/>
              </w:rPr>
              <w:t>0.7539</w:t>
            </w:r>
          </w:p>
        </w:tc>
        <w:tc>
          <w:tcPr>
            <w:tcW w:w="826"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default" w:ascii="Times New Roman" w:eastAsia="宋体"/>
                <w:snapToGrid w:val="0"/>
                <w:color w:val="000000"/>
                <w:kern w:val="21"/>
                <w:szCs w:val="21"/>
                <w:u w:val="single"/>
                <w:lang w:val="en-US" w:eastAsia="zh-CN"/>
              </w:rPr>
            </w:pPr>
            <w:r>
              <w:rPr>
                <w:rFonts w:hint="eastAsia" w:ascii="Times New Roman"/>
                <w:snapToGrid w:val="0"/>
                <w:color w:val="000000"/>
                <w:kern w:val="21"/>
                <w:szCs w:val="21"/>
                <w:u w:val="single"/>
                <w:lang w:val="en-US" w:eastAsia="zh-CN"/>
              </w:rPr>
              <w:t>+0.1323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ind w:left="420" w:hanging="420"/>
              <w:rPr>
                <w:rFonts w:ascii="Times New Roman"/>
                <w:snapToGrid w:val="0"/>
                <w:color w:val="000000"/>
                <w:kern w:val="21"/>
                <w:szCs w:val="21"/>
              </w:rPr>
            </w:pPr>
          </w:p>
        </w:tc>
        <w:tc>
          <w:tcPr>
            <w:tcW w:w="1417" w:type="dxa"/>
            <w:vAlign w:val="center"/>
          </w:tcPr>
          <w:p>
            <w:pPr>
              <w:widowControl/>
              <w:jc w:val="center"/>
              <w:textAlignment w:val="center"/>
              <w:rPr>
                <w:bCs/>
                <w:snapToGrid w:val="0"/>
                <w:color w:val="000000"/>
                <w:kern w:val="21"/>
                <w:szCs w:val="21"/>
              </w:rPr>
            </w:pPr>
            <w:r>
              <w:rPr>
                <w:bCs/>
                <w:color w:val="000000"/>
                <w:kern w:val="0"/>
                <w:sz w:val="18"/>
                <w:szCs w:val="18"/>
                <w:lang w:bidi="ar"/>
              </w:rPr>
              <w:t>COD(吨/年)</w:t>
            </w:r>
          </w:p>
        </w:tc>
        <w:tc>
          <w:tcPr>
            <w:tcW w:w="170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276" w:type="dxa"/>
            <w:vAlign w:val="center"/>
          </w:tcPr>
          <w:p>
            <w:pPr>
              <w:pStyle w:val="35"/>
              <w:spacing w:beforeLines="0" w:afterLines="0" w:line="240" w:lineRule="auto"/>
              <w:ind w:left="420" w:hanging="420"/>
              <w:rPr>
                <w:rFonts w:hint="default" w:ascii="Times New Roman" w:eastAsia="宋体"/>
                <w:snapToGrid w:val="0"/>
                <w:color w:val="000000"/>
                <w:kern w:val="21"/>
                <w:szCs w:val="21"/>
                <w:u w:val="single"/>
                <w:lang w:val="en-US" w:eastAsia="zh-CN"/>
              </w:rPr>
            </w:pPr>
            <w:r>
              <w:rPr>
                <w:rFonts w:hint="eastAsia" w:ascii="Times New Roman"/>
                <w:snapToGrid w:val="0"/>
                <w:color w:val="000000"/>
                <w:kern w:val="21"/>
                <w:szCs w:val="21"/>
                <w:u w:val="single"/>
              </w:rPr>
              <w:t>0.</w:t>
            </w:r>
            <w:r>
              <w:rPr>
                <w:rFonts w:hint="eastAsia" w:ascii="Times New Roman"/>
                <w:snapToGrid w:val="0"/>
                <w:color w:val="000000"/>
                <w:kern w:val="21"/>
                <w:szCs w:val="21"/>
                <w:u w:val="single"/>
                <w:lang w:val="en-US" w:eastAsia="zh-CN"/>
              </w:rPr>
              <w:t>1057</w:t>
            </w:r>
          </w:p>
        </w:tc>
        <w:tc>
          <w:tcPr>
            <w:tcW w:w="170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559" w:type="dxa"/>
            <w:vAlign w:val="center"/>
          </w:tcPr>
          <w:p>
            <w:pPr>
              <w:pStyle w:val="35"/>
              <w:spacing w:beforeLines="0" w:afterLines="0" w:line="240" w:lineRule="auto"/>
              <w:ind w:left="420" w:hanging="420"/>
              <w:rPr>
                <w:rFonts w:hint="default" w:ascii="Times New Roman" w:eastAsia="宋体"/>
                <w:snapToGrid w:val="0"/>
                <w:color w:val="000000"/>
                <w:kern w:val="21"/>
                <w:szCs w:val="21"/>
                <w:u w:val="single"/>
                <w:lang w:val="en-US" w:eastAsia="zh-CN"/>
              </w:rPr>
            </w:pPr>
            <w:r>
              <w:rPr>
                <w:rFonts w:hint="eastAsia" w:ascii="Times New Roman"/>
                <w:snapToGrid w:val="0"/>
                <w:color w:val="000000"/>
                <w:kern w:val="21"/>
                <w:szCs w:val="21"/>
                <w:u w:val="single"/>
              </w:rPr>
              <w:t>0.</w:t>
            </w:r>
            <w:r>
              <w:rPr>
                <w:rFonts w:hint="eastAsia" w:ascii="Times New Roman"/>
                <w:snapToGrid w:val="0"/>
                <w:color w:val="000000"/>
                <w:kern w:val="21"/>
                <w:szCs w:val="21"/>
                <w:u w:val="single"/>
                <w:lang w:val="en-US" w:eastAsia="zh-CN"/>
              </w:rPr>
              <w:t>1282</w:t>
            </w:r>
          </w:p>
        </w:tc>
        <w:tc>
          <w:tcPr>
            <w:tcW w:w="176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959" w:type="dxa"/>
            <w:vAlign w:val="center"/>
          </w:tcPr>
          <w:p>
            <w:pPr>
              <w:pStyle w:val="35"/>
              <w:spacing w:beforeLines="0" w:afterLines="0" w:line="240" w:lineRule="auto"/>
              <w:ind w:left="420" w:leftChars="0" w:hanging="420" w:hangingChars="200"/>
              <w:rPr>
                <w:rFonts w:ascii="Times New Roman"/>
                <w:snapToGrid w:val="0"/>
                <w:color w:val="000000"/>
                <w:kern w:val="21"/>
                <w:szCs w:val="21"/>
                <w:u w:val="single"/>
              </w:rPr>
            </w:pPr>
            <w:r>
              <w:rPr>
                <w:rFonts w:hint="eastAsia" w:ascii="Times New Roman"/>
                <w:snapToGrid w:val="0"/>
                <w:color w:val="000000"/>
                <w:kern w:val="21"/>
                <w:szCs w:val="21"/>
                <w:u w:val="single"/>
              </w:rPr>
              <w:t>0.</w:t>
            </w:r>
            <w:r>
              <w:rPr>
                <w:rFonts w:hint="eastAsia" w:ascii="Times New Roman"/>
                <w:snapToGrid w:val="0"/>
                <w:color w:val="000000"/>
                <w:kern w:val="21"/>
                <w:szCs w:val="21"/>
                <w:u w:val="single"/>
                <w:lang w:val="en-US" w:eastAsia="zh-CN"/>
              </w:rPr>
              <w:t>1282</w:t>
            </w:r>
          </w:p>
        </w:tc>
        <w:tc>
          <w:tcPr>
            <w:tcW w:w="826"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default" w:ascii="Times New Roman" w:eastAsia="宋体"/>
                <w:snapToGrid w:val="0"/>
                <w:color w:val="000000"/>
                <w:kern w:val="21"/>
                <w:szCs w:val="21"/>
                <w:u w:val="single"/>
                <w:lang w:val="en-US" w:eastAsia="zh-CN"/>
              </w:rPr>
            </w:pPr>
            <w:r>
              <w:rPr>
                <w:rFonts w:hint="eastAsia" w:ascii="Times New Roman"/>
                <w:snapToGrid w:val="0"/>
                <w:color w:val="000000"/>
                <w:kern w:val="21"/>
                <w:szCs w:val="21"/>
                <w:u w:val="single"/>
              </w:rPr>
              <w:t>+0.</w:t>
            </w:r>
            <w:r>
              <w:rPr>
                <w:rFonts w:hint="eastAsia" w:ascii="Times New Roman"/>
                <w:snapToGrid w:val="0"/>
                <w:color w:val="000000"/>
                <w:kern w:val="21"/>
                <w:szCs w:val="21"/>
                <w:u w:val="single"/>
                <w:lang w:val="en-US" w:eastAsia="zh-CN"/>
              </w:rPr>
              <w:t>0225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ind w:left="420" w:hanging="420"/>
              <w:rPr>
                <w:rFonts w:ascii="Times New Roman"/>
                <w:snapToGrid w:val="0"/>
                <w:color w:val="000000"/>
                <w:kern w:val="21"/>
                <w:szCs w:val="21"/>
              </w:rPr>
            </w:pPr>
          </w:p>
        </w:tc>
        <w:tc>
          <w:tcPr>
            <w:tcW w:w="1417" w:type="dxa"/>
            <w:vAlign w:val="center"/>
          </w:tcPr>
          <w:p>
            <w:pPr>
              <w:widowControl/>
              <w:jc w:val="center"/>
              <w:textAlignment w:val="center"/>
              <w:rPr>
                <w:bCs/>
                <w:snapToGrid w:val="0"/>
                <w:color w:val="000000"/>
                <w:kern w:val="21"/>
                <w:szCs w:val="21"/>
              </w:rPr>
            </w:pPr>
            <w:r>
              <w:rPr>
                <w:bCs/>
                <w:color w:val="000000"/>
                <w:kern w:val="0"/>
                <w:sz w:val="18"/>
                <w:szCs w:val="18"/>
                <w:lang w:bidi="ar"/>
              </w:rPr>
              <w:t>氨氮(吨/年)</w:t>
            </w:r>
          </w:p>
        </w:tc>
        <w:tc>
          <w:tcPr>
            <w:tcW w:w="170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276" w:type="dxa"/>
            <w:vAlign w:val="center"/>
          </w:tcPr>
          <w:p>
            <w:pPr>
              <w:pStyle w:val="35"/>
              <w:spacing w:beforeLines="0" w:afterLines="0" w:line="240" w:lineRule="auto"/>
              <w:ind w:left="420" w:hanging="420"/>
              <w:rPr>
                <w:rFonts w:hint="eastAsia" w:ascii="Times New Roman" w:eastAsia="宋体"/>
                <w:snapToGrid w:val="0"/>
                <w:color w:val="000000"/>
                <w:kern w:val="21"/>
                <w:szCs w:val="21"/>
                <w:u w:val="single"/>
                <w:lang w:eastAsia="zh-CN"/>
              </w:rPr>
            </w:pPr>
            <w:r>
              <w:rPr>
                <w:rFonts w:hint="eastAsia" w:ascii="Times New Roman"/>
                <w:snapToGrid w:val="0"/>
                <w:color w:val="000000"/>
                <w:kern w:val="21"/>
                <w:szCs w:val="21"/>
                <w:u w:val="single"/>
              </w:rPr>
              <w:t>0.00</w:t>
            </w:r>
            <w:r>
              <w:rPr>
                <w:rFonts w:hint="eastAsia" w:ascii="Times New Roman"/>
                <w:snapToGrid w:val="0"/>
                <w:color w:val="000000"/>
                <w:kern w:val="21"/>
                <w:szCs w:val="21"/>
                <w:u w:val="single"/>
                <w:lang w:val="en-US" w:eastAsia="zh-CN"/>
              </w:rPr>
              <w:t>04</w:t>
            </w:r>
          </w:p>
        </w:tc>
        <w:tc>
          <w:tcPr>
            <w:tcW w:w="170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559" w:type="dxa"/>
            <w:vAlign w:val="center"/>
          </w:tcPr>
          <w:p>
            <w:pPr>
              <w:pStyle w:val="35"/>
              <w:spacing w:beforeLines="0" w:afterLines="0" w:line="240" w:lineRule="auto"/>
              <w:ind w:left="420" w:hanging="420"/>
              <w:rPr>
                <w:rFonts w:hint="default" w:ascii="Times New Roman" w:eastAsia="宋体"/>
                <w:snapToGrid w:val="0"/>
                <w:color w:val="000000"/>
                <w:kern w:val="21"/>
                <w:szCs w:val="21"/>
                <w:u w:val="single"/>
                <w:lang w:val="en-US" w:eastAsia="zh-CN"/>
              </w:rPr>
            </w:pPr>
            <w:r>
              <w:rPr>
                <w:rFonts w:hint="eastAsia" w:ascii="Times New Roman"/>
                <w:snapToGrid w:val="0"/>
                <w:color w:val="000000"/>
                <w:kern w:val="21"/>
                <w:szCs w:val="21"/>
                <w:u w:val="single"/>
              </w:rPr>
              <w:t>0.00</w:t>
            </w:r>
            <w:r>
              <w:rPr>
                <w:rFonts w:hint="eastAsia" w:ascii="Times New Roman"/>
                <w:snapToGrid w:val="0"/>
                <w:color w:val="000000"/>
                <w:kern w:val="21"/>
                <w:szCs w:val="21"/>
                <w:u w:val="single"/>
                <w:lang w:val="en-US" w:eastAsia="zh-CN"/>
              </w:rPr>
              <w:t>05</w:t>
            </w:r>
          </w:p>
        </w:tc>
        <w:tc>
          <w:tcPr>
            <w:tcW w:w="176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959" w:type="dxa"/>
            <w:vAlign w:val="center"/>
          </w:tcPr>
          <w:p>
            <w:pPr>
              <w:pStyle w:val="35"/>
              <w:spacing w:beforeLines="0" w:afterLines="0" w:line="240" w:lineRule="auto"/>
              <w:ind w:left="420" w:leftChars="0" w:hanging="420" w:hangingChars="200"/>
              <w:rPr>
                <w:rFonts w:ascii="Times New Roman"/>
                <w:snapToGrid w:val="0"/>
                <w:color w:val="000000"/>
                <w:kern w:val="21"/>
                <w:szCs w:val="21"/>
                <w:u w:val="single"/>
              </w:rPr>
            </w:pPr>
            <w:r>
              <w:rPr>
                <w:rFonts w:hint="eastAsia" w:ascii="Times New Roman"/>
                <w:snapToGrid w:val="0"/>
                <w:color w:val="000000"/>
                <w:kern w:val="21"/>
                <w:szCs w:val="21"/>
                <w:u w:val="single"/>
              </w:rPr>
              <w:t>0.00</w:t>
            </w:r>
            <w:r>
              <w:rPr>
                <w:rFonts w:hint="eastAsia" w:ascii="Times New Roman"/>
                <w:snapToGrid w:val="0"/>
                <w:color w:val="000000"/>
                <w:kern w:val="21"/>
                <w:szCs w:val="21"/>
                <w:u w:val="single"/>
                <w:lang w:val="en-US" w:eastAsia="zh-CN"/>
              </w:rPr>
              <w:t>05</w:t>
            </w:r>
          </w:p>
        </w:tc>
        <w:tc>
          <w:tcPr>
            <w:tcW w:w="826"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eastAsia" w:ascii="Times New Roman" w:eastAsia="宋体"/>
                <w:snapToGrid w:val="0"/>
                <w:color w:val="000000"/>
                <w:kern w:val="21"/>
                <w:szCs w:val="21"/>
                <w:u w:val="single"/>
                <w:lang w:eastAsia="zh-CN"/>
              </w:rPr>
            </w:pPr>
            <w:r>
              <w:rPr>
                <w:rFonts w:hint="eastAsia" w:ascii="Times New Roman"/>
                <w:snapToGrid w:val="0"/>
                <w:color w:val="000000"/>
                <w:kern w:val="21"/>
                <w:szCs w:val="21"/>
                <w:u w:val="single"/>
              </w:rPr>
              <w:t>+0.000</w:t>
            </w:r>
            <w:r>
              <w:rPr>
                <w:rFonts w:hint="eastAsia" w:ascii="Times New Roman"/>
                <w:snapToGrid w:val="0"/>
                <w:color w:val="000000"/>
                <w:kern w:val="21"/>
                <w:szCs w:val="21"/>
                <w:u w:val="single"/>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ind w:left="420" w:hanging="420"/>
              <w:rPr>
                <w:rFonts w:ascii="Times New Roman"/>
                <w:snapToGrid w:val="0"/>
                <w:color w:val="000000"/>
                <w:kern w:val="21"/>
                <w:szCs w:val="21"/>
              </w:rPr>
            </w:pPr>
          </w:p>
        </w:tc>
        <w:tc>
          <w:tcPr>
            <w:tcW w:w="1417" w:type="dxa"/>
            <w:vAlign w:val="center"/>
          </w:tcPr>
          <w:p>
            <w:pPr>
              <w:widowControl/>
              <w:jc w:val="center"/>
              <w:textAlignment w:val="center"/>
              <w:rPr>
                <w:bCs/>
                <w:snapToGrid w:val="0"/>
                <w:color w:val="000000"/>
                <w:kern w:val="21"/>
                <w:szCs w:val="21"/>
              </w:rPr>
            </w:pPr>
            <w:r>
              <w:rPr>
                <w:bCs/>
                <w:color w:val="000000"/>
                <w:kern w:val="0"/>
                <w:sz w:val="18"/>
                <w:szCs w:val="18"/>
                <w:lang w:bidi="ar"/>
              </w:rPr>
              <w:t>总磷(吨/年)</w:t>
            </w:r>
          </w:p>
        </w:tc>
        <w:tc>
          <w:tcPr>
            <w:tcW w:w="170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276" w:type="dxa"/>
            <w:vAlign w:val="center"/>
          </w:tcPr>
          <w:p>
            <w:pPr>
              <w:pStyle w:val="35"/>
              <w:spacing w:beforeLines="0" w:afterLines="0" w:line="240" w:lineRule="auto"/>
              <w:ind w:left="420" w:hanging="420"/>
              <w:rPr>
                <w:rFonts w:hint="eastAsia" w:ascii="Times New Roman" w:eastAsia="宋体"/>
                <w:snapToGrid w:val="0"/>
                <w:color w:val="000000"/>
                <w:kern w:val="21"/>
                <w:szCs w:val="21"/>
                <w:u w:val="single"/>
                <w:lang w:eastAsia="zh-CN"/>
              </w:rPr>
            </w:pPr>
            <w:r>
              <w:rPr>
                <w:rFonts w:hint="eastAsia" w:ascii="Times New Roman"/>
                <w:snapToGrid w:val="0"/>
                <w:color w:val="000000"/>
                <w:kern w:val="21"/>
                <w:szCs w:val="21"/>
                <w:u w:val="single"/>
              </w:rPr>
              <w:t>0.000</w:t>
            </w:r>
            <w:r>
              <w:rPr>
                <w:rFonts w:hint="eastAsia" w:ascii="Times New Roman"/>
                <w:snapToGrid w:val="0"/>
                <w:color w:val="000000"/>
                <w:kern w:val="21"/>
                <w:szCs w:val="21"/>
                <w:u w:val="single"/>
                <w:lang w:val="en-US" w:eastAsia="zh-CN"/>
              </w:rPr>
              <w:t>075</w:t>
            </w:r>
          </w:p>
        </w:tc>
        <w:tc>
          <w:tcPr>
            <w:tcW w:w="170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559" w:type="dxa"/>
            <w:vAlign w:val="center"/>
          </w:tcPr>
          <w:p>
            <w:pPr>
              <w:pStyle w:val="35"/>
              <w:spacing w:beforeLines="0" w:afterLines="0" w:line="240" w:lineRule="auto"/>
              <w:ind w:left="420" w:hanging="420"/>
              <w:rPr>
                <w:rFonts w:hint="default" w:ascii="Times New Roman" w:eastAsia="宋体"/>
                <w:snapToGrid w:val="0"/>
                <w:color w:val="000000"/>
                <w:kern w:val="21"/>
                <w:szCs w:val="21"/>
                <w:u w:val="single"/>
                <w:lang w:val="en-US" w:eastAsia="zh-CN"/>
              </w:rPr>
            </w:pPr>
            <w:r>
              <w:rPr>
                <w:rFonts w:hint="eastAsia" w:ascii="Times New Roman"/>
                <w:snapToGrid w:val="0"/>
                <w:color w:val="000000"/>
                <w:kern w:val="21"/>
                <w:szCs w:val="21"/>
                <w:u w:val="single"/>
              </w:rPr>
              <w:t>0.0</w:t>
            </w:r>
            <w:r>
              <w:rPr>
                <w:rFonts w:hint="eastAsia" w:ascii="Times New Roman"/>
                <w:snapToGrid w:val="0"/>
                <w:color w:val="000000"/>
                <w:kern w:val="21"/>
                <w:szCs w:val="21"/>
                <w:u w:val="single"/>
                <w:lang w:val="en-US" w:eastAsia="zh-CN"/>
              </w:rPr>
              <w:t>0009</w:t>
            </w:r>
          </w:p>
        </w:tc>
        <w:tc>
          <w:tcPr>
            <w:tcW w:w="176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959" w:type="dxa"/>
            <w:vAlign w:val="center"/>
          </w:tcPr>
          <w:p>
            <w:pPr>
              <w:pStyle w:val="35"/>
              <w:spacing w:beforeLines="0" w:afterLines="0" w:line="240" w:lineRule="auto"/>
              <w:ind w:left="420" w:leftChars="0" w:hanging="420" w:hangingChars="200"/>
              <w:rPr>
                <w:rFonts w:ascii="Times New Roman"/>
                <w:snapToGrid w:val="0"/>
                <w:color w:val="000000"/>
                <w:kern w:val="21"/>
                <w:szCs w:val="21"/>
                <w:u w:val="single"/>
              </w:rPr>
            </w:pPr>
            <w:r>
              <w:rPr>
                <w:rFonts w:hint="eastAsia" w:ascii="Times New Roman"/>
                <w:snapToGrid w:val="0"/>
                <w:color w:val="000000"/>
                <w:kern w:val="21"/>
                <w:szCs w:val="21"/>
                <w:u w:val="single"/>
              </w:rPr>
              <w:t>0.0</w:t>
            </w:r>
            <w:r>
              <w:rPr>
                <w:rFonts w:hint="eastAsia" w:ascii="Times New Roman"/>
                <w:snapToGrid w:val="0"/>
                <w:color w:val="000000"/>
                <w:kern w:val="21"/>
                <w:szCs w:val="21"/>
                <w:u w:val="single"/>
                <w:lang w:val="en-US" w:eastAsia="zh-CN"/>
              </w:rPr>
              <w:t>0009</w:t>
            </w:r>
          </w:p>
        </w:tc>
        <w:tc>
          <w:tcPr>
            <w:tcW w:w="826" w:type="dxa"/>
            <w:vAlign w:val="center"/>
          </w:tcPr>
          <w:p>
            <w:pPr>
              <w:pStyle w:val="35"/>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jc w:val="left"/>
              <w:textAlignment w:val="auto"/>
              <w:rPr>
                <w:rFonts w:hint="default" w:ascii="Times New Roman" w:eastAsia="宋体"/>
                <w:snapToGrid w:val="0"/>
                <w:color w:val="000000"/>
                <w:kern w:val="21"/>
                <w:szCs w:val="21"/>
                <w:u w:val="single"/>
                <w:lang w:val="en-US" w:eastAsia="zh-CN"/>
              </w:rPr>
            </w:pPr>
            <w:r>
              <w:rPr>
                <w:rFonts w:hint="eastAsia" w:ascii="Times New Roman"/>
                <w:snapToGrid w:val="0"/>
                <w:color w:val="000000"/>
                <w:kern w:val="21"/>
                <w:szCs w:val="21"/>
                <w:u w:val="single"/>
              </w:rPr>
              <w:t>+0.000</w:t>
            </w:r>
            <w:r>
              <w:rPr>
                <w:rFonts w:hint="eastAsia" w:ascii="Times New Roman"/>
                <w:snapToGrid w:val="0"/>
                <w:color w:val="000000"/>
                <w:kern w:val="21"/>
                <w:szCs w:val="21"/>
                <w:u w:val="single"/>
                <w:lang w:val="en-US" w:eastAsia="zh-CN"/>
              </w:rPr>
              <w:t>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ind w:left="420" w:hanging="420"/>
              <w:rPr>
                <w:rFonts w:ascii="Times New Roman"/>
                <w:snapToGrid w:val="0"/>
                <w:color w:val="000000"/>
                <w:kern w:val="21"/>
                <w:szCs w:val="21"/>
              </w:rPr>
            </w:pPr>
          </w:p>
        </w:tc>
        <w:tc>
          <w:tcPr>
            <w:tcW w:w="1417" w:type="dxa"/>
            <w:vAlign w:val="center"/>
          </w:tcPr>
          <w:p>
            <w:pPr>
              <w:widowControl/>
              <w:jc w:val="center"/>
              <w:textAlignment w:val="center"/>
              <w:rPr>
                <w:bCs/>
                <w:snapToGrid w:val="0"/>
                <w:color w:val="000000"/>
                <w:kern w:val="21"/>
                <w:szCs w:val="21"/>
              </w:rPr>
            </w:pPr>
            <w:r>
              <w:rPr>
                <w:bCs/>
                <w:color w:val="000000"/>
                <w:kern w:val="0"/>
                <w:sz w:val="18"/>
                <w:szCs w:val="18"/>
                <w:lang w:bidi="ar"/>
              </w:rPr>
              <w:t>总氮(吨/年)</w:t>
            </w:r>
          </w:p>
        </w:tc>
        <w:tc>
          <w:tcPr>
            <w:tcW w:w="170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276"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70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559"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76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959"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826"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一般工业</w:t>
            </w:r>
          </w:p>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固体废物</w:t>
            </w:r>
          </w:p>
        </w:tc>
        <w:tc>
          <w:tcPr>
            <w:tcW w:w="1417" w:type="dxa"/>
            <w:vAlign w:val="center"/>
          </w:tcPr>
          <w:p>
            <w:pPr>
              <w:pStyle w:val="35"/>
              <w:spacing w:beforeLines="0" w:afterLines="0" w:line="240" w:lineRule="auto"/>
              <w:ind w:left="420" w:hanging="420"/>
              <w:rPr>
                <w:rFonts w:ascii="Times New Roman"/>
                <w:snapToGrid w:val="0"/>
                <w:color w:val="000000"/>
                <w:kern w:val="21"/>
                <w:szCs w:val="21"/>
              </w:rPr>
            </w:pPr>
            <w:r>
              <w:rPr>
                <w:rFonts w:hint="eastAsia" w:ascii="Times New Roman"/>
                <w:snapToGrid w:val="0"/>
                <w:color w:val="000000"/>
                <w:kern w:val="21"/>
                <w:szCs w:val="21"/>
              </w:rPr>
              <w:t>/</w:t>
            </w:r>
          </w:p>
        </w:tc>
        <w:tc>
          <w:tcPr>
            <w:tcW w:w="170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276"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70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559"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hint="eastAsia" w:ascii="Times New Roman"/>
                <w:snapToGrid w:val="0"/>
                <w:color w:val="000000"/>
                <w:kern w:val="21"/>
                <w:szCs w:val="21"/>
                <w:u w:val="single"/>
              </w:rPr>
              <w:t>/</w:t>
            </w:r>
          </w:p>
        </w:tc>
        <w:tc>
          <w:tcPr>
            <w:tcW w:w="176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959"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hint="eastAsia" w:ascii="Times New Roman"/>
                <w:snapToGrid w:val="0"/>
                <w:color w:val="000000"/>
                <w:kern w:val="21"/>
                <w:szCs w:val="21"/>
                <w:u w:val="single"/>
              </w:rPr>
              <w:t>/</w:t>
            </w:r>
          </w:p>
        </w:tc>
        <w:tc>
          <w:tcPr>
            <w:tcW w:w="826"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5"/>
              <w:spacing w:beforeLines="0" w:afterLines="0" w:line="240" w:lineRule="auto"/>
              <w:ind w:left="420" w:hanging="420"/>
              <w:rPr>
                <w:rFonts w:ascii="Times New Roman"/>
                <w:snapToGrid w:val="0"/>
                <w:color w:val="000000"/>
                <w:kern w:val="21"/>
                <w:szCs w:val="21"/>
              </w:rPr>
            </w:pPr>
            <w:r>
              <w:rPr>
                <w:rFonts w:ascii="Times New Roman"/>
                <w:snapToGrid w:val="0"/>
                <w:color w:val="000000"/>
                <w:kern w:val="21"/>
                <w:szCs w:val="21"/>
              </w:rPr>
              <w:t>危险废物</w:t>
            </w:r>
          </w:p>
        </w:tc>
        <w:tc>
          <w:tcPr>
            <w:tcW w:w="1417" w:type="dxa"/>
            <w:vAlign w:val="center"/>
          </w:tcPr>
          <w:p>
            <w:pPr>
              <w:pStyle w:val="35"/>
              <w:spacing w:beforeLines="0" w:afterLines="0" w:line="240" w:lineRule="auto"/>
              <w:ind w:left="420" w:hanging="420"/>
              <w:rPr>
                <w:bCs/>
                <w:color w:val="000000"/>
                <w:sz w:val="18"/>
                <w:szCs w:val="18"/>
                <w:lang w:bidi="ar"/>
              </w:rPr>
            </w:pPr>
            <w:r>
              <w:rPr>
                <w:rFonts w:hint="eastAsia" w:ascii="Times New Roman"/>
                <w:snapToGrid w:val="0"/>
                <w:color w:val="000000"/>
                <w:kern w:val="21"/>
                <w:szCs w:val="21"/>
              </w:rPr>
              <w:t>医疗废物</w:t>
            </w:r>
            <w:r>
              <w:rPr>
                <w:bCs/>
                <w:color w:val="000000"/>
                <w:sz w:val="18"/>
                <w:szCs w:val="18"/>
                <w:lang w:bidi="ar"/>
              </w:rPr>
              <w:t>(吨/</w:t>
            </w:r>
          </w:p>
          <w:p>
            <w:pPr>
              <w:pStyle w:val="35"/>
              <w:spacing w:beforeLines="0" w:afterLines="0" w:line="240" w:lineRule="auto"/>
              <w:ind w:left="360" w:hanging="360"/>
              <w:jc w:val="both"/>
              <w:rPr>
                <w:rFonts w:ascii="Times New Roman"/>
                <w:snapToGrid w:val="0"/>
                <w:color w:val="000000"/>
                <w:kern w:val="21"/>
                <w:szCs w:val="21"/>
              </w:rPr>
            </w:pPr>
            <w:r>
              <w:rPr>
                <w:bCs/>
                <w:color w:val="000000"/>
                <w:sz w:val="18"/>
                <w:szCs w:val="18"/>
                <w:lang w:bidi="ar"/>
              </w:rPr>
              <w:t>年)</w:t>
            </w:r>
          </w:p>
        </w:tc>
        <w:tc>
          <w:tcPr>
            <w:tcW w:w="1701" w:type="dxa"/>
            <w:vAlign w:val="center"/>
          </w:tcPr>
          <w:p>
            <w:pPr>
              <w:pStyle w:val="35"/>
              <w:spacing w:beforeLines="0" w:afterLines="0" w:line="240" w:lineRule="auto"/>
              <w:ind w:left="420" w:hanging="420"/>
              <w:rPr>
                <w:rFonts w:hint="default" w:ascii="Times New Roman" w:eastAsia="宋体"/>
                <w:snapToGrid w:val="0"/>
                <w:color w:val="000000"/>
                <w:kern w:val="21"/>
                <w:szCs w:val="21"/>
                <w:u w:val="single"/>
                <w:lang w:val="en-US" w:eastAsia="zh-CN"/>
              </w:rPr>
            </w:pPr>
            <w:r>
              <w:rPr>
                <w:rFonts w:hint="eastAsia" w:ascii="Times New Roman"/>
                <w:snapToGrid w:val="0"/>
                <w:color w:val="000000"/>
                <w:kern w:val="21"/>
                <w:szCs w:val="21"/>
                <w:u w:val="single"/>
                <w:lang w:val="en-US" w:eastAsia="zh-CN"/>
              </w:rPr>
              <w:t>18</w:t>
            </w:r>
          </w:p>
        </w:tc>
        <w:tc>
          <w:tcPr>
            <w:tcW w:w="1276"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70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559" w:type="dxa"/>
            <w:vAlign w:val="center"/>
          </w:tcPr>
          <w:p>
            <w:pPr>
              <w:pStyle w:val="35"/>
              <w:spacing w:beforeLines="0" w:afterLines="0" w:line="240" w:lineRule="auto"/>
              <w:ind w:left="420" w:hanging="420"/>
              <w:rPr>
                <w:rFonts w:hint="default" w:ascii="Times New Roman" w:eastAsia="宋体"/>
                <w:snapToGrid w:val="0"/>
                <w:color w:val="000000"/>
                <w:kern w:val="21"/>
                <w:szCs w:val="21"/>
                <w:u w:val="single"/>
                <w:lang w:val="en-US" w:eastAsia="zh-CN"/>
              </w:rPr>
            </w:pPr>
            <w:r>
              <w:rPr>
                <w:rFonts w:hint="eastAsia" w:ascii="Times New Roman"/>
                <w:snapToGrid w:val="0"/>
                <w:color w:val="000000"/>
                <w:kern w:val="21"/>
                <w:szCs w:val="21"/>
                <w:u w:val="single"/>
                <w:lang w:val="en-US" w:eastAsia="zh-CN"/>
              </w:rPr>
              <w:t>20</w:t>
            </w:r>
          </w:p>
        </w:tc>
        <w:tc>
          <w:tcPr>
            <w:tcW w:w="176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1959"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ascii="Times New Roman"/>
                <w:snapToGrid w:val="0"/>
                <w:color w:val="000000"/>
                <w:kern w:val="21"/>
                <w:szCs w:val="21"/>
                <w:u w:val="single"/>
              </w:rPr>
              <w:t>/</w:t>
            </w:r>
          </w:p>
        </w:tc>
        <w:tc>
          <w:tcPr>
            <w:tcW w:w="826" w:type="dxa"/>
            <w:vAlign w:val="center"/>
          </w:tcPr>
          <w:p>
            <w:pPr>
              <w:pStyle w:val="35"/>
              <w:spacing w:beforeLines="0" w:afterLines="0" w:line="240" w:lineRule="auto"/>
              <w:ind w:left="420" w:hanging="420"/>
              <w:rPr>
                <w:rFonts w:hint="eastAsia" w:ascii="Times New Roman" w:eastAsia="宋体"/>
                <w:snapToGrid w:val="0"/>
                <w:color w:val="000000"/>
                <w:kern w:val="21"/>
                <w:szCs w:val="21"/>
                <w:u w:val="single"/>
                <w:lang w:eastAsia="zh-CN"/>
              </w:rPr>
            </w:pPr>
            <w:r>
              <w:rPr>
                <w:rFonts w:hint="eastAsia" w:ascii="Times New Roman"/>
                <w:snapToGrid w:val="0"/>
                <w:color w:val="000000"/>
                <w:kern w:val="21"/>
                <w:szCs w:val="21"/>
                <w:u w:val="single"/>
              </w:rPr>
              <w:t>+</w:t>
            </w:r>
            <w:r>
              <w:rPr>
                <w:rFonts w:hint="eastAsia" w:ascii="Times New Roman"/>
                <w:snapToGrid w:val="0"/>
                <w:color w:val="000000"/>
                <w:kern w:val="21"/>
                <w:szCs w:val="21"/>
                <w:u w:val="singl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5"/>
              <w:spacing w:beforeLines="0" w:afterLines="0" w:line="240" w:lineRule="auto"/>
              <w:ind w:left="420" w:hanging="420"/>
              <w:rPr>
                <w:rFonts w:ascii="Times New Roman"/>
                <w:snapToGrid w:val="0"/>
                <w:color w:val="000000"/>
                <w:kern w:val="21"/>
                <w:szCs w:val="21"/>
              </w:rPr>
            </w:pPr>
            <w:bookmarkStart w:id="24" w:name="_Toc20206"/>
          </w:p>
        </w:tc>
        <w:tc>
          <w:tcPr>
            <w:tcW w:w="1417" w:type="dxa"/>
            <w:vAlign w:val="center"/>
          </w:tcPr>
          <w:p>
            <w:pPr>
              <w:pStyle w:val="35"/>
              <w:spacing w:beforeLines="0" w:afterLines="0" w:line="240" w:lineRule="auto"/>
              <w:ind w:left="420" w:hanging="420"/>
              <w:jc w:val="both"/>
              <w:rPr>
                <w:rFonts w:ascii="Times New Roman"/>
                <w:snapToGrid w:val="0"/>
                <w:color w:val="000000"/>
                <w:kern w:val="21"/>
                <w:szCs w:val="21"/>
              </w:rPr>
            </w:pPr>
            <w:r>
              <w:rPr>
                <w:rFonts w:hint="eastAsia" w:ascii="Times New Roman"/>
                <w:snapToGrid w:val="0"/>
                <w:color w:val="000000"/>
                <w:kern w:val="21"/>
                <w:szCs w:val="21"/>
              </w:rPr>
              <w:t>污水处理站</w:t>
            </w:r>
          </w:p>
          <w:p>
            <w:pPr>
              <w:pStyle w:val="35"/>
              <w:spacing w:beforeLines="0" w:afterLines="0" w:line="240" w:lineRule="auto"/>
              <w:ind w:left="420" w:hanging="420"/>
              <w:jc w:val="both"/>
              <w:rPr>
                <w:rFonts w:ascii="Times New Roman"/>
                <w:snapToGrid w:val="0"/>
                <w:color w:val="000000"/>
                <w:kern w:val="21"/>
                <w:szCs w:val="21"/>
              </w:rPr>
            </w:pPr>
            <w:r>
              <w:rPr>
                <w:rFonts w:hint="eastAsia" w:ascii="Times New Roman"/>
                <w:snapToGrid w:val="0"/>
                <w:color w:val="000000"/>
                <w:kern w:val="21"/>
                <w:szCs w:val="21"/>
              </w:rPr>
              <w:t>污泥</w:t>
            </w:r>
            <w:r>
              <w:rPr>
                <w:bCs/>
                <w:color w:val="000000"/>
                <w:sz w:val="18"/>
                <w:szCs w:val="18"/>
                <w:lang w:bidi="ar"/>
              </w:rPr>
              <w:t>(吨/年)</w:t>
            </w:r>
          </w:p>
        </w:tc>
        <w:tc>
          <w:tcPr>
            <w:tcW w:w="1701" w:type="dxa"/>
            <w:vAlign w:val="center"/>
          </w:tcPr>
          <w:p>
            <w:pPr>
              <w:pStyle w:val="35"/>
              <w:spacing w:beforeLines="0" w:afterLines="0" w:line="240" w:lineRule="auto"/>
              <w:ind w:left="420" w:hanging="420"/>
              <w:rPr>
                <w:rFonts w:hint="eastAsia" w:ascii="Times New Roman" w:eastAsia="宋体"/>
                <w:snapToGrid w:val="0"/>
                <w:color w:val="000000"/>
                <w:kern w:val="21"/>
                <w:szCs w:val="21"/>
                <w:u w:val="single"/>
                <w:lang w:eastAsia="zh-CN"/>
              </w:rPr>
            </w:pPr>
            <w:r>
              <w:rPr>
                <w:rFonts w:hint="eastAsia" w:ascii="Times New Roman"/>
                <w:snapToGrid w:val="0"/>
                <w:color w:val="000000"/>
                <w:kern w:val="21"/>
                <w:szCs w:val="21"/>
                <w:u w:val="single"/>
              </w:rPr>
              <w:t>1.</w:t>
            </w:r>
            <w:r>
              <w:rPr>
                <w:rFonts w:hint="eastAsia" w:ascii="Times New Roman"/>
                <w:snapToGrid w:val="0"/>
                <w:color w:val="000000"/>
                <w:kern w:val="21"/>
                <w:szCs w:val="21"/>
                <w:u w:val="single"/>
                <w:lang w:val="en-US" w:eastAsia="zh-CN"/>
              </w:rPr>
              <w:t>0</w:t>
            </w:r>
          </w:p>
        </w:tc>
        <w:tc>
          <w:tcPr>
            <w:tcW w:w="1276"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hint="eastAsia" w:ascii="Times New Roman"/>
                <w:snapToGrid w:val="0"/>
                <w:color w:val="000000"/>
                <w:kern w:val="21"/>
                <w:szCs w:val="21"/>
                <w:u w:val="single"/>
              </w:rPr>
              <w:t>/</w:t>
            </w:r>
          </w:p>
        </w:tc>
        <w:tc>
          <w:tcPr>
            <w:tcW w:w="170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hint="eastAsia" w:ascii="Times New Roman"/>
                <w:snapToGrid w:val="0"/>
                <w:color w:val="000000"/>
                <w:kern w:val="21"/>
                <w:szCs w:val="21"/>
                <w:u w:val="single"/>
              </w:rPr>
              <w:t>/</w:t>
            </w:r>
          </w:p>
        </w:tc>
        <w:tc>
          <w:tcPr>
            <w:tcW w:w="1559" w:type="dxa"/>
            <w:vAlign w:val="center"/>
          </w:tcPr>
          <w:p>
            <w:pPr>
              <w:pStyle w:val="35"/>
              <w:spacing w:beforeLines="0" w:afterLines="0" w:line="240" w:lineRule="auto"/>
              <w:ind w:left="420" w:hanging="420"/>
              <w:rPr>
                <w:rFonts w:hint="eastAsia" w:ascii="Times New Roman" w:eastAsia="宋体"/>
                <w:snapToGrid w:val="0"/>
                <w:color w:val="000000"/>
                <w:kern w:val="21"/>
                <w:szCs w:val="21"/>
                <w:u w:val="single"/>
                <w:lang w:eastAsia="zh-CN"/>
              </w:rPr>
            </w:pPr>
            <w:r>
              <w:rPr>
                <w:rFonts w:hint="eastAsia" w:ascii="Times New Roman"/>
                <w:snapToGrid w:val="0"/>
                <w:color w:val="000000"/>
                <w:kern w:val="21"/>
                <w:szCs w:val="21"/>
                <w:u w:val="single"/>
              </w:rPr>
              <w:t>1.</w:t>
            </w:r>
            <w:r>
              <w:rPr>
                <w:rFonts w:hint="eastAsia" w:ascii="Times New Roman"/>
                <w:snapToGrid w:val="0"/>
                <w:color w:val="000000"/>
                <w:kern w:val="21"/>
                <w:szCs w:val="21"/>
                <w:u w:val="single"/>
                <w:lang w:val="en-US" w:eastAsia="zh-CN"/>
              </w:rPr>
              <w:t>1</w:t>
            </w:r>
          </w:p>
        </w:tc>
        <w:tc>
          <w:tcPr>
            <w:tcW w:w="1761" w:type="dxa"/>
            <w:vAlign w:val="center"/>
          </w:tcPr>
          <w:p>
            <w:pPr>
              <w:pStyle w:val="35"/>
              <w:spacing w:beforeLines="0" w:afterLines="0" w:line="240" w:lineRule="auto"/>
              <w:ind w:left="420" w:hanging="420"/>
              <w:rPr>
                <w:rFonts w:ascii="Times New Roman"/>
                <w:snapToGrid w:val="0"/>
                <w:color w:val="000000"/>
                <w:kern w:val="21"/>
                <w:szCs w:val="21"/>
                <w:u w:val="single"/>
              </w:rPr>
            </w:pPr>
            <w:r>
              <w:rPr>
                <w:rFonts w:hint="eastAsia" w:ascii="Times New Roman"/>
                <w:snapToGrid w:val="0"/>
                <w:color w:val="000000"/>
                <w:kern w:val="21"/>
                <w:szCs w:val="21"/>
                <w:u w:val="single"/>
              </w:rPr>
              <w:t>/</w:t>
            </w:r>
          </w:p>
        </w:tc>
        <w:tc>
          <w:tcPr>
            <w:tcW w:w="1959" w:type="dxa"/>
            <w:vAlign w:val="center"/>
          </w:tcPr>
          <w:p>
            <w:pPr>
              <w:pStyle w:val="35"/>
              <w:spacing w:beforeLines="0" w:afterLines="0" w:line="240" w:lineRule="auto"/>
              <w:ind w:left="420" w:hanging="420"/>
              <w:rPr>
                <w:rFonts w:ascii="Times New Roman"/>
                <w:snapToGrid w:val="0"/>
                <w:color w:val="000000"/>
                <w:kern w:val="21"/>
                <w:szCs w:val="21"/>
                <w:u w:val="single"/>
              </w:rPr>
            </w:pPr>
          </w:p>
        </w:tc>
        <w:tc>
          <w:tcPr>
            <w:tcW w:w="826" w:type="dxa"/>
            <w:vAlign w:val="center"/>
          </w:tcPr>
          <w:p>
            <w:pPr>
              <w:pStyle w:val="35"/>
              <w:spacing w:beforeLines="0" w:afterLines="0" w:line="240" w:lineRule="auto"/>
              <w:ind w:left="420" w:hanging="420"/>
              <w:rPr>
                <w:rFonts w:hint="eastAsia" w:ascii="Times New Roman" w:eastAsia="宋体"/>
                <w:snapToGrid w:val="0"/>
                <w:color w:val="000000"/>
                <w:kern w:val="21"/>
                <w:szCs w:val="21"/>
                <w:u w:val="single"/>
                <w:lang w:eastAsia="zh-CN"/>
              </w:rPr>
            </w:pPr>
            <w:r>
              <w:rPr>
                <w:rFonts w:hint="eastAsia" w:ascii="Times New Roman"/>
                <w:snapToGrid w:val="0"/>
                <w:color w:val="000000"/>
                <w:kern w:val="21"/>
                <w:szCs w:val="21"/>
                <w:u w:val="single"/>
              </w:rPr>
              <w:t>+0.</w:t>
            </w:r>
            <w:r>
              <w:rPr>
                <w:rFonts w:hint="eastAsia" w:ascii="Times New Roman"/>
                <w:snapToGrid w:val="0"/>
                <w:color w:val="000000"/>
                <w:kern w:val="21"/>
                <w:szCs w:val="21"/>
                <w:u w:val="single"/>
                <w:lang w:val="en-US" w:eastAsia="zh-CN"/>
              </w:rPr>
              <w:t>1</w:t>
            </w:r>
          </w:p>
        </w:tc>
      </w:tr>
    </w:tbl>
    <w:p>
      <w:pPr>
        <w:pStyle w:val="35"/>
        <w:spacing w:before="192" w:beforeLines="80" w:after="24"/>
        <w:ind w:left="420" w:hanging="420"/>
        <w:jc w:val="left"/>
        <w:outlineLvl w:val="0"/>
        <w:rPr>
          <w:rFonts w:ascii="Times New Roman" w:eastAsia="黑体"/>
        </w:rPr>
      </w:pPr>
      <w:r>
        <w:rPr>
          <w:rFonts w:ascii="Times New Roman"/>
          <w:snapToGrid w:val="0"/>
          <w:color w:val="000000"/>
          <w:kern w:val="21"/>
          <w:szCs w:val="21"/>
        </w:rPr>
        <w:t>注：</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hint="eastAsia" w:hAnsi="宋体" w:cs="宋体"/>
          <w:szCs w:val="21"/>
        </w:rPr>
        <w:t>⑥</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hint="eastAsia" w:hAnsi="宋体" w:cs="宋体"/>
          <w:szCs w:val="21"/>
        </w:rPr>
        <w:t>①</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3 \* GB3 \* MERGEFORMAT </w:instrText>
      </w:r>
      <w:r>
        <w:rPr>
          <w:rFonts w:ascii="Times New Roman"/>
          <w:snapToGrid w:val="0"/>
          <w:color w:val="000000"/>
          <w:spacing w:val="-6"/>
          <w:kern w:val="21"/>
          <w:szCs w:val="21"/>
        </w:rPr>
        <w:fldChar w:fldCharType="separate"/>
      </w:r>
      <w:r>
        <w:rPr>
          <w:rFonts w:hint="eastAsia" w:hAnsi="宋体" w:cs="宋体"/>
          <w:szCs w:val="21"/>
        </w:rPr>
        <w:t>③</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4 \* GB3 \* MERGEFORMAT </w:instrText>
      </w:r>
      <w:r>
        <w:rPr>
          <w:rFonts w:ascii="Times New Roman"/>
          <w:snapToGrid w:val="0"/>
          <w:color w:val="000000"/>
          <w:spacing w:val="-6"/>
          <w:kern w:val="21"/>
          <w:szCs w:val="21"/>
        </w:rPr>
        <w:fldChar w:fldCharType="separate"/>
      </w:r>
      <w:r>
        <w:rPr>
          <w:rFonts w:hint="eastAsia" w:hAnsi="宋体" w:cs="宋体"/>
          <w:szCs w:val="21"/>
        </w:rPr>
        <w:t>④</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5 \* GB3 \* MERGEFORMAT </w:instrText>
      </w:r>
      <w:r>
        <w:rPr>
          <w:rFonts w:ascii="Times New Roman"/>
          <w:snapToGrid w:val="0"/>
          <w:color w:val="000000"/>
          <w:spacing w:val="-16"/>
          <w:kern w:val="21"/>
          <w:szCs w:val="21"/>
        </w:rPr>
        <w:fldChar w:fldCharType="separate"/>
      </w:r>
      <w:r>
        <w:rPr>
          <w:rFonts w:hint="eastAsia" w:hAnsi="宋体" w:cs="宋体"/>
          <w:szCs w:val="21"/>
        </w:rPr>
        <w:t>⑤</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7 \* GB3 \* MERGEFORMAT </w:instrText>
      </w:r>
      <w:r>
        <w:rPr>
          <w:rFonts w:ascii="Times New Roman"/>
          <w:snapToGrid w:val="0"/>
          <w:color w:val="000000"/>
          <w:spacing w:val="-6"/>
          <w:kern w:val="21"/>
          <w:szCs w:val="21"/>
        </w:rPr>
        <w:fldChar w:fldCharType="separate"/>
      </w:r>
      <w:r>
        <w:rPr>
          <w:rFonts w:hint="eastAsia" w:hAnsi="宋体" w:cs="宋体"/>
          <w:szCs w:val="21"/>
        </w:rPr>
        <w:t>⑦</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hint="eastAsia" w:hAnsi="宋体" w:cs="宋体"/>
          <w:szCs w:val="21"/>
        </w:rPr>
        <w:t>⑥</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hint="eastAsia" w:hAnsi="宋体" w:cs="宋体"/>
          <w:szCs w:val="21"/>
        </w:rPr>
        <w:t>①</w:t>
      </w:r>
      <w:r>
        <w:rPr>
          <w:rFonts w:ascii="Times New Roman"/>
          <w:snapToGrid w:val="0"/>
          <w:color w:val="000000"/>
          <w:spacing w:val="-6"/>
          <w:kern w:val="21"/>
          <w:szCs w:val="21"/>
        </w:rPr>
        <w:fldChar w:fldCharType="end"/>
      </w:r>
      <w:bookmarkEnd w:id="24"/>
    </w:p>
    <w:sectPr>
      <w:footerReference r:id="rId8" w:type="default"/>
      <w:pgSz w:w="16838" w:h="11906" w:orient="landscape"/>
      <w:pgMar w:top="964" w:right="1701" w:bottom="624"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Arial Black">
    <w:panose1 w:val="020B0A04020102020204"/>
    <w:charset w:val="00"/>
    <w:family w:val="swiss"/>
    <w:pitch w:val="default"/>
    <w:sig w:usb0="00000287" w:usb1="00000000" w:usb2="00000000" w:usb3="00000000" w:csb0="2000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fldChar w:fldCharType="begin"/>
    </w:r>
    <w:r>
      <w:rPr>
        <w:rStyle w:val="31"/>
      </w:rPr>
      <w:instrText xml:space="preserve">PAGE  </w:instrText>
    </w:r>
    <w:r>
      <w:fldChar w:fldCharType="end"/>
    </w:r>
  </w:p>
  <w:p>
    <w:pPr>
      <w:pStyle w:val="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Style w:val="31"/>
                              <w:rFonts w:ascii="宋体" w:hAnsi="宋体"/>
                              <w:sz w:val="28"/>
                              <w:szCs w:val="28"/>
                            </w:rPr>
                          </w:pPr>
                          <w:r>
                            <w:rPr>
                              <w:rStyle w:val="31"/>
                              <w:rFonts w:hint="eastAsia" w:ascii="宋体" w:hAnsi="宋体"/>
                              <w:sz w:val="28"/>
                              <w:szCs w:val="28"/>
                            </w:rPr>
                            <w:t>—</w:t>
                          </w:r>
                          <w:r>
                            <w:rPr>
                              <w:rFonts w:ascii="宋体" w:hAnsi="宋体"/>
                              <w:sz w:val="26"/>
                              <w:szCs w:val="26"/>
                            </w:rPr>
                            <w:fldChar w:fldCharType="begin"/>
                          </w:r>
                          <w:r>
                            <w:rPr>
                              <w:rStyle w:val="31"/>
                              <w:rFonts w:ascii="宋体" w:hAnsi="宋体"/>
                              <w:sz w:val="26"/>
                              <w:szCs w:val="26"/>
                            </w:rPr>
                            <w:instrText xml:space="preserve">PAGE  </w:instrText>
                          </w:r>
                          <w:r>
                            <w:rPr>
                              <w:rFonts w:ascii="宋体" w:hAnsi="宋体"/>
                              <w:sz w:val="26"/>
                              <w:szCs w:val="26"/>
                            </w:rPr>
                            <w:fldChar w:fldCharType="separate"/>
                          </w:r>
                          <w:r>
                            <w:rPr>
                              <w:rStyle w:val="31"/>
                              <w:rFonts w:ascii="宋体" w:hAnsi="宋体"/>
                              <w:sz w:val="26"/>
                              <w:szCs w:val="26"/>
                            </w:rPr>
                            <w:t>9</w:t>
                          </w:r>
                          <w:r>
                            <w:rPr>
                              <w:rFonts w:ascii="宋体" w:hAnsi="宋体"/>
                              <w:sz w:val="26"/>
                              <w:szCs w:val="26"/>
                            </w:rPr>
                            <w:fldChar w:fldCharType="end"/>
                          </w:r>
                          <w:r>
                            <w:rPr>
                              <w:rStyle w:val="31"/>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012o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tX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r012otAgAAVwQAAA4AAAAAAAAAAQAgAAAAHwEAAGRycy9lMm9Eb2MueG1sUEsFBgAAAAAG&#10;AAYAWQEAAL4FAAAAAA==&#10;">
              <v:fill on="f" focussize="0,0"/>
              <v:stroke on="f" weight="0.5pt"/>
              <v:imagedata o:title=""/>
              <o:lock v:ext="edit" aspectratio="f"/>
              <v:textbox inset="0mm,0mm,0mm,0mm" style="mso-fit-shape-to-text:t;">
                <w:txbxContent>
                  <w:p>
                    <w:pPr>
                      <w:pStyle w:val="20"/>
                      <w:rPr>
                        <w:rStyle w:val="31"/>
                        <w:rFonts w:ascii="宋体" w:hAnsi="宋体"/>
                        <w:sz w:val="28"/>
                        <w:szCs w:val="28"/>
                      </w:rPr>
                    </w:pPr>
                    <w:r>
                      <w:rPr>
                        <w:rStyle w:val="31"/>
                        <w:rFonts w:hint="eastAsia" w:ascii="宋体" w:hAnsi="宋体"/>
                        <w:sz w:val="28"/>
                        <w:szCs w:val="28"/>
                      </w:rPr>
                      <w:t>—</w:t>
                    </w:r>
                    <w:r>
                      <w:rPr>
                        <w:rFonts w:ascii="宋体" w:hAnsi="宋体"/>
                        <w:sz w:val="26"/>
                        <w:szCs w:val="26"/>
                      </w:rPr>
                      <w:fldChar w:fldCharType="begin"/>
                    </w:r>
                    <w:r>
                      <w:rPr>
                        <w:rStyle w:val="31"/>
                        <w:rFonts w:ascii="宋体" w:hAnsi="宋体"/>
                        <w:sz w:val="26"/>
                        <w:szCs w:val="26"/>
                      </w:rPr>
                      <w:instrText xml:space="preserve">PAGE  </w:instrText>
                    </w:r>
                    <w:r>
                      <w:rPr>
                        <w:rFonts w:ascii="宋体" w:hAnsi="宋体"/>
                        <w:sz w:val="26"/>
                        <w:szCs w:val="26"/>
                      </w:rPr>
                      <w:fldChar w:fldCharType="separate"/>
                    </w:r>
                    <w:r>
                      <w:rPr>
                        <w:rStyle w:val="31"/>
                        <w:rFonts w:ascii="宋体" w:hAnsi="宋体"/>
                        <w:sz w:val="26"/>
                        <w:szCs w:val="26"/>
                      </w:rPr>
                      <w:t>9</w:t>
                    </w:r>
                    <w:r>
                      <w:rPr>
                        <w:rFonts w:ascii="宋体" w:hAnsi="宋体"/>
                        <w:sz w:val="26"/>
                        <w:szCs w:val="26"/>
                      </w:rPr>
                      <w:fldChar w:fldCharType="end"/>
                    </w:r>
                    <w:r>
                      <w:rPr>
                        <w:rStyle w:val="31"/>
                        <w:rFonts w:hint="eastAsia" w:ascii="宋体" w:hAnsi="宋体"/>
                        <w:sz w:val="28"/>
                        <w:szCs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Style w:val="31"/>
                              <w:rFonts w:ascii="宋体" w:hAnsi="宋体"/>
                              <w:sz w:val="28"/>
                              <w:szCs w:val="28"/>
                            </w:rPr>
                          </w:pPr>
                          <w:r>
                            <w:rPr>
                              <w:rStyle w:val="31"/>
                              <w:rFonts w:hint="eastAsia" w:ascii="宋体" w:hAnsi="宋体"/>
                              <w:sz w:val="28"/>
                              <w:szCs w:val="28"/>
                            </w:rPr>
                            <w:t>—</w:t>
                          </w:r>
                          <w:r>
                            <w:rPr>
                              <w:rFonts w:ascii="宋体" w:hAnsi="宋体"/>
                              <w:sz w:val="26"/>
                              <w:szCs w:val="26"/>
                            </w:rPr>
                            <w:fldChar w:fldCharType="begin"/>
                          </w:r>
                          <w:r>
                            <w:rPr>
                              <w:rStyle w:val="31"/>
                              <w:rFonts w:ascii="宋体" w:hAnsi="宋体"/>
                              <w:sz w:val="26"/>
                              <w:szCs w:val="26"/>
                            </w:rPr>
                            <w:instrText xml:space="preserve">PAGE  </w:instrText>
                          </w:r>
                          <w:r>
                            <w:rPr>
                              <w:rFonts w:ascii="宋体" w:hAnsi="宋体"/>
                              <w:sz w:val="26"/>
                              <w:szCs w:val="26"/>
                            </w:rPr>
                            <w:fldChar w:fldCharType="separate"/>
                          </w:r>
                          <w:r>
                            <w:rPr>
                              <w:rStyle w:val="31"/>
                              <w:rFonts w:ascii="宋体" w:hAnsi="宋体"/>
                              <w:sz w:val="26"/>
                              <w:szCs w:val="26"/>
                            </w:rPr>
                            <w:t>11</w:t>
                          </w:r>
                          <w:r>
                            <w:rPr>
                              <w:rFonts w:ascii="宋体" w:hAnsi="宋体"/>
                              <w:sz w:val="26"/>
                              <w:szCs w:val="26"/>
                            </w:rPr>
                            <w:fldChar w:fldCharType="end"/>
                          </w:r>
                          <w:r>
                            <w:rPr>
                              <w:rStyle w:val="31"/>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MSHnA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MSHnAtAgAAVwQAAA4AAAAAAAAAAQAgAAAAHwEAAGRycy9lMm9Eb2MueG1sUEsFBgAAAAAG&#10;AAYAWQEAAL4FAAAAAA==&#10;">
              <v:fill on="f" focussize="0,0"/>
              <v:stroke on="f" weight="0.5pt"/>
              <v:imagedata o:title=""/>
              <o:lock v:ext="edit" aspectratio="f"/>
              <v:textbox inset="0mm,0mm,0mm,0mm" style="mso-fit-shape-to-text:t;">
                <w:txbxContent>
                  <w:p>
                    <w:pPr>
                      <w:pStyle w:val="20"/>
                      <w:rPr>
                        <w:rStyle w:val="31"/>
                        <w:rFonts w:ascii="宋体" w:hAnsi="宋体"/>
                        <w:sz w:val="28"/>
                        <w:szCs w:val="28"/>
                      </w:rPr>
                    </w:pPr>
                    <w:r>
                      <w:rPr>
                        <w:rStyle w:val="31"/>
                        <w:rFonts w:hint="eastAsia" w:ascii="宋体" w:hAnsi="宋体"/>
                        <w:sz w:val="28"/>
                        <w:szCs w:val="28"/>
                      </w:rPr>
                      <w:t>—</w:t>
                    </w:r>
                    <w:r>
                      <w:rPr>
                        <w:rFonts w:ascii="宋体" w:hAnsi="宋体"/>
                        <w:sz w:val="26"/>
                        <w:szCs w:val="26"/>
                      </w:rPr>
                      <w:fldChar w:fldCharType="begin"/>
                    </w:r>
                    <w:r>
                      <w:rPr>
                        <w:rStyle w:val="31"/>
                        <w:rFonts w:ascii="宋体" w:hAnsi="宋体"/>
                        <w:sz w:val="26"/>
                        <w:szCs w:val="26"/>
                      </w:rPr>
                      <w:instrText xml:space="preserve">PAGE  </w:instrText>
                    </w:r>
                    <w:r>
                      <w:rPr>
                        <w:rFonts w:ascii="宋体" w:hAnsi="宋体"/>
                        <w:sz w:val="26"/>
                        <w:szCs w:val="26"/>
                      </w:rPr>
                      <w:fldChar w:fldCharType="separate"/>
                    </w:r>
                    <w:r>
                      <w:rPr>
                        <w:rStyle w:val="31"/>
                        <w:rFonts w:ascii="宋体" w:hAnsi="宋体"/>
                        <w:sz w:val="26"/>
                        <w:szCs w:val="26"/>
                      </w:rPr>
                      <w:t>11</w:t>
                    </w:r>
                    <w:r>
                      <w:rPr>
                        <w:rFonts w:ascii="宋体" w:hAnsi="宋体"/>
                        <w:sz w:val="26"/>
                        <w:szCs w:val="26"/>
                      </w:rPr>
                      <w:fldChar w:fldCharType="end"/>
                    </w:r>
                    <w:r>
                      <w:rPr>
                        <w:rStyle w:val="31"/>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04B5E"/>
    <w:multiLevelType w:val="singleLevel"/>
    <w:tmpl w:val="A6604B5E"/>
    <w:lvl w:ilvl="0" w:tentative="0">
      <w:start w:val="4"/>
      <w:numFmt w:val="chineseCounting"/>
      <w:suff w:val="nothing"/>
      <w:lvlText w:val="%1、"/>
      <w:lvlJc w:val="left"/>
      <w:rPr>
        <w:rFonts w:hint="eastAsia"/>
      </w:rPr>
    </w:lvl>
  </w:abstractNum>
  <w:abstractNum w:abstractNumId="1">
    <w:nsid w:val="069375B6"/>
    <w:multiLevelType w:val="multilevel"/>
    <w:tmpl w:val="069375B6"/>
    <w:lvl w:ilvl="0" w:tentative="0">
      <w:start w:val="1"/>
      <w:numFmt w:val="decimal"/>
      <w:lvlText w:val="%1、"/>
      <w:lvlJc w:val="left"/>
      <w:pPr>
        <w:ind w:left="372" w:hanging="37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54D3A8"/>
    <w:multiLevelType w:val="singleLevel"/>
    <w:tmpl w:val="6454D3A8"/>
    <w:lvl w:ilvl="0" w:tentative="0">
      <w:start w:val="10"/>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60B3"/>
    <w:rsid w:val="0004364B"/>
    <w:rsid w:val="00061B1F"/>
    <w:rsid w:val="000728CD"/>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5F8B"/>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1655A"/>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D5519"/>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3DCE"/>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8712F"/>
    <w:rsid w:val="00594D77"/>
    <w:rsid w:val="005969E4"/>
    <w:rsid w:val="005A06B7"/>
    <w:rsid w:val="005A1759"/>
    <w:rsid w:val="005A68A7"/>
    <w:rsid w:val="005A730F"/>
    <w:rsid w:val="005D36AB"/>
    <w:rsid w:val="005E6997"/>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527B2"/>
    <w:rsid w:val="0086114C"/>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62664"/>
    <w:rsid w:val="00970B5D"/>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1425"/>
    <w:rsid w:val="00C763C9"/>
    <w:rsid w:val="00C80057"/>
    <w:rsid w:val="00C82232"/>
    <w:rsid w:val="00C82913"/>
    <w:rsid w:val="00C972B1"/>
    <w:rsid w:val="00CA2CCE"/>
    <w:rsid w:val="00CA43FD"/>
    <w:rsid w:val="00CA7EF8"/>
    <w:rsid w:val="00CB414D"/>
    <w:rsid w:val="00CC1794"/>
    <w:rsid w:val="00CC489B"/>
    <w:rsid w:val="00CD2BCD"/>
    <w:rsid w:val="00CD3A4C"/>
    <w:rsid w:val="00CE10E9"/>
    <w:rsid w:val="00CE2910"/>
    <w:rsid w:val="00CE5393"/>
    <w:rsid w:val="00CF36BE"/>
    <w:rsid w:val="00CF4E19"/>
    <w:rsid w:val="00CF6000"/>
    <w:rsid w:val="00D003F3"/>
    <w:rsid w:val="00D0364F"/>
    <w:rsid w:val="00D06834"/>
    <w:rsid w:val="00D308ED"/>
    <w:rsid w:val="00D36D86"/>
    <w:rsid w:val="00D428AA"/>
    <w:rsid w:val="00D50A34"/>
    <w:rsid w:val="00D53EFA"/>
    <w:rsid w:val="00D640E6"/>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45FF4"/>
    <w:rsid w:val="00E56322"/>
    <w:rsid w:val="00E60982"/>
    <w:rsid w:val="00E62C62"/>
    <w:rsid w:val="00E654C1"/>
    <w:rsid w:val="00E65D97"/>
    <w:rsid w:val="00E70C34"/>
    <w:rsid w:val="00E72A5A"/>
    <w:rsid w:val="00E73354"/>
    <w:rsid w:val="00E9242D"/>
    <w:rsid w:val="00EB5255"/>
    <w:rsid w:val="00EB5C47"/>
    <w:rsid w:val="00EB7BE0"/>
    <w:rsid w:val="00ED0639"/>
    <w:rsid w:val="00EF4755"/>
    <w:rsid w:val="00EF7135"/>
    <w:rsid w:val="00F027DB"/>
    <w:rsid w:val="00F14A7A"/>
    <w:rsid w:val="00F22985"/>
    <w:rsid w:val="00F3383E"/>
    <w:rsid w:val="00F465A7"/>
    <w:rsid w:val="00F46A10"/>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2697903"/>
    <w:rsid w:val="02F96569"/>
    <w:rsid w:val="03EA7B21"/>
    <w:rsid w:val="05990CC3"/>
    <w:rsid w:val="05F83EAE"/>
    <w:rsid w:val="063E7D85"/>
    <w:rsid w:val="07293586"/>
    <w:rsid w:val="07295285"/>
    <w:rsid w:val="07636392"/>
    <w:rsid w:val="07770C56"/>
    <w:rsid w:val="092217DD"/>
    <w:rsid w:val="093A7294"/>
    <w:rsid w:val="0A263993"/>
    <w:rsid w:val="0A2D3AC2"/>
    <w:rsid w:val="0AA755DF"/>
    <w:rsid w:val="0B120D44"/>
    <w:rsid w:val="0BA82023"/>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8458EF"/>
    <w:rsid w:val="14DD2C3C"/>
    <w:rsid w:val="16087E1D"/>
    <w:rsid w:val="17701D14"/>
    <w:rsid w:val="17735226"/>
    <w:rsid w:val="189F624C"/>
    <w:rsid w:val="1A1C66C0"/>
    <w:rsid w:val="1A42393B"/>
    <w:rsid w:val="1A9F78BD"/>
    <w:rsid w:val="1AAD45DE"/>
    <w:rsid w:val="1B046F80"/>
    <w:rsid w:val="1B1245CC"/>
    <w:rsid w:val="1B3267B5"/>
    <w:rsid w:val="1B40161D"/>
    <w:rsid w:val="1B441859"/>
    <w:rsid w:val="1B6606B1"/>
    <w:rsid w:val="1C5E7925"/>
    <w:rsid w:val="1CFD070F"/>
    <w:rsid w:val="1D5F6196"/>
    <w:rsid w:val="1D6132A5"/>
    <w:rsid w:val="1D8E56D5"/>
    <w:rsid w:val="1E6601D5"/>
    <w:rsid w:val="1E7A43DA"/>
    <w:rsid w:val="1FE7539E"/>
    <w:rsid w:val="20671BE0"/>
    <w:rsid w:val="20963CB8"/>
    <w:rsid w:val="20A81A1B"/>
    <w:rsid w:val="20B07FB6"/>
    <w:rsid w:val="20B646FB"/>
    <w:rsid w:val="213B74B1"/>
    <w:rsid w:val="215A2310"/>
    <w:rsid w:val="216B39DD"/>
    <w:rsid w:val="21DE318A"/>
    <w:rsid w:val="21EF5B80"/>
    <w:rsid w:val="22576990"/>
    <w:rsid w:val="22F47480"/>
    <w:rsid w:val="23DE1C48"/>
    <w:rsid w:val="240210CD"/>
    <w:rsid w:val="24BF09F7"/>
    <w:rsid w:val="252D53FE"/>
    <w:rsid w:val="25581D27"/>
    <w:rsid w:val="25EC2D81"/>
    <w:rsid w:val="277057A2"/>
    <w:rsid w:val="29206EB8"/>
    <w:rsid w:val="29595666"/>
    <w:rsid w:val="29874881"/>
    <w:rsid w:val="29887166"/>
    <w:rsid w:val="29E325E0"/>
    <w:rsid w:val="2A452503"/>
    <w:rsid w:val="2BA936A8"/>
    <w:rsid w:val="2C315A5A"/>
    <w:rsid w:val="2C4B1C25"/>
    <w:rsid w:val="2D9E56F5"/>
    <w:rsid w:val="2E667F96"/>
    <w:rsid w:val="2E8226AB"/>
    <w:rsid w:val="2FD065E6"/>
    <w:rsid w:val="2FD96870"/>
    <w:rsid w:val="301E31A9"/>
    <w:rsid w:val="30580BC9"/>
    <w:rsid w:val="311E2ED7"/>
    <w:rsid w:val="315619EE"/>
    <w:rsid w:val="315C449C"/>
    <w:rsid w:val="31B82709"/>
    <w:rsid w:val="31D05482"/>
    <w:rsid w:val="32400B34"/>
    <w:rsid w:val="329E6876"/>
    <w:rsid w:val="333015F2"/>
    <w:rsid w:val="334B6320"/>
    <w:rsid w:val="33D934D4"/>
    <w:rsid w:val="33FE2F6A"/>
    <w:rsid w:val="340E07E5"/>
    <w:rsid w:val="34235BF7"/>
    <w:rsid w:val="34F85946"/>
    <w:rsid w:val="358C5FA8"/>
    <w:rsid w:val="35C15DF1"/>
    <w:rsid w:val="35D835B8"/>
    <w:rsid w:val="35F53012"/>
    <w:rsid w:val="36074A7F"/>
    <w:rsid w:val="36923549"/>
    <w:rsid w:val="36B75FBF"/>
    <w:rsid w:val="36BD0C45"/>
    <w:rsid w:val="379F4B74"/>
    <w:rsid w:val="37E00298"/>
    <w:rsid w:val="38B302F9"/>
    <w:rsid w:val="38F12CD3"/>
    <w:rsid w:val="38F94775"/>
    <w:rsid w:val="392971ED"/>
    <w:rsid w:val="39325651"/>
    <w:rsid w:val="3A872856"/>
    <w:rsid w:val="3B3763D1"/>
    <w:rsid w:val="3B403F8D"/>
    <w:rsid w:val="3C2F6E1E"/>
    <w:rsid w:val="3C4F64BA"/>
    <w:rsid w:val="3C684654"/>
    <w:rsid w:val="3CDA245A"/>
    <w:rsid w:val="3D1E06B7"/>
    <w:rsid w:val="3EB84597"/>
    <w:rsid w:val="3EDA0523"/>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9179DC"/>
    <w:rsid w:val="45A47C0E"/>
    <w:rsid w:val="46577FD6"/>
    <w:rsid w:val="46D955A7"/>
    <w:rsid w:val="47133957"/>
    <w:rsid w:val="47A07E0C"/>
    <w:rsid w:val="4870272E"/>
    <w:rsid w:val="49DC7715"/>
    <w:rsid w:val="4A023139"/>
    <w:rsid w:val="4A7B576F"/>
    <w:rsid w:val="4ADF778B"/>
    <w:rsid w:val="4AF561A9"/>
    <w:rsid w:val="4C4A0649"/>
    <w:rsid w:val="4C7E5ECA"/>
    <w:rsid w:val="4C876AA5"/>
    <w:rsid w:val="4CBB243A"/>
    <w:rsid w:val="4D0E00FB"/>
    <w:rsid w:val="4D176606"/>
    <w:rsid w:val="4DEC4FB0"/>
    <w:rsid w:val="4E075D8A"/>
    <w:rsid w:val="4EC00FAD"/>
    <w:rsid w:val="4F9843DC"/>
    <w:rsid w:val="4FC62A8C"/>
    <w:rsid w:val="4FE20F0D"/>
    <w:rsid w:val="4FE51552"/>
    <w:rsid w:val="50504C4B"/>
    <w:rsid w:val="509C6E7C"/>
    <w:rsid w:val="515702B5"/>
    <w:rsid w:val="5162104E"/>
    <w:rsid w:val="52C02FEB"/>
    <w:rsid w:val="53A039CC"/>
    <w:rsid w:val="53A1505A"/>
    <w:rsid w:val="54063E08"/>
    <w:rsid w:val="543437E8"/>
    <w:rsid w:val="54F73313"/>
    <w:rsid w:val="54F80955"/>
    <w:rsid w:val="55451106"/>
    <w:rsid w:val="555170A7"/>
    <w:rsid w:val="5587536D"/>
    <w:rsid w:val="559B174B"/>
    <w:rsid w:val="55CE0CF4"/>
    <w:rsid w:val="566624D9"/>
    <w:rsid w:val="56B22A9C"/>
    <w:rsid w:val="57B72A76"/>
    <w:rsid w:val="57C3426C"/>
    <w:rsid w:val="57CE1F93"/>
    <w:rsid w:val="588743D1"/>
    <w:rsid w:val="5887701A"/>
    <w:rsid w:val="59C0439F"/>
    <w:rsid w:val="5ABE2233"/>
    <w:rsid w:val="5BDF5D95"/>
    <w:rsid w:val="5BFE7528"/>
    <w:rsid w:val="5E2467F1"/>
    <w:rsid w:val="5E5216D7"/>
    <w:rsid w:val="5F1A2B43"/>
    <w:rsid w:val="5FB837BB"/>
    <w:rsid w:val="60CC405A"/>
    <w:rsid w:val="61E215D8"/>
    <w:rsid w:val="621B3775"/>
    <w:rsid w:val="62364782"/>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1374C6"/>
    <w:rsid w:val="6A520EC7"/>
    <w:rsid w:val="6AF87E20"/>
    <w:rsid w:val="6B322639"/>
    <w:rsid w:val="6C636C38"/>
    <w:rsid w:val="6DB34098"/>
    <w:rsid w:val="6DB545B6"/>
    <w:rsid w:val="6DE02FB4"/>
    <w:rsid w:val="6E514CED"/>
    <w:rsid w:val="6EB563D5"/>
    <w:rsid w:val="6ED92677"/>
    <w:rsid w:val="6F225983"/>
    <w:rsid w:val="6FFC5590"/>
    <w:rsid w:val="7035276D"/>
    <w:rsid w:val="706D1DD0"/>
    <w:rsid w:val="70856B87"/>
    <w:rsid w:val="70D527EE"/>
    <w:rsid w:val="715B5300"/>
    <w:rsid w:val="71D27F8A"/>
    <w:rsid w:val="72553024"/>
    <w:rsid w:val="73122968"/>
    <w:rsid w:val="731F5D5E"/>
    <w:rsid w:val="733E5444"/>
    <w:rsid w:val="73C51AD5"/>
    <w:rsid w:val="741E793C"/>
    <w:rsid w:val="743508E8"/>
    <w:rsid w:val="745E3944"/>
    <w:rsid w:val="75B16059"/>
    <w:rsid w:val="7635099D"/>
    <w:rsid w:val="76646347"/>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 w:semiHidden="0" w:name="heading 2" w:locked="1"/>
    <w:lsdException w:qFormat="1" w:unhideWhenUsed="0" w:uiPriority="9" w:semiHidden="0" w:name="heading 3" w:locked="1"/>
    <w:lsdException w:qFormat="1" w:uiPriority="9"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qFormat="1"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qFormat="1" w:unhideWhenUsed="0" w:uiPriority="99"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link w:val="70"/>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7">
    <w:name w:val="heading 2"/>
    <w:basedOn w:val="1"/>
    <w:next w:val="1"/>
    <w:qFormat/>
    <w:locked/>
    <w:uiPriority w:val="9"/>
    <w:pPr>
      <w:spacing w:line="440" w:lineRule="exact"/>
      <w:outlineLvl w:val="1"/>
    </w:pPr>
    <w:rPr>
      <w:b/>
      <w:bCs/>
      <w:sz w:val="24"/>
      <w:szCs w:val="32"/>
    </w:rPr>
  </w:style>
  <w:style w:type="paragraph" w:styleId="8">
    <w:name w:val="heading 3"/>
    <w:basedOn w:val="1"/>
    <w:next w:val="1"/>
    <w:qFormat/>
    <w:locked/>
    <w:uiPriority w:val="9"/>
    <w:pPr>
      <w:ind w:firstLine="482"/>
      <w:outlineLvl w:val="2"/>
    </w:pPr>
    <w:rPr>
      <w:b/>
      <w:bCs/>
      <w:kern w:val="0"/>
      <w:szCs w:val="20"/>
    </w:rPr>
  </w:style>
  <w:style w:type="paragraph" w:styleId="9">
    <w:name w:val="heading 4"/>
    <w:basedOn w:val="1"/>
    <w:next w:val="1"/>
    <w:semiHidden/>
    <w:unhideWhenUsed/>
    <w:qFormat/>
    <w:locked/>
    <w:uiPriority w:val="9"/>
    <w:pPr>
      <w:keepNext/>
      <w:keepLines/>
      <w:spacing w:before="280" w:after="290" w:line="372" w:lineRule="auto"/>
      <w:outlineLvl w:val="3"/>
    </w:pPr>
    <w:rPr>
      <w:rFonts w:ascii="Arial" w:hAnsi="Arial" w:eastAsia="黑体"/>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next w:val="1"/>
    <w:qFormat/>
    <w:uiPriority w:val="0"/>
    <w:pPr>
      <w:ind w:firstLine="420" w:firstLineChars="200"/>
    </w:pPr>
    <w:rPr>
      <w:rFonts w:ascii="Calibri" w:hAnsi="Calibri" w:eastAsia="宋体" w:cs="Times New Roman"/>
      <w:szCs w:val="22"/>
    </w:rPr>
  </w:style>
  <w:style w:type="paragraph" w:styleId="4">
    <w:name w:val="Body Text First Indent"/>
    <w:basedOn w:val="5"/>
    <w:next w:val="1"/>
    <w:qFormat/>
    <w:locked/>
    <w:uiPriority w:val="0"/>
    <w:pPr>
      <w:adjustRightInd w:val="0"/>
      <w:spacing w:beforeLines="50" w:after="0" w:line="360" w:lineRule="auto"/>
      <w:ind w:firstLine="200" w:firstLineChars="200"/>
    </w:pPr>
    <w:rPr>
      <w:sz w:val="24"/>
    </w:rPr>
  </w:style>
  <w:style w:type="paragraph" w:styleId="5">
    <w:name w:val="Body Text"/>
    <w:basedOn w:val="1"/>
    <w:next w:val="6"/>
    <w:link w:val="51"/>
    <w:qFormat/>
    <w:uiPriority w:val="0"/>
    <w:pPr>
      <w:widowControl/>
      <w:snapToGrid w:val="0"/>
      <w:spacing w:before="60" w:after="160" w:line="259" w:lineRule="auto"/>
      <w:ind w:right="113"/>
    </w:pPr>
    <w:rPr>
      <w:kern w:val="0"/>
      <w:sz w:val="18"/>
      <w:szCs w:val="20"/>
    </w:rPr>
  </w:style>
  <w:style w:type="paragraph" w:customStyle="1" w:styleId="6">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0">
    <w:name w:val="Note Heading"/>
    <w:basedOn w:val="1"/>
    <w:next w:val="1"/>
    <w:qFormat/>
    <w:locked/>
    <w:uiPriority w:val="99"/>
    <w:pPr>
      <w:jc w:val="center"/>
    </w:pPr>
  </w:style>
  <w:style w:type="paragraph" w:styleId="11">
    <w:name w:val="Normal Indent"/>
    <w:basedOn w:val="4"/>
    <w:qFormat/>
    <w:locked/>
    <w:uiPriority w:val="99"/>
    <w:pPr>
      <w:spacing w:beforeLines="0"/>
      <w:ind w:firstLine="0" w:firstLineChars="0"/>
      <w:jc w:val="center"/>
    </w:pPr>
    <w:rPr>
      <w:rFonts w:eastAsia="黑体"/>
      <w:szCs w:val="21"/>
    </w:rPr>
  </w:style>
  <w:style w:type="paragraph" w:styleId="12">
    <w:name w:val="caption"/>
    <w:basedOn w:val="1"/>
    <w:next w:val="1"/>
    <w:qFormat/>
    <w:locked/>
    <w:uiPriority w:val="0"/>
    <w:pPr>
      <w:adjustRightInd w:val="0"/>
      <w:snapToGrid w:val="0"/>
      <w:spacing w:line="360" w:lineRule="auto"/>
      <w:jc w:val="left"/>
    </w:pPr>
    <w:rPr>
      <w:rFonts w:eastAsia="黑体"/>
      <w:sz w:val="24"/>
    </w:rPr>
  </w:style>
  <w:style w:type="paragraph" w:styleId="13">
    <w:name w:val="annotation text"/>
    <w:basedOn w:val="1"/>
    <w:link w:val="53"/>
    <w:semiHidden/>
    <w:qFormat/>
    <w:uiPriority w:val="0"/>
    <w:pPr>
      <w:jc w:val="left"/>
    </w:pPr>
    <w:rPr>
      <w:kern w:val="0"/>
      <w:sz w:val="24"/>
      <w:szCs w:val="20"/>
    </w:rPr>
  </w:style>
  <w:style w:type="paragraph" w:styleId="14">
    <w:name w:val="Body Text Indent"/>
    <w:basedOn w:val="1"/>
    <w:next w:val="15"/>
    <w:link w:val="48"/>
    <w:qFormat/>
    <w:uiPriority w:val="0"/>
    <w:pPr>
      <w:spacing w:after="120"/>
      <w:ind w:left="420" w:leftChars="200"/>
    </w:pPr>
    <w:rPr>
      <w:kern w:val="0"/>
      <w:sz w:val="24"/>
      <w:szCs w:val="20"/>
    </w:rPr>
  </w:style>
  <w:style w:type="paragraph" w:styleId="15">
    <w:name w:val="envelope return"/>
    <w:basedOn w:val="1"/>
    <w:qFormat/>
    <w:locked/>
    <w:uiPriority w:val="0"/>
    <w:pPr>
      <w:snapToGrid w:val="0"/>
    </w:pPr>
    <w:rPr>
      <w:rFonts w:ascii="Arial" w:hAnsi="Arial" w:cs="Arial"/>
      <w:szCs w:val="20"/>
    </w:rPr>
  </w:style>
  <w:style w:type="paragraph" w:styleId="16">
    <w:name w:val="Plain Text"/>
    <w:basedOn w:val="1"/>
    <w:qFormat/>
    <w:locked/>
    <w:uiPriority w:val="0"/>
    <w:rPr>
      <w:rFonts w:ascii="宋体" w:hAnsi="Courier New"/>
    </w:rPr>
  </w:style>
  <w:style w:type="paragraph" w:styleId="17">
    <w:name w:val="Date"/>
    <w:basedOn w:val="1"/>
    <w:next w:val="1"/>
    <w:link w:val="46"/>
    <w:qFormat/>
    <w:uiPriority w:val="0"/>
    <w:pPr>
      <w:ind w:left="100" w:leftChars="2500"/>
    </w:pPr>
    <w:rPr>
      <w:kern w:val="0"/>
      <w:sz w:val="24"/>
      <w:szCs w:val="20"/>
    </w:rPr>
  </w:style>
  <w:style w:type="paragraph" w:styleId="18">
    <w:name w:val="Body Text Indent 2"/>
    <w:basedOn w:val="1"/>
    <w:qFormat/>
    <w:locked/>
    <w:uiPriority w:val="0"/>
    <w:pPr>
      <w:spacing w:after="120" w:line="480" w:lineRule="auto"/>
      <w:ind w:left="420" w:leftChars="200"/>
    </w:pPr>
  </w:style>
  <w:style w:type="paragraph" w:styleId="19">
    <w:name w:val="Balloon Text"/>
    <w:basedOn w:val="1"/>
    <w:link w:val="54"/>
    <w:semiHidden/>
    <w:qFormat/>
    <w:uiPriority w:val="0"/>
    <w:rPr>
      <w:kern w:val="0"/>
      <w:sz w:val="18"/>
      <w:szCs w:val="20"/>
    </w:rPr>
  </w:style>
  <w:style w:type="paragraph" w:styleId="20">
    <w:name w:val="footer"/>
    <w:basedOn w:val="1"/>
    <w:link w:val="45"/>
    <w:qFormat/>
    <w:uiPriority w:val="99"/>
    <w:pPr>
      <w:tabs>
        <w:tab w:val="center" w:pos="4153"/>
        <w:tab w:val="right" w:pos="8306"/>
      </w:tabs>
      <w:snapToGrid w:val="0"/>
      <w:jc w:val="left"/>
    </w:pPr>
    <w:rPr>
      <w:kern w:val="0"/>
      <w:sz w:val="18"/>
      <w:szCs w:val="20"/>
    </w:rPr>
  </w:style>
  <w:style w:type="paragraph" w:styleId="21">
    <w:name w:val="header"/>
    <w:basedOn w:val="1"/>
    <w:link w:val="52"/>
    <w:qFormat/>
    <w:uiPriority w:val="0"/>
    <w:pPr>
      <w:pBdr>
        <w:bottom w:val="single" w:color="auto" w:sz="6" w:space="1"/>
      </w:pBdr>
      <w:tabs>
        <w:tab w:val="center" w:pos="4153"/>
        <w:tab w:val="right" w:pos="8306"/>
      </w:tabs>
      <w:snapToGrid w:val="0"/>
      <w:jc w:val="center"/>
    </w:pPr>
    <w:rPr>
      <w:kern w:val="0"/>
      <w:sz w:val="18"/>
      <w:szCs w:val="20"/>
    </w:rPr>
  </w:style>
  <w:style w:type="paragraph" w:styleId="22">
    <w:name w:val="List"/>
    <w:basedOn w:val="1"/>
    <w:qFormat/>
    <w:locked/>
    <w:uiPriority w:val="0"/>
    <w:pPr>
      <w:ind w:left="200" w:hanging="200" w:hangingChars="200"/>
    </w:pPr>
  </w:style>
  <w:style w:type="paragraph" w:styleId="23">
    <w:name w:val="Body Text Indent 3"/>
    <w:basedOn w:val="1"/>
    <w:qFormat/>
    <w:locked/>
    <w:uiPriority w:val="0"/>
    <w:pPr>
      <w:spacing w:after="120"/>
      <w:ind w:left="420" w:leftChars="200"/>
    </w:pPr>
    <w:rPr>
      <w:sz w:val="16"/>
      <w:szCs w:val="16"/>
    </w:rPr>
  </w:style>
  <w:style w:type="paragraph" w:styleId="24">
    <w:name w:val="Normal (Web)"/>
    <w:basedOn w:val="1"/>
    <w:link w:val="49"/>
    <w:qFormat/>
    <w:uiPriority w:val="0"/>
    <w:pPr>
      <w:widowControl/>
      <w:jc w:val="left"/>
    </w:pPr>
    <w:rPr>
      <w:rFonts w:ascii="宋体" w:hAnsi="宋体"/>
      <w:kern w:val="0"/>
      <w:sz w:val="24"/>
      <w:szCs w:val="20"/>
    </w:rPr>
  </w:style>
  <w:style w:type="paragraph" w:styleId="25">
    <w:name w:val="annotation subject"/>
    <w:basedOn w:val="13"/>
    <w:next w:val="13"/>
    <w:link w:val="55"/>
    <w:semiHidden/>
    <w:qFormat/>
    <w:uiPriority w:val="0"/>
    <w:rPr>
      <w:b/>
    </w:rPr>
  </w:style>
  <w:style w:type="paragraph" w:styleId="26">
    <w:name w:val="Body Text First Indent 2"/>
    <w:basedOn w:val="14"/>
    <w:qFormat/>
    <w:locked/>
    <w:uiPriority w:val="0"/>
    <w:pPr>
      <w:ind w:firstLine="420" w:firstLineChars="20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locked/>
    <w:uiPriority w:val="0"/>
    <w:rPr>
      <w:b/>
    </w:rPr>
  </w:style>
  <w:style w:type="character" w:styleId="31">
    <w:name w:val="page number"/>
    <w:basedOn w:val="29"/>
    <w:qFormat/>
    <w:locked/>
    <w:uiPriority w:val="0"/>
  </w:style>
  <w:style w:type="character" w:styleId="32">
    <w:name w:val="Hyperlink"/>
    <w:basedOn w:val="29"/>
    <w:qFormat/>
    <w:locked/>
    <w:uiPriority w:val="99"/>
    <w:rPr>
      <w:color w:val="0000FF"/>
      <w:u w:val="single"/>
    </w:rPr>
  </w:style>
  <w:style w:type="character" w:styleId="33">
    <w:name w:val="annotation reference"/>
    <w:basedOn w:val="29"/>
    <w:semiHidden/>
    <w:qFormat/>
    <w:uiPriority w:val="0"/>
    <w:rPr>
      <w:sz w:val="21"/>
    </w:rPr>
  </w:style>
  <w:style w:type="paragraph" w:customStyle="1" w:styleId="34">
    <w:name w:val="表头"/>
    <w:basedOn w:val="4"/>
    <w:next w:val="1"/>
    <w:link w:val="86"/>
    <w:qFormat/>
    <w:uiPriority w:val="0"/>
    <w:pPr>
      <w:jc w:val="center"/>
    </w:pPr>
    <w:rPr>
      <w:b/>
    </w:rPr>
  </w:style>
  <w:style w:type="paragraph" w:customStyle="1" w:styleId="35">
    <w:name w:val="表格"/>
    <w:basedOn w:val="22"/>
    <w:next w:val="1"/>
    <w:link w:val="37"/>
    <w:qFormat/>
    <w:uiPriority w:val="0"/>
    <w:pPr>
      <w:adjustRightInd w:val="0"/>
      <w:snapToGrid w:val="0"/>
      <w:spacing w:beforeLines="10" w:afterLines="10" w:line="259" w:lineRule="auto"/>
      <w:jc w:val="center"/>
    </w:pPr>
    <w:rPr>
      <w:rFonts w:ascii="宋体"/>
      <w:kern w:val="0"/>
      <w:szCs w:val="20"/>
    </w:rPr>
  </w:style>
  <w:style w:type="paragraph" w:customStyle="1" w:styleId="36">
    <w:name w:val="T表格文字"/>
    <w:basedOn w:val="1"/>
    <w:qFormat/>
    <w:uiPriority w:val="0"/>
    <w:pPr>
      <w:jc w:val="center"/>
    </w:pPr>
  </w:style>
  <w:style w:type="character" w:customStyle="1" w:styleId="37">
    <w:name w:val="表格 Char"/>
    <w:link w:val="35"/>
    <w:qFormat/>
    <w:locked/>
    <w:uiPriority w:val="0"/>
    <w:rPr>
      <w:rFonts w:ascii="宋体"/>
      <w:sz w:val="21"/>
    </w:rPr>
  </w:style>
  <w:style w:type="paragraph" w:customStyle="1" w:styleId="38">
    <w:name w:val="表格文字"/>
    <w:basedOn w:val="1"/>
    <w:next w:val="39"/>
    <w:qFormat/>
    <w:uiPriority w:val="0"/>
    <w:pPr>
      <w:jc w:val="center"/>
    </w:pPr>
    <w:rPr>
      <w:rFonts w:ascii="仿宋_GB2312" w:hAnsi="Arial Black" w:eastAsia="仿宋_GB2312"/>
      <w:kern w:val="44"/>
      <w:sz w:val="24"/>
      <w:szCs w:val="20"/>
    </w:rPr>
  </w:style>
  <w:style w:type="paragraph" w:customStyle="1" w:styleId="39">
    <w:name w:val="样式 标题 2H2He + 首行缩进:  0.5 字符"/>
    <w:basedOn w:val="7"/>
    <w:qFormat/>
    <w:uiPriority w:val="0"/>
    <w:pPr>
      <w:tabs>
        <w:tab w:val="left" w:pos="648"/>
      </w:tabs>
      <w:overflowPunct w:val="0"/>
      <w:autoSpaceDE w:val="0"/>
      <w:autoSpaceDN w:val="0"/>
      <w:adjustRightInd w:val="0"/>
      <w:spacing w:before="40" w:after="40" w:line="400" w:lineRule="exact"/>
      <w:ind w:firstLine="221" w:firstLineChars="50"/>
      <w:textAlignment w:val="baseline"/>
    </w:pPr>
    <w:rPr>
      <w:rFonts w:ascii="宋体" w:hAnsi="宋体" w:cs="宋体"/>
      <w:color w:val="000000"/>
      <w:kern w:val="32"/>
      <w:szCs w:val="20"/>
    </w:rPr>
  </w:style>
  <w:style w:type="paragraph" w:customStyle="1" w:styleId="40">
    <w:name w:val="Body Text Indent 21"/>
    <w:basedOn w:val="1"/>
    <w:qFormat/>
    <w:uiPriority w:val="0"/>
    <w:pPr>
      <w:spacing w:after="120" w:line="480" w:lineRule="auto"/>
      <w:ind w:left="420" w:leftChars="200" w:firstLine="510"/>
    </w:pPr>
    <w:rPr>
      <w:sz w:val="28"/>
    </w:rPr>
  </w:style>
  <w:style w:type="paragraph" w:customStyle="1" w:styleId="41">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43">
    <w:name w:val="批注文字 字符1"/>
    <w:semiHidden/>
    <w:qFormat/>
    <w:uiPriority w:val="0"/>
    <w:rPr>
      <w:rFonts w:ascii="Times New Roman" w:hAnsi="Times New Roman" w:eastAsia="宋体"/>
      <w:sz w:val="24"/>
    </w:rPr>
  </w:style>
  <w:style w:type="character" w:customStyle="1" w:styleId="44">
    <w:name w:val="正文文本 字符1"/>
    <w:semiHidden/>
    <w:qFormat/>
    <w:uiPriority w:val="0"/>
    <w:rPr>
      <w:rFonts w:ascii="Times New Roman" w:hAnsi="Times New Roman" w:eastAsia="宋体"/>
      <w:sz w:val="24"/>
    </w:rPr>
  </w:style>
  <w:style w:type="character" w:customStyle="1" w:styleId="45">
    <w:name w:val="页脚 字符1"/>
    <w:link w:val="20"/>
    <w:qFormat/>
    <w:locked/>
    <w:uiPriority w:val="99"/>
    <w:rPr>
      <w:sz w:val="18"/>
    </w:rPr>
  </w:style>
  <w:style w:type="character" w:customStyle="1" w:styleId="46">
    <w:name w:val="日期 字符1"/>
    <w:link w:val="17"/>
    <w:qFormat/>
    <w:locked/>
    <w:uiPriority w:val="0"/>
    <w:rPr>
      <w:rFonts w:ascii="Times New Roman" w:hAnsi="Times New Roman" w:eastAsia="宋体"/>
      <w:sz w:val="24"/>
    </w:rPr>
  </w:style>
  <w:style w:type="character" w:customStyle="1" w:styleId="47">
    <w:name w:val="页脚 字符"/>
    <w:basedOn w:val="29"/>
    <w:qFormat/>
    <w:uiPriority w:val="99"/>
  </w:style>
  <w:style w:type="character" w:customStyle="1" w:styleId="48">
    <w:name w:val="正文文本缩进 字符"/>
    <w:link w:val="14"/>
    <w:semiHidden/>
    <w:qFormat/>
    <w:locked/>
    <w:uiPriority w:val="0"/>
    <w:rPr>
      <w:rFonts w:ascii="Times New Roman" w:hAnsi="Times New Roman" w:eastAsia="宋体"/>
      <w:sz w:val="24"/>
    </w:rPr>
  </w:style>
  <w:style w:type="character" w:customStyle="1" w:styleId="49">
    <w:name w:val="普通(网站) 字符"/>
    <w:link w:val="24"/>
    <w:qFormat/>
    <w:locked/>
    <w:uiPriority w:val="0"/>
    <w:rPr>
      <w:rFonts w:ascii="宋体" w:hAnsi="宋体" w:eastAsia="宋体"/>
      <w:sz w:val="24"/>
    </w:rPr>
  </w:style>
  <w:style w:type="character" w:customStyle="1" w:styleId="50">
    <w:name w:val="日期 字符"/>
    <w:semiHidden/>
    <w:qFormat/>
    <w:uiPriority w:val="0"/>
    <w:rPr>
      <w:rFonts w:ascii="Times New Roman" w:hAnsi="Times New Roman" w:eastAsia="宋体"/>
      <w:sz w:val="24"/>
    </w:rPr>
  </w:style>
  <w:style w:type="character" w:customStyle="1" w:styleId="51">
    <w:name w:val="正文文本 字符"/>
    <w:link w:val="5"/>
    <w:qFormat/>
    <w:locked/>
    <w:uiPriority w:val="0"/>
    <w:rPr>
      <w:sz w:val="18"/>
    </w:rPr>
  </w:style>
  <w:style w:type="character" w:customStyle="1" w:styleId="52">
    <w:name w:val="页眉 字符"/>
    <w:link w:val="21"/>
    <w:qFormat/>
    <w:locked/>
    <w:uiPriority w:val="0"/>
    <w:rPr>
      <w:sz w:val="18"/>
    </w:rPr>
  </w:style>
  <w:style w:type="character" w:customStyle="1" w:styleId="53">
    <w:name w:val="批注文字 字符"/>
    <w:link w:val="13"/>
    <w:qFormat/>
    <w:locked/>
    <w:uiPriority w:val="0"/>
    <w:rPr>
      <w:rFonts w:ascii="Times New Roman" w:hAnsi="Times New Roman" w:eastAsia="宋体"/>
      <w:sz w:val="24"/>
    </w:rPr>
  </w:style>
  <w:style w:type="character" w:customStyle="1" w:styleId="54">
    <w:name w:val="批注框文本 字符"/>
    <w:link w:val="19"/>
    <w:semiHidden/>
    <w:qFormat/>
    <w:locked/>
    <w:uiPriority w:val="0"/>
    <w:rPr>
      <w:rFonts w:ascii="Times New Roman" w:hAnsi="Times New Roman" w:eastAsia="宋体"/>
      <w:sz w:val="18"/>
    </w:rPr>
  </w:style>
  <w:style w:type="character" w:customStyle="1" w:styleId="55">
    <w:name w:val="批注主题 字符"/>
    <w:link w:val="25"/>
    <w:semiHidden/>
    <w:qFormat/>
    <w:locked/>
    <w:uiPriority w:val="0"/>
    <w:rPr>
      <w:rFonts w:ascii="Times New Roman" w:hAnsi="Times New Roman" w:eastAsia="宋体"/>
      <w:b/>
      <w:kern w:val="2"/>
      <w:sz w:val="24"/>
    </w:rPr>
  </w:style>
  <w:style w:type="character" w:customStyle="1" w:styleId="56">
    <w:name w:val="fontstyle01"/>
    <w:qFormat/>
    <w:uiPriority w:val="0"/>
    <w:rPr>
      <w:rFonts w:hint="eastAsia" w:ascii="宋体" w:hAnsi="宋体" w:eastAsia="宋体"/>
      <w:color w:val="000000"/>
      <w:sz w:val="24"/>
      <w:szCs w:val="24"/>
    </w:rPr>
  </w:style>
  <w:style w:type="paragraph" w:customStyle="1" w:styleId="57">
    <w:name w:val="报告正文"/>
    <w:basedOn w:val="1"/>
    <w:qFormat/>
    <w:uiPriority w:val="0"/>
    <w:pPr>
      <w:adjustRightInd w:val="0"/>
      <w:snapToGrid w:val="0"/>
      <w:spacing w:line="360" w:lineRule="auto"/>
      <w:ind w:firstLine="200" w:firstLineChars="200"/>
    </w:pPr>
    <w:rPr>
      <w:rFonts w:ascii="宋体"/>
      <w:sz w:val="24"/>
      <w:szCs w:val="20"/>
    </w:rPr>
  </w:style>
  <w:style w:type="paragraph" w:customStyle="1" w:styleId="58">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59">
    <w:name w:val="Table Paragraph"/>
    <w:basedOn w:val="1"/>
    <w:qFormat/>
    <w:uiPriority w:val="1"/>
    <w:pPr>
      <w:jc w:val="center"/>
    </w:pPr>
    <w:rPr>
      <w:rFonts w:eastAsia="Times New Roman"/>
      <w:szCs w:val="20"/>
      <w:lang w:val="zh-CN" w:bidi="zh-CN"/>
    </w:rPr>
  </w:style>
  <w:style w:type="paragraph" w:customStyle="1" w:styleId="60">
    <w:name w:val="环评正文"/>
    <w:basedOn w:val="1"/>
    <w:qFormat/>
    <w:uiPriority w:val="99"/>
    <w:pPr>
      <w:spacing w:before="93" w:beforeLines="30"/>
      <w:ind w:firstLine="480" w:firstLineChars="200"/>
    </w:pPr>
    <w:rPr>
      <w:kern w:val="0"/>
      <w:sz w:val="24"/>
      <w:szCs w:val="20"/>
    </w:rPr>
  </w:style>
  <w:style w:type="paragraph" w:customStyle="1" w:styleId="61">
    <w:name w:val="正文11"/>
    <w:basedOn w:val="1"/>
    <w:qFormat/>
    <w:uiPriority w:val="0"/>
    <w:pPr>
      <w:autoSpaceDE w:val="0"/>
      <w:autoSpaceDN w:val="0"/>
      <w:adjustRightInd w:val="0"/>
      <w:spacing w:line="480" w:lineRule="exact"/>
      <w:ind w:firstLine="638" w:firstLineChars="228"/>
    </w:pPr>
    <w:rPr>
      <w:rFonts w:eastAsia="仿宋"/>
      <w:color w:val="0000FF"/>
      <w:sz w:val="28"/>
      <w:szCs w:val="28"/>
    </w:rPr>
  </w:style>
  <w:style w:type="paragraph" w:customStyle="1" w:styleId="62">
    <w:name w:val="5级标题"/>
    <w:basedOn w:val="1"/>
    <w:qFormat/>
    <w:uiPriority w:val="0"/>
    <w:pPr>
      <w:spacing w:line="360" w:lineRule="auto"/>
      <w:jc w:val="left"/>
    </w:pPr>
    <w:rPr>
      <w:sz w:val="24"/>
      <w:szCs w:val="22"/>
    </w:rPr>
  </w:style>
  <w:style w:type="paragraph" w:customStyle="1" w:styleId="63">
    <w:name w:val="卓龙正文"/>
    <w:basedOn w:val="1"/>
    <w:qFormat/>
    <w:uiPriority w:val="0"/>
    <w:pPr>
      <w:spacing w:line="360" w:lineRule="auto"/>
      <w:ind w:firstLine="200" w:firstLineChars="200"/>
    </w:pPr>
    <w:rPr>
      <w:sz w:val="24"/>
    </w:rPr>
  </w:style>
  <w:style w:type="paragraph" w:customStyle="1" w:styleId="64">
    <w:name w:val="_cyj_正文"/>
    <w:basedOn w:val="1"/>
    <w:qFormat/>
    <w:uiPriority w:val="0"/>
    <w:pPr>
      <w:spacing w:line="480" w:lineRule="exact"/>
      <w:ind w:firstLine="200" w:firstLineChars="200"/>
    </w:pPr>
    <w:rPr>
      <w:rFonts w:hAnsi="宋体"/>
      <w:sz w:val="24"/>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6">
    <w:name w:val="sheet"/>
    <w:basedOn w:val="1"/>
    <w:qFormat/>
    <w:uiPriority w:val="0"/>
    <w:pPr>
      <w:suppressAutoHyphens/>
      <w:topLinePunct/>
      <w:jc w:val="center"/>
    </w:pPr>
    <w:rPr>
      <w:kern w:val="0"/>
    </w:rPr>
  </w:style>
  <w:style w:type="paragraph" w:customStyle="1" w:styleId="67">
    <w:name w:val="表格内容"/>
    <w:qFormat/>
    <w:uiPriority w:val="0"/>
    <w:pPr>
      <w:adjustRightInd w:val="0"/>
      <w:snapToGrid w:val="0"/>
      <w:spacing w:line="360" w:lineRule="exact"/>
      <w:jc w:val="center"/>
    </w:pPr>
    <w:rPr>
      <w:rFonts w:ascii="Times New Roman" w:hAnsi="Times New Roman" w:eastAsia="宋体" w:cs="Times New Roman"/>
      <w:sz w:val="21"/>
      <w:szCs w:val="24"/>
      <w:lang w:val="en-US" w:eastAsia="zh-CN" w:bidi="ar-SA"/>
    </w:rPr>
  </w:style>
  <w:style w:type="paragraph" w:customStyle="1" w:styleId="68">
    <w:name w:val="平南"/>
    <w:basedOn w:val="1"/>
    <w:qFormat/>
    <w:uiPriority w:val="0"/>
    <w:pPr>
      <w:tabs>
        <w:tab w:val="left" w:pos="3225"/>
      </w:tabs>
      <w:spacing w:line="500" w:lineRule="exact"/>
      <w:ind w:firstLine="480" w:firstLineChars="200"/>
    </w:pPr>
    <w:rPr>
      <w:color w:val="000000"/>
      <w:sz w:val="24"/>
    </w:rPr>
  </w:style>
  <w:style w:type="paragraph" w:customStyle="1" w:styleId="69">
    <w:name w:val="表格标题"/>
    <w:basedOn w:val="67"/>
    <w:next w:val="67"/>
    <w:qFormat/>
    <w:uiPriority w:val="0"/>
    <w:pPr>
      <w:spacing w:line="500" w:lineRule="exact"/>
    </w:pPr>
    <w:rPr>
      <w:b/>
      <w:color w:val="0000FF"/>
      <w:sz w:val="24"/>
    </w:rPr>
  </w:style>
  <w:style w:type="character" w:customStyle="1" w:styleId="70">
    <w:name w:val="标题 1 字符"/>
    <w:link w:val="3"/>
    <w:qFormat/>
    <w:uiPriority w:val="99"/>
    <w:rPr>
      <w:rFonts w:eastAsia="黑体"/>
      <w:b/>
      <w:bCs/>
      <w:color w:val="000000"/>
      <w:kern w:val="44"/>
      <w:sz w:val="30"/>
      <w:szCs w:val="30"/>
    </w:rPr>
  </w:style>
  <w:style w:type="paragraph" w:customStyle="1" w:styleId="71">
    <w:name w:val="永环表内格式"/>
    <w:basedOn w:val="1"/>
    <w:qFormat/>
    <w:uiPriority w:val="0"/>
    <w:pPr>
      <w:spacing w:line="360" w:lineRule="exact"/>
      <w:jc w:val="center"/>
    </w:pPr>
    <w:rPr>
      <w:szCs w:val="21"/>
    </w:rPr>
  </w:style>
  <w:style w:type="character" w:customStyle="1" w:styleId="72">
    <w:name w:val="font01"/>
    <w:basedOn w:val="29"/>
    <w:qFormat/>
    <w:uiPriority w:val="0"/>
    <w:rPr>
      <w:rFonts w:hint="eastAsia" w:ascii="宋体" w:hAnsi="宋体" w:eastAsia="宋体" w:cs="宋体"/>
      <w:b/>
      <w:color w:val="000000"/>
      <w:sz w:val="18"/>
      <w:szCs w:val="18"/>
      <w:u w:val="none"/>
    </w:rPr>
  </w:style>
  <w:style w:type="character" w:customStyle="1" w:styleId="73">
    <w:name w:val="font11"/>
    <w:basedOn w:val="29"/>
    <w:qFormat/>
    <w:uiPriority w:val="0"/>
    <w:rPr>
      <w:rFonts w:hint="default" w:ascii="Times New Roman" w:hAnsi="Times New Roman" w:cs="Times New Roman"/>
      <w:b/>
      <w:color w:val="000000"/>
      <w:sz w:val="18"/>
      <w:szCs w:val="18"/>
      <w:u w:val="none"/>
    </w:rPr>
  </w:style>
  <w:style w:type="paragraph" w:customStyle="1" w:styleId="74">
    <w:name w:val="WPSOffice手动目录 1"/>
    <w:qFormat/>
    <w:uiPriority w:val="0"/>
    <w:rPr>
      <w:rFonts w:ascii="Times New Roman" w:hAnsi="Times New Roman" w:eastAsia="宋体" w:cs="Times New Roman"/>
      <w:lang w:val="en-US" w:eastAsia="zh-CN" w:bidi="ar-SA"/>
    </w:rPr>
  </w:style>
  <w:style w:type="paragraph" w:customStyle="1" w:styleId="7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6">
    <w:name w:val="正文1"/>
    <w:basedOn w:val="1"/>
    <w:qFormat/>
    <w:uiPriority w:val="0"/>
    <w:pPr>
      <w:spacing w:line="560" w:lineRule="exact"/>
      <w:ind w:firstLine="200" w:firstLineChars="200"/>
    </w:pPr>
    <w:rPr>
      <w:rFonts w:cs="宋体"/>
      <w:color w:val="000000"/>
      <w:sz w:val="24"/>
      <w:szCs w:val="20"/>
    </w:rPr>
  </w:style>
  <w:style w:type="paragraph" w:customStyle="1" w:styleId="77">
    <w:name w:val="lh-表格文字-报告表"/>
    <w:qFormat/>
    <w:uiPriority w:val="0"/>
    <w:pPr>
      <w:jc w:val="center"/>
    </w:pPr>
    <w:rPr>
      <w:rFonts w:ascii="Times New Roman" w:hAnsi="Times New Roman" w:eastAsia="宋体" w:cs="Times New Roman"/>
      <w:snapToGrid w:val="0"/>
      <w:sz w:val="21"/>
      <w:szCs w:val="24"/>
      <w:lang w:val="en-US" w:eastAsia="zh-CN" w:bidi="ar-SA"/>
    </w:rPr>
  </w:style>
  <w:style w:type="character" w:customStyle="1" w:styleId="78">
    <w:name w:val="font31"/>
    <w:basedOn w:val="29"/>
    <w:qFormat/>
    <w:uiPriority w:val="0"/>
    <w:rPr>
      <w:rFonts w:hint="default" w:ascii="Times New Roman" w:hAnsi="Times New Roman" w:cs="Times New Roman"/>
      <w:color w:val="000000"/>
      <w:sz w:val="21"/>
      <w:szCs w:val="21"/>
      <w:u w:val="none"/>
    </w:rPr>
  </w:style>
  <w:style w:type="character" w:customStyle="1" w:styleId="79">
    <w:name w:val="font21"/>
    <w:basedOn w:val="29"/>
    <w:qFormat/>
    <w:uiPriority w:val="0"/>
    <w:rPr>
      <w:rFonts w:hint="eastAsia" w:ascii="宋体" w:hAnsi="宋体" w:eastAsia="宋体" w:cs="宋体"/>
      <w:color w:val="000000"/>
      <w:sz w:val="21"/>
      <w:szCs w:val="21"/>
      <w:u w:val="none"/>
    </w:rPr>
  </w:style>
  <w:style w:type="paragraph" w:customStyle="1" w:styleId="80">
    <w:name w:val="表格(另)"/>
    <w:basedOn w:val="1"/>
    <w:next w:val="1"/>
    <w:qFormat/>
    <w:uiPriority w:val="0"/>
    <w:pPr>
      <w:spacing w:line="240" w:lineRule="exact"/>
      <w:jc w:val="center"/>
    </w:pPr>
    <w:rPr>
      <w:snapToGrid w:val="0"/>
      <w:sz w:val="18"/>
      <w:szCs w:val="18"/>
    </w:rPr>
  </w:style>
  <w:style w:type="paragraph" w:customStyle="1" w:styleId="81">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2">
    <w:name w:val="content1"/>
    <w:qFormat/>
    <w:uiPriority w:val="0"/>
    <w:rPr>
      <w:color w:val="000000"/>
      <w:sz w:val="20"/>
      <w:szCs w:val="20"/>
    </w:rPr>
  </w:style>
  <w:style w:type="character" w:customStyle="1" w:styleId="83">
    <w:name w:val="font41"/>
    <w:basedOn w:val="29"/>
    <w:qFormat/>
    <w:uiPriority w:val="0"/>
    <w:rPr>
      <w:rFonts w:hint="default" w:ascii="Times New Roman" w:hAnsi="Times New Roman" w:cs="Times New Roman"/>
      <w:color w:val="000000"/>
      <w:sz w:val="21"/>
      <w:szCs w:val="21"/>
      <w:u w:val="none"/>
      <w:vertAlign w:val="superscript"/>
    </w:rPr>
  </w:style>
  <w:style w:type="character" w:customStyle="1" w:styleId="84">
    <w:name w:val="font61"/>
    <w:basedOn w:val="29"/>
    <w:qFormat/>
    <w:uiPriority w:val="0"/>
    <w:rPr>
      <w:rFonts w:hint="eastAsia" w:ascii="宋体" w:hAnsi="宋体" w:eastAsia="宋体" w:cs="宋体"/>
      <w:color w:val="000000"/>
      <w:sz w:val="18"/>
      <w:szCs w:val="18"/>
      <w:u w:val="none"/>
    </w:rPr>
  </w:style>
  <w:style w:type="character" w:customStyle="1" w:styleId="85">
    <w:name w:val="font81"/>
    <w:basedOn w:val="29"/>
    <w:qFormat/>
    <w:uiPriority w:val="0"/>
    <w:rPr>
      <w:rFonts w:hint="eastAsia" w:ascii="宋体" w:hAnsi="宋体" w:eastAsia="宋体" w:cs="宋体"/>
      <w:color w:val="000000"/>
      <w:sz w:val="18"/>
      <w:szCs w:val="18"/>
      <w:u w:val="none"/>
      <w:vertAlign w:val="superscript"/>
    </w:rPr>
  </w:style>
  <w:style w:type="character" w:customStyle="1" w:styleId="86">
    <w:name w:val="表头 Char1"/>
    <w:link w:val="34"/>
    <w:qFormat/>
    <w:uiPriority w:val="0"/>
    <w:rPr>
      <w:b/>
      <w:szCs w:val="20"/>
    </w:rPr>
  </w:style>
  <w:style w:type="paragraph" w:customStyle="1" w:styleId="87">
    <w:name w:val="表格中"/>
    <w:qFormat/>
    <w:uiPriority w:val="99"/>
    <w:pPr>
      <w:widowControl w:val="0"/>
      <w:jc w:val="center"/>
    </w:pPr>
    <w:rPr>
      <w:rFonts w:ascii="Times New Roman" w:hAnsi="Times New Roman" w:eastAsia="宋体" w:cs="Times New Roman"/>
      <w:kern w:val="2"/>
      <w:sz w:val="21"/>
      <w:szCs w:val="21"/>
      <w:lang w:val="en-US" w:eastAsia="zh-CN" w:bidi="ar-SA"/>
    </w:rPr>
  </w:style>
  <w:style w:type="paragraph" w:customStyle="1" w:styleId="88">
    <w:name w:val="T表头"/>
    <w:basedOn w:val="1"/>
    <w:qFormat/>
    <w:uiPriority w:val="0"/>
    <w:pPr>
      <w:jc w:val="center"/>
    </w:pPr>
    <w:rPr>
      <w:b/>
      <w:szCs w:val="20"/>
    </w:rPr>
  </w:style>
  <w:style w:type="character" w:customStyle="1" w:styleId="89">
    <w:name w:val="font51"/>
    <w:basedOn w:val="29"/>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gICAiRmlsZUlkIiA6ICIxMDY1NjUxOTc5OTAiLAogICAiR3JvdXBJZCIgOiAiMTMxNDEyODgzIiwKICAgIkltYWdlIiA6ICJpVkJPUncwS0dnb0FBQUFOU1VoRVVnQUFBM3NBQUFIeENBWUFBQURVZWFWMEFBQUFDWEJJV1hNQUFBc1RBQUFMRXdFQW1wd1lBQUFnQUVsRVFWUjRuT3pkZVZ4VVZmOEg4TThkRUFWbEZDbGNjRVhMdE15SEdVVk4zTEhjZHczTEhxa01NTUVsZVRRdEZUSmNVa3dGTlpVMnpkUVVWM0xERkV4L2lqaUR5S1BsRnVhQ2dMZ0JnbXh6Zm44WTh6RE9zQW9NREovMzYrWHJ4VDNMdmQrTEE4eDN6cm5uQU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54</Pages>
  <Words>6183</Words>
  <Characters>35246</Characters>
  <Lines>293</Lines>
  <Paragraphs>82</Paragraphs>
  <TotalTime>5</TotalTime>
  <ScaleCrop>false</ScaleCrop>
  <LinksUpToDate>false</LinksUpToDate>
  <CharactersWithSpaces>41347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何秀芝</cp:lastModifiedBy>
  <cp:lastPrinted>2020-12-29T02:43:00Z</cp:lastPrinted>
  <dcterms:modified xsi:type="dcterms:W3CDTF">2021-05-17T11:40:18Z</dcterms:modified>
  <dc:title>附件2</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310B2871A4D248F680577BD2D42107E8</vt:lpwstr>
  </property>
</Properties>
</file>