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2"/>
        </w:rPr>
      </w:pPr>
    </w:p>
    <w:p>
      <w:pPr>
        <w:jc w:val="center"/>
        <w:rPr>
          <w:rFonts w:ascii="Times New Roman" w:hAnsi="Times New Roman" w:cs="Times New Roman"/>
          <w:b/>
          <w:sz w:val="32"/>
        </w:rPr>
      </w:pPr>
    </w:p>
    <w:p>
      <w:pPr>
        <w:jc w:val="center"/>
        <w:rPr>
          <w:rFonts w:ascii="Times New Roman" w:hAnsi="Times New Roman" w:cs="Times New Roman"/>
          <w:b/>
          <w:sz w:val="32"/>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color w:val="auto"/>
          <w:sz w:val="36"/>
        </w:rPr>
      </w:pPr>
      <w:r>
        <w:rPr>
          <w:rFonts w:hint="eastAsia" w:ascii="Times New Roman" w:hAnsi="Times New Roman" w:cs="Times New Roman"/>
          <w:b/>
          <w:color w:val="auto"/>
          <w:sz w:val="44"/>
          <w:szCs w:val="44"/>
        </w:rPr>
        <w:t>常德市桃源县“十四五”生态环境保护规划</w:t>
      </w:r>
    </w:p>
    <w:p>
      <w:pPr>
        <w:jc w:val="center"/>
        <w:rPr>
          <w:rFonts w:ascii="Times New Roman" w:hAnsi="Times New Roman" w:cs="Times New Roman"/>
          <w:b/>
          <w:sz w:val="36"/>
        </w:rPr>
      </w:pPr>
    </w:p>
    <w:p>
      <w:pPr>
        <w:jc w:val="center"/>
        <w:rPr>
          <w:rFonts w:ascii="Times New Roman" w:hAnsi="Times New Roman" w:cs="Times New Roman"/>
          <w:b/>
          <w:sz w:val="36"/>
        </w:rPr>
      </w:pPr>
    </w:p>
    <w:p>
      <w:pPr>
        <w:jc w:val="center"/>
        <w:rPr>
          <w:rFonts w:ascii="Times New Roman" w:hAnsi="Times New Roman" w:cs="Times New Roman"/>
          <w:b/>
          <w:sz w:val="36"/>
        </w:rPr>
      </w:pPr>
    </w:p>
    <w:p>
      <w:pPr>
        <w:jc w:val="center"/>
        <w:rPr>
          <w:rFonts w:ascii="Times New Roman" w:hAnsi="Times New Roman" w:cs="Times New Roman"/>
          <w:b/>
          <w:sz w:val="36"/>
        </w:rPr>
      </w:pPr>
    </w:p>
    <w:p>
      <w:pPr>
        <w:jc w:val="center"/>
        <w:rPr>
          <w:rFonts w:ascii="Times New Roman" w:hAnsi="Times New Roman" w:cs="Times New Roman"/>
          <w:b/>
          <w:sz w:val="36"/>
        </w:rPr>
      </w:pPr>
    </w:p>
    <w:p>
      <w:pPr>
        <w:jc w:val="center"/>
        <w:rPr>
          <w:rFonts w:ascii="Times New Roman" w:hAnsi="Times New Roman" w:cs="Times New Roman"/>
          <w:b/>
          <w:sz w:val="36"/>
        </w:rPr>
      </w:pPr>
    </w:p>
    <w:p>
      <w:pPr>
        <w:jc w:val="center"/>
        <w:rPr>
          <w:rFonts w:ascii="Times New Roman" w:hAnsi="Times New Roman" w:cs="Times New Roman"/>
          <w:b/>
          <w:sz w:val="36"/>
        </w:rPr>
      </w:pPr>
    </w:p>
    <w:p>
      <w:pPr>
        <w:jc w:val="center"/>
        <w:rPr>
          <w:rFonts w:ascii="Times New Roman" w:hAnsi="Times New Roman" w:cs="Times New Roman"/>
          <w:b/>
          <w:sz w:val="36"/>
        </w:rPr>
      </w:pPr>
      <w:r>
        <w:rPr>
          <w:rFonts w:hint="eastAsia" w:ascii="Times New Roman" w:hAnsi="Times New Roman" w:cs="Times New Roman"/>
          <w:b/>
          <w:sz w:val="36"/>
        </w:rPr>
        <w:t>桃源县生态环境保护委员会</w:t>
      </w:r>
    </w:p>
    <w:p>
      <w:pPr>
        <w:jc w:val="center"/>
        <w:rPr>
          <w:rFonts w:ascii="Times New Roman" w:hAnsi="Times New Roman" w:cs="Times New Roman"/>
          <w:b/>
          <w:sz w:val="36"/>
        </w:rPr>
      </w:pPr>
      <w:r>
        <w:rPr>
          <w:rFonts w:ascii="Times New Roman" w:hAnsi="Times New Roman" w:cs="Times New Roman"/>
          <w:b/>
          <w:sz w:val="36"/>
        </w:rPr>
        <w:t>2021年12月</w:t>
      </w:r>
    </w:p>
    <w:p>
      <w:pPr>
        <w:jc w:val="center"/>
        <w:rPr>
          <w:rFonts w:ascii="Times New Roman" w:hAnsi="Times New Roman" w:cs="Times New Roman"/>
          <w:b/>
          <w:sz w:val="36"/>
        </w:rPr>
      </w:pPr>
    </w:p>
    <w:p>
      <w:pPr>
        <w:jc w:val="center"/>
        <w:rPr>
          <w:rFonts w:ascii="Times New Roman" w:hAnsi="Times New Roman" w:cs="Times New Roman"/>
          <w:b/>
          <w:sz w:val="36"/>
        </w:rPr>
      </w:pPr>
    </w:p>
    <w:p>
      <w:pPr>
        <w:jc w:val="center"/>
        <w:rPr>
          <w:rFonts w:ascii="Times New Roman" w:hAnsi="Times New Roman" w:cs="Times New Roman"/>
          <w:b/>
          <w:sz w:val="36"/>
        </w:rPr>
      </w:pPr>
    </w:p>
    <w:p>
      <w:pPr>
        <w:jc w:val="center"/>
        <w:rPr>
          <w:rFonts w:ascii="Times New Roman" w:hAnsi="Times New Roman" w:cs="Times New Roman"/>
          <w:b/>
          <w:sz w:val="36"/>
        </w:rPr>
      </w:pPr>
    </w:p>
    <w:sdt>
      <w:sdtPr>
        <w:rPr>
          <w:rFonts w:ascii="Times New Roman" w:hAnsi="Times New Roman" w:cs="Times New Roman" w:eastAsiaTheme="minorEastAsia"/>
          <w:color w:val="auto"/>
          <w:kern w:val="2"/>
          <w:sz w:val="21"/>
          <w:szCs w:val="22"/>
          <w:lang w:val="zh-CN"/>
        </w:rPr>
        <w:id w:val="1667900041"/>
        <w:docPartObj>
          <w:docPartGallery w:val="Table of Contents"/>
          <w:docPartUnique/>
        </w:docPartObj>
      </w:sdtPr>
      <w:sdtEndPr>
        <w:rPr>
          <w:rFonts w:ascii="Times New Roman" w:hAnsi="Times New Roman" w:cs="Times New Roman" w:eastAsiaTheme="minorEastAsia"/>
          <w:b/>
          <w:bCs/>
          <w:color w:val="auto"/>
          <w:kern w:val="2"/>
          <w:sz w:val="21"/>
          <w:szCs w:val="22"/>
          <w:lang w:val="zh-CN"/>
        </w:rPr>
      </w:sdtEndPr>
      <w:sdtContent>
        <w:p>
          <w:pPr>
            <w:pStyle w:val="21"/>
            <w:jc w:val="center"/>
            <w:rPr>
              <w:rFonts w:ascii="Times New Roman" w:hAnsi="Times New Roman" w:cs="Times New Roman"/>
              <w:b/>
              <w:bCs/>
              <w:color w:val="auto"/>
            </w:rPr>
          </w:pPr>
          <w:r>
            <w:rPr>
              <w:rFonts w:ascii="Times New Roman" w:hAnsi="Times New Roman" w:cs="Times New Roman"/>
              <w:b/>
              <w:bCs/>
              <w:color w:val="auto"/>
              <w:lang w:val="zh-CN"/>
            </w:rPr>
            <w:t>目  录</w:t>
          </w:r>
        </w:p>
        <w:p>
          <w:pPr>
            <w:pStyle w:val="9"/>
            <w:tabs>
              <w:tab w:val="right" w:leader="dot" w:pos="8296"/>
            </w:tabs>
            <w:spacing w:line="720" w:lineRule="auto"/>
            <w:rPr>
              <w:rFonts w:ascii="Times New Roman" w:hAnsi="Times New Roman" w:eastAsia="仿宋" w:cs="Times New Roman"/>
              <w:sz w:val="32"/>
            </w:rPr>
          </w:pPr>
          <w:r>
            <w:rPr>
              <w:rFonts w:ascii="Times New Roman" w:hAnsi="Times New Roman" w:eastAsia="仿宋" w:cs="Times New Roman"/>
              <w:sz w:val="32"/>
            </w:rPr>
            <w:fldChar w:fldCharType="begin"/>
          </w:r>
          <w:r>
            <w:rPr>
              <w:rFonts w:ascii="Times New Roman" w:hAnsi="Times New Roman" w:eastAsia="仿宋" w:cs="Times New Roman"/>
              <w:sz w:val="32"/>
            </w:rPr>
            <w:instrText xml:space="preserve"> TOC \o "1-3" \h \z \u </w:instrText>
          </w:r>
          <w:r>
            <w:rPr>
              <w:rFonts w:ascii="Times New Roman" w:hAnsi="Times New Roman" w:eastAsia="仿宋" w:cs="Times New Roman"/>
              <w:sz w:val="32"/>
            </w:rPr>
            <w:fldChar w:fldCharType="separate"/>
          </w:r>
          <w:r>
            <w:fldChar w:fldCharType="begin"/>
          </w:r>
          <w:r>
            <w:instrText xml:space="preserve"> HYPERLINK \l "_Toc58590412" </w:instrText>
          </w:r>
          <w:r>
            <w:fldChar w:fldCharType="separate"/>
          </w:r>
          <w:r>
            <w:rPr>
              <w:rStyle w:val="14"/>
              <w:rFonts w:ascii="Times New Roman" w:hAnsi="Times New Roman" w:eastAsia="仿宋" w:cs="Times New Roman"/>
              <w:sz w:val="32"/>
              <w:szCs w:val="32"/>
            </w:rPr>
            <w:t>一、</w:t>
          </w:r>
          <w:r>
            <w:rPr>
              <w:rStyle w:val="14"/>
              <w:rFonts w:hint="eastAsia" w:ascii="黑体" w:hAnsi="黑体" w:eastAsia="黑体" w:cs="黑体"/>
              <w:sz w:val="32"/>
              <w:szCs w:val="32"/>
            </w:rPr>
            <w:t>“十三五”时期环境保护概况</w:t>
          </w:r>
          <w:r>
            <w:rPr>
              <w:rFonts w:ascii="Times New Roman" w:hAnsi="Times New Roman" w:eastAsia="仿宋" w:cs="Times New Roman"/>
              <w:sz w:val="32"/>
              <w:szCs w:val="32"/>
            </w:rPr>
            <w:tab/>
          </w:r>
          <w:r>
            <w:rPr>
              <w:rFonts w:ascii="Times New Roman" w:hAnsi="Times New Roman" w:eastAsia="仿宋" w:cs="Times New Roman"/>
              <w:sz w:val="32"/>
              <w:szCs w:val="32"/>
            </w:rPr>
            <w:fldChar w:fldCharType="begin"/>
          </w:r>
          <w:r>
            <w:rPr>
              <w:rFonts w:ascii="Times New Roman" w:hAnsi="Times New Roman" w:eastAsia="仿宋" w:cs="Times New Roman"/>
              <w:sz w:val="32"/>
              <w:szCs w:val="32"/>
            </w:rPr>
            <w:instrText xml:space="preserve"> PAGEREF _Toc58590412 \h </w:instrText>
          </w:r>
          <w:r>
            <w:rPr>
              <w:rFonts w:ascii="Times New Roman" w:hAnsi="Times New Roman" w:eastAsia="仿宋" w:cs="Times New Roman"/>
              <w:sz w:val="32"/>
              <w:szCs w:val="32"/>
            </w:rPr>
            <w:fldChar w:fldCharType="separate"/>
          </w:r>
          <w:r>
            <w:rPr>
              <w:rFonts w:ascii="Times New Roman" w:hAnsi="Times New Roman" w:eastAsia="仿宋" w:cs="Times New Roman"/>
              <w:sz w:val="32"/>
              <w:szCs w:val="32"/>
            </w:rPr>
            <w:t>1</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fldChar w:fldCharType="end"/>
          </w:r>
        </w:p>
        <w:p>
          <w:pPr>
            <w:pStyle w:val="9"/>
            <w:tabs>
              <w:tab w:val="right" w:leader="dot" w:pos="8296"/>
            </w:tabs>
            <w:spacing w:line="720" w:lineRule="auto"/>
            <w:rPr>
              <w:rFonts w:ascii="Times New Roman" w:hAnsi="Times New Roman" w:eastAsia="仿宋" w:cs="Times New Roman"/>
              <w:sz w:val="32"/>
            </w:rPr>
          </w:pPr>
          <w:r>
            <w:fldChar w:fldCharType="begin"/>
          </w:r>
          <w:r>
            <w:instrText xml:space="preserve"> HYPERLINK \l "_Toc58590413" </w:instrText>
          </w:r>
          <w:r>
            <w:fldChar w:fldCharType="separate"/>
          </w:r>
          <w:r>
            <w:rPr>
              <w:rStyle w:val="14"/>
              <w:rFonts w:hint="eastAsia" w:ascii="黑体" w:hAnsi="黑体" w:eastAsia="黑体" w:cs="黑体"/>
              <w:sz w:val="32"/>
            </w:rPr>
            <w:t>二、“十四五”时期环境形势与主要环境问题</w:t>
          </w:r>
          <w:r>
            <w:rPr>
              <w:rFonts w:ascii="Times New Roman" w:hAnsi="Times New Roman" w:eastAsia="仿宋" w:cs="Times New Roman"/>
              <w:sz w:val="32"/>
            </w:rPr>
            <w:tab/>
          </w:r>
          <w:r>
            <w:rPr>
              <w:rFonts w:ascii="Times New Roman" w:hAnsi="Times New Roman" w:eastAsia="仿宋" w:cs="Times New Roman"/>
              <w:sz w:val="32"/>
            </w:rPr>
            <w:fldChar w:fldCharType="begin"/>
          </w:r>
          <w:r>
            <w:rPr>
              <w:rFonts w:ascii="Times New Roman" w:hAnsi="Times New Roman" w:eastAsia="仿宋" w:cs="Times New Roman"/>
              <w:sz w:val="32"/>
            </w:rPr>
            <w:instrText xml:space="preserve"> PAGEREF _Toc58590413 \h </w:instrText>
          </w:r>
          <w:r>
            <w:rPr>
              <w:rFonts w:ascii="Times New Roman" w:hAnsi="Times New Roman" w:eastAsia="仿宋" w:cs="Times New Roman"/>
              <w:sz w:val="32"/>
            </w:rPr>
            <w:fldChar w:fldCharType="separate"/>
          </w:r>
          <w:r>
            <w:rPr>
              <w:rFonts w:ascii="Times New Roman" w:hAnsi="Times New Roman" w:eastAsia="仿宋" w:cs="Times New Roman"/>
              <w:sz w:val="32"/>
            </w:rPr>
            <w:t>6</w:t>
          </w:r>
          <w:r>
            <w:rPr>
              <w:rFonts w:ascii="Times New Roman" w:hAnsi="Times New Roman" w:eastAsia="仿宋" w:cs="Times New Roman"/>
              <w:sz w:val="32"/>
            </w:rPr>
            <w:fldChar w:fldCharType="end"/>
          </w:r>
          <w:r>
            <w:rPr>
              <w:rFonts w:ascii="Times New Roman" w:hAnsi="Times New Roman" w:eastAsia="仿宋" w:cs="Times New Roman"/>
              <w:sz w:val="32"/>
            </w:rPr>
            <w:fldChar w:fldCharType="end"/>
          </w:r>
        </w:p>
        <w:p>
          <w:pPr>
            <w:pStyle w:val="9"/>
            <w:tabs>
              <w:tab w:val="right" w:leader="dot" w:pos="8296"/>
            </w:tabs>
            <w:spacing w:line="720" w:lineRule="auto"/>
            <w:rPr>
              <w:rFonts w:ascii="Times New Roman" w:hAnsi="Times New Roman" w:eastAsia="仿宋" w:cs="Times New Roman"/>
              <w:sz w:val="32"/>
            </w:rPr>
          </w:pPr>
          <w:r>
            <w:fldChar w:fldCharType="begin"/>
          </w:r>
          <w:r>
            <w:instrText xml:space="preserve"> HYPERLINK \l "_Toc58590414" </w:instrText>
          </w:r>
          <w:r>
            <w:fldChar w:fldCharType="separate"/>
          </w:r>
          <w:r>
            <w:rPr>
              <w:rStyle w:val="14"/>
              <w:rFonts w:hint="eastAsia" w:ascii="黑体" w:hAnsi="黑体" w:eastAsia="黑体" w:cs="黑体"/>
              <w:sz w:val="32"/>
            </w:rPr>
            <w:t>三、总体要求</w:t>
          </w:r>
          <w:r>
            <w:rPr>
              <w:rFonts w:ascii="Times New Roman" w:hAnsi="Times New Roman" w:eastAsia="仿宋" w:cs="Times New Roman"/>
              <w:sz w:val="32"/>
            </w:rPr>
            <w:tab/>
          </w:r>
          <w:r>
            <w:rPr>
              <w:rFonts w:ascii="Times New Roman" w:hAnsi="Times New Roman" w:eastAsia="仿宋" w:cs="Times New Roman"/>
              <w:sz w:val="32"/>
            </w:rPr>
            <w:fldChar w:fldCharType="begin"/>
          </w:r>
          <w:r>
            <w:rPr>
              <w:rFonts w:ascii="Times New Roman" w:hAnsi="Times New Roman" w:eastAsia="仿宋" w:cs="Times New Roman"/>
              <w:sz w:val="32"/>
            </w:rPr>
            <w:instrText xml:space="preserve"> PAGEREF _Toc58590414 \h </w:instrText>
          </w:r>
          <w:r>
            <w:rPr>
              <w:rFonts w:ascii="Times New Roman" w:hAnsi="Times New Roman" w:eastAsia="仿宋" w:cs="Times New Roman"/>
              <w:sz w:val="32"/>
            </w:rPr>
            <w:fldChar w:fldCharType="separate"/>
          </w:r>
          <w:r>
            <w:rPr>
              <w:rFonts w:ascii="Times New Roman" w:hAnsi="Times New Roman" w:eastAsia="仿宋" w:cs="Times New Roman"/>
              <w:sz w:val="32"/>
            </w:rPr>
            <w:t>10</w:t>
          </w:r>
          <w:r>
            <w:rPr>
              <w:rFonts w:ascii="Times New Roman" w:hAnsi="Times New Roman" w:eastAsia="仿宋" w:cs="Times New Roman"/>
              <w:sz w:val="32"/>
            </w:rPr>
            <w:fldChar w:fldCharType="end"/>
          </w:r>
          <w:r>
            <w:rPr>
              <w:rFonts w:ascii="Times New Roman" w:hAnsi="Times New Roman" w:eastAsia="仿宋" w:cs="Times New Roman"/>
              <w:sz w:val="32"/>
            </w:rPr>
            <w:fldChar w:fldCharType="end"/>
          </w:r>
        </w:p>
        <w:p>
          <w:pPr>
            <w:pStyle w:val="9"/>
            <w:tabs>
              <w:tab w:val="right" w:leader="dot" w:pos="8296"/>
            </w:tabs>
            <w:spacing w:line="720" w:lineRule="auto"/>
            <w:rPr>
              <w:rFonts w:ascii="Times New Roman" w:hAnsi="Times New Roman" w:eastAsia="仿宋" w:cs="Times New Roman"/>
              <w:sz w:val="32"/>
            </w:rPr>
          </w:pPr>
          <w:r>
            <w:fldChar w:fldCharType="begin"/>
          </w:r>
          <w:r>
            <w:instrText xml:space="preserve"> HYPERLINK \l "_Toc58590415" </w:instrText>
          </w:r>
          <w:r>
            <w:fldChar w:fldCharType="separate"/>
          </w:r>
          <w:r>
            <w:rPr>
              <w:rStyle w:val="14"/>
              <w:rFonts w:hint="eastAsia" w:ascii="黑体" w:hAnsi="黑体" w:eastAsia="黑体" w:cs="黑体"/>
              <w:sz w:val="32"/>
            </w:rPr>
            <w:t>四、主要任务及措施</w:t>
          </w:r>
          <w:r>
            <w:rPr>
              <w:rFonts w:ascii="Times New Roman" w:hAnsi="Times New Roman" w:eastAsia="仿宋" w:cs="Times New Roman"/>
              <w:sz w:val="32"/>
            </w:rPr>
            <w:tab/>
          </w:r>
          <w:r>
            <w:rPr>
              <w:rFonts w:ascii="Times New Roman" w:hAnsi="Times New Roman" w:eastAsia="仿宋" w:cs="Times New Roman"/>
              <w:sz w:val="32"/>
            </w:rPr>
            <w:fldChar w:fldCharType="begin"/>
          </w:r>
          <w:r>
            <w:rPr>
              <w:rFonts w:ascii="Times New Roman" w:hAnsi="Times New Roman" w:eastAsia="仿宋" w:cs="Times New Roman"/>
              <w:sz w:val="32"/>
            </w:rPr>
            <w:instrText xml:space="preserve"> PAGEREF _Toc58590415 \h </w:instrText>
          </w:r>
          <w:r>
            <w:rPr>
              <w:rFonts w:ascii="Times New Roman" w:hAnsi="Times New Roman" w:eastAsia="仿宋" w:cs="Times New Roman"/>
              <w:sz w:val="32"/>
            </w:rPr>
            <w:fldChar w:fldCharType="separate"/>
          </w:r>
          <w:r>
            <w:rPr>
              <w:rFonts w:ascii="Times New Roman" w:hAnsi="Times New Roman" w:eastAsia="仿宋" w:cs="Times New Roman"/>
              <w:sz w:val="32"/>
            </w:rPr>
            <w:t>13</w:t>
          </w:r>
          <w:r>
            <w:rPr>
              <w:rFonts w:ascii="Times New Roman" w:hAnsi="Times New Roman" w:eastAsia="仿宋" w:cs="Times New Roman"/>
              <w:sz w:val="32"/>
            </w:rPr>
            <w:fldChar w:fldCharType="end"/>
          </w:r>
          <w:r>
            <w:rPr>
              <w:rFonts w:ascii="Times New Roman" w:hAnsi="Times New Roman" w:eastAsia="仿宋" w:cs="Times New Roman"/>
              <w:sz w:val="32"/>
            </w:rPr>
            <w:fldChar w:fldCharType="end"/>
          </w:r>
        </w:p>
        <w:p>
          <w:pPr>
            <w:pStyle w:val="9"/>
            <w:tabs>
              <w:tab w:val="right" w:leader="dot" w:pos="8296"/>
            </w:tabs>
            <w:spacing w:line="720" w:lineRule="auto"/>
            <w:rPr>
              <w:rFonts w:ascii="Times New Roman" w:hAnsi="Times New Roman" w:eastAsia="仿宋" w:cs="Times New Roman"/>
              <w:sz w:val="32"/>
            </w:rPr>
          </w:pPr>
          <w:r>
            <w:fldChar w:fldCharType="begin"/>
          </w:r>
          <w:r>
            <w:instrText xml:space="preserve"> HYPERLINK \l "_Toc58590416" </w:instrText>
          </w:r>
          <w:r>
            <w:fldChar w:fldCharType="separate"/>
          </w:r>
          <w:r>
            <w:rPr>
              <w:rStyle w:val="14"/>
              <w:rFonts w:hint="eastAsia" w:ascii="黑体" w:hAnsi="黑体" w:eastAsia="黑体" w:cs="黑体"/>
              <w:sz w:val="32"/>
            </w:rPr>
            <w:t>五、保障措施</w:t>
          </w:r>
          <w:r>
            <w:rPr>
              <w:rFonts w:ascii="Times New Roman" w:hAnsi="Times New Roman" w:eastAsia="仿宋" w:cs="Times New Roman"/>
              <w:sz w:val="32"/>
            </w:rPr>
            <w:tab/>
          </w:r>
          <w:r>
            <w:rPr>
              <w:rFonts w:ascii="Times New Roman" w:hAnsi="Times New Roman" w:eastAsia="仿宋" w:cs="Times New Roman"/>
              <w:sz w:val="32"/>
            </w:rPr>
            <w:fldChar w:fldCharType="begin"/>
          </w:r>
          <w:r>
            <w:rPr>
              <w:rFonts w:ascii="Times New Roman" w:hAnsi="Times New Roman" w:eastAsia="仿宋" w:cs="Times New Roman"/>
              <w:sz w:val="32"/>
            </w:rPr>
            <w:instrText xml:space="preserve"> PAGEREF _Toc58590416 \h </w:instrText>
          </w:r>
          <w:r>
            <w:rPr>
              <w:rFonts w:ascii="Times New Roman" w:hAnsi="Times New Roman" w:eastAsia="仿宋" w:cs="Times New Roman"/>
              <w:sz w:val="32"/>
            </w:rPr>
            <w:fldChar w:fldCharType="separate"/>
          </w:r>
          <w:r>
            <w:rPr>
              <w:rFonts w:ascii="Times New Roman" w:hAnsi="Times New Roman" w:eastAsia="仿宋" w:cs="Times New Roman"/>
              <w:sz w:val="32"/>
            </w:rPr>
            <w:t>14</w:t>
          </w:r>
          <w:r>
            <w:rPr>
              <w:rFonts w:ascii="Times New Roman" w:hAnsi="Times New Roman" w:eastAsia="仿宋" w:cs="Times New Roman"/>
              <w:sz w:val="32"/>
            </w:rPr>
            <w:fldChar w:fldCharType="end"/>
          </w:r>
          <w:r>
            <w:rPr>
              <w:rFonts w:ascii="Times New Roman" w:hAnsi="Times New Roman" w:eastAsia="仿宋" w:cs="Times New Roman"/>
              <w:sz w:val="32"/>
            </w:rPr>
            <w:fldChar w:fldCharType="end"/>
          </w:r>
        </w:p>
        <w:p>
          <w:pPr>
            <w:spacing w:line="720" w:lineRule="auto"/>
            <w:rPr>
              <w:rFonts w:ascii="Times New Roman" w:hAnsi="Times New Roman" w:cs="Times New Roman"/>
            </w:rPr>
          </w:pPr>
          <w:r>
            <w:rPr>
              <w:rFonts w:ascii="Times New Roman" w:hAnsi="Times New Roman" w:eastAsia="仿宋" w:cs="Times New Roman"/>
              <w:b/>
              <w:bCs/>
              <w:sz w:val="32"/>
              <w:lang w:val="zh-CN"/>
            </w:rPr>
            <w:fldChar w:fldCharType="end"/>
          </w:r>
        </w:p>
      </w:sdtContent>
    </w:sdt>
    <w:p>
      <w:pPr>
        <w:jc w:val="center"/>
        <w:rPr>
          <w:rFonts w:ascii="Times New Roman" w:hAnsi="Times New Roman" w:cs="Times New Roman"/>
          <w:b/>
          <w:sz w:val="36"/>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spacing w:line="560" w:lineRule="exact"/>
        <w:jc w:val="center"/>
        <w:rPr>
          <w:rFonts w:ascii="Times New Roman" w:hAnsi="Times New Roman" w:cs="Times New Roman"/>
          <w:b/>
          <w:color w:val="auto"/>
          <w:sz w:val="44"/>
          <w:szCs w:val="44"/>
        </w:rPr>
      </w:pPr>
      <w:r>
        <w:rPr>
          <w:rFonts w:hint="eastAsia" w:ascii="Times New Roman" w:hAnsi="Times New Roman" w:cs="Times New Roman"/>
          <w:b/>
          <w:color w:val="auto"/>
          <w:sz w:val="44"/>
          <w:szCs w:val="44"/>
        </w:rPr>
        <w:t>常德市桃源县“十四五”生态环境保护规划</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四五”时期，是我国由全面建设小康社会向基本实现社会主义现代化迈进的关键时期，是“两个一百年”奋斗目标的历史交汇期，也是全面开启社会主义现代化强国建设新征程的重要机遇期。这一时期，桃源县生态环境保护工作要加强战略引领，坚持生态优先、绿色发展之路，围绕美丽中国建设战略节点，用好“三线一单”绿色标尺，统筹谋划好桃源县“十四五”环境保护目标、规划指标、主要任务、重点工程和保障措施，构建桃源县现代化环境治理体系。</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根据《常德市“十四五”环境保护规划》和《桃源县国民经济与社会发展第十四个五年规划纲要》，制定本规划。</w:t>
      </w:r>
    </w:p>
    <w:p>
      <w:pPr>
        <w:pStyle w:val="3"/>
        <w:spacing w:before="312" w:beforeLines="100" w:after="312" w:afterLines="100" w:line="560" w:lineRule="exact"/>
        <w:jc w:val="center"/>
        <w:rPr>
          <w:rFonts w:ascii="黑体" w:hAnsi="黑体" w:cs="黑体"/>
          <w:b w:val="0"/>
          <w:bCs w:val="0"/>
        </w:rPr>
      </w:pPr>
      <w:bookmarkStart w:id="0" w:name="_Toc38782337"/>
      <w:bookmarkStart w:id="1" w:name="_Toc58590412"/>
      <w:r>
        <w:rPr>
          <w:rFonts w:hint="eastAsia" w:ascii="黑体" w:hAnsi="黑体" w:cs="黑体"/>
          <w:b w:val="0"/>
          <w:bCs w:val="0"/>
        </w:rPr>
        <w:t>一、“十三五”时期环境保护概况</w:t>
      </w:r>
      <w:bookmarkEnd w:id="0"/>
      <w:bookmarkEnd w:id="1"/>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“十三五”时期，桃源县</w:t>
      </w:r>
      <w:r>
        <w:rPr>
          <w:rFonts w:hint="eastAsia" w:ascii="Times New Roman" w:hAnsi="Times New Roman" w:eastAsia="仿宋" w:cs="Times New Roman"/>
          <w:sz w:val="32"/>
          <w:szCs w:val="32"/>
        </w:rPr>
        <w:t>坚持</w:t>
      </w:r>
      <w:r>
        <w:rPr>
          <w:rFonts w:ascii="Times New Roman" w:hAnsi="Times New Roman" w:eastAsia="仿宋" w:cs="Times New Roman"/>
          <w:sz w:val="32"/>
          <w:szCs w:val="32"/>
        </w:rPr>
        <w:t>以保护</w:t>
      </w:r>
      <w:r>
        <w:rPr>
          <w:rFonts w:hint="eastAsia" w:ascii="Times New Roman" w:hAnsi="Times New Roman" w:eastAsia="仿宋" w:cs="Times New Roman"/>
          <w:sz w:val="32"/>
          <w:szCs w:val="32"/>
        </w:rPr>
        <w:t>生态环境</w:t>
      </w:r>
      <w:r>
        <w:rPr>
          <w:rFonts w:ascii="Times New Roman" w:hAnsi="Times New Roman" w:eastAsia="仿宋" w:cs="Times New Roman"/>
          <w:sz w:val="32"/>
          <w:szCs w:val="32"/>
        </w:rPr>
        <w:t>和改善环境质量为目标，以污染防治为重点，认真落实环境保护基本国策，严格执行环境保护法律法规，全面推进污染减排，环保各项工作取得实效，目标任务基本完成。在全县调结构、转方式、经济社会平稳较快发展的情况下，环境质量状况有所改善。</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（一）“十三五”环境质量状况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2015年至2020年，桃源县着力推进工业和城镇等重点领域、重点行业污染防治，启动实施污染防治攻坚战以及夏季攻势，坚决打赢蓝天保卫战、着力打好碧水保卫战、深入推进净土保卫战，基本遏制了大气、水、土壤环境质量恶化趋势，环境质量状况有所改善；未发生环境污染事故和生态破坏事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环境空气质量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环境空气质量逐年好转，优良天数稳步上升。全县的环境空气质量优良率从2016年的75.2%，到20</w:t>
      </w:r>
      <w:r>
        <w:rPr>
          <w:rFonts w:hint="eastAsia" w:ascii="Times New Roman" w:hAnsi="Times New Roman" w:eastAsia="仿宋" w:cs="Times New Roman"/>
          <w:sz w:val="32"/>
          <w:szCs w:val="32"/>
        </w:rPr>
        <w:t>20</w:t>
      </w:r>
      <w:r>
        <w:rPr>
          <w:rFonts w:ascii="Times New Roman" w:hAnsi="Times New Roman" w:eastAsia="仿宋" w:cs="Times New Roman"/>
          <w:sz w:val="32"/>
          <w:szCs w:val="32"/>
        </w:rPr>
        <w:t>年提升到了9</w:t>
      </w:r>
      <w:r>
        <w:rPr>
          <w:rFonts w:hint="eastAsia" w:ascii="Times New Roman" w:hAnsi="Times New Roman" w:eastAsia="仿宋" w:cs="Times New Roman"/>
          <w:sz w:val="32"/>
          <w:szCs w:val="32"/>
        </w:rPr>
        <w:t>7.5</w:t>
      </w:r>
      <w:r>
        <w:rPr>
          <w:rFonts w:ascii="Times New Roman" w:hAnsi="Times New Roman" w:eastAsia="仿宋" w:cs="Times New Roman"/>
          <w:sz w:val="32"/>
          <w:szCs w:val="32"/>
        </w:rPr>
        <w:t>%；污染天数从2016年的88天，到20</w:t>
      </w:r>
      <w:r>
        <w:rPr>
          <w:rFonts w:hint="eastAsia" w:ascii="Times New Roman" w:hAnsi="Times New Roman" w:eastAsia="仿宋" w:cs="Times New Roman"/>
          <w:sz w:val="32"/>
          <w:szCs w:val="32"/>
        </w:rPr>
        <w:t>20</w:t>
      </w:r>
      <w:r>
        <w:rPr>
          <w:rFonts w:ascii="Times New Roman" w:hAnsi="Times New Roman" w:eastAsia="仿宋" w:cs="Times New Roman"/>
          <w:sz w:val="32"/>
          <w:szCs w:val="32"/>
        </w:rPr>
        <w:t>年下降到了</w:t>
      </w:r>
      <w:r>
        <w:rPr>
          <w:rFonts w:hint="eastAsia" w:ascii="Times New Roman" w:hAnsi="Times New Roman" w:eastAsia="仿宋" w:cs="Times New Roman"/>
          <w:sz w:val="32"/>
          <w:szCs w:val="32"/>
        </w:rPr>
        <w:t>9</w:t>
      </w:r>
      <w:r>
        <w:rPr>
          <w:rFonts w:ascii="Times New Roman" w:hAnsi="Times New Roman" w:eastAsia="仿宋" w:cs="Times New Roman"/>
          <w:sz w:val="32"/>
          <w:szCs w:val="32"/>
        </w:rPr>
        <w:t>天；综合指数也呈逐年下降趋势，全省排名从2016年的后10位，到20</w:t>
      </w:r>
      <w:r>
        <w:rPr>
          <w:rFonts w:hint="eastAsia" w:ascii="Times New Roman" w:hAnsi="Times New Roman" w:eastAsia="仿宋" w:cs="Times New Roman"/>
          <w:sz w:val="32"/>
          <w:szCs w:val="32"/>
        </w:rPr>
        <w:t>20</w:t>
      </w:r>
      <w:r>
        <w:rPr>
          <w:rFonts w:ascii="Times New Roman" w:hAnsi="Times New Roman" w:eastAsia="仿宋" w:cs="Times New Roman"/>
          <w:sz w:val="32"/>
          <w:szCs w:val="32"/>
        </w:rPr>
        <w:t>年提升到了</w:t>
      </w:r>
      <w:r>
        <w:rPr>
          <w:rFonts w:hint="eastAsia" w:ascii="Times New Roman" w:hAnsi="Times New Roman" w:eastAsia="仿宋" w:cs="Times New Roman"/>
          <w:sz w:val="32"/>
          <w:szCs w:val="32"/>
        </w:rPr>
        <w:t>29</w:t>
      </w:r>
      <w:r>
        <w:rPr>
          <w:rFonts w:ascii="Times New Roman" w:hAnsi="Times New Roman" w:eastAsia="仿宋" w:cs="Times New Roman"/>
          <w:sz w:val="32"/>
          <w:szCs w:val="32"/>
        </w:rPr>
        <w:t>位；环境空气质量六项基本污染物均符合《环境空气质量标准》二级标准限值。</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地表水环境质量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“十三五”期间，沅水桃源段水质达标率为100%，水质中各类监测因子均符合《地表水环境质量标准》（GB3838-2002）</w:t>
      </w:r>
      <w:r>
        <w:rPr>
          <w:rFonts w:ascii="Times New Roman" w:hAnsi="Times New Roman" w:eastAsia="宋体" w:cs="Times New Roman"/>
          <w:sz w:val="32"/>
          <w:szCs w:val="32"/>
        </w:rPr>
        <w:t>Ⅲ</w:t>
      </w:r>
      <w:r>
        <w:rPr>
          <w:rFonts w:ascii="Times New Roman" w:hAnsi="Times New Roman" w:eastAsia="仿宋" w:cs="Times New Roman"/>
          <w:sz w:val="32"/>
          <w:szCs w:val="32"/>
        </w:rPr>
        <w:t>类水质标准限值。为了更好地保护桃源县城饮用水水源地，有关部门加大饮用水水源地保护宣传和饮用水水源地环保执法力度，禁止在保护区内排放污水</w:t>
      </w:r>
      <w:r>
        <w:rPr>
          <w:rFonts w:hint="eastAsia" w:ascii="Times New Roman" w:hAnsi="Times New Roman" w:eastAsia="仿宋" w:cs="Times New Roman"/>
          <w:sz w:val="32"/>
          <w:szCs w:val="32"/>
        </w:rPr>
        <w:t>，禁止</w:t>
      </w:r>
      <w:r>
        <w:rPr>
          <w:rFonts w:ascii="Times New Roman" w:hAnsi="Times New Roman" w:eastAsia="仿宋" w:cs="Times New Roman"/>
          <w:sz w:val="32"/>
          <w:szCs w:val="32"/>
        </w:rPr>
        <w:t>新建、扩建与供水设施和水资源保护无关的建设项目，加强饮用水水源地周边环境保护，以保障</w:t>
      </w:r>
      <w:r>
        <w:rPr>
          <w:rFonts w:hint="eastAsia" w:ascii="Times New Roman" w:hAnsi="Times New Roman" w:eastAsia="仿宋" w:cs="Times New Roman"/>
          <w:sz w:val="32"/>
          <w:szCs w:val="32"/>
        </w:rPr>
        <w:t>居</w:t>
      </w:r>
      <w:r>
        <w:rPr>
          <w:rFonts w:ascii="Times New Roman" w:hAnsi="Times New Roman" w:eastAsia="仿宋" w:cs="Times New Roman"/>
          <w:sz w:val="32"/>
          <w:szCs w:val="32"/>
        </w:rPr>
        <w:t>民饮用水安全。</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（二）“十三五”主要环保工作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Times New Roman" w:eastAsia="仿宋" w:cs="Times New Roman"/>
          <w:b/>
          <w:bCs/>
          <w:sz w:val="32"/>
          <w:szCs w:val="32"/>
        </w:rPr>
        <w:t>、积极夯实绿色发展基础</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bCs/>
          <w:sz w:val="32"/>
          <w:szCs w:val="32"/>
        </w:rPr>
        <w:t>生态文明县创建。</w:t>
      </w:r>
      <w:r>
        <w:rPr>
          <w:rFonts w:ascii="Times New Roman" w:hAnsi="Times New Roman" w:eastAsia="仿宋" w:cs="Times New Roman"/>
          <w:bCs/>
          <w:sz w:val="32"/>
          <w:szCs w:val="32"/>
        </w:rPr>
        <w:t>举全县之力，聚全县之智，通过实施创建国家生态文明建设示范县系列重点任务，充分发挥县域区位优势、生态环境优势，统筹推进城乡协调发展，优化空间发展格局，严守生态保护红线，保护恢复自然生态系统，着力创新和完善体制机制，促进经济社会发展与资源环境相协调，促进资源节约循环高效利用，2015年，桃源县成功纳入国家重点生态功能区，2019年，桃源县被国家生态环境部命名为第三批国家生态文明建设示范县</w:t>
      </w:r>
      <w:r>
        <w:rPr>
          <w:rFonts w:hint="eastAsia" w:ascii="Times New Roman" w:hAnsi="Times New Roman" w:eastAsia="仿宋" w:cs="Times New Roman"/>
          <w:bCs/>
          <w:sz w:val="32"/>
          <w:szCs w:val="32"/>
        </w:rPr>
        <w:t>，</w:t>
      </w:r>
      <w:r>
        <w:rPr>
          <w:rFonts w:ascii="Times New Roman" w:eastAsia="仿宋"/>
          <w:sz w:val="32"/>
          <w:szCs w:val="32"/>
        </w:rPr>
        <w:t>成功创建为湖南省首批生态文明建设示范县</w:t>
      </w:r>
      <w:r>
        <w:rPr>
          <w:rFonts w:hint="eastAsia" w:ascii="Times New Roman" w:eastAsia="仿宋"/>
          <w:sz w:val="32"/>
          <w:szCs w:val="32"/>
        </w:rPr>
        <w:t>。</w:t>
      </w:r>
    </w:p>
    <w:p>
      <w:pPr>
        <w:spacing w:line="560" w:lineRule="exact"/>
        <w:ind w:firstLine="643" w:firstLineChars="200"/>
        <w:rPr>
          <w:rFonts w:ascii="Times New Roman" w:hAnsi="Times New Roman" w:eastAsia="仿宋" w:cs="Times New Roman"/>
          <w:bCs/>
          <w:sz w:val="32"/>
          <w:szCs w:val="32"/>
        </w:rPr>
      </w:pPr>
      <w:r>
        <w:rPr>
          <w:rFonts w:hint="eastAsia" w:ascii="仿宋" w:hAnsi="仿宋" w:eastAsia="仿宋" w:cs="仿宋"/>
          <w:b/>
          <w:sz w:val="32"/>
          <w:szCs w:val="32"/>
        </w:rPr>
        <w:t>淘汰落后和过剩产能。</w:t>
      </w:r>
      <w:r>
        <w:rPr>
          <w:rFonts w:ascii="Times New Roman" w:hAnsi="Times New Roman" w:eastAsia="宋体" w:cs="Times New Roman"/>
          <w:sz w:val="28"/>
          <w:szCs w:val="32"/>
        </w:rPr>
        <w:t>“</w:t>
      </w:r>
      <w:r>
        <w:rPr>
          <w:rFonts w:ascii="Times New Roman" w:hAnsi="Times New Roman" w:eastAsia="仿宋" w:cs="Times New Roman"/>
          <w:bCs/>
          <w:sz w:val="32"/>
          <w:szCs w:val="32"/>
        </w:rPr>
        <w:t>十三五期间”，桃源县相继关闭了创元火电、创元铝业与恒通纸厂，实施了杰新纺织的整体搬迁工程；</w:t>
      </w:r>
      <w:r>
        <w:rPr>
          <w:rFonts w:hint="eastAsia" w:ascii="Times New Roman" w:hAnsi="Times New Roman" w:eastAsia="仿宋" w:cs="Times New Roman"/>
          <w:bCs/>
          <w:sz w:val="32"/>
          <w:szCs w:val="32"/>
        </w:rPr>
        <w:t>对全县砖瓦行业的落后工艺实施淘汰</w:t>
      </w:r>
      <w:r>
        <w:rPr>
          <w:rFonts w:ascii="Times New Roman" w:hAnsi="Times New Roman" w:eastAsia="仿宋" w:cs="Times New Roman"/>
          <w:bCs/>
          <w:sz w:val="32"/>
          <w:szCs w:val="32"/>
        </w:rPr>
        <w:t>。</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bCs/>
          <w:sz w:val="32"/>
          <w:szCs w:val="32"/>
        </w:rPr>
        <w:t>推进长江经济带共抓大保护</w:t>
      </w:r>
      <w:r>
        <w:rPr>
          <w:rFonts w:ascii="Times New Roman" w:hAnsi="Times New Roman" w:eastAsia="仿宋" w:cs="Times New Roman"/>
          <w:bCs/>
          <w:sz w:val="32"/>
          <w:szCs w:val="32"/>
        </w:rPr>
        <w:t>。开展入河排污口排查整治、打击固体废物环境违法行为、长江主要支流岸线保护和利用专项检查等专项行动。</w:t>
      </w:r>
    </w:p>
    <w:p>
      <w:pPr>
        <w:spacing w:line="560" w:lineRule="exact"/>
        <w:ind w:firstLine="643" w:firstLineChars="200"/>
        <w:rPr>
          <w:rFonts w:ascii="仿宋" w:hAnsi="仿宋" w:eastAsia="仿宋" w:cs="仿宋"/>
          <w:b/>
          <w:sz w:val="32"/>
          <w:szCs w:val="32"/>
        </w:rPr>
      </w:pPr>
      <w:r>
        <w:rPr>
          <w:rFonts w:ascii="Times New Roman" w:hAnsi="Times New Roman" w:eastAsia="仿宋" w:cs="Times New Roman"/>
          <w:b/>
          <w:sz w:val="32"/>
          <w:szCs w:val="32"/>
        </w:rPr>
        <w:t>2</w:t>
      </w:r>
      <w:r>
        <w:rPr>
          <w:rFonts w:hint="eastAsia" w:ascii="仿宋" w:hAnsi="仿宋" w:eastAsia="仿宋" w:cs="仿宋"/>
          <w:b/>
          <w:sz w:val="32"/>
          <w:szCs w:val="32"/>
        </w:rPr>
        <w:t>.稳步推进基本公共服务</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bCs/>
          <w:sz w:val="32"/>
          <w:szCs w:val="32"/>
        </w:rPr>
        <w:t>不断完善基础设施。</w:t>
      </w:r>
      <w:r>
        <w:rPr>
          <w:rFonts w:ascii="Times New Roman" w:hAnsi="Times New Roman" w:eastAsia="仿宋" w:cs="Times New Roman"/>
          <w:bCs/>
          <w:sz w:val="32"/>
          <w:szCs w:val="32"/>
        </w:rPr>
        <w:t>相继建成投运陬市镇污水处理厂、县第二污水处理厂；启动县城东区污水处理厂</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漆河镇污水处理厂建设和其他23个乡镇污水处理厂建设。</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bCs/>
          <w:sz w:val="32"/>
          <w:szCs w:val="32"/>
        </w:rPr>
        <w:t>推进农村环境综合整治</w:t>
      </w:r>
      <w:r>
        <w:rPr>
          <w:rFonts w:ascii="Times New Roman" w:hAnsi="Times New Roman" w:eastAsia="仿宋" w:cs="Times New Roman"/>
          <w:bCs/>
          <w:sz w:val="32"/>
          <w:szCs w:val="32"/>
        </w:rPr>
        <w:t>。“十三五”期间，桃源县整县推进农村环境综合整治项目，共涉及全县26乡镇、2个街道，受益人口59.4万人。主要工程内容是对全县26乡镇、2个街道，362个行政村、53个居委会存在的饮用水源地保护、生活污水治理、生活垃圾治理、畜禽养殖废水治理等突出环境问题进行综合整治。通过实施农村环境整治，积极推进了全县“乡镇振兴”、“人居环境整治”、“美丽乡村”创建工作。</w:t>
      </w:r>
    </w:p>
    <w:p>
      <w:pPr>
        <w:spacing w:line="560" w:lineRule="exact"/>
        <w:ind w:firstLine="643" w:firstLineChars="200"/>
        <w:rPr>
          <w:rFonts w:ascii="仿宋" w:hAnsi="仿宋" w:eastAsia="仿宋" w:cs="仿宋"/>
          <w:b/>
          <w:sz w:val="32"/>
          <w:szCs w:val="32"/>
        </w:rPr>
      </w:pPr>
      <w:r>
        <w:rPr>
          <w:rFonts w:ascii="Times New Roman" w:hAnsi="Times New Roman" w:eastAsia="仿宋" w:cs="Times New Roman"/>
          <w:b/>
          <w:sz w:val="32"/>
          <w:szCs w:val="32"/>
        </w:rPr>
        <w:t>3</w:t>
      </w:r>
      <w:r>
        <w:rPr>
          <w:rFonts w:hint="eastAsia" w:ascii="仿宋" w:hAnsi="仿宋" w:eastAsia="仿宋" w:cs="仿宋"/>
          <w:b/>
          <w:sz w:val="32"/>
          <w:szCs w:val="32"/>
        </w:rPr>
        <w:t>.明显改善大气环境质量</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bCs/>
          <w:sz w:val="32"/>
          <w:szCs w:val="32"/>
        </w:rPr>
        <w:t>健全工作体制机制。</w:t>
      </w:r>
      <w:r>
        <w:rPr>
          <w:rFonts w:ascii="Times New Roman" w:hAnsi="Times New Roman" w:eastAsia="仿宋" w:cs="Times New Roman"/>
          <w:bCs/>
          <w:sz w:val="32"/>
          <w:szCs w:val="32"/>
        </w:rPr>
        <w:t>先后成立了桃源县生态环境保护委员会、桃源县污染防治生态保护行动领导小组、桃源县蓝天保卫战指挥部。将蓝天保卫战工作机构向乡镇延伸，各乡镇建立生态环保站、村组建立环保协会，形成县、乡、村3级全覆盖的生态环保工作网络。</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bCs/>
          <w:sz w:val="32"/>
          <w:szCs w:val="32"/>
        </w:rPr>
        <w:t>完善防控责任体系。</w:t>
      </w:r>
      <w:r>
        <w:rPr>
          <w:rFonts w:ascii="Times New Roman" w:hAnsi="Times New Roman" w:eastAsia="仿宋" w:cs="Times New Roman"/>
          <w:bCs/>
          <w:sz w:val="32"/>
          <w:szCs w:val="32"/>
        </w:rPr>
        <w:t>出台了《桃源县全面落实责任以时保日持续改善环境空气质量工作方案》、《桃源县挥发性有机物污染防治行动实施方案》、《桃源县大气污染防治特护期错峰生产专项实施方案》、《桃源县高排放柴油车尾气污染专项整治工作方案》、《桃源县蓝天保卫战工作考核细则》、《桃源县秸秆及垃圾禁烧工作考核惩罚办法（试行）》、《桃源县蓝天保卫战专项行动方案》等一系列方案，进一步明确并强化了各级各部门蓝天保卫战工作责任，全面落实了环境保护“党政同责、一岗双责”要求。</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强力推进重点工作。</w:t>
      </w:r>
      <w:r>
        <w:rPr>
          <w:rFonts w:ascii="Times New Roman" w:hAnsi="Times New Roman" w:eastAsia="仿宋" w:cs="Times New Roman"/>
          <w:bCs/>
          <w:sz w:val="32"/>
          <w:szCs w:val="32"/>
        </w:rPr>
        <w:t>依法划定了高污染燃料禁燃区、禁止使用高排放非道路移动机械的区域；对全县28家粘土砖厂依法关停，并对现场</w:t>
      </w:r>
      <w:r>
        <w:rPr>
          <w:rFonts w:hint="eastAsia" w:ascii="Times New Roman" w:hAnsi="Times New Roman" w:eastAsia="仿宋" w:cs="Times New Roman"/>
          <w:bCs/>
          <w:sz w:val="32"/>
          <w:szCs w:val="32"/>
        </w:rPr>
        <w:t>开展</w:t>
      </w:r>
      <w:r>
        <w:rPr>
          <w:rFonts w:ascii="Times New Roman" w:hAnsi="Times New Roman" w:eastAsia="仿宋" w:cs="Times New Roman"/>
          <w:bCs/>
          <w:sz w:val="32"/>
          <w:szCs w:val="32"/>
        </w:rPr>
        <w:t>了复垦、复绿、复种等修复</w:t>
      </w:r>
      <w:r>
        <w:rPr>
          <w:rFonts w:hint="eastAsia" w:ascii="Times New Roman" w:hAnsi="Times New Roman" w:eastAsia="仿宋" w:cs="Times New Roman"/>
          <w:bCs/>
          <w:sz w:val="32"/>
          <w:szCs w:val="32"/>
        </w:rPr>
        <w:t>工作</w:t>
      </w:r>
      <w:r>
        <w:rPr>
          <w:rFonts w:ascii="Times New Roman" w:hAnsi="Times New Roman" w:eastAsia="仿宋" w:cs="Times New Roman"/>
          <w:bCs/>
          <w:sz w:val="32"/>
          <w:szCs w:val="32"/>
        </w:rPr>
        <w:t>；对县城区42台燃煤小锅炉开展集中整治；对全县建筑施工场地、碎石厂、制砂场、大型商混场、矿山企业扬尘进行专项整治；对县域范围内31台锅炉完成提标改造任务，淘汰黄标车352辆</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老旧柴油货车9辆；加强机动车尾气治理；开展重点行业VOCs治理。</w:t>
      </w:r>
    </w:p>
    <w:p>
      <w:pPr>
        <w:spacing w:line="560" w:lineRule="exact"/>
        <w:ind w:firstLine="643" w:firstLineChars="200"/>
        <w:rPr>
          <w:rFonts w:ascii="仿宋" w:hAnsi="仿宋" w:eastAsia="仿宋" w:cs="仿宋"/>
          <w:b/>
          <w:bCs/>
          <w:sz w:val="32"/>
          <w:szCs w:val="32"/>
        </w:rPr>
      </w:pPr>
      <w:r>
        <w:rPr>
          <w:rFonts w:ascii="Times New Roman" w:hAnsi="Times New Roman" w:eastAsia="仿宋" w:cs="Times New Roman"/>
          <w:b/>
          <w:bCs/>
          <w:sz w:val="32"/>
          <w:szCs w:val="32"/>
        </w:rPr>
        <w:t>4</w:t>
      </w:r>
      <w:r>
        <w:rPr>
          <w:rFonts w:hint="eastAsia" w:ascii="仿宋" w:hAnsi="仿宋" w:eastAsia="仿宋" w:cs="仿宋"/>
          <w:b/>
          <w:bCs/>
          <w:sz w:val="32"/>
          <w:szCs w:val="32"/>
        </w:rPr>
        <w:t>.持续提升水生态环境质量</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优先保护良好水体。</w:t>
      </w:r>
      <w:r>
        <w:rPr>
          <w:rFonts w:ascii="Times New Roman" w:hAnsi="Times New Roman" w:eastAsia="仿宋" w:cs="Times New Roman"/>
          <w:bCs/>
          <w:sz w:val="32"/>
          <w:szCs w:val="32"/>
        </w:rPr>
        <w:t>积极开展饮用水水源规范化建设和环境问题整治，2016年，完成42处乡镇集中式饮用水水源保护区基础设施建设；2018年，开展县级及以上饮用水水源保护区中央交办环境问题整治，完成黄潭洲保护区6个</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黄石水库2个</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剪市镇3个问题的整治；2019年，完成10处“千吨万人”乡镇集中式饮用水水源保护区划分；2020年，完成42处“千吨万人”乡镇集中式饮用水水源保护区规范化建设和环境问题整治，完成农村12处千人以上供水工程饮用水水源保护区划分工作。</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持续推进流域水环境生态修复。</w:t>
      </w:r>
      <w:r>
        <w:rPr>
          <w:rFonts w:ascii="Times New Roman" w:hAnsi="Times New Roman" w:eastAsia="仿宋" w:cs="Times New Roman"/>
          <w:bCs/>
          <w:sz w:val="32"/>
          <w:szCs w:val="32"/>
        </w:rPr>
        <w:t>开展河道疏浚和黑臭水体治理，完成漳江镇上马家渡河和漆河镇胡家港2处黑臭水体整治工程。</w:t>
      </w:r>
    </w:p>
    <w:p>
      <w:pPr>
        <w:spacing w:line="560" w:lineRule="exact"/>
        <w:ind w:firstLine="643" w:firstLineChars="200"/>
        <w:rPr>
          <w:rFonts w:ascii="仿宋" w:hAnsi="仿宋" w:eastAsia="仿宋" w:cs="仿宋"/>
          <w:b/>
          <w:sz w:val="32"/>
          <w:szCs w:val="32"/>
        </w:rPr>
      </w:pPr>
      <w:r>
        <w:rPr>
          <w:rFonts w:ascii="Times New Roman" w:hAnsi="Times New Roman" w:eastAsia="仿宋" w:cs="Times New Roman"/>
          <w:b/>
          <w:sz w:val="32"/>
          <w:szCs w:val="32"/>
        </w:rPr>
        <w:t>5</w:t>
      </w:r>
      <w:r>
        <w:rPr>
          <w:rFonts w:hint="eastAsia" w:ascii="仿宋" w:hAnsi="仿宋" w:eastAsia="仿宋" w:cs="仿宋"/>
          <w:b/>
          <w:sz w:val="32"/>
          <w:szCs w:val="32"/>
        </w:rPr>
        <w:t>.扎实开展土壤污染防治</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bCs/>
          <w:sz w:val="32"/>
          <w:szCs w:val="32"/>
        </w:rPr>
        <w:t>夯实土壤环境管理基础。</w:t>
      </w:r>
      <w:r>
        <w:rPr>
          <w:rFonts w:ascii="Times New Roman" w:hAnsi="Times New Roman" w:eastAsia="仿宋" w:cs="Times New Roman"/>
          <w:bCs/>
          <w:sz w:val="32"/>
          <w:szCs w:val="32"/>
        </w:rPr>
        <w:t>积极配合农业农村部门，完成桃源县农用地土壤污染状况详查工作。对</w:t>
      </w:r>
      <w:r>
        <w:rPr>
          <w:rFonts w:hint="eastAsia" w:ascii="Times New Roman" w:hAnsi="Times New Roman" w:eastAsia="仿宋" w:cs="Times New Roman"/>
          <w:bCs/>
          <w:sz w:val="32"/>
          <w:szCs w:val="32"/>
        </w:rPr>
        <w:t>被</w:t>
      </w:r>
      <w:r>
        <w:rPr>
          <w:rFonts w:ascii="Times New Roman" w:hAnsi="Times New Roman" w:eastAsia="仿宋" w:cs="Times New Roman"/>
          <w:bCs/>
          <w:sz w:val="32"/>
          <w:szCs w:val="32"/>
        </w:rPr>
        <w:t>列为污染地块的桃源县胜利化工有限公司原址地块和桃源县原劲威铅酸蓄电池厂原址地块实施了风险管控与土壤修复工程。</w:t>
      </w:r>
    </w:p>
    <w:p>
      <w:pPr>
        <w:spacing w:line="560" w:lineRule="exact"/>
        <w:ind w:firstLine="643" w:firstLineChars="200"/>
        <w:rPr>
          <w:rFonts w:ascii="仿宋" w:hAnsi="仿宋" w:eastAsia="仿宋" w:cs="仿宋"/>
          <w:b/>
          <w:sz w:val="32"/>
          <w:szCs w:val="32"/>
        </w:rPr>
      </w:pPr>
      <w:r>
        <w:rPr>
          <w:rFonts w:ascii="Times New Roman" w:hAnsi="Times New Roman" w:eastAsia="仿宋" w:cs="Times New Roman"/>
          <w:b/>
          <w:sz w:val="32"/>
          <w:szCs w:val="32"/>
        </w:rPr>
        <w:t>6</w:t>
      </w:r>
      <w:r>
        <w:rPr>
          <w:rFonts w:hint="eastAsia" w:ascii="仿宋" w:hAnsi="仿宋" w:eastAsia="仿宋" w:cs="仿宋"/>
          <w:b/>
          <w:sz w:val="32"/>
          <w:szCs w:val="32"/>
        </w:rPr>
        <w:t>.稳步推进工业污染源全面达标排放</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bCs/>
          <w:sz w:val="32"/>
          <w:szCs w:val="32"/>
        </w:rPr>
        <w:t>加强重点行业监管。</w:t>
      </w:r>
      <w:r>
        <w:rPr>
          <w:rFonts w:ascii="Times New Roman" w:hAnsi="Times New Roman" w:eastAsia="仿宋" w:cs="Times New Roman"/>
          <w:bCs/>
          <w:sz w:val="32"/>
          <w:szCs w:val="32"/>
        </w:rPr>
        <w:t>对水泥、砖瓦、陶瓷行业、涉VOC行业</w:t>
      </w:r>
      <w:r>
        <w:rPr>
          <w:rFonts w:hint="eastAsia" w:ascii="Times New Roman" w:hAnsi="Times New Roman" w:eastAsia="仿宋" w:cs="Times New Roman"/>
          <w:bCs/>
          <w:sz w:val="32"/>
          <w:szCs w:val="32"/>
        </w:rPr>
        <w:t>开展</w:t>
      </w:r>
      <w:r>
        <w:rPr>
          <w:rFonts w:ascii="Times New Roman" w:hAnsi="Times New Roman" w:eastAsia="仿宋" w:cs="Times New Roman"/>
          <w:bCs/>
          <w:sz w:val="32"/>
          <w:szCs w:val="32"/>
        </w:rPr>
        <w:t>执法检查</w:t>
      </w:r>
      <w:r>
        <w:rPr>
          <w:rFonts w:hint="eastAsia" w:ascii="Times New Roman" w:hAnsi="Times New Roman" w:eastAsia="仿宋" w:cs="Times New Roman"/>
          <w:bCs/>
          <w:sz w:val="32"/>
          <w:szCs w:val="32"/>
        </w:rPr>
        <w:t>，对</w:t>
      </w:r>
      <w:r>
        <w:rPr>
          <w:rFonts w:ascii="Times New Roman" w:hAnsi="Times New Roman" w:eastAsia="仿宋" w:cs="Times New Roman"/>
          <w:bCs/>
          <w:sz w:val="32"/>
          <w:szCs w:val="32"/>
        </w:rPr>
        <w:t>29家涉气重点工业企业监督检查</w:t>
      </w:r>
      <w:r>
        <w:rPr>
          <w:rFonts w:hint="eastAsia" w:ascii="Times New Roman" w:hAnsi="Times New Roman" w:eastAsia="仿宋" w:cs="Times New Roman"/>
          <w:bCs/>
          <w:sz w:val="32"/>
          <w:szCs w:val="32"/>
        </w:rPr>
        <w:t>实施与</w:t>
      </w:r>
      <w:r>
        <w:rPr>
          <w:rFonts w:ascii="Times New Roman" w:hAnsi="Times New Roman" w:eastAsia="仿宋" w:cs="Times New Roman"/>
          <w:bCs/>
          <w:sz w:val="32"/>
          <w:szCs w:val="32"/>
        </w:rPr>
        <w:t>日常检查，确保重点涉气监管工业企业每月全覆盖</w:t>
      </w:r>
      <w:r>
        <w:rPr>
          <w:rFonts w:hint="eastAsia" w:ascii="Times New Roman" w:hAnsi="Times New Roman" w:eastAsia="仿宋" w:cs="Times New Roman"/>
          <w:bCs/>
          <w:sz w:val="32"/>
          <w:szCs w:val="32"/>
        </w:rPr>
        <w:t>检查</w:t>
      </w:r>
      <w:r>
        <w:rPr>
          <w:rFonts w:ascii="Times New Roman" w:hAnsi="Times New Roman" w:eastAsia="仿宋" w:cs="Times New Roman"/>
          <w:bCs/>
          <w:sz w:val="32"/>
          <w:szCs w:val="32"/>
        </w:rPr>
        <w:t>。确保了大气污染物稳定达标排放，并落实了特护期减产、限产制度。</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bCs/>
          <w:sz w:val="32"/>
          <w:szCs w:val="32"/>
        </w:rPr>
        <w:t>开展工业源达标排放计划。</w:t>
      </w:r>
      <w:r>
        <w:rPr>
          <w:rFonts w:ascii="Times New Roman" w:hAnsi="Times New Roman" w:eastAsia="仿宋" w:cs="Times New Roman"/>
          <w:bCs/>
          <w:sz w:val="32"/>
          <w:szCs w:val="32"/>
        </w:rPr>
        <w:t>组织完成对全县服装、制革、人造板、家具制造、印刷、平板玻璃、电羽毛加工及制鞋、规模以上畜禽养殖等16个行业</w:t>
      </w:r>
      <w:r>
        <w:rPr>
          <w:rFonts w:hint="eastAsia" w:ascii="Times New Roman" w:hAnsi="Times New Roman" w:eastAsia="仿宋" w:cs="Times New Roman"/>
          <w:bCs/>
          <w:sz w:val="32"/>
          <w:szCs w:val="32"/>
        </w:rPr>
        <w:t>及</w:t>
      </w:r>
      <w:r>
        <w:rPr>
          <w:rFonts w:ascii="Times New Roman" w:hAnsi="Times New Roman" w:eastAsia="仿宋" w:cs="Times New Roman"/>
          <w:bCs/>
          <w:sz w:val="32"/>
          <w:szCs w:val="32"/>
        </w:rPr>
        <w:t>其他行业</w:t>
      </w:r>
      <w:r>
        <w:rPr>
          <w:rFonts w:hint="eastAsia" w:ascii="Times New Roman" w:hAnsi="Times New Roman" w:eastAsia="仿宋" w:cs="Times New Roman"/>
          <w:bCs/>
          <w:sz w:val="32"/>
          <w:szCs w:val="32"/>
        </w:rPr>
        <w:t>领域，共</w:t>
      </w:r>
      <w:r>
        <w:rPr>
          <w:rFonts w:ascii="Times New Roman" w:hAnsi="Times New Roman" w:eastAsia="仿宋" w:cs="Times New Roman"/>
          <w:bCs/>
          <w:sz w:val="32"/>
          <w:szCs w:val="32"/>
        </w:rPr>
        <w:t>28家企业进行了认真排查和企业自查。</w:t>
      </w:r>
    </w:p>
    <w:p>
      <w:pPr>
        <w:spacing w:line="560" w:lineRule="exact"/>
        <w:ind w:firstLine="643" w:firstLineChars="200"/>
        <w:rPr>
          <w:rFonts w:ascii="仿宋" w:hAnsi="仿宋" w:eastAsia="仿宋" w:cs="仿宋"/>
          <w:b/>
          <w:bCs/>
          <w:sz w:val="32"/>
          <w:szCs w:val="32"/>
        </w:rPr>
      </w:pPr>
      <w:r>
        <w:rPr>
          <w:rFonts w:ascii="Times New Roman" w:hAnsi="Times New Roman" w:eastAsia="仿宋" w:cs="Times New Roman"/>
          <w:b/>
          <w:bCs/>
          <w:sz w:val="32"/>
          <w:szCs w:val="32"/>
        </w:rPr>
        <w:t>7</w:t>
      </w:r>
      <w:r>
        <w:rPr>
          <w:rFonts w:hint="eastAsia" w:ascii="仿宋" w:hAnsi="仿宋" w:eastAsia="仿宋" w:cs="仿宋"/>
          <w:b/>
          <w:bCs/>
          <w:sz w:val="32"/>
          <w:szCs w:val="32"/>
        </w:rPr>
        <w:t>.有效防范和降低生态环境风险</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完善风险防控和应急响应体系。</w:t>
      </w:r>
      <w:r>
        <w:rPr>
          <w:rFonts w:ascii="Times New Roman" w:hAnsi="Times New Roman" w:eastAsia="仿宋" w:cs="Times New Roman"/>
          <w:sz w:val="32"/>
          <w:szCs w:val="32"/>
        </w:rPr>
        <w:t>建立完善全县环境风险源台账，对需编制应急预案的重点企业，全部完成应急预案编制并备案。</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提高危险废物和固体废物监管水平。</w:t>
      </w:r>
      <w:r>
        <w:rPr>
          <w:rFonts w:ascii="Times New Roman" w:hAnsi="Times New Roman" w:eastAsia="仿宋" w:cs="Times New Roman"/>
          <w:sz w:val="32"/>
          <w:szCs w:val="32"/>
        </w:rPr>
        <w:t>编制了《桃源县危险废物和一般工业固体废物处置能力调查评估报告》，对县内危险废物和一般工业固体废物产生及处置情况进行了详细调查。</w:t>
      </w:r>
    </w:p>
    <w:p>
      <w:pPr>
        <w:spacing w:line="560" w:lineRule="exact"/>
        <w:ind w:firstLine="643" w:firstLineChars="200"/>
        <w:rPr>
          <w:rFonts w:ascii="仿宋" w:hAnsi="仿宋" w:eastAsia="仿宋" w:cs="仿宋"/>
          <w:b/>
          <w:bCs/>
          <w:sz w:val="32"/>
          <w:szCs w:val="32"/>
        </w:rPr>
      </w:pPr>
      <w:r>
        <w:rPr>
          <w:rFonts w:ascii="Times New Roman" w:hAnsi="Times New Roman" w:eastAsia="仿宋" w:cs="Times New Roman"/>
          <w:b/>
          <w:bCs/>
          <w:sz w:val="32"/>
          <w:szCs w:val="32"/>
        </w:rPr>
        <w:t>8</w:t>
      </w:r>
      <w:r>
        <w:rPr>
          <w:rFonts w:hint="eastAsia" w:ascii="仿宋" w:hAnsi="仿宋" w:eastAsia="仿宋" w:cs="仿宋"/>
          <w:b/>
          <w:bCs/>
          <w:sz w:val="32"/>
          <w:szCs w:val="32"/>
        </w:rPr>
        <w:t>.环境监管体系初步建立</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加强区域环境执法。</w:t>
      </w:r>
      <w:r>
        <w:rPr>
          <w:rFonts w:ascii="Times New Roman" w:hAnsi="Times New Roman" w:eastAsia="仿宋" w:cs="Times New Roman"/>
          <w:sz w:val="32"/>
          <w:szCs w:val="32"/>
        </w:rPr>
        <w:t>出台了《桃源县突发环境事件应急预案》，成立县公安局驻桃源分局联络室、县检察院驻分局联络室，加强联动执法能力，全面加大对环境违法行为的打击力度。</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执法能力、监测能力稳步提升。</w:t>
      </w:r>
      <w:r>
        <w:rPr>
          <w:rFonts w:hint="eastAsia" w:ascii="Times New Roman" w:hAnsi="Times New Roman" w:eastAsia="仿宋" w:cs="Times New Roman"/>
          <w:bCs/>
          <w:sz w:val="32"/>
          <w:szCs w:val="32"/>
        </w:rPr>
        <w:t>多</w:t>
      </w:r>
      <w:r>
        <w:rPr>
          <w:rFonts w:ascii="Times New Roman" w:hAnsi="Times New Roman" w:eastAsia="仿宋" w:cs="Times New Roman"/>
          <w:sz w:val="32"/>
          <w:szCs w:val="32"/>
        </w:rPr>
        <w:t>次参加全国、全省、全市的交叉执法检查，不断提升执法水平，2019年在全市组织的环境执法大比武中，县执法局获得集体二等奖；“十三五”期间，不断加强监测能力建设，先后投入近200万元，配备</w:t>
      </w:r>
      <w:r>
        <w:rPr>
          <w:rFonts w:hint="eastAsia" w:ascii="Times New Roman" w:hAnsi="Times New Roman" w:eastAsia="仿宋" w:cs="Times New Roman"/>
          <w:sz w:val="32"/>
          <w:szCs w:val="32"/>
        </w:rPr>
        <w:t>了</w:t>
      </w:r>
      <w:r>
        <w:rPr>
          <w:rFonts w:ascii="Times New Roman" w:hAnsi="Times New Roman" w:eastAsia="仿宋" w:cs="Times New Roman"/>
          <w:sz w:val="32"/>
          <w:szCs w:val="32"/>
        </w:rPr>
        <w:t>现场采样、实验室分析以及机动车尾气检测等各类监测设备80多台套。在省市组织的监测技术比武中，分别获得团体精神文明奖、团体二等奖。</w:t>
      </w:r>
    </w:p>
    <w:p>
      <w:pPr>
        <w:pStyle w:val="3"/>
        <w:spacing w:before="312" w:beforeLines="100" w:after="312" w:afterLines="100" w:line="560" w:lineRule="exact"/>
        <w:jc w:val="center"/>
        <w:rPr>
          <w:rFonts w:ascii="黑体" w:hAnsi="黑体" w:cs="黑体"/>
          <w:b w:val="0"/>
          <w:bCs w:val="0"/>
        </w:rPr>
      </w:pPr>
      <w:bookmarkStart w:id="2" w:name="_Toc38782338"/>
      <w:bookmarkStart w:id="3" w:name="_Toc58590413"/>
      <w:r>
        <w:rPr>
          <w:rFonts w:hint="eastAsia" w:ascii="黑体" w:hAnsi="黑体" w:cs="黑体"/>
          <w:b w:val="0"/>
          <w:bCs w:val="0"/>
        </w:rPr>
        <w:t>二、“十四五”时期环境形势与主要环境问题</w:t>
      </w:r>
      <w:bookmarkEnd w:id="2"/>
      <w:bookmarkEnd w:id="3"/>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（一）“十四五”环境形势</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继续坚持和完善生态文明制度体系，促进人与自然和谐共生。《中共中央关于坚持和完善中国特色社会主义制度推进国家治理体系和治理能力现代化若干重大问题的决定》中强调了生态文明建设是关系中华民族永续发展的千年大计。提出了实行最严格的生态环境保护制度、全面建立资源高效利用制度、健全生态保护和修复制度、严明生态环境保护责任制度等四项制度，为“十四五”以至今后相当长时期生态文明建设、环境保护工作指明方向。</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中国坚持走生态优先、绿色发展之路，生态环境保护已成为推动经济高质量发展的重要力量和抓手。在推动供给侧结构性改革方面，推动 “三线一单”的编制，严格执行环评制度，严把项目准入关口，优化产业布局和结构。在营造公平竞争的市场环境方面，严格环境督察执法，实施工业污染源全面达标排放计划，在重污染行业深入推进强制性清洁生产审核，着力整治“散乱污”企业，有效解决“劣币驱逐良币”问题，促进合规企业生产负荷和效益不断提升。在培育经济发展新动能方面，加快黑臭水体整治、散煤治理等重大生态环境治理工程项目实施，有效拉动消费和投资，大力推动生态环保产业发展，</w:t>
      </w:r>
      <w:r>
        <w:rPr>
          <w:rFonts w:hint="eastAsia" w:ascii="Times New Roman" w:hAnsi="Times New Roman" w:eastAsia="仿宋" w:cs="Times New Roman"/>
          <w:sz w:val="32"/>
          <w:szCs w:val="32"/>
        </w:rPr>
        <w:t>确保</w:t>
      </w:r>
      <w:r>
        <w:rPr>
          <w:rFonts w:ascii="Times New Roman" w:hAnsi="Times New Roman" w:eastAsia="仿宋" w:cs="Times New Roman"/>
          <w:sz w:val="32"/>
          <w:szCs w:val="32"/>
        </w:rPr>
        <w:t>环保产业对经济发展的贡献率日益上升。“十四五”时期，</w:t>
      </w:r>
      <w:r>
        <w:rPr>
          <w:rFonts w:hint="eastAsia" w:ascii="Times New Roman" w:hAnsi="Times New Roman" w:eastAsia="仿宋" w:cs="Times New Roman"/>
          <w:sz w:val="32"/>
          <w:szCs w:val="32"/>
        </w:rPr>
        <w:t>桃源</w:t>
      </w:r>
      <w:r>
        <w:rPr>
          <w:rFonts w:ascii="Times New Roman" w:hAnsi="Times New Roman" w:eastAsia="仿宋" w:cs="Times New Roman"/>
          <w:sz w:val="32"/>
          <w:szCs w:val="32"/>
        </w:rPr>
        <w:t>县将严把项目准入关，持续推进区域工业项目“退城入园”，加快推进能源结构调整，进一步发挥生态环境保护的引导、优化、倒逼和促进作用，加快推动经济结构转型升级、新旧动能接续转换，协同推进经济高质量发展和生态环境高水平保护，在高质量发展中实现高水平保护、在高水平保护中促进高质量发展。</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（二）主要问题</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“十三五”期间，桃源县生态环境质量有所改善，生态环境保护结构性、根源性、趋势性压力总体上尚未</w:t>
      </w:r>
      <w:r>
        <w:rPr>
          <w:rFonts w:hint="eastAsia" w:ascii="Times New Roman" w:hAnsi="Times New Roman" w:eastAsia="仿宋" w:cs="Times New Roman"/>
          <w:sz w:val="32"/>
          <w:szCs w:val="32"/>
        </w:rPr>
        <w:t>得到</w:t>
      </w:r>
      <w:r>
        <w:rPr>
          <w:rFonts w:ascii="Times New Roman" w:hAnsi="Times New Roman" w:eastAsia="仿宋" w:cs="Times New Roman"/>
          <w:sz w:val="32"/>
          <w:szCs w:val="32"/>
        </w:rPr>
        <w:t>根本缓解，离建设美丽中国的目标还有较大差距，生态环境保护任重</w:t>
      </w:r>
      <w:r>
        <w:rPr>
          <w:rFonts w:hint="eastAsia" w:ascii="Times New Roman" w:hAnsi="Times New Roman" w:eastAsia="仿宋" w:cs="Times New Roman"/>
          <w:sz w:val="32"/>
          <w:szCs w:val="32"/>
        </w:rPr>
        <w:t>而</w:t>
      </w:r>
      <w:r>
        <w:rPr>
          <w:rFonts w:ascii="Times New Roman" w:hAnsi="Times New Roman" w:eastAsia="仿宋" w:cs="Times New Roman"/>
          <w:sz w:val="32"/>
          <w:szCs w:val="32"/>
        </w:rPr>
        <w:t>道远。</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产业结构绿色转型亟待深化。</w:t>
      </w:r>
      <w:r>
        <w:rPr>
          <w:rFonts w:ascii="Times New Roman" w:hAnsi="Times New Roman" w:eastAsia="仿宋" w:cs="Times New Roman"/>
          <w:sz w:val="32"/>
          <w:szCs w:val="32"/>
        </w:rPr>
        <w:t>“十三五”期间，桃源县三次产业结构调整为20.0：31.3：48.7，第一产业、第二产业比重不断下降，第三产业比重持续上升，已经呈现出以工业化后期特征，但以制造业为主的第二产业比重依旧较高。</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产业结构发展绿色转型动力不足。全县主要工业企业中高能耗、高耗水企业所占比例较大。产业集聚度较低，以循环经济为核心的生态产业体系尚未建立。</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流域水环境治理仍需协同推进。</w:t>
      </w:r>
      <w:r>
        <w:rPr>
          <w:rFonts w:ascii="Times New Roman" w:hAnsi="Times New Roman" w:eastAsia="仿宋" w:cs="Times New Roman"/>
          <w:sz w:val="32"/>
          <w:szCs w:val="32"/>
        </w:rPr>
        <w:t>桃源县隶属沅水流域，位于常德市上游，沅水干支流包括白洋河流域、澄溪流域、陬溪流域等诸多水系，且水系流域水环境质量、水生态环境远低于人民群众预期。</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流域水资源需实行区域调配。</w:t>
      </w:r>
      <w:r>
        <w:rPr>
          <w:rFonts w:ascii="Times New Roman" w:hAnsi="Times New Roman" w:eastAsia="仿宋" w:cs="Times New Roman"/>
          <w:sz w:val="32"/>
          <w:szCs w:val="32"/>
        </w:rPr>
        <w:t>桃源县水资源丰富，水资源的利用与开发充分，沅水干流建成有桃源水电站、凌津滩水电站，沅水主要支流也建成有诸多小水电项目。目前，尚未科学测算沅江各支流生态流量和重要湖库生态水位，未建立合理调度区域水资源，安排各重要断面的下泄水量的体制机制，无法起到维持和改善水环境的目标。</w:t>
      </w:r>
    </w:p>
    <w:p>
      <w:pPr>
        <w:spacing w:line="560" w:lineRule="exact"/>
        <w:ind w:firstLine="643"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需实施</w:t>
      </w:r>
      <w:r>
        <w:rPr>
          <w:rFonts w:ascii="Times New Roman" w:hAnsi="Times New Roman" w:eastAsia="仿宋" w:cs="Times New Roman"/>
          <w:b/>
          <w:bCs/>
          <w:sz w:val="32"/>
          <w:szCs w:val="32"/>
        </w:rPr>
        <w:t>良好水体优先保护。</w:t>
      </w:r>
      <w:r>
        <w:rPr>
          <w:rFonts w:ascii="Times New Roman" w:hAnsi="Times New Roman" w:eastAsia="仿宋" w:cs="Times New Roman"/>
          <w:sz w:val="32"/>
          <w:szCs w:val="32"/>
        </w:rPr>
        <w:t>桃源县黄石水库作为常德市生活用水备用水源地，亟需强化饮用水水源地保护与监管，统筹准保护区内生活源、交通源的风险防范措施，建立与张家界市联防联治机制，确保常德市备用水源水质安全。</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持续推进农村环境综合治理工程。</w:t>
      </w:r>
      <w:r>
        <w:rPr>
          <w:rFonts w:ascii="Times New Roman" w:hAnsi="Times New Roman" w:eastAsia="仿宋" w:cs="Times New Roman"/>
          <w:sz w:val="32"/>
          <w:szCs w:val="32"/>
        </w:rPr>
        <w:t>“十三五”期间，桃源县整县推进农村环境综合整治工程，对饮用水源地保护、生活污水治理、生活垃圾治理、畜禽养殖废水治理等突出环境问题进行综合整治，通过实施农村环境整治，积极推进了全县“乡镇振兴”、“人居环境整治”、“美丽乡村”创建工作。“十四五”期间，为实现“乡村振兴”，创建美丽、宜居的农村生活环境，应持续推进农村环境综合治理工程，重点进行农村沟港渠道黑臭水体治理、农村面源污染治理、同步推进农村生活垃圾分类收集与处理工程、农村饮用水水源规范化管理。</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环境空气质量区域协调共治。</w:t>
      </w:r>
      <w:r>
        <w:rPr>
          <w:rFonts w:ascii="Times New Roman" w:hAnsi="Times New Roman" w:eastAsia="仿宋" w:cs="Times New Roman"/>
          <w:sz w:val="32"/>
          <w:szCs w:val="32"/>
        </w:rPr>
        <w:t>目前，</w:t>
      </w:r>
      <w:r>
        <w:rPr>
          <w:rFonts w:ascii="Times New Roman" w:hAnsi="Times New Roman" w:eastAsia="仿宋" w:cs="Times New Roman"/>
          <w:bCs/>
          <w:sz w:val="32"/>
          <w:szCs w:val="32"/>
        </w:rPr>
        <w:t>大气污染防治工作已经进入攻坚期和深水区，末端治理减排的边际成本越来越高，而深入推进产业、能源、运输、用地等方面的结构调整又存在诸多困难；另一方面，国内外形势更加复杂，经济整体处于高速增长向高质量发展转型攻坚期，生产生活方式变革面临巨大不确定性。此外，常规大气污染物与消耗臭氧层物质（ODS）、大气汞、温室气体、有毒有害大气污染物等的协同控制也对大气污染防治工作提出新要求。</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确保乌云界自然保护区生态安全屏障作用。</w:t>
      </w:r>
      <w:r>
        <w:rPr>
          <w:rFonts w:ascii="Times New Roman" w:hAnsi="Times New Roman" w:eastAsia="仿宋" w:cs="Times New Roman"/>
          <w:sz w:val="32"/>
          <w:szCs w:val="32"/>
        </w:rPr>
        <w:t>桃源县拥有湖南乌云界国家级自然保护区，自然保护区核心区内原生居民分布广泛，“十四五”时期应科学核定核心区内确需搬迁的原有居民，制定搬迁计划，对于不搬迁的居民，确定污染物达标排放方案。</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解决历史遗留生态环境问题。</w:t>
      </w:r>
      <w:r>
        <w:rPr>
          <w:rFonts w:ascii="Times New Roman" w:hAnsi="Times New Roman" w:eastAsia="仿宋" w:cs="Times New Roman"/>
          <w:sz w:val="32"/>
          <w:szCs w:val="32"/>
        </w:rPr>
        <w:t>桃源县城市生活垃圾填埋场由于种种原因，现已处于停止填埋与封场治理阶段，而新建的生活垃圾焚烧厂尚处于建设阶段，“十四五”时期，桃源县城市生活垃圾的处理以及原生活垃圾填埋场场地治理与修复问题亟待解决。另外，杨溪桥、沙坪镇、西安镇、架桥镇、热市镇等矿山开采的土壤污染与修复，涉及地块周边居民农业生产与生活健康，“十四五”时期推行适用于桃源县实际的土壤污染治理可行技术，统筹规划地块治理与修复。</w:t>
      </w:r>
    </w:p>
    <w:p>
      <w:pPr>
        <w:pStyle w:val="3"/>
        <w:spacing w:before="312" w:beforeLines="100" w:after="312" w:afterLines="100" w:line="560" w:lineRule="exact"/>
        <w:jc w:val="center"/>
        <w:rPr>
          <w:rFonts w:ascii="黑体" w:hAnsi="黑体" w:cs="黑体"/>
          <w:b w:val="0"/>
          <w:bCs w:val="0"/>
          <w:szCs w:val="36"/>
        </w:rPr>
      </w:pPr>
      <w:bookmarkStart w:id="4" w:name="_Toc58590414"/>
      <w:bookmarkStart w:id="5" w:name="_Toc38782339"/>
      <w:r>
        <w:rPr>
          <w:rFonts w:hint="eastAsia" w:ascii="黑体" w:hAnsi="黑体" w:cs="黑体"/>
          <w:b w:val="0"/>
          <w:bCs w:val="0"/>
          <w:szCs w:val="36"/>
        </w:rPr>
        <w:t>三、</w:t>
      </w:r>
      <w:bookmarkEnd w:id="4"/>
      <w:bookmarkEnd w:id="5"/>
      <w:r>
        <w:rPr>
          <w:rFonts w:hint="eastAsia" w:ascii="黑体" w:hAnsi="黑体" w:cs="黑体"/>
          <w:b w:val="0"/>
          <w:bCs w:val="0"/>
          <w:szCs w:val="36"/>
        </w:rPr>
        <w:t>“十四五”环境保护规划目标</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“十四五”期间，</w:t>
      </w:r>
      <w:r>
        <w:rPr>
          <w:rFonts w:hint="eastAsia" w:ascii="Times New Roman" w:hAnsi="Times New Roman" w:eastAsia="仿宋" w:cs="Times New Roman"/>
          <w:bCs/>
          <w:sz w:val="32"/>
          <w:szCs w:val="32"/>
        </w:rPr>
        <w:t>桃源</w:t>
      </w:r>
      <w:r>
        <w:rPr>
          <w:rFonts w:ascii="Times New Roman" w:hAnsi="Times New Roman" w:eastAsia="仿宋" w:cs="Times New Roman"/>
          <w:bCs/>
          <w:sz w:val="32"/>
          <w:szCs w:val="32"/>
        </w:rPr>
        <w:t>县将践行绿水青山就是金山银山的理念，坚持节约资源和保护环境的基本国策，坚持节约优先、保护优先、自然恢复为主的方针，坚定走生产发展、生活富裕、生态良好的文明发展道路，制定切实可行的目标、措施，强化治理，努力持续改善生态环境质量，建设美好</w:t>
      </w:r>
      <w:r>
        <w:rPr>
          <w:rFonts w:hint="eastAsia" w:ascii="Times New Roman" w:hAnsi="Times New Roman" w:eastAsia="仿宋" w:cs="Times New Roman"/>
          <w:bCs/>
          <w:sz w:val="32"/>
          <w:szCs w:val="32"/>
        </w:rPr>
        <w:t>新</w:t>
      </w:r>
      <w:r>
        <w:rPr>
          <w:rFonts w:ascii="Times New Roman" w:hAnsi="Times New Roman" w:eastAsia="仿宋" w:cs="Times New Roman"/>
          <w:bCs/>
          <w:sz w:val="32"/>
          <w:szCs w:val="32"/>
        </w:rPr>
        <w:t>桃源。</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（一）指导思想</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坚持以习近平新时代中国特色社会主义思想为指导，全面贯彻党的十九大和十九届二中、三中、四中、五中全会精神，深入贯彻落实习近平生态文明思想，立足新发展阶段、贯彻新发展理念、助推新发展格局，紧紧围绕“一带一部”战略定位和“三高四新”战略目标，坚持以人民为中心，以服务经济高质量发展为主线，以持续改善生态环境质量为核心，着力推进绿色低碳发展，以减污降碳为总抓手，深入打好污染防治攻坚战，防范化解生态环境风险，提升生态系统功能，推进生态环境治理体系和治理能力现代化，谱写美丽</w:t>
      </w:r>
      <w:r>
        <w:rPr>
          <w:rFonts w:hint="eastAsia" w:ascii="Times New Roman" w:hAnsi="Times New Roman" w:eastAsia="仿宋" w:cs="Times New Roman"/>
          <w:sz w:val="32"/>
          <w:szCs w:val="32"/>
        </w:rPr>
        <w:t>桃源</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生态新</w:t>
      </w:r>
      <w:r>
        <w:rPr>
          <w:rFonts w:ascii="Times New Roman" w:hAnsi="Times New Roman" w:eastAsia="仿宋" w:cs="Times New Roman"/>
          <w:sz w:val="32"/>
          <w:szCs w:val="32"/>
        </w:rPr>
        <w:t>画卷”。</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（二）基本原则</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坚持党的领导。</w:t>
      </w:r>
      <w:r>
        <w:rPr>
          <w:rFonts w:ascii="Times New Roman" w:hAnsi="Times New Roman" w:eastAsia="仿宋" w:cs="Times New Roman"/>
          <w:sz w:val="32"/>
          <w:szCs w:val="32"/>
        </w:rPr>
        <w:t>全面加强党对生态环境保护工作的领导，按照“党委领导、政府主导、企业主体、公众参与”的原则，落实“党政同责”</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“一岗双责”</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“三管三必须”，督促企业履行治污主体责</w:t>
      </w:r>
      <w:r>
        <w:rPr>
          <w:rFonts w:hint="eastAsia" w:ascii="Times New Roman" w:hAnsi="Times New Roman" w:eastAsia="仿宋" w:cs="Times New Roman"/>
          <w:sz w:val="32"/>
          <w:szCs w:val="32"/>
        </w:rPr>
        <w:t>任，</w:t>
      </w:r>
      <w:r>
        <w:rPr>
          <w:rFonts w:ascii="Times New Roman" w:hAnsi="Times New Roman" w:eastAsia="仿宋" w:cs="Times New Roman"/>
          <w:sz w:val="32"/>
          <w:szCs w:val="32"/>
        </w:rPr>
        <w:t>引导和发动群众广泛参与。</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坚持以人为本。</w:t>
      </w:r>
      <w:r>
        <w:rPr>
          <w:rFonts w:ascii="Times New Roman" w:hAnsi="Times New Roman" w:eastAsia="仿宋" w:cs="Times New Roman"/>
          <w:sz w:val="32"/>
          <w:szCs w:val="32"/>
        </w:rPr>
        <w:t>持续改善生态环境质量，将坚持生态优先、高质量发展与创造高品质生活有机结合，加快解决人民群众身边的突出生态环境问题，为人民群众创造良好生产生活环境，提供更多优质生态产品，不断满足人民群众日益增长的</w:t>
      </w:r>
      <w:r>
        <w:rPr>
          <w:rFonts w:hint="eastAsia" w:ascii="Times New Roman" w:hAnsi="Times New Roman" w:eastAsia="仿宋" w:cs="Times New Roman"/>
          <w:sz w:val="32"/>
          <w:szCs w:val="32"/>
        </w:rPr>
        <w:t>美好</w:t>
      </w:r>
      <w:r>
        <w:rPr>
          <w:rFonts w:ascii="Times New Roman" w:hAnsi="Times New Roman" w:eastAsia="仿宋" w:cs="Times New Roman"/>
          <w:sz w:val="32"/>
          <w:szCs w:val="32"/>
        </w:rPr>
        <w:t>生态环境需要。</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坚持绿色发展。</w:t>
      </w:r>
      <w:r>
        <w:rPr>
          <w:rFonts w:ascii="Times New Roman" w:hAnsi="Times New Roman" w:eastAsia="仿宋" w:cs="Times New Roman"/>
          <w:sz w:val="32"/>
          <w:szCs w:val="32"/>
        </w:rPr>
        <w:t>坚定不移贯彻新发展理念，保持生态文明建设的战略定力，正确把握保护生态环境与发展经济的关系，促进结构调整，优化国土空间开发格局，推进碳达峰、碳中和，坚守长江经济带“共抓大保护、不搞大开发”的总规矩。</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坚持系统治理。</w:t>
      </w:r>
      <w:r>
        <w:rPr>
          <w:rFonts w:ascii="Times New Roman" w:hAnsi="Times New Roman" w:eastAsia="仿宋" w:cs="Times New Roman"/>
          <w:sz w:val="32"/>
          <w:szCs w:val="32"/>
        </w:rPr>
        <w:t>加强山水林田湖草保护修复，提高治理措施的全局性、整体性</w:t>
      </w:r>
      <w:r>
        <w:rPr>
          <w:rFonts w:hint="eastAsia" w:ascii="Times New Roman" w:hAnsi="Times New Roman" w:eastAsia="仿宋" w:cs="Times New Roman"/>
          <w:sz w:val="32"/>
          <w:szCs w:val="32"/>
        </w:rPr>
        <w:t>、协调性</w:t>
      </w:r>
      <w:r>
        <w:rPr>
          <w:rFonts w:ascii="Times New Roman" w:hAnsi="Times New Roman" w:eastAsia="仿宋" w:cs="Times New Roman"/>
          <w:sz w:val="32"/>
          <w:szCs w:val="32"/>
        </w:rPr>
        <w:t>，加大结构调整力度，协同推进气候变化应对与改善生态环境质量，协同控制细颗粒物和臭氧，统筹生态保护与污染防治，强化环境要素间综合治理。</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坚持底线思维。</w:t>
      </w:r>
      <w:r>
        <w:rPr>
          <w:rFonts w:ascii="Times New Roman" w:hAnsi="Times New Roman" w:eastAsia="仿宋" w:cs="Times New Roman"/>
          <w:sz w:val="32"/>
          <w:szCs w:val="32"/>
        </w:rPr>
        <w:t>积极做好生态环境风险防范化解工作，把防范风险贯穿到生态环境保护工作全过程，加强源头防控，妥善处置突发环境事件，牢牢守住生态环境安全底线，切实保障人民群众生命安全和身体健康。</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坚持改革创新。</w:t>
      </w:r>
      <w:r>
        <w:rPr>
          <w:rFonts w:ascii="Times New Roman" w:hAnsi="Times New Roman" w:eastAsia="仿宋" w:cs="Times New Roman"/>
          <w:sz w:val="32"/>
          <w:szCs w:val="32"/>
        </w:rPr>
        <w:t>推进生态环境治理体系和治理能力现代化建设，继续深化生态环境体制机制改革，加强生态环境法治建设，健全生态环境治理市场化机制，补齐生态环境治理体制机制短板，形成导向清晰、决策科学、执行有力、激励有效、多元参与、良性互动的环境治理体系。</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（三）主要目标</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到2025年，桃源县生态环境质量总体改善，主要污染物排放总量大幅减少，环境风险得到有效管控，生态系统稳定性、多样性增强，自然生态安全格局稳固；环境基础设施配套全面</w:t>
      </w:r>
      <w:r>
        <w:rPr>
          <w:rFonts w:hint="eastAsia" w:ascii="Times New Roman" w:hAnsi="Times New Roman" w:eastAsia="仿宋" w:cs="Times New Roman"/>
          <w:sz w:val="32"/>
          <w:szCs w:val="32"/>
        </w:rPr>
        <w:t>优化</w:t>
      </w:r>
      <w:r>
        <w:rPr>
          <w:rFonts w:ascii="Times New Roman" w:hAnsi="Times New Roman" w:eastAsia="仿宋" w:cs="Times New Roman"/>
          <w:sz w:val="32"/>
          <w:szCs w:val="32"/>
        </w:rPr>
        <w:t>，环境风险得到有效管控，环境安全与人体健康得到有效保障；生态文明制度体系健全，绿色生产和绿色生活方式基本建立，资源节约型</w:t>
      </w:r>
      <w:r>
        <w:rPr>
          <w:rFonts w:hint="eastAsia" w:ascii="Times New Roman" w:hAnsi="Times New Roman" w:eastAsia="仿宋" w:cs="Times New Roman"/>
          <w:sz w:val="32"/>
          <w:szCs w:val="32"/>
        </w:rPr>
        <w:t>与</w:t>
      </w:r>
      <w:r>
        <w:rPr>
          <w:rFonts w:ascii="Times New Roman" w:hAnsi="Times New Roman" w:eastAsia="仿宋" w:cs="Times New Roman"/>
          <w:sz w:val="32"/>
          <w:szCs w:val="32"/>
        </w:rPr>
        <w:t>环境友好型的空间格局、产业结构、生产方式、生活方式基本形成。</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“十四五”总体目标。</w:t>
      </w:r>
      <w:r>
        <w:rPr>
          <w:rFonts w:ascii="Times New Roman" w:hAnsi="Times New Roman" w:eastAsia="仿宋" w:cs="Times New Roman"/>
          <w:sz w:val="32"/>
          <w:szCs w:val="32"/>
        </w:rPr>
        <w:t>生产生活方式绿色转型成效显著，能源资源配置更加合理、利用效率大幅提高，国土空间开发与保护格局得到优化，污染物排放总量持续减少，生态环境质量持续改善，突出生态环境问题加快解决，重大生态环境风险基本化解，生态安全屏障更加牢固，城乡人居环境明显改善，生态环境治理体系和治理能力现代化水平明显增强，生态文明建设实现新进步。</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“十四五”具体指标。</w:t>
      </w:r>
      <w:r>
        <w:rPr>
          <w:rFonts w:ascii="Times New Roman" w:hAnsi="Times New Roman" w:eastAsia="仿宋" w:cs="Times New Roman"/>
          <w:sz w:val="32"/>
          <w:szCs w:val="32"/>
        </w:rPr>
        <w:t>桃源县“十四五”生态环境保护规划具体指标如下表所示：</w:t>
      </w:r>
    </w:p>
    <w:p>
      <w:pPr>
        <w:ind w:firstLine="562" w:firstLineChars="200"/>
        <w:jc w:val="center"/>
        <w:rPr>
          <w:rFonts w:ascii="Times New Roman" w:hAnsi="Times New Roman" w:eastAsia="仿宋" w:cs="Times New Roman"/>
          <w:b/>
          <w:bCs/>
          <w:sz w:val="28"/>
          <w:szCs w:val="28"/>
        </w:rPr>
      </w:pPr>
      <w:bookmarkStart w:id="6" w:name="_Toc58590415"/>
    </w:p>
    <w:p>
      <w:pPr>
        <w:ind w:firstLine="562" w:firstLineChars="200"/>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表1    “十四五”生态环境保护规划指标体系</w:t>
      </w:r>
    </w:p>
    <w:tbl>
      <w:tblPr>
        <w:tblStyle w:val="12"/>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824"/>
        <w:gridCol w:w="1125"/>
        <w:gridCol w:w="2685"/>
        <w:gridCol w:w="675"/>
        <w:gridCol w:w="1035"/>
        <w:gridCol w:w="117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序号</w:t>
            </w:r>
          </w:p>
        </w:tc>
        <w:tc>
          <w:tcPr>
            <w:tcW w:w="824" w:type="dxa"/>
            <w:vAlign w:val="center"/>
          </w:tcPr>
          <w:p>
            <w:pPr>
              <w:widowControl/>
              <w:adjustRightInd w:val="0"/>
              <w:snapToGrid w:val="0"/>
              <w:jc w:val="center"/>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指标分类</w:t>
            </w:r>
          </w:p>
        </w:tc>
        <w:tc>
          <w:tcPr>
            <w:tcW w:w="3810" w:type="dxa"/>
            <w:gridSpan w:val="2"/>
            <w:vAlign w:val="center"/>
          </w:tcPr>
          <w:p>
            <w:pPr>
              <w:widowControl/>
              <w:adjustRightInd w:val="0"/>
              <w:snapToGrid w:val="0"/>
              <w:jc w:val="center"/>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指标名称</w:t>
            </w:r>
          </w:p>
        </w:tc>
        <w:tc>
          <w:tcPr>
            <w:tcW w:w="675" w:type="dxa"/>
            <w:vAlign w:val="center"/>
          </w:tcPr>
          <w:p>
            <w:pPr>
              <w:widowControl/>
              <w:adjustRightInd w:val="0"/>
              <w:snapToGrid w:val="0"/>
              <w:jc w:val="center"/>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单位</w:t>
            </w:r>
          </w:p>
        </w:tc>
        <w:tc>
          <w:tcPr>
            <w:tcW w:w="1035" w:type="dxa"/>
            <w:vAlign w:val="center"/>
          </w:tcPr>
          <w:p>
            <w:pPr>
              <w:widowControl/>
              <w:adjustRightInd w:val="0"/>
              <w:snapToGrid w:val="0"/>
              <w:jc w:val="center"/>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2020年</w:t>
            </w:r>
          </w:p>
        </w:tc>
        <w:tc>
          <w:tcPr>
            <w:tcW w:w="1170" w:type="dxa"/>
            <w:vAlign w:val="center"/>
          </w:tcPr>
          <w:p>
            <w:pPr>
              <w:widowControl/>
              <w:adjustRightInd w:val="0"/>
              <w:snapToGrid w:val="0"/>
              <w:jc w:val="center"/>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2025年</w:t>
            </w:r>
          </w:p>
        </w:tc>
        <w:tc>
          <w:tcPr>
            <w:tcW w:w="945" w:type="dxa"/>
            <w:vAlign w:val="center"/>
          </w:tcPr>
          <w:p>
            <w:pPr>
              <w:widowControl/>
              <w:adjustRightInd w:val="0"/>
              <w:snapToGrid w:val="0"/>
              <w:jc w:val="center"/>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w:t>
            </w:r>
          </w:p>
        </w:tc>
        <w:tc>
          <w:tcPr>
            <w:tcW w:w="824" w:type="dxa"/>
            <w:vMerge w:val="restart"/>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绿色低碳</w:t>
            </w:r>
          </w:p>
        </w:tc>
        <w:tc>
          <w:tcPr>
            <w:tcW w:w="3810" w:type="dxa"/>
            <w:gridSpan w:val="2"/>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单位地区生产总值二氧化碳排放降低</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市下达指标</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2</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3810" w:type="dxa"/>
            <w:gridSpan w:val="2"/>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单位地区生产总值能耗降低</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市下达指标</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3</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3810" w:type="dxa"/>
            <w:gridSpan w:val="2"/>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非化石能源占一次能源消费比例</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23</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4</w:t>
            </w:r>
          </w:p>
        </w:tc>
        <w:tc>
          <w:tcPr>
            <w:tcW w:w="824" w:type="dxa"/>
            <w:vMerge w:val="restart"/>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环境质量</w:t>
            </w:r>
          </w:p>
        </w:tc>
        <w:tc>
          <w:tcPr>
            <w:tcW w:w="1125" w:type="dxa"/>
            <w:vMerge w:val="restart"/>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地表水</w:t>
            </w: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地表水达到或好于Ⅲ类水体比例*</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100</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市下达指标</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5</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地表水劣Ⅴ类水体比例</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0</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0</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6</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地下水</w:t>
            </w: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地下水质量V类水比例</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0</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0</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7</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集中式饮用水源</w:t>
            </w: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集中式饮用水水源达到或优于Ⅲ类比例</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100</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sz w:val="22"/>
              </w:rPr>
              <w:t>100</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8</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Merge w:val="restart"/>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大气环境</w:t>
            </w: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PM</w:t>
            </w:r>
            <w:r>
              <w:rPr>
                <w:rFonts w:ascii="Times New Roman" w:hAnsi="Times New Roman" w:eastAsia="仿宋" w:cs="Times New Roman"/>
                <w:color w:val="000000" w:themeColor="text1"/>
                <w:sz w:val="22"/>
                <w:vertAlign w:val="subscript"/>
                <w14:textFill>
                  <w14:solidFill>
                    <w14:schemeClr w14:val="tx1"/>
                  </w14:solidFill>
                </w14:textFill>
              </w:rPr>
              <w:t>2.5</w:t>
            </w:r>
            <w:r>
              <w:rPr>
                <w:rFonts w:ascii="Times New Roman" w:hAnsi="Times New Roman" w:eastAsia="仿宋" w:cs="Times New Roman"/>
                <w:color w:val="000000" w:themeColor="text1"/>
                <w:sz w:val="22"/>
                <w14:textFill>
                  <w14:solidFill>
                    <w14:schemeClr w14:val="tx1"/>
                  </w14:solidFill>
                </w14:textFill>
              </w:rPr>
              <w:t xml:space="preserve"> 年平均浓度下降</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0</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10（不低于</w:t>
            </w:r>
            <w:r>
              <w:rPr>
                <w:rFonts w:hint="eastAsia" w:ascii="Times New Roman" w:hAnsi="Times New Roman" w:eastAsia="仿宋" w:cs="Times New Roman"/>
                <w:color w:val="000000" w:themeColor="text1"/>
                <w:sz w:val="22"/>
                <w14:textFill>
                  <w14:solidFill>
                    <w14:schemeClr w14:val="tx1"/>
                  </w14:solidFill>
                </w14:textFill>
              </w:rPr>
              <w:t>市</w:t>
            </w:r>
            <w:r>
              <w:rPr>
                <w:rFonts w:ascii="Times New Roman" w:hAnsi="Times New Roman" w:eastAsia="仿宋" w:cs="Times New Roman"/>
                <w:color w:val="000000" w:themeColor="text1"/>
                <w:sz w:val="22"/>
                <w14:textFill>
                  <w14:solidFill>
                    <w14:schemeClr w14:val="tx1"/>
                  </w14:solidFill>
                </w14:textFill>
              </w:rPr>
              <w:t>要求）</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9</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空气质量优良天数比例</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97.5</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90（不低于</w:t>
            </w:r>
            <w:r>
              <w:rPr>
                <w:rFonts w:hint="eastAsia" w:ascii="Times New Roman" w:hAnsi="Times New Roman" w:eastAsia="仿宋" w:cs="Times New Roman"/>
                <w:color w:val="000000" w:themeColor="text1"/>
                <w:sz w:val="22"/>
                <w14:textFill>
                  <w14:solidFill>
                    <w14:schemeClr w14:val="tx1"/>
                  </w14:solidFill>
                </w14:textFill>
              </w:rPr>
              <w:t>市</w:t>
            </w:r>
            <w:r>
              <w:rPr>
                <w:rFonts w:ascii="Times New Roman" w:hAnsi="Times New Roman" w:eastAsia="仿宋" w:cs="Times New Roman"/>
                <w:color w:val="000000" w:themeColor="text1"/>
                <w:sz w:val="22"/>
                <w14:textFill>
                  <w14:solidFill>
                    <w14:schemeClr w14:val="tx1"/>
                  </w14:solidFill>
                </w14:textFill>
              </w:rPr>
              <w:t>要求）</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10</w:t>
            </w:r>
          </w:p>
        </w:tc>
        <w:tc>
          <w:tcPr>
            <w:tcW w:w="824" w:type="dxa"/>
            <w:vMerge w:val="restart"/>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生态功能</w:t>
            </w:r>
          </w:p>
        </w:tc>
        <w:tc>
          <w:tcPr>
            <w:tcW w:w="3810" w:type="dxa"/>
            <w:gridSpan w:val="2"/>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生态质量指数（新 EI）</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稳中向好</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11</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3810" w:type="dxa"/>
            <w:gridSpan w:val="2"/>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森林覆盖率</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65.47</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市下达指标</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12</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3810" w:type="dxa"/>
            <w:gridSpan w:val="2"/>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湿地保护率</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72</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﹥72</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13</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3810" w:type="dxa"/>
            <w:gridSpan w:val="2"/>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生态保护红线占国土面积比例</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不降低</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14</w:t>
            </w:r>
          </w:p>
        </w:tc>
        <w:tc>
          <w:tcPr>
            <w:tcW w:w="824" w:type="dxa"/>
            <w:vMerge w:val="restart"/>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风险防控</w:t>
            </w:r>
          </w:p>
        </w:tc>
        <w:tc>
          <w:tcPr>
            <w:tcW w:w="3810" w:type="dxa"/>
            <w:gridSpan w:val="2"/>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受污染耕地安全利用率</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93</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93（以</w:t>
            </w:r>
            <w:r>
              <w:rPr>
                <w:rFonts w:hint="eastAsia" w:ascii="Times New Roman" w:hAnsi="Times New Roman" w:eastAsia="仿宋" w:cs="Times New Roman"/>
                <w:color w:val="000000" w:themeColor="text1"/>
                <w:sz w:val="22"/>
                <w14:textFill>
                  <w14:solidFill>
                    <w14:schemeClr w14:val="tx1"/>
                  </w14:solidFill>
                </w14:textFill>
              </w:rPr>
              <w:t>市</w:t>
            </w:r>
            <w:r>
              <w:rPr>
                <w:rFonts w:ascii="Times New Roman" w:hAnsi="Times New Roman" w:eastAsia="仿宋" w:cs="Times New Roman"/>
                <w:color w:val="000000" w:themeColor="text1"/>
                <w:sz w:val="22"/>
                <w14:textFill>
                  <w14:solidFill>
                    <w14:schemeClr w14:val="tx1"/>
                  </w14:solidFill>
                </w14:textFill>
              </w:rPr>
              <w:t>下达为准）</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15</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3810" w:type="dxa"/>
            <w:gridSpan w:val="2"/>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重点建设用地土壤污染风险管控率</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95</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95（以</w:t>
            </w:r>
            <w:r>
              <w:rPr>
                <w:rFonts w:hint="eastAsia" w:ascii="Times New Roman" w:hAnsi="Times New Roman" w:eastAsia="仿宋" w:cs="Times New Roman"/>
                <w:color w:val="000000" w:themeColor="text1"/>
                <w:sz w:val="22"/>
                <w14:textFill>
                  <w14:solidFill>
                    <w14:schemeClr w14:val="tx1"/>
                  </w14:solidFill>
                </w14:textFill>
              </w:rPr>
              <w:t>市</w:t>
            </w:r>
            <w:r>
              <w:rPr>
                <w:rFonts w:ascii="Times New Roman" w:hAnsi="Times New Roman" w:eastAsia="仿宋" w:cs="Times New Roman"/>
                <w:color w:val="000000" w:themeColor="text1"/>
                <w:sz w:val="22"/>
                <w14:textFill>
                  <w14:solidFill>
                    <w14:schemeClr w14:val="tx1"/>
                  </w14:solidFill>
                </w14:textFill>
              </w:rPr>
              <w:t>下达为准）</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16</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3810" w:type="dxa"/>
            <w:gridSpan w:val="2"/>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工业危险废物处置</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100</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安全可控</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17</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3810" w:type="dxa"/>
            <w:gridSpan w:val="2"/>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医疗废物无害化处置率</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100</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100</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18</w:t>
            </w:r>
          </w:p>
        </w:tc>
        <w:tc>
          <w:tcPr>
            <w:tcW w:w="824" w:type="dxa"/>
            <w:vMerge w:val="restart"/>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污染防治</w:t>
            </w:r>
          </w:p>
        </w:tc>
        <w:tc>
          <w:tcPr>
            <w:tcW w:w="1125" w:type="dxa"/>
            <w:vMerge w:val="restart"/>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污染排放</w:t>
            </w: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化学需氧量减排</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3.3</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市下达指标</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19</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氨氮排放量减少</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3</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市下达指标</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20</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氮氧化物排放量减少</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9</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市下达指标</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21</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挥发性有机物排放量减少</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13</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市下达指标</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22</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Merge w:val="restart"/>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生活污水</w:t>
            </w: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城市生活污水集中收集率</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50</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70</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23</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乡镇污水处理设施覆盖率</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100</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sz w:val="22"/>
              </w:rPr>
              <w:t>100</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24</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农村生活污水治理率</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35</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25</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生活垃圾</w:t>
            </w: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城镇生活垃圾焚烧发电处理量占无害化处理量</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60</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26</w:t>
            </w:r>
          </w:p>
        </w:tc>
        <w:tc>
          <w:tcPr>
            <w:tcW w:w="824" w:type="dxa"/>
            <w:vMerge w:val="continue"/>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p>
        </w:tc>
        <w:tc>
          <w:tcPr>
            <w:tcW w:w="112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黑臭水体消除比例</w:t>
            </w:r>
          </w:p>
        </w:tc>
        <w:tc>
          <w:tcPr>
            <w:tcW w:w="268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城市建成区</w:t>
            </w:r>
          </w:p>
        </w:tc>
        <w:tc>
          <w:tcPr>
            <w:tcW w:w="67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w:t>
            </w:r>
          </w:p>
        </w:tc>
        <w:tc>
          <w:tcPr>
            <w:tcW w:w="1035" w:type="dxa"/>
            <w:vAlign w:val="center"/>
          </w:tcPr>
          <w:p>
            <w:pPr>
              <w:widowControl/>
              <w:adjustRightInd w:val="0"/>
              <w:snapToGrid w:val="0"/>
              <w:jc w:val="center"/>
              <w:rPr>
                <w:rFonts w:ascii="Times New Roman" w:hAnsi="Times New Roman" w:eastAsia="仿宋" w:cs="Times New Roman"/>
                <w:sz w:val="22"/>
              </w:rPr>
            </w:pPr>
            <w:r>
              <w:rPr>
                <w:rFonts w:ascii="Times New Roman" w:hAnsi="Times New Roman" w:eastAsia="仿宋" w:cs="Times New Roman"/>
                <w:sz w:val="22"/>
              </w:rPr>
              <w:t>/</w:t>
            </w:r>
          </w:p>
        </w:tc>
        <w:tc>
          <w:tcPr>
            <w:tcW w:w="1170"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cs="Times New Roman"/>
              </w:rPr>
              <w:t>基本消除</w:t>
            </w:r>
          </w:p>
        </w:tc>
        <w:tc>
          <w:tcPr>
            <w:tcW w:w="945" w:type="dxa"/>
            <w:vAlign w:val="center"/>
          </w:tcPr>
          <w:p>
            <w:pPr>
              <w:widowControl/>
              <w:adjustRightInd w:val="0"/>
              <w:snapToGrid w:val="0"/>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bl>
    <w:p>
      <w:pPr>
        <w:rPr>
          <w:rFonts w:ascii="Times New Roman" w:hAnsi="Times New Roman" w:eastAsia="仿宋" w:cs="Times New Roman"/>
          <w:sz w:val="24"/>
          <w:szCs w:val="24"/>
        </w:rPr>
      </w:pPr>
      <w:r>
        <w:rPr>
          <w:rFonts w:ascii="Times New Roman" w:hAnsi="Times New Roman" w:eastAsia="仿宋" w:cs="Times New Roman"/>
          <w:sz w:val="24"/>
          <w:szCs w:val="24"/>
        </w:rPr>
        <w:t>注：*[1]湿地保护率：以林业局发布数据为准。</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*[2]生态保护红线占国土面积比例：最终以自然资源厅组织开展的生态保护红线优化调整和勘界定标结果为准。</w:t>
      </w:r>
    </w:p>
    <w:p>
      <w:pPr>
        <w:pStyle w:val="3"/>
        <w:spacing w:before="312" w:beforeLines="100" w:after="312" w:afterLines="100" w:line="560" w:lineRule="exact"/>
        <w:jc w:val="center"/>
        <w:rPr>
          <w:rFonts w:ascii="黑体" w:hAnsi="黑体" w:cs="黑体"/>
          <w:b w:val="0"/>
          <w:bCs w:val="0"/>
          <w:szCs w:val="36"/>
        </w:rPr>
      </w:pPr>
      <w:r>
        <w:rPr>
          <w:rFonts w:hint="eastAsia" w:ascii="黑体" w:hAnsi="黑体" w:cs="黑体"/>
          <w:b w:val="0"/>
          <w:bCs w:val="0"/>
          <w:szCs w:val="36"/>
        </w:rPr>
        <w:t>四、主要任务及措施</w:t>
      </w:r>
      <w:bookmarkEnd w:id="6"/>
    </w:p>
    <w:p>
      <w:pPr>
        <w:spacing w:line="560" w:lineRule="exact"/>
        <w:ind w:firstLine="640" w:firstLineChars="200"/>
        <w:rPr>
          <w:rFonts w:ascii="楷体" w:hAnsi="楷体" w:eastAsia="楷体" w:cs="楷体"/>
          <w:sz w:val="32"/>
          <w:szCs w:val="32"/>
        </w:rPr>
      </w:pPr>
      <w:bookmarkStart w:id="7" w:name="_Toc58590416"/>
      <w:r>
        <w:rPr>
          <w:rFonts w:hint="eastAsia" w:ascii="楷体" w:hAnsi="楷体" w:eastAsia="楷体" w:cs="楷体"/>
          <w:sz w:val="32"/>
          <w:szCs w:val="32"/>
        </w:rPr>
        <w:t>（一）坚持绿色低碳循环发展</w:t>
      </w:r>
    </w:p>
    <w:p>
      <w:pPr>
        <w:spacing w:line="560" w:lineRule="exact"/>
        <w:ind w:firstLine="643" w:firstLineChars="200"/>
        <w:rPr>
          <w:rFonts w:ascii="仿宋" w:hAnsi="仿宋" w:eastAsia="仿宋" w:cs="仿宋"/>
          <w:b/>
          <w:bCs/>
          <w:sz w:val="32"/>
          <w:szCs w:val="32"/>
        </w:rPr>
      </w:pPr>
      <w:r>
        <w:rPr>
          <w:rFonts w:ascii="Times New Roman" w:hAnsi="Times New Roman" w:eastAsia="仿宋" w:cs="Times New Roman"/>
          <w:b/>
          <w:bCs/>
          <w:sz w:val="32"/>
          <w:szCs w:val="32"/>
        </w:rPr>
        <w:t>1</w:t>
      </w:r>
      <w:r>
        <w:rPr>
          <w:rFonts w:hint="eastAsia" w:ascii="仿宋" w:hAnsi="仿宋" w:eastAsia="仿宋" w:cs="仿宋"/>
          <w:b/>
          <w:bCs/>
          <w:sz w:val="32"/>
          <w:szCs w:val="32"/>
        </w:rPr>
        <w:t>.优化国土空间开发保护格局</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落实主体功能区战略。</w:t>
      </w:r>
      <w:r>
        <w:rPr>
          <w:rFonts w:ascii="Times New Roman" w:hAnsi="Times New Roman" w:eastAsia="仿宋" w:cs="Times New Roman"/>
          <w:sz w:val="32"/>
          <w:szCs w:val="32"/>
        </w:rPr>
        <w:t>坚持保护优先，合理划分城市化发展区、农产品主产区、重点生态功能区，深化土地资源集约利用，实施国土空间资源的差异化配置，推动形成以主体功能区战略为基础的国土空间开发保护格局，保护基本农田和生态空间。推动生态功能区以保护生态环境、提供生态产品为发展重点，推动农产品主产区实施农业面源防控和农用地风险管控，推动城市化发展区集约绿色低碳发展，推进城市生态修复，建设韧性、绿色、低碳、海绵城市。</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强化国土空间分区管控。</w:t>
      </w:r>
      <w:r>
        <w:rPr>
          <w:rFonts w:ascii="Times New Roman" w:hAnsi="Times New Roman" w:eastAsia="仿宋" w:cs="Times New Roman"/>
          <w:sz w:val="32"/>
          <w:szCs w:val="32"/>
        </w:rPr>
        <w:t>按照主体功能定位，统筹优化生态保护红线、永久基本农田和城镇开发边界三条控制线，形成科学适度有序的国土空间布局体系，减少人类活动对自然空间的占用。生态保护红线内，自然保护地核心保护区原则上禁止人为活动，其他区域严格禁止开发性、生产性建设活动，在符合现行法律法规前提下，除国家重大战略项目外，仅允许对生态功能不造成破坏的有限人为活动，确保生态功能不降低、面积不减少、性质不改变。加强对永久基本农田的保护，对严重污染的永久基本农田进行全面梳理整改，确保面积不减、质量提升、布局稳定。城镇开发区域应充分考虑资源环境承载能力，合理确定发展布局、结构和规模，引导重点行业向环境容量充足、扩散条件较好的区域优化布局；新建工业企业应在工业园区内建设</w:t>
      </w:r>
      <w:r>
        <w:rPr>
          <w:rFonts w:hint="eastAsia" w:ascii="Times New Roman" w:hAnsi="Times New Roman" w:eastAsia="仿宋" w:cs="Times New Roman"/>
          <w:sz w:val="32"/>
          <w:szCs w:val="32"/>
        </w:rPr>
        <w:t>，严格执行</w:t>
      </w:r>
      <w:r>
        <w:rPr>
          <w:rFonts w:ascii="Times New Roman" w:hAnsi="Times New Roman" w:eastAsia="仿宋" w:cs="Times New Roman"/>
          <w:sz w:val="32"/>
          <w:szCs w:val="32"/>
        </w:rPr>
        <w:t>相关规划和园区定位</w:t>
      </w:r>
      <w:r>
        <w:rPr>
          <w:rFonts w:hint="eastAsia" w:ascii="Times New Roman" w:hAnsi="Times New Roman" w:eastAsia="仿宋" w:cs="Times New Roman"/>
          <w:sz w:val="32"/>
          <w:szCs w:val="32"/>
        </w:rPr>
        <w:t>的要求</w:t>
      </w:r>
      <w:r>
        <w:rPr>
          <w:rFonts w:ascii="Times New Roman" w:hAnsi="Times New Roman" w:eastAsia="仿宋" w:cs="Times New Roman"/>
          <w:sz w:val="32"/>
          <w:szCs w:val="32"/>
        </w:rPr>
        <w:t>，现有重污染企业限期搬入产业对口园区；严防沅江沿岸1公里范围内新增磷化工企业和化工园区。</w:t>
      </w:r>
    </w:p>
    <w:p>
      <w:pPr>
        <w:spacing w:line="560" w:lineRule="exact"/>
        <w:ind w:firstLine="643" w:firstLineChars="200"/>
        <w:rPr>
          <w:rFonts w:ascii="仿宋" w:hAnsi="仿宋" w:eastAsia="仿宋" w:cs="仿宋"/>
          <w:b/>
          <w:bCs/>
          <w:sz w:val="32"/>
          <w:szCs w:val="32"/>
        </w:rPr>
      </w:pPr>
      <w:r>
        <w:rPr>
          <w:rFonts w:ascii="Times New Roman" w:hAnsi="Times New Roman" w:eastAsia="仿宋" w:cs="Times New Roman"/>
          <w:b/>
          <w:bCs/>
          <w:sz w:val="32"/>
          <w:szCs w:val="32"/>
        </w:rPr>
        <w:t>2</w:t>
      </w:r>
      <w:r>
        <w:rPr>
          <w:rFonts w:hint="eastAsia" w:ascii="仿宋" w:hAnsi="仿宋" w:eastAsia="仿宋" w:cs="仿宋"/>
          <w:b/>
          <w:bCs/>
          <w:sz w:val="32"/>
          <w:szCs w:val="32"/>
        </w:rPr>
        <w:t>.推动形成绿色生产方式</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推动产业结构绿色转型。</w:t>
      </w:r>
      <w:r>
        <w:rPr>
          <w:rFonts w:ascii="Times New Roman" w:hAnsi="Times New Roman" w:eastAsia="仿宋" w:cs="Times New Roman"/>
          <w:bCs/>
          <w:sz w:val="32"/>
          <w:szCs w:val="32"/>
        </w:rPr>
        <w:t>创新发展电子信息及新能源产业，转型发展有色金属及新材料产业，集聚发展智能装备制造产业，高品质发展农副产品和富硒健康食品加工业，增强园区发展活力。</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持续推进工业新兴优势产业链建设，加速化解和依法淘汰国家《产业结构调整指导目录》中“淘汰类”落后产能、工艺及设备。严格控制化工、造纸、冶炼和烟花爆竹等产业新增规模，严禁未经批准新增煤炭、钢铁、水泥、电解铝、平板玻璃等行业产能。</w:t>
      </w:r>
      <w:r>
        <w:rPr>
          <w:rFonts w:ascii="Times New Roman" w:hAnsi="Times New Roman" w:eastAsia="仿宋" w:cs="Times New Roman"/>
          <w:bCs/>
          <w:sz w:val="32"/>
          <w:szCs w:val="32"/>
        </w:rPr>
        <w:t>进一步淘汰县域范围内砖瓦行业轮窑</w:t>
      </w:r>
      <w:r>
        <w:rPr>
          <w:rFonts w:hint="eastAsia" w:ascii="Times New Roman" w:hAnsi="Times New Roman" w:eastAsia="仿宋" w:cs="Times New Roman"/>
          <w:bCs/>
          <w:sz w:val="32"/>
          <w:szCs w:val="32"/>
        </w:rPr>
        <w:t>生产线</w:t>
      </w:r>
      <w:r>
        <w:rPr>
          <w:rFonts w:ascii="Times New Roman" w:hAnsi="Times New Roman" w:eastAsia="仿宋" w:cs="Times New Roman"/>
          <w:bCs/>
          <w:sz w:val="32"/>
          <w:szCs w:val="32"/>
        </w:rPr>
        <w:t>。</w:t>
      </w:r>
      <w:r>
        <w:rPr>
          <w:rFonts w:ascii="Times New Roman" w:hAnsi="Times New Roman" w:eastAsia="仿宋" w:cs="Times New Roman"/>
          <w:sz w:val="32"/>
          <w:szCs w:val="32"/>
        </w:rPr>
        <w:t>制定全县清洁生产审核实施方案，深入推进能源、冶金、焦化、建材、有色、化工、印染、造纸、原料药、电镀、农副食品加工、工业涂装、包装印刷等行业强制性清洁生产审核，2025年前全部落实强制性清洁生产审核方案要求，推动重点行业完成限制类产能装备的升级改造。继续组织沅江临近企业开展自愿性清洁生产审核，推进建材、化工、铸造、印染、电镀、加工制造等产业集群提升改造，提高产业集约化、绿色化发展水平。全面提升桃源工业集聚区环境治理水平，在电力、钢铁、建材等行业，开展减排降碳综合治理。</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推动能源结构持续优化。</w:t>
      </w:r>
      <w:r>
        <w:rPr>
          <w:rFonts w:ascii="Times New Roman" w:hAnsi="Times New Roman" w:eastAsia="仿宋" w:cs="Times New Roman"/>
          <w:bCs/>
          <w:sz w:val="32"/>
          <w:szCs w:val="32"/>
        </w:rPr>
        <w:t>优化能源供给结构，构建清洁低碳、安全高效的能源体系，控制化石能源总量，合理控制煤炭消费总量，提升煤炭清洁化利用比率，“十四五”期间煤炭消费基本达峰。促进非化石能源成为能源消费增量的主体，建设覆盖全县油气网络，深入推进“气化湖南工程”，基本实现天然气全覆盖，统筹发展水、氢能、地热、生物质等优质清洁能源。到2025年，力争全县煤炭消费占比下降至50%左右，力争天然气消费量提高至100亿立方米，非化石能源消费占比提升至23%。实施终端能源清洁化替代，加快工业、建筑、交通等领域电气化发展，推行清洁能源替代，逐步改善农村用能结构，提倡使用太阳能、石油液化气、电、沼气等清洁能源。</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推动运输结构持续优化。</w:t>
      </w:r>
      <w:r>
        <w:rPr>
          <w:rFonts w:ascii="Times New Roman" w:hAnsi="Times New Roman" w:eastAsia="仿宋" w:cs="Times New Roman"/>
          <w:bCs/>
          <w:sz w:val="32"/>
          <w:szCs w:val="32"/>
        </w:rPr>
        <w:t>充分发挥沅江水运资源禀赋和“连南接北、承东启西”铁路运输优势，推进大宗货物和集装箱中长距离运输“公转铁、公转水”，实现“宜铁则铁、宜公则公、宜水则水”优化组合，减少公路运输量，增加铁路、水路运输量。加大柴油货车大宗货物集疏港运输管控力度，逐步限制和禁止大宗货物长距离通过汽车集疏港运输，培育铁路和水路货物运输市场，推动大宗货物集疏港运输向铁路和水路转移。到2025年，大宗货物绿色运输方式比例达到75%以上，铁路和水路货运量占比提升到25%以上。</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推动农业生产绿色发展。</w:t>
      </w:r>
      <w:r>
        <w:rPr>
          <w:rFonts w:ascii="Times New Roman" w:hAnsi="Times New Roman" w:eastAsia="仿宋" w:cs="Times New Roman"/>
          <w:bCs/>
          <w:sz w:val="32"/>
          <w:szCs w:val="32"/>
        </w:rPr>
        <w:t>引导畜禽养殖合理布局，推行种养结合。加大对畜禽养殖粪污资源化利用扶持力度，加强畜禽养殖废弃物处理设施建设。推进有机肥替代化肥，实施有机肥生产、运输、使用的补贴政策，有序推进水肥一体化发展。推动农作物秸秆、畜禽粪污、林业废弃物、农产品加工副产品等农林废弃物的高效利用。支持乡镇建设废旧农膜、化肥与农药包装、灌溉器材、农机具等废旧农用物资回收利用体系。推进畜禽、鱼、粮、菜、果、茶协调发展，推进种植、养殖、农产品加工、生物质能、旅游等循环发展，鼓励一二三产融合发展。</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推动资源高效循环利用。</w:t>
      </w:r>
      <w:r>
        <w:rPr>
          <w:rFonts w:ascii="Times New Roman" w:hAnsi="Times New Roman" w:eastAsia="仿宋" w:cs="Times New Roman"/>
          <w:bCs/>
          <w:sz w:val="32"/>
          <w:szCs w:val="32"/>
        </w:rPr>
        <w:t>推进桃源工业集聚区循环化改造，推动企业循环式生产、产业循环式组合，搭建资源共享、废物处理、服务高效的公共平台，促进工业废物资源综合利用、能量梯级利用、水资源循环使用，实现绿色低碳循环发展。加强对低品位、共伴生矿、难选冶矿、尾矿等的综合利用，扩大在生态修复、绿色开采、绿色建材、交通工程等领域利用规模。加快健全协同处置城市废弃物的市场化收费机制，推动建立“互联网+回收”废旧资源回收模式，充分利用和完善家电生产、流通企业送货安装的逆向物流等回收体系，建立健全废旧家电回收网络。加强废弃电器电子产品、报废机动车、废铅蓄电池拆解利用企业规范化管理和环境监管，高水平建设现代化“城市矿产”基地。提升汽车零部件、工程机械、机床等再制造水平，推动再制造产业高质量发展。开展重点用能行业、产品资源效率对标提升行动，建立统一的绿色产品标准、认证、标识等体系。加强工业生产过程用水、用能全过程管理，提高水资源、能源利用效率，严格实行用水、用能总量和强度管理，开展工业能效、水效“领跑者”制度。</w:t>
      </w:r>
    </w:p>
    <w:p>
      <w:pPr>
        <w:spacing w:line="560" w:lineRule="exact"/>
        <w:ind w:firstLine="643" w:firstLineChars="200"/>
        <w:rPr>
          <w:rFonts w:ascii="仿宋" w:hAnsi="仿宋" w:eastAsia="仿宋" w:cs="仿宋"/>
          <w:b/>
          <w:sz w:val="32"/>
          <w:szCs w:val="32"/>
        </w:rPr>
      </w:pPr>
      <w:r>
        <w:rPr>
          <w:rFonts w:ascii="Times New Roman" w:hAnsi="Times New Roman" w:eastAsia="仿宋" w:cs="Times New Roman"/>
          <w:b/>
          <w:sz w:val="32"/>
          <w:szCs w:val="32"/>
        </w:rPr>
        <w:t>3</w:t>
      </w:r>
      <w:r>
        <w:rPr>
          <w:rFonts w:hint="eastAsia" w:ascii="仿宋" w:hAnsi="仿宋" w:eastAsia="仿宋" w:cs="仿宋"/>
          <w:b/>
          <w:sz w:val="32"/>
          <w:szCs w:val="32"/>
        </w:rPr>
        <w:t>.倡导绿色生活方式</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践行简约适度、绿色低碳的生活方式。</w:t>
      </w:r>
      <w:r>
        <w:rPr>
          <w:rFonts w:ascii="Times New Roman" w:hAnsi="Times New Roman" w:eastAsia="仿宋" w:cs="Times New Roman"/>
          <w:bCs/>
          <w:sz w:val="32"/>
          <w:szCs w:val="32"/>
        </w:rPr>
        <w:t>推行绿色、无纸化办公；坚决制止餐饮浪费行为，积极践行“光盘行动”，鼓励节约用电用水，减少过度包装，实行生活垃圾减量分类；推进社区基础设施绿色化，合理布局建设公共绿地；推动交通基础设施绿色化，推广节能和新能源车辆，鼓励公众降低私家车使用强度；鼓励绿色消费，积极引导采购使用绿色产品；引导新建、改扩建建筑按照绿色建筑标准设计、建设和运营，实施既有居住建筑节能改造，推广绿色建筑建造方式。开展节约型机关、绿色家庭、绿色学校、绿色社区、绿色出行、绿色商场、绿色建筑等创建活动，推行《公民生态环境行为规范（试行）》，普遍推广绿色生活方式，形成崇尚绿色生活的社会氛围。</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营造宁静和谐的生活环境。</w:t>
      </w:r>
      <w:r>
        <w:rPr>
          <w:rFonts w:ascii="Times New Roman" w:hAnsi="Times New Roman" w:eastAsia="仿宋" w:cs="Times New Roman"/>
          <w:bCs/>
          <w:sz w:val="32"/>
          <w:szCs w:val="32"/>
        </w:rPr>
        <w:t>强化声环境功能区管理，开展声环境功能区评估与调整，并在声环境功能区安装噪声自动监测系统。房地产开发项目应充分考虑居住区周边区域环境噪声对居住区生活环境的影响，合理划定防噪声距离，并明确规划设计要求。加强建筑物隔声性能要求，建立新建住宅隔声性能验收和公示制度。严格夜间施工审批并向社会公示，鼓励采用低噪声施工设备和工艺，强化夜间施工管理。推进工业企业噪声纳入排污许可管理，严厉查处工业企业噪声排放超标扰民行为。加强对文化娱乐、商业经营中社会生活噪声热点问题日常监管和集中整治。倡导制定公共场所文明公约、社区噪声控制规约，鼓励创建宁静社区等宁静休息空间。</w:t>
      </w:r>
    </w:p>
    <w:p>
      <w:pPr>
        <w:spacing w:line="560" w:lineRule="exact"/>
        <w:ind w:firstLine="643" w:firstLineChars="200"/>
        <w:rPr>
          <w:rFonts w:ascii="仿宋" w:hAnsi="仿宋" w:eastAsia="仿宋" w:cs="仿宋"/>
          <w:b/>
          <w:sz w:val="32"/>
          <w:szCs w:val="32"/>
        </w:rPr>
      </w:pPr>
      <w:r>
        <w:rPr>
          <w:rFonts w:ascii="Times New Roman" w:hAnsi="Times New Roman" w:eastAsia="仿宋" w:cs="Times New Roman"/>
          <w:b/>
          <w:sz w:val="32"/>
          <w:szCs w:val="32"/>
        </w:rPr>
        <w:t>4</w:t>
      </w:r>
      <w:r>
        <w:rPr>
          <w:rFonts w:hint="eastAsia" w:ascii="仿宋" w:hAnsi="仿宋" w:eastAsia="仿宋" w:cs="仿宋"/>
          <w:b/>
          <w:sz w:val="32"/>
          <w:szCs w:val="32"/>
        </w:rPr>
        <w:t>.积极应对气候变化</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全力推进碳达峰与碳中和。</w:t>
      </w:r>
      <w:r>
        <w:rPr>
          <w:rFonts w:ascii="Times New Roman" w:hAnsi="Times New Roman" w:eastAsia="仿宋" w:cs="Times New Roman"/>
          <w:bCs/>
          <w:sz w:val="32"/>
          <w:szCs w:val="32"/>
        </w:rPr>
        <w:t>以碳排放达峰推动经济高质量发展、生态环境高水平保护。以2030年前实现达峰为目标，按照上级制定的省、市两级二氧化碳排放达峰行动计划，落实达峰目标任务及责任落实方案。推动能源、工业、交通、建筑等重点领域制定达峰行动方案，推动钢铁、建材、有色、化工、石化、电力等重点行业提出明确的达峰目标并制定达峰行动方案，鼓励大型企业制定达峰行动方案、实施减污降碳示范工程。持续推进低碳产品认证，推广低碳技术应用。</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控制温室气体排放。</w:t>
      </w:r>
      <w:r>
        <w:rPr>
          <w:rFonts w:ascii="Times New Roman" w:hAnsi="Times New Roman" w:eastAsia="仿宋" w:cs="Times New Roman"/>
          <w:bCs/>
          <w:sz w:val="32"/>
          <w:szCs w:val="32"/>
        </w:rPr>
        <w:t>升级钢铁、建材、化工领域生产工艺，控制工业过程温室气体排放。推广水泥生产原料替代技术，鼓励煤电、钢铁、石化等行业开展全流程二氧化碳减排示范工程。大力发展低碳交通，到2025年，营运车辆、营运船舶单位运输周转量二氧化碳排放量比2020年分别下降3.2%、2.8%，推广节能和新能源车辆，加快充电基础设施建设。全面推行绿色低碳建筑，大力发展被动式超低能耗建筑，推广绿色建材，鼓励有条件的中心城区使用装配式建筑，持续推进老旧居住建筑和公共建筑绿色节能改造，提高新建建筑节能设计标准，加强公共建筑用能监测和低碳运营管理，至2025年，城镇新增绿色建筑竣工面积占新增民用建筑竣工面积比例达到75%，城镇新开工装配式建筑面积占新建建筑面积比例达到40%。实施全氟化碳等含氟温室气体和氧化亚氮排放控制，推广六氟化硫替代技术，控制农田和畜禽养殖甲烷和氧化亚氮温室气体排放，加强污水处理厂和垃圾填埋场甲烷排放控制和回收利用。</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系统谋划实施战略融合。</w:t>
      </w:r>
      <w:r>
        <w:rPr>
          <w:rFonts w:ascii="Times New Roman" w:hAnsi="Times New Roman" w:eastAsia="仿宋" w:cs="Times New Roman"/>
          <w:bCs/>
          <w:sz w:val="32"/>
          <w:szCs w:val="32"/>
        </w:rPr>
        <w:t>加强宏观战略统筹，将应对气候变化作为“美丽</w:t>
      </w:r>
      <w:r>
        <w:rPr>
          <w:rFonts w:hint="eastAsia" w:ascii="Times New Roman" w:hAnsi="Times New Roman" w:eastAsia="仿宋" w:cs="Times New Roman"/>
          <w:bCs/>
          <w:sz w:val="32"/>
          <w:szCs w:val="32"/>
        </w:rPr>
        <w:t>桃源</w:t>
      </w:r>
      <w:r>
        <w:rPr>
          <w:rFonts w:ascii="Times New Roman" w:hAnsi="Times New Roman" w:eastAsia="仿宋" w:cs="Times New Roman"/>
          <w:bCs/>
          <w:sz w:val="32"/>
          <w:szCs w:val="32"/>
        </w:rPr>
        <w:t>”建设重要组成部分，作为生态环境源头治理的重要抓手。推动应对气候变化工作融入经济社会发展规划，在农业、林业、水资源、基础设施等重点领域积极开展适应气候变化行动。科学编制应对气候变化专项规划，协同推进温室气体排放控制、适应气候变化等相关目标任务，统筹谋划有利于推动经济、能源、产业等绿色低碳发展的政策举措和重点工程，实施二氧化碳排放强度和总量“双控”。</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积极参与全国碳市场建设。</w:t>
      </w:r>
      <w:r>
        <w:rPr>
          <w:rFonts w:ascii="Times New Roman" w:hAnsi="Times New Roman" w:eastAsia="仿宋" w:cs="Times New Roman"/>
          <w:bCs/>
          <w:sz w:val="32"/>
          <w:szCs w:val="32"/>
        </w:rPr>
        <w:t>加强全国碳排放权交易市场重点排放单位数据报送、核查和配额清缴履约等监督管理工作，推动将重点排放单位数据报送、配额清缴履约等实施情况作为企业环境信息依法披露内容，有关违法违规信息记入企业环保信用信息。鼓励企业公开温室气体排放相关信息，推动企业落实碳排放信息公开制度。</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夯实应对气候变化基础。</w:t>
      </w:r>
      <w:r>
        <w:rPr>
          <w:rFonts w:ascii="Times New Roman" w:hAnsi="Times New Roman" w:eastAsia="仿宋" w:cs="Times New Roman"/>
          <w:bCs/>
          <w:sz w:val="32"/>
          <w:szCs w:val="32"/>
        </w:rPr>
        <w:t>编制温室气体排放清单，完善区域、企业、项目碳排放核算及核查体系。建立全</w:t>
      </w:r>
      <w:r>
        <w:rPr>
          <w:rFonts w:hint="eastAsia" w:ascii="Times New Roman" w:hAnsi="Times New Roman" w:eastAsia="仿宋" w:cs="Times New Roman"/>
          <w:bCs/>
          <w:sz w:val="32"/>
          <w:szCs w:val="32"/>
        </w:rPr>
        <w:t>县</w:t>
      </w:r>
      <w:r>
        <w:rPr>
          <w:rFonts w:ascii="Times New Roman" w:hAnsi="Times New Roman" w:eastAsia="仿宋" w:cs="Times New Roman"/>
          <w:bCs/>
          <w:sz w:val="32"/>
          <w:szCs w:val="32"/>
        </w:rPr>
        <w:t>温室气体排放数据统计、核算和管理体系，构建温室气体协同治理体系。加强重点企业温室气体排放监测与数据报送，推进企事业单位污染物和温室气体排放相关数据的统一采集、相互补充、交叉校核。加强对温室气体排放重点单位监管并纳入生态环境监管执法体系，推动将应对气候变化相关工作、碳达峰目标任务落实情况等纳入生态环境保护督察范畴。推动建立常态化的应对气候变化基础数据获取渠道和部门会商机制，加强与能源消费统计工作的协调，加强高耗能、高排放项目信息共享。</w:t>
      </w:r>
    </w:p>
    <w:p>
      <w:pPr>
        <w:spacing w:line="560" w:lineRule="exact"/>
        <w:ind w:firstLine="643" w:firstLineChars="200"/>
        <w:rPr>
          <w:rFonts w:ascii="仿宋" w:hAnsi="仿宋" w:eastAsia="仿宋" w:cs="仿宋"/>
          <w:b/>
          <w:sz w:val="32"/>
          <w:szCs w:val="32"/>
        </w:rPr>
      </w:pPr>
      <w:r>
        <w:rPr>
          <w:rFonts w:ascii="Times New Roman" w:hAnsi="Times New Roman" w:eastAsia="仿宋" w:cs="Times New Roman"/>
          <w:b/>
          <w:sz w:val="32"/>
          <w:szCs w:val="32"/>
        </w:rPr>
        <w:t>5</w:t>
      </w:r>
      <w:r>
        <w:rPr>
          <w:rFonts w:hint="eastAsia" w:ascii="仿宋" w:hAnsi="仿宋" w:eastAsia="仿宋" w:cs="仿宋"/>
          <w:b/>
          <w:sz w:val="32"/>
          <w:szCs w:val="32"/>
        </w:rPr>
        <w:t>.严格生态环境准入</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建立生态环境分区引导机制。</w:t>
      </w:r>
      <w:r>
        <w:rPr>
          <w:rFonts w:ascii="Times New Roman" w:hAnsi="Times New Roman" w:eastAsia="仿宋" w:cs="Times New Roman"/>
          <w:bCs/>
          <w:sz w:val="32"/>
          <w:szCs w:val="32"/>
        </w:rPr>
        <w:t>将生态保护红线、环境质量底线、资源利用上线和生态环境准入清单作为硬约束落实到环境管控单元，根据生态环境功能、自然资源禀赋、经济与社会发展实际，对环境管控单元实施差异化生态环境准入管理。严格落实湖南省“三线一单”生态环境总体管控要求，区域资源开发、产业布局和结构调整、城镇建设、重大项目选址应以“三线一单”确定的环境管控单元及生态环境准入清单作为重要依据，加强省级以上产业园区生态环境准入管理。推进“三线一单”与排污许可、环评审批、环境监测、环境执法等相关数据系统共享，不断充实和细化“三线一单”数据支撑体系及分区管控要求。坚持生态环境空间在国土空间治理中的前置性，开展“三线一单”与国土空间规划的协作与联动。</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加强规划环境影响评价。</w:t>
      </w:r>
      <w:r>
        <w:rPr>
          <w:rFonts w:ascii="Times New Roman" w:hAnsi="Times New Roman" w:eastAsia="仿宋" w:cs="Times New Roman"/>
          <w:bCs/>
          <w:sz w:val="32"/>
          <w:szCs w:val="32"/>
        </w:rPr>
        <w:t>严格执行以环评制度为主体的生态环境源头预防制度，以国土空间规划、区域规划、行业发展规划引导发展，全面推进重点区域、重点流域、重点行业规划环评。严格审查涉“高耗能、高排放”行业的有关综合性规划和工业、能源等专项规划环评，特别对为上马“高耗能、高排放”项目而修编的规划，在环评审查中应严格控制“高耗能、高排放”行业发展规模，优化规划布局、产业结构与实施时序。加强规划环评对建设项目环评工作的指导和约束，推动建设项目环评审批及事中事后监督管理中落实规划环评成果，严格“高耗能、高排放”项目环评审批，严把环境准入关，落实区域消减要求。推动规划编制底线约束，前置考虑空间管制、总量管控和生态环境准入，统筹区域空间布局与生态安全格局，统筹发展目标与资源环境承载力。</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全面实行排污许可制度。</w:t>
      </w:r>
      <w:r>
        <w:rPr>
          <w:rFonts w:ascii="Times New Roman" w:hAnsi="Times New Roman" w:eastAsia="仿宋" w:cs="Times New Roman"/>
          <w:bCs/>
          <w:sz w:val="32"/>
          <w:szCs w:val="32"/>
        </w:rPr>
        <w:t>推动构建以排污许可制为核心的固定污染源监管制度体系，实现固定污染源排污许可全覆盖，推动工业固体废物、土壤环境要素全覆盖，积极探索碳排放纳入排污许可管理内容和实施路径。推进依托排污许可证实施企事业单位污染物排放总量指标分配、监管和考核。建立以排污许可证为主要依据的生态环境日常执法督察工作体系，全面推进排污许可证执法检查纳入企业执法日常化，落实排污许可“一证式”管理。推进全县排污许可制度与环境影响评价制度有效融合。推动重点行业企业环境影响评价、排污许可、监管执法全闭环管理。持续做好排污许可证换证或登记延续动态更新。</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（二）深入打好污染防治攻坚战</w:t>
      </w:r>
    </w:p>
    <w:p>
      <w:pPr>
        <w:spacing w:line="560" w:lineRule="exact"/>
        <w:ind w:firstLine="643" w:firstLineChars="200"/>
        <w:rPr>
          <w:rFonts w:ascii="仿宋" w:hAnsi="仿宋" w:eastAsia="仿宋" w:cs="仿宋"/>
          <w:b/>
          <w:sz w:val="32"/>
          <w:szCs w:val="32"/>
        </w:rPr>
      </w:pPr>
      <w:r>
        <w:rPr>
          <w:rFonts w:ascii="Times New Roman" w:hAnsi="Times New Roman" w:eastAsia="仿宋" w:cs="Times New Roman"/>
          <w:b/>
          <w:sz w:val="32"/>
          <w:szCs w:val="32"/>
        </w:rPr>
        <w:t>1</w:t>
      </w:r>
      <w:r>
        <w:rPr>
          <w:rFonts w:hint="eastAsia" w:ascii="仿宋" w:hAnsi="仿宋" w:eastAsia="仿宋" w:cs="仿宋"/>
          <w:b/>
          <w:sz w:val="32"/>
          <w:szCs w:val="32"/>
        </w:rPr>
        <w:t>.深入打好碧水保卫战</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强化饮用水水源地保护与监管。</w:t>
      </w:r>
      <w:r>
        <w:rPr>
          <w:rFonts w:ascii="Times New Roman" w:hAnsi="Times New Roman" w:eastAsia="仿宋" w:cs="Times New Roman"/>
          <w:bCs/>
          <w:sz w:val="32"/>
          <w:szCs w:val="32"/>
        </w:rPr>
        <w:t>优化饮用水源地布局，推动城乡供水一体化。加强备用、应急水源建设，提高应急供水能力。继续推进集中式饮用水源保护区划定工作，2021年基本完成全</w:t>
      </w:r>
      <w:r>
        <w:rPr>
          <w:rFonts w:hint="eastAsia" w:ascii="Times New Roman" w:hAnsi="Times New Roman" w:eastAsia="仿宋" w:cs="Times New Roman"/>
          <w:bCs/>
          <w:sz w:val="32"/>
          <w:szCs w:val="32"/>
        </w:rPr>
        <w:t>县</w:t>
      </w:r>
      <w:r>
        <w:rPr>
          <w:rFonts w:ascii="Times New Roman" w:hAnsi="Times New Roman" w:eastAsia="仿宋" w:cs="Times New Roman"/>
          <w:bCs/>
          <w:sz w:val="32"/>
          <w:szCs w:val="32"/>
        </w:rPr>
        <w:t>“千人以上”集中式水源保护区划定。加强饮用水水源地环境管理，巩固县级及以上水源地规范化建设成果，每年完成一次饮用水源地环境现状调查评估，应用遥感监测与人工巡查方式，适时识别饮用水水源保护区新出现的环境问题，及时解决环境问题，维护饮用水水源地水质安全。2021年基本完成乡镇级“千人以上”集中式水源地规范化建设与突出环境问题整治，2023年基本完成全</w:t>
      </w:r>
      <w:r>
        <w:rPr>
          <w:rFonts w:hint="eastAsia" w:ascii="Times New Roman" w:hAnsi="Times New Roman" w:eastAsia="仿宋" w:cs="Times New Roman"/>
          <w:bCs/>
          <w:sz w:val="32"/>
          <w:szCs w:val="32"/>
        </w:rPr>
        <w:t>县</w:t>
      </w:r>
      <w:r>
        <w:rPr>
          <w:rFonts w:ascii="Times New Roman" w:hAnsi="Times New Roman" w:eastAsia="仿宋" w:cs="Times New Roman"/>
          <w:bCs/>
          <w:sz w:val="32"/>
          <w:szCs w:val="32"/>
        </w:rPr>
        <w:t>“千人以上”集中式水源地规范化建设与突出环境问题整治。加强集中式饮用水水源地水质监测，将“千吨万人”集中式饮用水水源地纳入常规监测；建立饮用水信息管理平台，健全水源地环境应急管理机制。2022年完成县级及以上、乡镇农村集中式水源地环境风险评估和突发环境事件应急预案备案管理，定期开展水源地环境应急演练，强化突发环境事件应急准备、预警和应急处置。建立水源地风险评估和水质预警预报系统。</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加强重点流域区域水污染治理。</w:t>
      </w:r>
      <w:r>
        <w:rPr>
          <w:rFonts w:ascii="Times New Roman" w:hAnsi="Times New Roman" w:eastAsia="仿宋" w:cs="Times New Roman"/>
          <w:bCs/>
          <w:sz w:val="32"/>
          <w:szCs w:val="32"/>
        </w:rPr>
        <w:t>整合水功能区、水环境功能区，明确各级控制断面水质保护目标。针对</w:t>
      </w:r>
      <w:r>
        <w:rPr>
          <w:rFonts w:ascii="Times New Roman" w:hAnsi="Times New Roman" w:eastAsia="仿宋" w:cs="Times New Roman"/>
          <w:sz w:val="32"/>
          <w:szCs w:val="32"/>
        </w:rPr>
        <w:t>沅江桃源段干支流</w:t>
      </w:r>
      <w:r>
        <w:rPr>
          <w:rFonts w:ascii="Times New Roman" w:hAnsi="Times New Roman" w:eastAsia="仿宋" w:cs="Times New Roman"/>
          <w:bCs/>
          <w:sz w:val="32"/>
          <w:szCs w:val="32"/>
        </w:rPr>
        <w:t>不稳定达标水域，制定并实施达标方案，全面系统治理，不达标水域限期实现达标。采取措施</w:t>
      </w:r>
      <w:r>
        <w:rPr>
          <w:rFonts w:hint="eastAsia" w:ascii="Times New Roman" w:hAnsi="Times New Roman" w:eastAsia="仿宋" w:cs="Times New Roman"/>
          <w:bCs/>
          <w:sz w:val="32"/>
          <w:szCs w:val="32"/>
        </w:rPr>
        <w:t>力争</w:t>
      </w:r>
      <w:r>
        <w:rPr>
          <w:rFonts w:ascii="Times New Roman" w:hAnsi="Times New Roman" w:eastAsia="仿宋" w:cs="Times New Roman"/>
          <w:bCs/>
          <w:sz w:val="32"/>
          <w:szCs w:val="32"/>
        </w:rPr>
        <w:t>将辖区出境断面水质提升到地表水Ⅱ类标准。持续加强良好水体的保护，将具有重要保护意义的湖库，纳入良好水体保护范围。深入开展矿井涌水、历史遗留废渣导致的流域性重金属污染治理，重点解决锑、铊等水质超标问题。以农业面源污染防治为重点，开展洞庭湖总磷污染控制，实施总磷总量控制。到2024年底，地表水系水质控制单元稳定达到考核目标。进一步巩固城市黑臭水体治理成效，稳步推进县城建成区黑臭水体治理。严格落实黑臭水体河湖长制，严防返黑返臭，实现长制久清。</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深化重点领域水污染治理。</w:t>
      </w:r>
      <w:r>
        <w:rPr>
          <w:rFonts w:ascii="Times New Roman" w:hAnsi="Times New Roman" w:eastAsia="仿宋" w:cs="Times New Roman"/>
          <w:bCs/>
          <w:sz w:val="32"/>
          <w:szCs w:val="32"/>
        </w:rPr>
        <w:t>以补足城乡污水收集和处理设施短板为重点，加强生活源污染治理，城市污水收集处理系统要适应城镇化发展，完善城市污水管网建设，实现建成区污水管网全覆盖，改造老旧破损管网及检查井，系统解决管网漏损问题，2025年底，基本消除城中村、老旧城区和城乡结合部生活污水收集处理设施空白区，县城生活污水集中收集率达到60%，进水水质五日生化耗氧量浓度大于100mg/l的污水处理厂规模占比不低于30%，全县乡镇政府所在地污水处理设施基本覆盖。以企业和工业聚集区为重点，推进桃源工业集聚区污水处理设施分类管理、分期升级改造，实施桃源工业集聚区专项整治行动，实现桃源工业集聚区污水管网全覆盖、污水全收集、污水集中处理设施稳定达标运行、在线监控联网正常，规范设置集聚区集中污水处理设施排污口，建立集聚区水环境管理“一园一档”。加强涉重金属行业企业废水治理，推进重点行业氮磷排放总量控制，继续开展长江流域“三磷”专项排查整治行动。</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加强</w:t>
      </w:r>
      <w:r>
        <w:rPr>
          <w:rFonts w:hint="eastAsia" w:ascii="Times New Roman" w:hAnsi="Times New Roman" w:eastAsia="仿宋" w:cs="Times New Roman"/>
          <w:b/>
          <w:sz w:val="32"/>
          <w:szCs w:val="32"/>
        </w:rPr>
        <w:t>沅</w:t>
      </w:r>
      <w:r>
        <w:rPr>
          <w:rFonts w:ascii="Times New Roman" w:hAnsi="Times New Roman" w:eastAsia="仿宋" w:cs="Times New Roman"/>
          <w:b/>
          <w:sz w:val="32"/>
          <w:szCs w:val="32"/>
        </w:rPr>
        <w:t>江干支流沿岸治理。</w:t>
      </w:r>
      <w:r>
        <w:rPr>
          <w:rFonts w:ascii="Times New Roman" w:hAnsi="Times New Roman" w:eastAsia="仿宋" w:cs="Times New Roman"/>
          <w:bCs/>
          <w:sz w:val="32"/>
          <w:szCs w:val="32"/>
        </w:rPr>
        <w:t>全面加强入河排污口排查整治与监管，2023年完成沅江桃源段及重要支流入河排污口排查，建立入河排污口名录，初步建成统一的流域排污口信息管理系统，2025年完成全流域排污口排查，建成流域排污口信息管理系统。完成入河排污口区域分区体系建设，明确禁止设置入河排污口区域、限制设置入河排污口区域范围，有效规范和管控入河排污口。加强船舶及港口码头污染防治，优化港口码头布局，全面清理非法码头，对现有合法码头，实施防污染设施升级改造，推动绿色港口、绿色码头建设。完善船舶生活污水、垃圾、含油污水接收转运设施建设，推动接收设施与城市公共转运设施有效衔接。合理布局砂石接收码头，引导河道砂石资源开发应用。</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强化水资源保障。</w:t>
      </w:r>
      <w:r>
        <w:rPr>
          <w:rFonts w:ascii="Times New Roman" w:hAnsi="Times New Roman" w:eastAsia="仿宋" w:cs="Times New Roman"/>
          <w:bCs/>
          <w:sz w:val="32"/>
          <w:szCs w:val="32"/>
        </w:rPr>
        <w:t>加强河湖连通，保障河湖生态水量，恢复河湖生态功能，重点实施沅江桃源段干支流水网连通。科学确定生态流量，核定沅江干流及重要支流重要断面生态流量目标，对水库、水电站等工程按照保障枯水期生态流量要求实施水量调度。全面完成小水电整治，退出类小水电按期完成退出，保留类小水电实施生态流量监控，整改类小水电，严格落实整改措施及设施改造，加强对生态泄流闸、孔等生物通道改造效果监管，保障下游生态流量以及鱼类洄游。建设小水电及河湖生态水量监测站网，监控数据接入全省河湖生态水量监控系统，建立重要河湖生态水量监测预警和信息发布机制。推进城镇生活、工业、农业农村污水资源化循环利用，在污水处理厂稳定达标排放的基础上，环境容量小、水环境质量波动较大的缺水地区应优先将达标排放尾水转化为可利用的水资源。到2025年，城市再生水利用率</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工业用水重复利用、畜禽粪污和渔业养殖尾水资源化利用水平显著提升</w:t>
      </w:r>
      <w:r>
        <w:rPr>
          <w:rFonts w:hint="eastAsia" w:ascii="Times New Roman" w:hAnsi="Times New Roman" w:eastAsia="仿宋" w:cs="Times New Roman"/>
          <w:bCs/>
          <w:sz w:val="32"/>
          <w:szCs w:val="32"/>
        </w:rPr>
        <w:t>。</w:t>
      </w:r>
    </w:p>
    <w:p>
      <w:pPr>
        <w:spacing w:line="56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加强水生态保护与修复。</w:t>
      </w:r>
      <w:r>
        <w:rPr>
          <w:rFonts w:ascii="Times New Roman" w:hAnsi="Times New Roman" w:eastAsia="仿宋" w:cs="Times New Roman"/>
          <w:bCs/>
          <w:sz w:val="32"/>
          <w:szCs w:val="32"/>
        </w:rPr>
        <w:t>按照“有河有鱼、有鱼有草”的原则，推动生态扩容，开展水生态恢复。加强河湖缓冲带管理，保护天然湿地资源，满足重要湿地生态用水要求，修复受损的河滨、湖滨、河口湿地，持续清退破坏水生态的生产活动。加强重要入河（湖）口人工湿地建设。持续推进重要水源涵养区生态建设，加强入河（湖）尾闾生态缓冲带修复与建设，开展“鱼类三场”和洄游通道保护与修复，开展野生动物栖息地和食源地建设。实施好长江十年禁渔，开展濒危水生生物抢救性保护行动，开展人工繁育和种群恢复，推动水生生物多样性保护与恢复。</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19"/>
              <w:spacing w:line="560" w:lineRule="exact"/>
              <w:jc w:val="center"/>
              <w:rPr>
                <w:rFonts w:ascii="Times New Roman" w:eastAsia="仿宋" w:cs="Times New Roman"/>
                <w:b/>
                <w:bCs/>
                <w:color w:val="auto"/>
                <w:kern w:val="2"/>
                <w:sz w:val="32"/>
                <w:szCs w:val="32"/>
              </w:rPr>
            </w:pPr>
            <w:r>
              <w:rPr>
                <w:rFonts w:ascii="Times New Roman" w:eastAsia="仿宋" w:cs="Times New Roman"/>
                <w:b/>
                <w:bCs/>
                <w:color w:val="auto"/>
                <w:kern w:val="2"/>
                <w:sz w:val="32"/>
                <w:szCs w:val="32"/>
              </w:rPr>
              <w:t>专栏1-水生态环境质量改善重大工程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vAlign w:val="center"/>
          </w:tcPr>
          <w:p>
            <w:pPr>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1、沅水（桃源段）综合治理工程。对沅水（桃源段）主要干支流开展流域生态保护与修复，主要进行内源治理工程、河道缓冲带生态修复工程、水生态修复工程、入河（湖）口人工湿地建设，满足长江沿线治污治岸治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vAlign w:val="center"/>
          </w:tcPr>
          <w:p>
            <w:pPr>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2、黄石水库饮用水水源保护治理工程。对黄石水库准保护区内生活源实施治理；对入库主要支流实施水生态修复工程；库区农业沟渠实施生态化改造，确保饮用水水源水质安全。</w:t>
            </w:r>
          </w:p>
        </w:tc>
      </w:tr>
    </w:tbl>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2</w:t>
      </w:r>
      <w:r>
        <w:rPr>
          <w:rFonts w:hint="eastAsia" w:ascii="仿宋" w:hAnsi="仿宋" w:eastAsia="仿宋" w:cs="仿宋"/>
          <w:b/>
          <w:sz w:val="32"/>
          <w:szCs w:val="36"/>
        </w:rPr>
        <w:t>.深入打好蓝天保卫战</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推进PM</w:t>
      </w:r>
      <w:r>
        <w:rPr>
          <w:rFonts w:ascii="Times New Roman" w:hAnsi="Times New Roman" w:eastAsia="仿宋" w:cs="Times New Roman"/>
          <w:b/>
          <w:sz w:val="32"/>
          <w:szCs w:val="36"/>
          <w:vertAlign w:val="subscript"/>
        </w:rPr>
        <w:t>2.5</w:t>
      </w:r>
      <w:r>
        <w:rPr>
          <w:rFonts w:ascii="Times New Roman" w:hAnsi="Times New Roman" w:eastAsia="仿宋" w:cs="Times New Roman"/>
          <w:b/>
          <w:sz w:val="32"/>
          <w:szCs w:val="36"/>
        </w:rPr>
        <w:t>与臭氧的协同治理。</w:t>
      </w:r>
      <w:r>
        <w:rPr>
          <w:rFonts w:ascii="Times New Roman" w:hAnsi="Times New Roman" w:eastAsia="仿宋" w:cs="Times New Roman"/>
          <w:bCs/>
          <w:sz w:val="32"/>
          <w:szCs w:val="36"/>
        </w:rPr>
        <w:t>推动城市PM</w:t>
      </w:r>
      <w:r>
        <w:rPr>
          <w:rFonts w:ascii="Times New Roman" w:hAnsi="Times New Roman" w:eastAsia="仿宋" w:cs="Times New Roman"/>
          <w:bCs/>
          <w:sz w:val="32"/>
          <w:szCs w:val="36"/>
          <w:vertAlign w:val="subscript"/>
        </w:rPr>
        <w:t>2.5</w:t>
      </w:r>
      <w:r>
        <w:rPr>
          <w:rFonts w:ascii="Times New Roman" w:hAnsi="Times New Roman" w:eastAsia="仿宋" w:cs="Times New Roman"/>
          <w:bCs/>
          <w:sz w:val="32"/>
          <w:szCs w:val="36"/>
        </w:rPr>
        <w:t>浓度持续改善，有效遏制臭氧浓度增长趋势。制定加强PM</w:t>
      </w:r>
      <w:r>
        <w:rPr>
          <w:rFonts w:ascii="Times New Roman" w:hAnsi="Times New Roman" w:eastAsia="仿宋" w:cs="Times New Roman"/>
          <w:bCs/>
          <w:sz w:val="32"/>
          <w:szCs w:val="36"/>
          <w:vertAlign w:val="subscript"/>
        </w:rPr>
        <w:t>2.5</w:t>
      </w:r>
      <w:r>
        <w:rPr>
          <w:rFonts w:ascii="Times New Roman" w:hAnsi="Times New Roman" w:eastAsia="仿宋" w:cs="Times New Roman"/>
          <w:bCs/>
          <w:sz w:val="32"/>
          <w:szCs w:val="36"/>
        </w:rPr>
        <w:t>和臭氧协同控制持续改善空气质量行动计划，明确控制目标、路线图和时间表。强化特护期PM</w:t>
      </w:r>
      <w:r>
        <w:rPr>
          <w:rFonts w:ascii="Times New Roman" w:hAnsi="Times New Roman" w:eastAsia="仿宋" w:cs="Times New Roman"/>
          <w:bCs/>
          <w:sz w:val="32"/>
          <w:szCs w:val="36"/>
          <w:vertAlign w:val="subscript"/>
        </w:rPr>
        <w:t>2.5</w:t>
      </w:r>
      <w:r>
        <w:rPr>
          <w:rFonts w:ascii="Times New Roman" w:hAnsi="Times New Roman" w:eastAsia="仿宋" w:cs="Times New Roman"/>
          <w:bCs/>
          <w:sz w:val="32"/>
          <w:szCs w:val="36"/>
        </w:rPr>
        <w:t>、夏季臭氧差异化精细化协同管控。强化细颗粒物与臭氧协同控制研究，选取典型区域开展细颗粒物与臭氧协同控制试点工作。协同推进温室气体与主要大气污染物排放控制，强化节能环保约束，在大力削减二氧化硫、氮氧化物、挥发性有机物等主要大气污染物的同时，协同推动温室气体进一步减排。加强种养业氨排放防治，鼓励规模化养殖场实施氨排放控制。</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实施重点行业NO</w:t>
      </w:r>
      <w:r>
        <w:rPr>
          <w:rFonts w:ascii="Times New Roman" w:hAnsi="Times New Roman" w:eastAsia="仿宋" w:cs="Times New Roman"/>
          <w:b/>
          <w:sz w:val="32"/>
          <w:szCs w:val="36"/>
          <w:vertAlign w:val="subscript"/>
        </w:rPr>
        <w:t>x</w:t>
      </w:r>
      <w:r>
        <w:rPr>
          <w:rFonts w:ascii="Times New Roman" w:hAnsi="Times New Roman" w:eastAsia="仿宋" w:cs="Times New Roman"/>
          <w:b/>
          <w:sz w:val="32"/>
          <w:szCs w:val="36"/>
        </w:rPr>
        <w:t>等污染物深度治理。</w:t>
      </w:r>
      <w:r>
        <w:rPr>
          <w:rFonts w:ascii="Times New Roman" w:hAnsi="Times New Roman" w:eastAsia="仿宋" w:cs="Times New Roman"/>
          <w:bCs/>
          <w:sz w:val="32"/>
          <w:szCs w:val="36"/>
        </w:rPr>
        <w:t>重点推进烧结砖瓦行业治理设施升级改造、水泥行业氮氧化物减排。淘汰简陋落后的“双碱法”脱硫除尘一体化技术，推动行业向成熟先进的大气污染物治理设施升级换代，到2025年，烧结砖瓦企业完成高效脱硫除尘改造。推进水泥熟料生产企业采用分级燃烧等技术，配备高效除尘和脱硝设施，实施氮氧化物深度治理，到2023年，NOx排放浓度控制在100毫克/立方米以下。推进玻璃、陶瓷、铸造、有色等行业污染深度治理。加强自备燃煤机组污染治理设施运行管控，确保按照超低排放运行。针对焦化、水泥、砖瓦、石灰、耐火材料、有色金属冶炼等行业，严格控制物料储存、输送及生产工艺过程无组织排放。重点涉气排放企业逐步取消烟气旁路，因安全生产无法取消的，安装在线监管系统。开展燃气锅炉的低氮改造。</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大力推进重点行业VOCs治理。</w:t>
      </w:r>
      <w:r>
        <w:rPr>
          <w:rFonts w:ascii="Times New Roman" w:hAnsi="Times New Roman" w:eastAsia="仿宋" w:cs="Times New Roman"/>
          <w:bCs/>
          <w:sz w:val="32"/>
          <w:szCs w:val="36"/>
        </w:rPr>
        <w:t>以工业涂装、石化、化工、包装印刷、油品储运销等行业为重点，实施企业VOCs原料替代、排放全过程控制，加强工业机械制造产业链VOCs治理。按照分业施策、一行一策的原则，加大低VOCs含量原辅材料的推广使用力度，通过使用低VOCs含量的涂料、油墨、胶粘剂、清洗剂替代溶剂型涂料、油墨、胶粘剂、清洗剂等，从源头减少VOCs产生。推进使用先进生产工艺。通过采用全密闭、连续化、自动化等生产技术，以及高效工艺与设备等，减少工艺过程无组织排放。遵循“应收尽收、分质收集”的原则，科学设计废气收集系统，将无组织排放转变为有组织排放进行控制。实行重点排放源排放浓度与去除效率双重控制。加强汽修行业VOCs综合治理，加大餐饮油烟污染治理力度，实施县城餐饮油烟治理全覆盖。</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强化车船油路港联合防控。</w:t>
      </w:r>
      <w:r>
        <w:rPr>
          <w:rFonts w:ascii="Times New Roman" w:hAnsi="Times New Roman" w:eastAsia="仿宋" w:cs="Times New Roman"/>
          <w:bCs/>
          <w:sz w:val="32"/>
          <w:szCs w:val="36"/>
        </w:rPr>
        <w:t>实施并逐步完成老旧汽油车辆（国二及以下）及老旧柴油车辆（国三及以下）淘汰。大力推进船舶大气污染控制，依法强制报废超过使用年限的船舶，鼓励淘汰使用20年以上的内河航运船舶。严格执行汽柴油质量标准，加强油品监管执法，2025年底前，全县年销售汽油量大于5000吨的加油站，安装油气回收自动监控设备并与行业主管部门联网，严厉打击黑加油站和非标油生产企业。各地开展新生产机动车、发动机、非道路移动机械监督检查，主要车（机）型系族年度抽检率达到80％以上，基本消除未登记或冒黑烟工程机械。推动长江干支流主要港口岸电建设，逐步提高岸电使用率。</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强化扬尘精细化管控。</w:t>
      </w:r>
      <w:r>
        <w:rPr>
          <w:rFonts w:ascii="Times New Roman" w:hAnsi="Times New Roman" w:eastAsia="仿宋" w:cs="Times New Roman"/>
          <w:bCs/>
          <w:sz w:val="32"/>
          <w:szCs w:val="36"/>
        </w:rPr>
        <w:t>县城建成区内房屋建筑和市政基础设施工程施工工地严格落实扬尘防控“六个100%”，全面推行绿色施工，将绿色施工纳入企业资质评价、信用评价。推进低尘机械化湿式清扫作业，加大城市出入口、城乡结合部等重要路段冲洗保洁力度，渣土车实施硬覆盖与全密闭运输，强化道路绿化用地扬尘治理。加强码头作业扬尘控制，煤炭、矿石及干散货码头应全面完成防风抑尘设施建设，鼓励有条件的码头堆场实施全封闭改造。</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积极应对重污染天气。</w:t>
      </w:r>
      <w:r>
        <w:rPr>
          <w:rFonts w:ascii="Times New Roman" w:hAnsi="Times New Roman" w:eastAsia="仿宋" w:cs="Times New Roman"/>
          <w:bCs/>
          <w:sz w:val="32"/>
          <w:szCs w:val="36"/>
        </w:rPr>
        <w:t>加强重污染天气应急响应。修订完善并持续更新重污染天气应急预案。按照相关要求细化应急减排措施，实施应急减排清单化管理。督促工业企业按照“一厂一案”要求，配套制定具体的应急响应操作方案。根据重污染天气情况及时启动应急响应措施，强化应急预案实施情况检查和评估，提升应急措施有效性。探索中轻度污染天气管控。</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加强其他涉气污染物治理。</w:t>
      </w:r>
      <w:r>
        <w:rPr>
          <w:rFonts w:ascii="Times New Roman" w:hAnsi="Times New Roman" w:eastAsia="仿宋" w:cs="Times New Roman"/>
          <w:bCs/>
          <w:sz w:val="32"/>
          <w:szCs w:val="36"/>
        </w:rPr>
        <w:t>加强消耗臭氧层物质和氢氟碳化 物环境管理，加强恶臭、有毒有害大气污染物防控。</w:t>
      </w:r>
    </w:p>
    <w:p>
      <w:pPr>
        <w:spacing w:line="560" w:lineRule="exact"/>
        <w:ind w:firstLine="640" w:firstLineChars="200"/>
        <w:rPr>
          <w:rFonts w:ascii="Times New Roman" w:hAnsi="Times New Roman" w:eastAsia="仿宋" w:cs="Times New Roman"/>
          <w:bCs/>
          <w:sz w:val="32"/>
          <w:szCs w:val="36"/>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9"/>
              <w:spacing w:line="560" w:lineRule="exact"/>
              <w:jc w:val="center"/>
              <w:rPr>
                <w:rFonts w:ascii="Times New Roman" w:eastAsia="仿宋" w:cs="Times New Roman"/>
                <w:b/>
                <w:bCs/>
                <w:color w:val="auto"/>
                <w:kern w:val="2"/>
                <w:sz w:val="32"/>
                <w:szCs w:val="32"/>
              </w:rPr>
            </w:pPr>
            <w:r>
              <w:rPr>
                <w:rFonts w:ascii="Times New Roman" w:eastAsia="仿宋" w:cs="Times New Roman"/>
                <w:b/>
                <w:bCs/>
                <w:color w:val="auto"/>
                <w:kern w:val="2"/>
                <w:sz w:val="32"/>
                <w:szCs w:val="32"/>
              </w:rPr>
              <w:t>专栏2-大气环境质量改善重大工程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napToGrid w:val="0"/>
              <w:spacing w:line="560" w:lineRule="exact"/>
              <w:rPr>
                <w:rFonts w:ascii="Times New Roman" w:hAnsi="Times New Roman" w:eastAsia="宋体" w:cs="Times New Roman"/>
                <w:sz w:val="28"/>
                <w:szCs w:val="32"/>
              </w:rPr>
            </w:pPr>
            <w:r>
              <w:rPr>
                <w:rFonts w:ascii="Times New Roman" w:hAnsi="Times New Roman" w:eastAsia="宋体" w:cs="Times New Roman"/>
                <w:sz w:val="28"/>
                <w:szCs w:val="32"/>
              </w:rPr>
              <w:t>1、进行桃源县城区声环境功能区重新划分及声环境质量监测点位优化调整。针对桃源县城区边界的扩大、道路交通路网的日益改善、土地利用现状的改变，重新进行声环境功能区与声环境质量监测点位优化调整。</w:t>
            </w:r>
          </w:p>
        </w:tc>
      </w:tr>
    </w:tbl>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3</w:t>
      </w:r>
      <w:r>
        <w:rPr>
          <w:rFonts w:hint="eastAsia" w:ascii="仿宋" w:hAnsi="仿宋" w:eastAsia="仿宋" w:cs="仿宋"/>
          <w:b/>
          <w:sz w:val="32"/>
          <w:szCs w:val="36"/>
        </w:rPr>
        <w:t>.深入打好净土保卫战</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实施土壤环境精细化管理。</w:t>
      </w:r>
      <w:r>
        <w:rPr>
          <w:rFonts w:ascii="Times New Roman" w:hAnsi="Times New Roman" w:eastAsia="仿宋" w:cs="Times New Roman"/>
          <w:bCs/>
          <w:sz w:val="32"/>
          <w:szCs w:val="36"/>
        </w:rPr>
        <w:t>持续推进耕地周边涉镉等重金属重点行业企业排查整治，识别和排查耕地污染成因；以用途变更为住宅、公共管理与公共服务用地的地块，以及腾退工矿企业用地为重点，依法开展土壤污染状况调查和风险评估。建立生态环境、自然资源、住房城乡建设等部门共享的污染地块数据库及信息平台，实行疑似污染地块、污染地块空间信息、国土空间规划的“一张图”信息共享和联动监管。</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强化协同控制实施源头预防。</w:t>
      </w:r>
      <w:r>
        <w:rPr>
          <w:rFonts w:ascii="Times New Roman" w:hAnsi="Times New Roman" w:eastAsia="仿宋" w:cs="Times New Roman"/>
          <w:bCs/>
          <w:sz w:val="32"/>
          <w:szCs w:val="36"/>
        </w:rPr>
        <w:t>推动气型污染物、水型污染物、固体废物、危险废物和土壤环境、地下水环境之间的协同控制，持续开展固体废物和危险废物贮存场所周边土壤和地下水环境状况的调查与评估。严格涉重金属行业污染物排放，整治涉重金属矿区历史遗留固体废物，防控矿产资源开发污染土壤。对涉及有毒有害物质可能造成土壤污染的新（改、扩）建项目，应严格落实环境影响评价文件中提出的防腐蚀、防渗漏、防遗撒等土壤污染防治具体措施。建立土壤污染重点监管单位名录并适时动态更新，督促重点监管单位依法全面落实土壤环境管理各项制度要求，重点规范隐患排查、自行监测的实施，2025年底前，至少完成1次土壤和地下水污染隐患排查，制定整改方案和台账并落实。鼓励土壤污染重点监管单位因地制宜实施管道化、密闭化改造，重点开展区域防腐防渗改造以及物料、污水、废气管线架空建设和改造。土壤污染重点监管单位应按照国家相关规定购买环境污染责任保险。</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巩固提升耕地土壤安全。</w:t>
      </w:r>
      <w:r>
        <w:rPr>
          <w:rFonts w:ascii="Times New Roman" w:hAnsi="Times New Roman" w:eastAsia="仿宋" w:cs="Times New Roman"/>
          <w:bCs/>
          <w:sz w:val="32"/>
          <w:szCs w:val="36"/>
        </w:rPr>
        <w:t>加大优先保护类耕地保护力度，确保其面积不减少、土壤环境质量不下降；在永久基本农田集中区域，不得规划新建可能造成土壤污染的建设项目。研究制定相关政策，鼓励采用种植结构调整、退耕还林还草等措施，确保严格管控类耕地生态修复与可持续安全利用；因地制宜推广品种替代、水肥调控、土壤调理等综合配套技术，不断提高受污染耕地安全利用水平。按照《特定农产品严格管控区划定技术导则（试行）》，根据土壤环境质量例行监测、农产品抽测、治理修复效果评估等，及时调整耕地土壤环境质量类别。</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严格污染地块准入管理。</w:t>
      </w:r>
      <w:r>
        <w:rPr>
          <w:rFonts w:ascii="Times New Roman" w:hAnsi="Times New Roman" w:eastAsia="仿宋" w:cs="Times New Roman"/>
          <w:bCs/>
          <w:sz w:val="32"/>
          <w:szCs w:val="36"/>
        </w:rPr>
        <w:t>合理规划污染地块用途，在编制空间规划等相关规划时，应充分考虑建设用地土壤污染的环境风险，合理确定土地用途；原则上，国土空间规划方案提交审议前，对涉及依法应当开展土壤污染状况调查的地块，应当完成调查和风险评估。完善准入管理机制，严格污染地块用途管制，列入建设用地土壤污染风险管控和修复名录的地块，不得作为住宅、公共管理与公共服务用地；未达到土壤污染风险评估报告要求的地块，禁止开工建设与风险管控、修复无关的项目；已发应当进行土壤污染状况调查或风险评估而未完成的地块，杜绝进入用地程序。合理规划污染地块再开发利用时序，对涉及成片污染地块分期分批开发的要优化开发时序，原则上住宅、公共管理与公共服务等敏感类用地应后开发。对污染突出、环境敏感和管控难度较大的污染地块，避免作为高功能用地性质进行开发使用。</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稳步推进土壤管控与修复。</w:t>
      </w:r>
      <w:r>
        <w:rPr>
          <w:rFonts w:ascii="Times New Roman" w:hAnsi="Times New Roman" w:eastAsia="仿宋" w:cs="Times New Roman"/>
          <w:bCs/>
          <w:sz w:val="32"/>
          <w:szCs w:val="36"/>
        </w:rPr>
        <w:t>实施耕地质量保护与提升行动，开展强酸性土壤降酸改良。以镉污染耕地为重点，推进耕地土壤污染修复试点。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治污染扩散。强化风险管控和修复工程监管，推广绿色修复理念。同时存在其他污染的，协同推进修复治理。</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推进地下水生态环境保护。</w:t>
      </w:r>
      <w:r>
        <w:rPr>
          <w:rFonts w:ascii="Times New Roman" w:hAnsi="Times New Roman" w:eastAsia="仿宋" w:cs="Times New Roman"/>
          <w:bCs/>
          <w:sz w:val="32"/>
          <w:szCs w:val="36"/>
        </w:rPr>
        <w:t>开展地下水型饮用水水源保护区及补给区地下水环境状况调查，对已划定的地下水型饮用水水源保护区实施规范化建设，建立和完善地下水型饮用水水源补给区内优先管控污染源清单。对地下水环境质量考核点位周边开展隐患排查和整治。开展“一企一库”“两场两区”（即化学品生产企业、尾矿库、危险废物处置场、垃圾填埋场、工业集聚区、矿山开采区）地下水环境状况调查评估，评估地下水环境风险。2023年底前，完成一批工业聚居区和危险废物填埋场地下水环境状况调查评估。2025年底前，完成一批其他污染源地下水环境状况调查评估。根据调查评估等结果，推进地下水污染风险管控，开展化工园区、涉重产业园等工业集聚区地下水环境状况调查评估及修复试点，控制危险废物填埋场地下水污染。</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9"/>
              <w:spacing w:line="560" w:lineRule="exact"/>
              <w:jc w:val="center"/>
              <w:rPr>
                <w:rFonts w:ascii="Times New Roman" w:eastAsia="仿宋" w:cs="Times New Roman"/>
                <w:b/>
                <w:bCs/>
                <w:color w:val="auto"/>
                <w:kern w:val="2"/>
                <w:sz w:val="32"/>
                <w:szCs w:val="32"/>
              </w:rPr>
            </w:pPr>
            <w:r>
              <w:rPr>
                <w:rFonts w:ascii="Times New Roman" w:eastAsia="仿宋" w:cs="Times New Roman"/>
                <w:b/>
                <w:bCs/>
                <w:color w:val="auto"/>
                <w:kern w:val="2"/>
                <w:sz w:val="32"/>
                <w:szCs w:val="32"/>
              </w:rPr>
              <w:t>专栏3-土壤污染防治重大工程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napToGrid w:val="0"/>
              <w:spacing w:line="560" w:lineRule="exact"/>
              <w:rPr>
                <w:rFonts w:ascii="Times New Roman" w:hAnsi="Times New Roman" w:eastAsia="仿宋" w:cs="Times New Roman"/>
                <w:sz w:val="32"/>
                <w:szCs w:val="32"/>
              </w:rPr>
            </w:pPr>
            <w:r>
              <w:rPr>
                <w:rFonts w:ascii="Times New Roman" w:hAnsi="Times New Roman" w:eastAsia="仿宋" w:cs="Times New Roman"/>
                <w:b/>
                <w:sz w:val="32"/>
                <w:szCs w:val="32"/>
              </w:rPr>
              <w:t>1、开展桃源县金矿开采遗址风险管控及修复工程。</w:t>
            </w:r>
            <w:r>
              <w:rPr>
                <w:rFonts w:ascii="Times New Roman" w:hAnsi="Times New Roman" w:eastAsia="仿宋" w:cs="Times New Roman"/>
                <w:sz w:val="32"/>
                <w:szCs w:val="32"/>
              </w:rPr>
              <w:t>对杨溪桥镇、沙坪镇、三阳港镇等金矿开采遗址内废弃建筑物进行拆除、对地块内矿渣进行风险管控、地块周边设置截留沟等风险管控措施、地块周边受污染耕地进行土壤污染修复工程。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napToGrid w:val="0"/>
              <w:spacing w:line="560" w:lineRule="exact"/>
              <w:rPr>
                <w:rFonts w:ascii="Times New Roman" w:hAnsi="Times New Roman" w:eastAsia="仿宋" w:cs="Times New Roman"/>
                <w:sz w:val="32"/>
                <w:szCs w:val="32"/>
              </w:rPr>
            </w:pPr>
            <w:r>
              <w:rPr>
                <w:rFonts w:ascii="Times New Roman" w:hAnsi="Times New Roman" w:eastAsia="仿宋" w:cs="Times New Roman"/>
                <w:b/>
                <w:sz w:val="32"/>
                <w:szCs w:val="32"/>
              </w:rPr>
              <w:t>2、桃源县城市生活垃圾填埋场封场地下水环境状况调查评估及修复。</w:t>
            </w:r>
            <w:r>
              <w:rPr>
                <w:rFonts w:ascii="Times New Roman" w:hAnsi="Times New Roman" w:eastAsia="仿宋" w:cs="Times New Roman"/>
                <w:sz w:val="32"/>
                <w:szCs w:val="32"/>
              </w:rPr>
              <w:t>对桃源县城市生活垃圾填埋场封场过程中地下水环境质量实施过程监控、对周边受污染土壤实施修复工程、建立封场后地下水观测井等风险管控措施。</w:t>
            </w:r>
          </w:p>
        </w:tc>
      </w:tr>
    </w:tbl>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4</w:t>
      </w:r>
      <w:r>
        <w:rPr>
          <w:rFonts w:hint="eastAsia" w:ascii="仿宋" w:hAnsi="仿宋" w:eastAsia="仿宋" w:cs="仿宋"/>
          <w:b/>
          <w:sz w:val="32"/>
          <w:szCs w:val="36"/>
        </w:rPr>
        <w:t>.深入打好农业农村污染治理攻坚战</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梯次推进农村生活污水治理。</w:t>
      </w:r>
      <w:r>
        <w:rPr>
          <w:rFonts w:ascii="Times New Roman" w:hAnsi="Times New Roman" w:eastAsia="仿宋" w:cs="Times New Roman"/>
          <w:bCs/>
          <w:sz w:val="32"/>
          <w:szCs w:val="36"/>
        </w:rPr>
        <w:t>实施农村生活污水治理规划，以环境敏感区周边村庄、乡镇政府驻地和中心村为重点梯次推进农村生活污水治理，推动城镇污水处理设施和服务向城镇近郊农村延伸，统筹推进农村厕所革命，推动粪污资源化利用。到2025年，饮用水水源保护区和自然保护区等重要生态功能区、沅江桃源段干流沿线及未达标国省控断面控制单元行政村基本实现农村污水处理设施全覆盖，城市近郊区农村生活污水治理率达55%左右，农村生活污水治理率不低于40%。</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推进农村生活垃圾处理处置。</w:t>
      </w:r>
      <w:r>
        <w:rPr>
          <w:rFonts w:ascii="Times New Roman" w:hAnsi="Times New Roman" w:eastAsia="仿宋" w:cs="Times New Roman"/>
          <w:bCs/>
          <w:sz w:val="32"/>
          <w:szCs w:val="36"/>
        </w:rPr>
        <w:t>实现农村生活垃圾收转运设施基本覆盖并稳定运行。开展农村生活垃圾就地分类，优先推进城郊村庄垃圾分类，确保有害垃圾和厨余垃圾单独投放。推广适合农村特点的资源化利用方式，重点推广农村生活垃圾的肥料化、基料化等利用方式。到2025年，农村生活垃圾分类收集处理的行政村比例达到30%。</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加强种植业面源污染防治。</w:t>
      </w:r>
      <w:r>
        <w:rPr>
          <w:rFonts w:ascii="Times New Roman" w:hAnsi="Times New Roman" w:eastAsia="仿宋" w:cs="Times New Roman"/>
          <w:bCs/>
          <w:sz w:val="32"/>
          <w:szCs w:val="36"/>
        </w:rPr>
        <w:t>划分农业面源污染优先控制单元，开展农业面源污染综合治理和监管试点，建设农业面源污染监测“一张网”。深入推广农业新技术，以推广测土配方施肥、有机肥替代化肥、水肥一体化、病虫害统防统治及绿色防控技术为核心，推进化肥、农药减量增效。在沅江桃源段沿线主要产粮区开展果、菜、茶有机肥替代化肥示范、绿色防控示范。到2025年，主要粮产作物测土配方施肥技术覆盖率90%以上，主要农作物化肥农药施用量持续减少，三大粮食作物化肥利用率分别提高3个百分点。不断完善农膜、秸秆回收利用网络，推进农膜、秸秆回收利用产业链建设，严禁露天焚烧秸秆。落实秸秆还田离田支持政策，研究制定废弃农膜处理相关细则。到2025年，全县农膜回收率达85%以上</w:t>
      </w:r>
      <w:r>
        <w:rPr>
          <w:rFonts w:hint="eastAsia" w:ascii="Times New Roman" w:hAnsi="Times New Roman" w:eastAsia="仿宋" w:cs="Times New Roman"/>
          <w:bCs/>
          <w:sz w:val="32"/>
          <w:szCs w:val="36"/>
        </w:rPr>
        <w:t>（以省下达为准）</w:t>
      </w:r>
      <w:r>
        <w:rPr>
          <w:rFonts w:ascii="Times New Roman" w:hAnsi="Times New Roman" w:eastAsia="仿宋" w:cs="Times New Roman"/>
          <w:bCs/>
          <w:sz w:val="32"/>
          <w:szCs w:val="36"/>
        </w:rPr>
        <w:t>，秸秆综合利用率达90%以上。</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加快养殖业污染防治。</w:t>
      </w:r>
      <w:r>
        <w:rPr>
          <w:rFonts w:ascii="Times New Roman" w:hAnsi="Times New Roman" w:eastAsia="仿宋" w:cs="Times New Roman"/>
          <w:bCs/>
          <w:sz w:val="32"/>
          <w:szCs w:val="36"/>
        </w:rPr>
        <w:t>坚持以地定畜、以种定养，以县为单位优化畜禽养殖区域布局，科学规范养殖业空间布局，根据土地承载能力确定畜禽养殖规模，超过土地承载能力的区域和规模养殖场，逐步调减养殖总量。以规模养殖场为重点，以农用有机肥和农村能源为主要利用方向，加大畜禽粪污资源化利用整</w:t>
      </w:r>
      <w:r>
        <w:rPr>
          <w:rFonts w:hint="eastAsia" w:ascii="Times New Roman" w:hAnsi="Times New Roman" w:eastAsia="仿宋" w:cs="Times New Roman"/>
          <w:bCs/>
          <w:sz w:val="32"/>
          <w:szCs w:val="36"/>
        </w:rPr>
        <w:t>县</w:t>
      </w:r>
      <w:r>
        <w:rPr>
          <w:rFonts w:ascii="Times New Roman" w:hAnsi="Times New Roman" w:eastAsia="仿宋" w:cs="Times New Roman"/>
          <w:bCs/>
          <w:sz w:val="32"/>
          <w:szCs w:val="36"/>
        </w:rPr>
        <w:t>推进力度，加强规模以下畜禽养殖监管，鼓励养殖户全量收集和利用畜禽粪污，积极推行经济高效粪污资源化利用技术模式。提升种养结合水平，以果菜茶优势产区、核心产区、知名品牌生产基地为重点，支持引导农民和新型经营主体积造和施用有机肥，引导现代农业示范区、现代农业产业园和农业绿色发展先行区率先实现种养循环发展。优化水产养殖空间布局，坚持生态健康养殖，开展水产养殖尾水污染综合整治。到2025年，全县畜禽粪污综合利用率达到80%以上，基本解决畜禽规模养殖场粪污处理和资源化利用问题。</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深入开展人居环境整治。</w:t>
      </w:r>
      <w:r>
        <w:rPr>
          <w:rFonts w:ascii="Times New Roman" w:hAnsi="Times New Roman" w:eastAsia="仿宋" w:cs="Times New Roman"/>
          <w:bCs/>
          <w:sz w:val="32"/>
          <w:szCs w:val="36"/>
        </w:rPr>
        <w:t>以整县推进的方式开展农村人居环境整治提升行动，大力推动贫困落后地区的环境整治，支持群众开展村庄清洁和绿化行动，加大生态文明示范村镇创建力度，以美丽乡村示范村创建为抓手，分层次、分类别梯次推进美丽乡村建设，完善整县推进机制，优化农村人居环境整治奖惩指标。统筹实施农村黑臭水体治理与农村水系综合整治，优先选择重要生态功能区以及水体面积大、污染程度重、群众反映强烈的农村黑臭水体进行成因排查并开展治理试点，形成一批可复制、可推广的农村黑臭水体治理模式，探索建立农村黑臭水体治理长效机制。到2025年，农村黑臭水体治理率达到40%。强化河湖长制，在有基础、有条件的</w:t>
      </w:r>
      <w:r>
        <w:rPr>
          <w:rFonts w:hint="eastAsia" w:ascii="Times New Roman" w:hAnsi="Times New Roman" w:eastAsia="仿宋" w:cs="Times New Roman"/>
          <w:bCs/>
          <w:sz w:val="32"/>
          <w:szCs w:val="36"/>
        </w:rPr>
        <w:t>区域</w:t>
      </w:r>
      <w:r>
        <w:rPr>
          <w:rFonts w:ascii="Times New Roman" w:hAnsi="Times New Roman" w:eastAsia="仿宋" w:cs="Times New Roman"/>
          <w:bCs/>
          <w:sz w:val="32"/>
          <w:szCs w:val="36"/>
        </w:rPr>
        <w:t>开展水质监测。加强农村河湖管护，推进农村生态保护与修复。</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完善农村生态环境治理机制。</w:t>
      </w:r>
      <w:r>
        <w:rPr>
          <w:rFonts w:ascii="Times New Roman" w:hAnsi="Times New Roman" w:eastAsia="仿宋" w:cs="Times New Roman"/>
          <w:bCs/>
          <w:sz w:val="32"/>
          <w:szCs w:val="36"/>
        </w:rPr>
        <w:t>落实县、乡（镇）、村三级农村环境治理管理职责，加强部门属地联动，将农村生活污水、垃圾处理纳入村规民约，逐步形成党政机关、企事业单位及广大居民自觉参与农村环境保护工作的良好氛围。完善农村生活污水处理设施、农村生活垃圾收运体系运营和管护机制，探索建立污水处理农户付费制度、农村垃圾处理收费制度。探索建立多元化的补贴、电价等激励政策，鼓励各地出台有机肥生产、储运扶持政策，完善农民施用有机肥市场激励机制，研究制定有机肥厂、规模化大型沼气工程、畜禽粪污第三方处理用地用电优惠政策，推进秸秆和畜禽粪污发电并网运行、电量全额保障性收购，结合实际统筹加大秸秆还田补贴力度，探索建立生态有机农产品消费补偿机制。创新农村环境保护投融资机制，通过引导性的政策性贷款发放，对农村环境基础设施项目投资和环境治理资金进行重点支持；通过财政贴息或补贴、落实税收优惠政策等措施，吸引社会资本进入农村环境保护基础设施建设；积极探索政府购买服务。</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9"/>
              <w:spacing w:line="560" w:lineRule="exact"/>
              <w:jc w:val="center"/>
              <w:rPr>
                <w:rFonts w:ascii="Times New Roman" w:eastAsia="仿宋" w:cs="Times New Roman"/>
                <w:b/>
                <w:bCs/>
                <w:color w:val="auto"/>
                <w:kern w:val="2"/>
                <w:sz w:val="32"/>
                <w:szCs w:val="32"/>
              </w:rPr>
            </w:pPr>
            <w:r>
              <w:rPr>
                <w:rFonts w:ascii="Times New Roman" w:eastAsia="仿宋" w:cs="Times New Roman"/>
                <w:b/>
                <w:bCs/>
                <w:color w:val="auto"/>
                <w:kern w:val="2"/>
                <w:sz w:val="32"/>
                <w:szCs w:val="32"/>
              </w:rPr>
              <w:t>专栏4-农村生态环境质量改善重大工程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napToGrid w:val="0"/>
              <w:spacing w:line="560" w:lineRule="exact"/>
              <w:rPr>
                <w:rFonts w:ascii="Times New Roman" w:hAnsi="Times New Roman" w:eastAsia="仿宋" w:cs="Times New Roman"/>
                <w:sz w:val="32"/>
                <w:szCs w:val="32"/>
              </w:rPr>
            </w:pPr>
            <w:r>
              <w:rPr>
                <w:rFonts w:ascii="Times New Roman" w:hAnsi="Times New Roman" w:eastAsia="仿宋" w:cs="Times New Roman"/>
                <w:b/>
                <w:sz w:val="32"/>
                <w:szCs w:val="32"/>
              </w:rPr>
              <w:t>1、农村生活污水治理整县推进项目。</w:t>
            </w:r>
            <w:r>
              <w:rPr>
                <w:rFonts w:ascii="Times New Roman" w:hAnsi="Times New Roman" w:eastAsia="仿宋" w:cs="Times New Roman"/>
                <w:sz w:val="32"/>
                <w:szCs w:val="32"/>
              </w:rPr>
              <w:t>对全县28个乡镇、街道及100个农村居民集聚区建设污水集中处理设施及配套管网建设，新建300户分散式居民污水处理设施。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napToGrid w:val="0"/>
              <w:spacing w:line="560" w:lineRule="exact"/>
              <w:rPr>
                <w:rFonts w:ascii="Times New Roman" w:hAnsi="Times New Roman" w:eastAsia="仿宋" w:cs="Times New Roman"/>
                <w:sz w:val="32"/>
                <w:szCs w:val="32"/>
              </w:rPr>
            </w:pPr>
            <w:r>
              <w:rPr>
                <w:rFonts w:ascii="Times New Roman" w:hAnsi="Times New Roman" w:eastAsia="仿宋" w:cs="Times New Roman"/>
                <w:b/>
                <w:sz w:val="32"/>
                <w:szCs w:val="32"/>
              </w:rPr>
              <w:t>2、农村黑臭水体治理项目。</w:t>
            </w:r>
            <w:r>
              <w:rPr>
                <w:rFonts w:ascii="Times New Roman" w:hAnsi="Times New Roman" w:eastAsia="仿宋" w:cs="Times New Roman"/>
                <w:sz w:val="32"/>
                <w:szCs w:val="32"/>
              </w:rPr>
              <w:t>结合全县农村黑臭水体摸排结果，选择群众反映强烈的黑臭水体作为试点，开展黑臭水体治理项目。</w:t>
            </w:r>
          </w:p>
        </w:tc>
      </w:tr>
    </w:tbl>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5</w:t>
      </w:r>
      <w:r>
        <w:rPr>
          <w:rFonts w:hint="eastAsia" w:ascii="仿宋" w:hAnsi="仿宋" w:eastAsia="仿宋" w:cs="仿宋"/>
          <w:b/>
          <w:sz w:val="32"/>
          <w:szCs w:val="36"/>
        </w:rPr>
        <w:t>.持续推进重金属污染防控</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实施重金属排放总量控制。</w:t>
      </w:r>
      <w:r>
        <w:rPr>
          <w:rFonts w:ascii="Times New Roman" w:hAnsi="Times New Roman" w:eastAsia="仿宋" w:cs="Times New Roman"/>
          <w:bCs/>
          <w:sz w:val="32"/>
          <w:szCs w:val="36"/>
        </w:rPr>
        <w:t>聚焦重有色金属采选冶炼、电镀等重点行业和重点区域，坚持严控增量、削减存量，持续推进镉、汞、砷、铅、铬、铊等重点重金属污染防控。严格涉重金属重点行业环境准入，落实重点重金属污染物排放量“等量置换”和“减量替换”原则。加大有色金属、电镀等行业企业生产工艺提升改造力度，积极推进重金属特别排放限值达标改造等污染治理工程，持续减少重金属污染物排放。</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加强废弃矿山矿涌水重金属污染治理。</w:t>
      </w:r>
      <w:r>
        <w:rPr>
          <w:rFonts w:ascii="Times New Roman" w:hAnsi="Times New Roman" w:eastAsia="仿宋" w:cs="Times New Roman"/>
          <w:bCs/>
          <w:sz w:val="32"/>
          <w:szCs w:val="36"/>
        </w:rPr>
        <w:t>综合应用无人机和现场踏勘等方式，对全县废弃矿涌水重金属污染情况进行排查、调查和分类管控，切实摸清底数，推进矿涌水治理，因地制宜制定整改工作方案，压紧压实各方责任。</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加强尾矿库综合治理。</w:t>
      </w:r>
      <w:r>
        <w:rPr>
          <w:rFonts w:ascii="Times New Roman" w:hAnsi="Times New Roman" w:eastAsia="仿宋" w:cs="Times New Roman"/>
          <w:bCs/>
          <w:sz w:val="32"/>
          <w:szCs w:val="36"/>
        </w:rPr>
        <w:t>全面排查尾矿库，分级分类推进尾矿库整治工作，以地市为单元，拉条挂账建立问题清单，明确责任主体、治理措施、时限要求等，按照“一库一策”加快实施治理。严禁在沅江岸线1公里区域范围内新（改、扩）建尾矿库；以饮用水水源地上游尾矿库为重点，建立健全尾矿库环境预警监测体系；鼓励开展尾矿资源化利用，严禁未经审批回采尾矿。加强尾矿库安全管理，最大限度降低溃坝等事故导致尾矿进入农田风险，因地制宜管控矿区污染土壤和酸性废水环境风险。</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加强重金属污染场地治理。</w:t>
      </w:r>
      <w:r>
        <w:rPr>
          <w:rFonts w:ascii="Times New Roman" w:hAnsi="Times New Roman" w:eastAsia="仿宋" w:cs="Times New Roman"/>
          <w:bCs/>
          <w:sz w:val="32"/>
          <w:szCs w:val="36"/>
        </w:rPr>
        <w:t>结合深入推进土壤污染防治行动，突出重金属污染场地治理。对受重金属污染农用地，精准划分耕地土壤环境质量类别，并落实到每一丘块农田；深入开展涉镉等重金属污染源头排查整治，全面摸清镉等重金属污染源；巩固深化重金属污染耕地治理修复成果。对受重金属污染地块，精准建立建设用地土壤污染风险管控和修复名录和污染地块信息库，并与建设用地审批相衔接，实现对建设用地的精准管控。</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强化涉重金属重点行业管控。</w:t>
      </w:r>
      <w:r>
        <w:rPr>
          <w:rFonts w:ascii="Times New Roman" w:hAnsi="Times New Roman" w:eastAsia="仿宋" w:cs="Times New Roman"/>
          <w:bCs/>
          <w:sz w:val="32"/>
          <w:szCs w:val="36"/>
        </w:rPr>
        <w:t>严格控制涉重金属新增产能快速扩张，优化产业布局，继续淘汰涉重金属重点行业落后产能。实施重有色金属采选、冶炼等行业污染整治提升行动，加大生产工艺提升改造力度，耕地周边铅锌铜冶炼企业执行颗粒物和重点重金属污染物特别排放限值，推动企业绿色化提标改造。加强有色、钢铁等行业企业铊污染排查整治，强化汞污染防控和《关于汞的水俣公约》国内履约任务落实。将涉镉等重金属行业企业纳入大气、水污染物重点排污单位名录，2025年底前，全部安装、使用水、大气污染物排放实行自动监测。制定电镀、制革、铅蓄电池等行业工业园区综合整治方案，推动园区清洁、规范发展。强化涉重金属工业园区和重点工矿企业的重金属污染物排放及周边环境中的重金属监测，加强环境风险隐患排查。深入推进重点河流湖库、水源地等环境敏感区域周边涉重金属企业污染综合治理。</w:t>
      </w:r>
    </w:p>
    <w:p>
      <w:pPr>
        <w:spacing w:line="560" w:lineRule="exact"/>
        <w:ind w:firstLine="640" w:firstLineChars="200"/>
        <w:rPr>
          <w:rFonts w:ascii="楷体" w:hAnsi="楷体" w:eastAsia="楷体" w:cs="楷体"/>
          <w:bCs/>
          <w:sz w:val="32"/>
          <w:szCs w:val="36"/>
        </w:rPr>
      </w:pPr>
      <w:r>
        <w:rPr>
          <w:rFonts w:hint="eastAsia" w:ascii="楷体" w:hAnsi="楷体" w:eastAsia="楷体" w:cs="楷体"/>
          <w:bCs/>
          <w:sz w:val="32"/>
          <w:szCs w:val="36"/>
        </w:rPr>
        <w:t>（三）加强生态系统保护与修复</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1</w:t>
      </w:r>
      <w:r>
        <w:rPr>
          <w:rFonts w:hint="eastAsia" w:ascii="仿宋" w:hAnsi="仿宋" w:eastAsia="仿宋" w:cs="仿宋"/>
          <w:b/>
          <w:sz w:val="32"/>
          <w:szCs w:val="36"/>
        </w:rPr>
        <w:t>.优化生态空间保护格局</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筑牢乌云界自然保护区生态安全屏障。</w:t>
      </w:r>
      <w:r>
        <w:rPr>
          <w:rFonts w:ascii="Times New Roman" w:hAnsi="Times New Roman" w:eastAsia="仿宋" w:cs="Times New Roman"/>
          <w:bCs/>
          <w:sz w:val="32"/>
          <w:szCs w:val="36"/>
        </w:rPr>
        <w:t>贯彻落实长江经济带“共抓大保护、不搞大开发”总基调，加强生态功能重要区域保护，统筹推进山水林田湖草系统保护修复。充分维持和发挥沅江干线、内河湖泊、自然保护区等的洪水调蓄、水源涵养、气候调节和生物多样性保护等生态功能，推动沅江及其岸线生态恢复、内河湖泊湿地生态系统修复，逐步提升生态系统稳定性和生态服务功能，发挥乌云界自然保护区生物多样性维护、水源涵养、水土保持生态功能，加强原生地带性植被保护和珍稀原生动植物保护，加快区域生态廊道建设，加强沅</w:t>
      </w:r>
      <w:r>
        <w:rPr>
          <w:rFonts w:hint="eastAsia" w:ascii="Times New Roman" w:hAnsi="Times New Roman" w:eastAsia="仿宋" w:cs="Times New Roman"/>
          <w:bCs/>
          <w:sz w:val="32"/>
          <w:szCs w:val="36"/>
        </w:rPr>
        <w:t>江桃源段</w:t>
      </w:r>
      <w:r>
        <w:rPr>
          <w:rFonts w:ascii="Times New Roman" w:hAnsi="Times New Roman" w:eastAsia="仿宋" w:cs="Times New Roman"/>
          <w:bCs/>
          <w:sz w:val="32"/>
          <w:szCs w:val="36"/>
        </w:rPr>
        <w:t>两岸天然林保护、公益林建设和造林绿化。</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优化生态空间保护格局。</w:t>
      </w:r>
      <w:r>
        <w:rPr>
          <w:rFonts w:ascii="Times New Roman" w:hAnsi="Times New Roman" w:eastAsia="仿宋" w:cs="Times New Roman"/>
          <w:bCs/>
          <w:sz w:val="32"/>
          <w:szCs w:val="36"/>
        </w:rPr>
        <w:t>构建以国家公园为主体、自然保护区为基础、各类自然公园为补充的自然保护地体系。加快推进生态保护红线评估调整、自然保护地整合优化及勘界定标等基础性工作，严格管控自然保护地范围内非生态活动，稳妥推进核心区内居民、耕地、矿权有序退出，推进国家公园建设。到2025年，全面完成生态保护红线、自然保护地优化调整和勘界立标，生态保护红线面积占国土面积的比例不低于20.23%，自然保护地面积占国土面积比例不低于11.3%。</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2</w:t>
      </w:r>
      <w:r>
        <w:rPr>
          <w:rFonts w:hint="eastAsia" w:ascii="仿宋" w:hAnsi="仿宋" w:eastAsia="仿宋" w:cs="仿宋"/>
          <w:b/>
          <w:sz w:val="32"/>
          <w:szCs w:val="36"/>
        </w:rPr>
        <w:t>.提升生态系统功能和稳定性</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推动湿地保护与修复。</w:t>
      </w:r>
      <w:r>
        <w:rPr>
          <w:rFonts w:ascii="Times New Roman" w:hAnsi="Times New Roman" w:eastAsia="仿宋" w:cs="Times New Roman"/>
          <w:bCs/>
          <w:sz w:val="32"/>
          <w:szCs w:val="36"/>
        </w:rPr>
        <w:t>坚持自然恢复为主，加强区域内保存较好的自然湿地保护。加强湿地越冬水鸟和关键物种的保护，初步形成以保护生物多样性为核心的湿地生态安全格局。强化湿地用途管制和利用监管，推动小微湿地保护与建设，有序开展湿地资源合理利用示范。到2025年，湿地保护率稳定在72%以上。</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推动绿色矿山建设。</w:t>
      </w:r>
      <w:r>
        <w:rPr>
          <w:rFonts w:ascii="Times New Roman" w:hAnsi="Times New Roman" w:eastAsia="仿宋" w:cs="Times New Roman"/>
          <w:bCs/>
          <w:sz w:val="32"/>
          <w:szCs w:val="36"/>
        </w:rPr>
        <w:t>加强生产矿山生态保护工作，实行边生产、边治理；将绿色发展理念贯穿于矿山环境恢复治理的全过程，积极推动全县矿山的升级改造。聚焦南方丘陵山地带生态功能区、长江重点生态功能区，推动历史遗留废弃矿山生态保护修复，加强历史遗留废弃矿山开采边坡综合整治、地形重塑、生态植被重建、水土流失治理。</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推进城市生态系统保护修复。</w:t>
      </w:r>
      <w:r>
        <w:rPr>
          <w:rFonts w:ascii="Times New Roman" w:hAnsi="Times New Roman" w:eastAsia="仿宋" w:cs="Times New Roman"/>
          <w:bCs/>
          <w:sz w:val="32"/>
          <w:szCs w:val="36"/>
        </w:rPr>
        <w:t>实施城市更新行动，修护完善城市生态系统。持续推进园林城市建设，提升城市魅力与品质，按照“300米见绿，500米见园”要求，推进“公园绿地5至15分钟服务圈”工程建设，全面推进城市绿道建设，连通公园</w:t>
      </w:r>
      <w:r>
        <w:rPr>
          <w:rFonts w:hint="eastAsia" w:ascii="Times New Roman" w:hAnsi="Times New Roman" w:eastAsia="仿宋" w:cs="Times New Roman"/>
          <w:bCs/>
          <w:sz w:val="32"/>
          <w:szCs w:val="36"/>
        </w:rPr>
        <w:t>、</w:t>
      </w:r>
      <w:r>
        <w:rPr>
          <w:rFonts w:ascii="Times New Roman" w:hAnsi="Times New Roman" w:eastAsia="仿宋" w:cs="Times New Roman"/>
          <w:bCs/>
          <w:sz w:val="32"/>
          <w:szCs w:val="36"/>
        </w:rPr>
        <w:t>湿地等绿地系统，到2025年，全县城市建成区绿地率达到40%以上，城市公园绿地服务半径覆盖率达到80%以上。加强自然山体、河湖水系和名木古树保护，提升城市水体岸线自然化率。推动海绵城市建设，因地制宜实施城市径流综合利用、城区河流及排污口下游人工湿地水质净化工程，提升城市水体自净能力。</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3</w:t>
      </w:r>
      <w:r>
        <w:rPr>
          <w:rFonts w:hint="eastAsia" w:ascii="仿宋" w:hAnsi="仿宋" w:eastAsia="仿宋" w:cs="仿宋"/>
          <w:b/>
          <w:sz w:val="32"/>
          <w:szCs w:val="36"/>
        </w:rPr>
        <w:t>.加强生物多样性保护</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夯实生物多样性保护基础。</w:t>
      </w:r>
      <w:r>
        <w:rPr>
          <w:rFonts w:ascii="Times New Roman" w:hAnsi="Times New Roman" w:eastAsia="仿宋" w:cs="Times New Roman"/>
          <w:bCs/>
          <w:sz w:val="32"/>
          <w:szCs w:val="36"/>
        </w:rPr>
        <w:t>推动修订生物多样性保护战略与行动计划及规划，实施生物多样性保护重大工程。进一步完善生物多样性监管体系，将生物多样性指标纳入生态质量监测、质量评价与成效考核体系。加强珍稀濒危物种的调查监测与评价，掌握物种历史分布区、实际分布区、种群数量、种群结构、生境和栖息地基本情况。加强野生动植物保护监督，全面禁止非法交易野生动物，革除滥食野生动物陋习，加强生物多样性保护与生物安全宣传教育。</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加强旗舰物种特有物种的保护。</w:t>
      </w:r>
      <w:r>
        <w:rPr>
          <w:rFonts w:ascii="Times New Roman" w:hAnsi="Times New Roman" w:eastAsia="仿宋" w:cs="Times New Roman"/>
          <w:bCs/>
          <w:sz w:val="32"/>
          <w:szCs w:val="36"/>
        </w:rPr>
        <w:t>加强保护国际关注物种和国家重点保护物种及其栖息地，保护湖南省特有稀有物种、关键物种及其栖息地。完善关键物种就地保护和迁地保护网络，持续推进自然保护区、生态廊道等保护空间标准化、规范化建设，完善</w:t>
      </w:r>
      <w:r>
        <w:rPr>
          <w:rFonts w:hint="eastAsia" w:ascii="Times New Roman" w:hAnsi="Times New Roman" w:eastAsia="仿宋" w:cs="Times New Roman"/>
          <w:bCs/>
          <w:sz w:val="32"/>
          <w:szCs w:val="36"/>
        </w:rPr>
        <w:t>各类物种</w:t>
      </w:r>
      <w:r>
        <w:rPr>
          <w:rFonts w:ascii="Times New Roman" w:hAnsi="Times New Roman" w:eastAsia="仿宋" w:cs="Times New Roman"/>
          <w:bCs/>
          <w:sz w:val="32"/>
          <w:szCs w:val="36"/>
        </w:rPr>
        <w:t>保护体系。</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加强生物安全管理。</w:t>
      </w:r>
      <w:r>
        <w:rPr>
          <w:rFonts w:ascii="Times New Roman" w:hAnsi="Times New Roman" w:eastAsia="仿宋" w:cs="Times New Roman"/>
          <w:bCs/>
          <w:sz w:val="32"/>
          <w:szCs w:val="36"/>
        </w:rPr>
        <w:t>加强外来入侵物种管控，持续开展外来物种入侵物种调查、监测和预警，加强入侵机理、扩散途径、应对措施和开发利用途径研究，积极防治外来物种入侵，消除入侵物种威胁，推动开展外来有害物种清除试点。持续提升外来入侵物种和外来疫病防控管理水平，建立健全部门间协调机制，加强技术体系研究，推动防控技术示范与应用。加强转基因生物环境安全监管。</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4</w:t>
      </w:r>
      <w:r>
        <w:rPr>
          <w:rFonts w:hint="eastAsia" w:ascii="仿宋" w:hAnsi="仿宋" w:eastAsia="仿宋" w:cs="仿宋"/>
          <w:b/>
          <w:sz w:val="32"/>
          <w:szCs w:val="36"/>
        </w:rPr>
        <w:t>.强化自然生态监督管理与监测评估</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建立自然生态监管体系。</w:t>
      </w:r>
      <w:r>
        <w:rPr>
          <w:rFonts w:ascii="Times New Roman" w:hAnsi="Times New Roman" w:eastAsia="仿宋" w:cs="Times New Roman"/>
          <w:bCs/>
          <w:sz w:val="32"/>
          <w:szCs w:val="36"/>
        </w:rPr>
        <w:t>通过非现场监管、无人机监管、卫星遥感等应用技术，强化对破坏湿地、林地、草地、自然岸线等行为的监督，强化对湿地生态环境保护、荒漠化防治、岸线保护修复的监督。定期对自然保护地、生态保护红线保护成效进行评估，推进绩效考核和督察问责，加大对挤占生态空间和损害重要生态系统行为的惩处力度。</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加强生态保护红线监督管理。</w:t>
      </w:r>
      <w:r>
        <w:rPr>
          <w:rFonts w:ascii="Times New Roman" w:hAnsi="Times New Roman" w:eastAsia="仿宋" w:cs="Times New Roman"/>
          <w:bCs/>
          <w:sz w:val="32"/>
          <w:szCs w:val="36"/>
        </w:rPr>
        <w:t>将生态保护红线作为综合决策的重要依据，切实履行好监管责任。开展生态保护红线生态环境和人类活动本底调查，核定生态保护红线生态功能基线水平。开展生态保护红线生态破坏问题监管试点，建立生态保护红线生态破坏问题监管工作机制，开展生态保护红线监测预警，联合有关部门制定评估规则，建立联审联报机制，深度参与评估过程，加快推进生态保护红线监管平台建设。</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深入推进自然保护地监督。</w:t>
      </w:r>
      <w:r>
        <w:rPr>
          <w:rFonts w:ascii="Times New Roman" w:hAnsi="Times New Roman" w:eastAsia="仿宋" w:cs="Times New Roman"/>
          <w:bCs/>
          <w:sz w:val="32"/>
          <w:szCs w:val="36"/>
        </w:rPr>
        <w:t>建立健全自然保护地生态环境问题台账，组织开展“绿盾”自然保护地强化监督，开展重点问题实地核查，提升监管成效。加强对自然保护区设立、晋（降）级、调整、整合和退出的监管，对涉调区域、地块从严审核。推动自然保护地突出生态环境问题的整改，严格落实整改销号制度，督促重点问题依法查处到位、彻底整改到位。强化部门协同联动，将重点问题纳入日常督查、专项督察等统筹推进整改，严防已整改问题反弹，巩固问题整治成效。</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加强监测评估成果综合应用。</w:t>
      </w:r>
      <w:r>
        <w:rPr>
          <w:rFonts w:ascii="Times New Roman" w:hAnsi="Times New Roman" w:eastAsia="仿宋" w:cs="Times New Roman"/>
          <w:bCs/>
          <w:sz w:val="32"/>
          <w:szCs w:val="36"/>
        </w:rPr>
        <w:t>将生态保护红线、自然保护地和县域重点生态功能区生态质量监测结果作为测算生态保护补偿、重点生态功能区转移支付、优化生态保护修复治理专项资金配置的重要依据。将生态状况遥感调查评估结果纳入生态文明建设相关考核。</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5</w:t>
      </w:r>
      <w:r>
        <w:rPr>
          <w:rFonts w:hint="eastAsia" w:ascii="仿宋" w:hAnsi="仿宋" w:eastAsia="仿宋" w:cs="仿宋"/>
          <w:b/>
          <w:sz w:val="32"/>
          <w:szCs w:val="36"/>
        </w:rPr>
        <w:t>.加强生态文明示范创建引领</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持续推进创建工作。</w:t>
      </w:r>
      <w:r>
        <w:rPr>
          <w:rFonts w:ascii="Times New Roman" w:hAnsi="Times New Roman" w:eastAsia="仿宋" w:cs="Times New Roman"/>
          <w:bCs/>
          <w:sz w:val="32"/>
          <w:szCs w:val="36"/>
        </w:rPr>
        <w:t>持续深化国家生态文明建设示范县创建工作，巩固提升创建成果，并逐年更新档案资料。以桃源县茶庵铺镇作为“绿水青山就是金山银山”实践创新基地，聚焦生态经济，提质金山银山，探索生态文明示范创建成果运用机制。</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9"/>
              <w:spacing w:line="560" w:lineRule="exact"/>
              <w:jc w:val="center"/>
              <w:rPr>
                <w:rFonts w:ascii="Times New Roman" w:eastAsia="仿宋" w:cs="Times New Roman"/>
                <w:b/>
                <w:bCs/>
                <w:color w:val="auto"/>
                <w:kern w:val="2"/>
                <w:sz w:val="32"/>
                <w:szCs w:val="32"/>
              </w:rPr>
            </w:pPr>
            <w:r>
              <w:rPr>
                <w:rFonts w:ascii="Times New Roman" w:eastAsia="仿宋" w:cs="Times New Roman"/>
                <w:b/>
                <w:bCs/>
                <w:color w:val="auto"/>
                <w:kern w:val="2"/>
                <w:sz w:val="32"/>
                <w:szCs w:val="32"/>
              </w:rPr>
              <w:t>专栏5-生态保护修复重大工程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napToGrid w:val="0"/>
              <w:spacing w:line="560" w:lineRule="exact"/>
              <w:rPr>
                <w:rFonts w:ascii="Times New Roman" w:hAnsi="Times New Roman" w:eastAsia="仿宋" w:cs="Times New Roman"/>
                <w:sz w:val="32"/>
                <w:szCs w:val="32"/>
              </w:rPr>
            </w:pPr>
            <w:r>
              <w:rPr>
                <w:rFonts w:ascii="Times New Roman" w:hAnsi="Times New Roman" w:eastAsia="仿宋" w:cs="Times New Roman"/>
                <w:b/>
                <w:sz w:val="32"/>
                <w:szCs w:val="32"/>
              </w:rPr>
              <w:t>1、乌云界自然保护区生态系统修复工程。</w:t>
            </w:r>
            <w:r>
              <w:rPr>
                <w:rFonts w:ascii="Times New Roman" w:hAnsi="Times New Roman" w:eastAsia="仿宋" w:cs="Times New Roman"/>
                <w:sz w:val="32"/>
                <w:szCs w:val="32"/>
              </w:rPr>
              <w:t>科学核定自然保护区核心区内确需搬迁的原有居民数量，制定切实可行搬迁计划；完善自然保护区基础设施建设，构建自然保护区监测体系。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napToGrid w:val="0"/>
              <w:spacing w:line="560" w:lineRule="exact"/>
              <w:rPr>
                <w:rFonts w:ascii="Times New Roman" w:hAnsi="Times New Roman" w:eastAsia="仿宋" w:cs="Times New Roman"/>
                <w:sz w:val="32"/>
                <w:szCs w:val="32"/>
              </w:rPr>
            </w:pPr>
            <w:r>
              <w:rPr>
                <w:rFonts w:ascii="Times New Roman" w:hAnsi="Times New Roman" w:eastAsia="仿宋" w:cs="Times New Roman"/>
                <w:b/>
                <w:sz w:val="32"/>
                <w:szCs w:val="32"/>
              </w:rPr>
              <w:t>2、沅水（桃源段）治岸工程。</w:t>
            </w:r>
            <w:r>
              <w:rPr>
                <w:rFonts w:ascii="Times New Roman" w:hAnsi="Times New Roman" w:eastAsia="仿宋" w:cs="Times New Roman"/>
                <w:sz w:val="32"/>
                <w:szCs w:val="32"/>
              </w:rPr>
              <w:t>开展沅水（桃源段）干流与重要支流的岸线整治与修复，打造沅水（桃源段）生态廊道，加强沅水两岸天然林公益林建设和造林绿化。</w:t>
            </w:r>
          </w:p>
        </w:tc>
      </w:tr>
    </w:tbl>
    <w:p>
      <w:pPr>
        <w:spacing w:line="560" w:lineRule="exact"/>
        <w:ind w:firstLine="640" w:firstLineChars="200"/>
        <w:rPr>
          <w:rFonts w:ascii="楷体" w:hAnsi="楷体" w:eastAsia="楷体" w:cs="楷体"/>
          <w:bCs/>
          <w:sz w:val="32"/>
          <w:szCs w:val="36"/>
        </w:rPr>
      </w:pPr>
      <w:r>
        <w:rPr>
          <w:rFonts w:hint="eastAsia" w:ascii="楷体" w:hAnsi="楷体" w:eastAsia="楷体" w:cs="楷体"/>
          <w:bCs/>
          <w:sz w:val="32"/>
          <w:szCs w:val="36"/>
        </w:rPr>
        <w:t>（四）防范化解生态环境风险</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1</w:t>
      </w:r>
      <w:r>
        <w:rPr>
          <w:rFonts w:hint="eastAsia" w:ascii="仿宋" w:hAnsi="仿宋" w:eastAsia="仿宋" w:cs="仿宋"/>
          <w:b/>
          <w:sz w:val="32"/>
          <w:szCs w:val="36"/>
        </w:rPr>
        <w:t>.加强危险废物及医疗废物管控</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加强危险废物全过程环境监管。</w:t>
      </w:r>
      <w:r>
        <w:rPr>
          <w:rFonts w:ascii="Times New Roman" w:hAnsi="Times New Roman" w:eastAsia="仿宋" w:cs="Times New Roman"/>
          <w:bCs/>
          <w:sz w:val="32"/>
          <w:szCs w:val="36"/>
        </w:rPr>
        <w:t>建立危险废物环境管理长效机制，完善危险废物环境管理体系，推进分级分类管理制度。提升危险废物管理信息化水平，建立完善“能定位、能共享、能追溯”的危险废物信息化监管体系，实现全</w:t>
      </w:r>
      <w:r>
        <w:rPr>
          <w:rFonts w:hint="eastAsia" w:ascii="Times New Roman" w:hAnsi="Times New Roman" w:eastAsia="仿宋" w:cs="Times New Roman"/>
          <w:bCs/>
          <w:sz w:val="32"/>
          <w:szCs w:val="36"/>
        </w:rPr>
        <w:t>县</w:t>
      </w:r>
      <w:r>
        <w:rPr>
          <w:rFonts w:ascii="Times New Roman" w:hAnsi="Times New Roman" w:eastAsia="仿宋" w:cs="Times New Roman"/>
          <w:bCs/>
          <w:sz w:val="32"/>
          <w:szCs w:val="36"/>
        </w:rPr>
        <w:t>危险废物信息化管理“一张网”；推进危险废物规范化管理，严厉打击危险废物非法转移、倾倒、利用处置和无证经营危险废物等违法活动。</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严格涉危险废物建设项目环境准入。</w:t>
      </w:r>
      <w:r>
        <w:rPr>
          <w:rFonts w:ascii="Times New Roman" w:hAnsi="Times New Roman" w:eastAsia="仿宋" w:cs="Times New Roman"/>
          <w:bCs/>
          <w:sz w:val="32"/>
          <w:szCs w:val="36"/>
        </w:rPr>
        <w:t>严控新（扩）建危险废物综合利用能力过剩以及以外</w:t>
      </w:r>
      <w:r>
        <w:rPr>
          <w:rFonts w:hint="eastAsia" w:ascii="Times New Roman" w:hAnsi="Times New Roman" w:eastAsia="仿宋" w:cs="Times New Roman"/>
          <w:bCs/>
          <w:sz w:val="32"/>
          <w:szCs w:val="36"/>
        </w:rPr>
        <w:t>来</w:t>
      </w:r>
      <w:r>
        <w:rPr>
          <w:rFonts w:ascii="Times New Roman" w:hAnsi="Times New Roman" w:eastAsia="仿宋" w:cs="Times New Roman"/>
          <w:bCs/>
          <w:sz w:val="32"/>
          <w:szCs w:val="36"/>
        </w:rPr>
        <w:t>原料为主要来源的危险废物综合利用项目；</w:t>
      </w:r>
      <w:r>
        <w:rPr>
          <w:rFonts w:hint="eastAsia" w:ascii="Times New Roman" w:hAnsi="Times New Roman" w:eastAsia="仿宋" w:cs="Times New Roman"/>
          <w:bCs/>
          <w:sz w:val="32"/>
          <w:szCs w:val="36"/>
        </w:rPr>
        <w:t>严禁</w:t>
      </w:r>
      <w:r>
        <w:rPr>
          <w:rFonts w:ascii="Times New Roman" w:hAnsi="Times New Roman" w:eastAsia="仿宋" w:cs="Times New Roman"/>
          <w:bCs/>
          <w:sz w:val="32"/>
          <w:szCs w:val="36"/>
        </w:rPr>
        <w:t>新建有机类危险废物热（裂）解处理项目；对危险废物数量、种类、属性、贮存设施阐述不清的、无合理利用处置方案的、次生固体废物无处置开路的、无环境风险防范措施的建设项目从严审批其环评文件；推动危废产生单位优化工艺、设备和原料选配，源头减少危险废物的产生。探索将危险废物纳入排污许可证管理范围。</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健全危险废物收运和转移体系。</w:t>
      </w:r>
      <w:r>
        <w:rPr>
          <w:rFonts w:ascii="Times New Roman" w:hAnsi="Times New Roman" w:eastAsia="仿宋" w:cs="Times New Roman"/>
          <w:bCs/>
          <w:sz w:val="32"/>
          <w:szCs w:val="36"/>
        </w:rPr>
        <w:t>开展危险废物集中收集贮存试点；推动落实生产者责任延伸制度，鼓励生产经营单位建立专业化的服务队伍和收集站点；鼓励根据属地实际情况依法合理建设危险废物贮存设施；推动危险废物分类收集专业化、规模化和园区化发展；探索建立产业园区或行业危险废物收集平台，提升小微企业工业园区、科研机构等危险废物收集的转运能力；规范铅蓄电池和废矿油回收网络体系；严格危险废物跨省转移，建立危险废物环境风险区域联防联控机制。</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补齐医疗废物处置及应急能力。</w:t>
      </w:r>
      <w:r>
        <w:rPr>
          <w:rFonts w:ascii="Times New Roman" w:hAnsi="Times New Roman" w:eastAsia="仿宋" w:cs="Times New Roman"/>
          <w:bCs/>
          <w:sz w:val="32"/>
          <w:szCs w:val="36"/>
        </w:rPr>
        <w:t>加快推动全县医疗废物集中处置中心建设；鼓励现有医疗废物处置企业进行技术升级与提质扩能改造；强化医疗废物收集、贮存、处置的管理，加强已建设施的运行监管。完善处置物资储备体系，保障重大疫情医疗废物应急处置能力。</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2</w:t>
      </w:r>
      <w:r>
        <w:rPr>
          <w:rFonts w:hint="eastAsia" w:ascii="仿宋" w:hAnsi="仿宋" w:eastAsia="仿宋" w:cs="仿宋"/>
          <w:b/>
          <w:sz w:val="32"/>
          <w:szCs w:val="36"/>
        </w:rPr>
        <w:t>.建设“无废城市”</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提升一般工业固体废物综合利用率。</w:t>
      </w:r>
      <w:r>
        <w:rPr>
          <w:rFonts w:hint="eastAsia" w:ascii="Times New Roman" w:hAnsi="Times New Roman" w:eastAsia="仿宋" w:cs="Times New Roman"/>
          <w:bCs/>
          <w:sz w:val="32"/>
          <w:szCs w:val="36"/>
        </w:rPr>
        <w:t>鼓励</w:t>
      </w:r>
      <w:r>
        <w:rPr>
          <w:rFonts w:ascii="Times New Roman" w:hAnsi="Times New Roman" w:eastAsia="仿宋" w:cs="Times New Roman"/>
          <w:bCs/>
          <w:sz w:val="32"/>
          <w:szCs w:val="36"/>
        </w:rPr>
        <w:t>规划建设一般工业固体废物集中处置设施，支持资源化利用新技术、新设备、新产品的研发与应用；在环境风险可控下，充分利用工业窑炉、水泥窑等设施消纳采选尾矿、粉煤灰、炉渣、冶炼废渣、脱硫石膏等大宗工业固体废物；构建以水泥、建材、冶金等行业为核心的工业固体废物综合利用系统；推动工业固体废物资源综合利用示范基地（园区）、示范企业、示范项目建设，到2025年，全县一般工业固体废物资源综合利用率达到80%。</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强化生活垃圾分类收集、转运及处置。</w:t>
      </w:r>
      <w:r>
        <w:rPr>
          <w:rFonts w:ascii="Times New Roman" w:hAnsi="Times New Roman" w:eastAsia="仿宋" w:cs="Times New Roman"/>
          <w:bCs/>
          <w:sz w:val="32"/>
          <w:szCs w:val="36"/>
        </w:rPr>
        <w:t>实施生活垃圾分类制度，建设分类投放、分类收集、分类运输、分类处置的生活垃圾管理系统，到2025年，桃源县城基本建成生活垃圾分类处理系统。推动建设生活垃圾焚烧发电项目，推进生活垃圾终端处理方式由填埋为主向焚烧为主的多元化处理方式转变；城市生活垃圾日清运量超过300吨地区实现原生垃圾零填埋，生活垃圾日清运量小于300吨地区探索开展小型生活垃圾焚烧设施建设，全面提高生活垃圾减量化、资源化和无害化水平。到2025年，城市生活垃圾无害化处置率达到100%，农村生活垃圾无害化处置率达到95%，生活垃圾焚烧发电处理量占无害化处置量的比例达55%以上。</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推动建筑垃圾资源化利用。</w:t>
      </w:r>
      <w:r>
        <w:rPr>
          <w:rFonts w:ascii="Times New Roman" w:hAnsi="Times New Roman" w:eastAsia="仿宋" w:cs="Times New Roman"/>
          <w:bCs/>
          <w:sz w:val="32"/>
          <w:szCs w:val="36"/>
        </w:rPr>
        <w:t>推动构建建筑垃圾资源化利用标准体系，形成建筑垃圾处理处置、再生材料研发、生产及利用等方面自主知识产权，打通建筑垃圾到再生材料之间的技术壁垒。推动建立省级建筑垃圾资源化示范城市、建筑垃圾资源化示范工程、建筑垃圾资源化利用基地，全面提升建筑垃圾资源化率。到2025年，建筑垃圾资源化率达到70%以上。</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加强塑料污染全链条治理。</w:t>
      </w:r>
      <w:r>
        <w:rPr>
          <w:rFonts w:ascii="Times New Roman" w:hAnsi="Times New Roman" w:eastAsia="仿宋" w:cs="Times New Roman"/>
          <w:bCs/>
          <w:sz w:val="32"/>
          <w:szCs w:val="36"/>
        </w:rPr>
        <w:t>建立健全塑料污染治理协调推进机制、责任落实机制、督导考核机制。深入开展一次性不可降解塑料制品禁限、塑料废弃物回收处置的监管执法，全面禁止废塑料进口，推广使用可降解塑料制品、塑料替代产品。常态化开展河湖水域、岸线、滩涂等重点区域塑料垃圾清理。大力宣传引导，鼓励支持涉塑机构、企业搭建合作平台，制定行业标准，开展试点示范，强化科研攻关，培育新业态新模式。</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3</w:t>
      </w:r>
      <w:r>
        <w:rPr>
          <w:rFonts w:hint="eastAsia" w:ascii="仿宋" w:hAnsi="仿宋" w:eastAsia="仿宋" w:cs="仿宋"/>
          <w:b/>
          <w:sz w:val="32"/>
          <w:szCs w:val="36"/>
        </w:rPr>
        <w:t>.加强化学品环境管理</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强化新污染物风险管控。</w:t>
      </w:r>
      <w:r>
        <w:rPr>
          <w:rFonts w:ascii="Times New Roman" w:hAnsi="Times New Roman" w:eastAsia="仿宋" w:cs="Times New Roman"/>
          <w:bCs/>
          <w:sz w:val="32"/>
          <w:szCs w:val="36"/>
        </w:rPr>
        <w:t>严格履行化学品环境国际公约要求，以持久性有机污染物、内分泌干扰素、抗生素和微塑料等为重点，持续提升新污染物环境风险评估与管控能力；配合推进化学物质风险评估基础数据库建设及其信息化。</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强化废弃危险化学品处置监管。</w:t>
      </w:r>
      <w:r>
        <w:rPr>
          <w:rFonts w:ascii="Times New Roman" w:hAnsi="Times New Roman" w:eastAsia="仿宋" w:cs="Times New Roman"/>
          <w:bCs/>
          <w:sz w:val="32"/>
          <w:szCs w:val="36"/>
        </w:rPr>
        <w:t>持续开展废弃危险化学品规范化环境管理；督促企业落实主体责任，对定性不明的中间产物（产品）、副产物（品）等物料，开展固体废物鉴别和危险废物鉴别。</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4</w:t>
      </w:r>
      <w:r>
        <w:rPr>
          <w:rFonts w:hint="eastAsia" w:ascii="仿宋" w:hAnsi="仿宋" w:eastAsia="仿宋" w:cs="仿宋"/>
          <w:b/>
          <w:sz w:val="32"/>
          <w:szCs w:val="36"/>
        </w:rPr>
        <w:t>.加强核与辐射安全监管</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保障核技术利用辐射环境安全。</w:t>
      </w:r>
      <w:r>
        <w:rPr>
          <w:rFonts w:ascii="Times New Roman" w:hAnsi="Times New Roman" w:eastAsia="仿宋" w:cs="Times New Roman"/>
          <w:bCs/>
          <w:sz w:val="32"/>
          <w:szCs w:val="36"/>
        </w:rPr>
        <w:t>持续定期开展放射源专项行动，开展核技术利用单位辐射安全管理规范化建设，建成高风险移动放射源在线实时监控平台，全面实现高风险移动放射源实时监控全覆盖，定期对</w:t>
      </w:r>
      <w:r>
        <w:rPr>
          <w:rFonts w:hint="eastAsia" w:ascii="Times New Roman" w:hAnsi="Times New Roman" w:eastAsia="仿宋" w:cs="Times New Roman"/>
          <w:bCs/>
          <w:sz w:val="32"/>
          <w:szCs w:val="36"/>
        </w:rPr>
        <w:t>县</w:t>
      </w:r>
      <w:r>
        <w:rPr>
          <w:rFonts w:ascii="Times New Roman" w:hAnsi="Times New Roman" w:eastAsia="仿宋" w:cs="Times New Roman"/>
          <w:bCs/>
          <w:sz w:val="32"/>
          <w:szCs w:val="36"/>
        </w:rPr>
        <w:t>内测井源运输与使用开展监督检查。加强废旧放射源安全管理，对废物库进行评估和升级改造，定期开展清库，发现的废旧放射源做到100％安全收贮，加强核技术利用放射性废物清洁解控管理，加强废旧金属回收熔炼企业辐射安全监督，督促企业自主开展辐射监测。</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加强电磁辐射管理。</w:t>
      </w:r>
      <w:r>
        <w:rPr>
          <w:rFonts w:ascii="Times New Roman" w:hAnsi="Times New Roman" w:eastAsia="仿宋" w:cs="Times New Roman"/>
          <w:bCs/>
          <w:sz w:val="32"/>
          <w:szCs w:val="36"/>
        </w:rPr>
        <w:t>全力推进电磁辐射（噪声）环境 在线自动站布设，实现实时数据信息的公开发布。破解公众沟通和舆情化解难题，实现上访投诉回复处理率100%，在移动基站和输变电工程领域开展专项调查整治行动，做好电磁科普。加强电磁项目合法性审查。</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加强解决放射性历史遗留问题。</w:t>
      </w:r>
      <w:r>
        <w:rPr>
          <w:rFonts w:ascii="Times New Roman" w:hAnsi="Times New Roman" w:eastAsia="仿宋" w:cs="Times New Roman"/>
          <w:bCs/>
          <w:sz w:val="32"/>
          <w:szCs w:val="36"/>
        </w:rPr>
        <w:t>开展伴生矿放射性矿企业环境污染整治。提高伴生矿环境安全监管能力，建立和动态更新伴生放射性矿开发利用辐射环境安全监管企业名录，督促名录内在运企业100%开展辐射环境和流出物监测。开展停产关闭企业场址及其周边环境的放射性污染情况调查，推动已关闭伴生矿场址的土地再利用。推进伴生矿放射性固体废物规范管理，规范固体废物暂存，控制再利用。开展伴生放射性固体废物集中处置可行性调研，推动建设放射性固体废物处置场。</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5</w:t>
      </w:r>
      <w:r>
        <w:rPr>
          <w:rFonts w:hint="eastAsia" w:ascii="仿宋" w:hAnsi="仿宋" w:eastAsia="仿宋" w:cs="仿宋"/>
          <w:b/>
          <w:sz w:val="32"/>
          <w:szCs w:val="36"/>
        </w:rPr>
        <w:t>.强化环境风险预警防范与应急</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强化生态环境与健康管理。</w:t>
      </w:r>
      <w:r>
        <w:rPr>
          <w:rFonts w:ascii="Times New Roman" w:hAnsi="Times New Roman" w:eastAsia="仿宋" w:cs="Times New Roman"/>
          <w:bCs/>
          <w:sz w:val="32"/>
          <w:szCs w:val="36"/>
        </w:rPr>
        <w:t>组织实施居民生态环境与健康素养提升行动，组建专家队伍，开展生态环境与健康素养科普活动，建设青少年生态环境与健康素养提升基地。推动开展生态环境健康风险识别与排查，鼓励开展区域生态环境与健康调查评估，加强生物安全、室内环境健康等领域环境与健康科学研究。</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加强生态环境保护监管监控。</w:t>
      </w:r>
      <w:r>
        <w:rPr>
          <w:rFonts w:ascii="Times New Roman" w:hAnsi="Times New Roman" w:eastAsia="仿宋" w:cs="Times New Roman"/>
          <w:bCs/>
          <w:sz w:val="32"/>
          <w:szCs w:val="36"/>
        </w:rPr>
        <w:t>建立生态环境保护监控平台和生态环境监控中心，实现对生态环境全天候、全范围、无死角信息化监控。加强生态环境保护日常监管和线下监控，健全环境风险预警防控体系，重点推进重点流域、重要水源地及化工园区风险防控；建立生态环境风险隐患排查制度和重大生态环境风险源数据库，实行动态跟踪监控和管理；设立生态环境风险监督员，及时核查核实群众举报、舆情反映等渠道获取的问题，建立问题清单和整改清单，消除风险。</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加强突发生态环境事件应急处置。</w:t>
      </w:r>
      <w:r>
        <w:rPr>
          <w:rFonts w:ascii="Times New Roman" w:hAnsi="Times New Roman" w:eastAsia="仿宋" w:cs="Times New Roman"/>
          <w:bCs/>
          <w:sz w:val="32"/>
          <w:szCs w:val="36"/>
        </w:rPr>
        <w:t>强化生态环境监控信息响应，对生态环境监控发现的数据异常、重大风险隐患、重大舆情等，迅速进行预警、推送、核实、处置，防止污染扩大、风险爆发、事件升级。以化工园区、尾矿库、冶炼企业等为重点，健全防范化解突发生态环境事件风险和应急准备责任体系，严格落实企业主体责任。提升事中妥善处置能力，健全突发生态环境事件应急响应和处置机制，进一步规范响应和处置层级、程序、时限、处置、评估和责任调查等，提升应急响应和处置的规范化水平。推进事后损害评估、赔偿与环境修复，确保被破坏的生态环境修复到位。</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提升环境应急处置和基础保障水平。</w:t>
      </w:r>
      <w:r>
        <w:rPr>
          <w:rFonts w:ascii="Times New Roman" w:hAnsi="Times New Roman" w:eastAsia="仿宋" w:cs="Times New Roman"/>
          <w:bCs/>
          <w:sz w:val="32"/>
          <w:szCs w:val="36"/>
        </w:rPr>
        <w:t>督促企业制定环境应急预案，实现涉危涉重企业电子化备案全覆盖，2022年底前完成常德市桃源县突发环境事件应急预案修编，推动沅江桃源段突发水环境事件专项预案编制；推进“政府+企业”的环境应急物资保障体系建设，建设全</w:t>
      </w:r>
      <w:r>
        <w:rPr>
          <w:rFonts w:hint="eastAsia" w:ascii="Times New Roman" w:hAnsi="Times New Roman" w:eastAsia="仿宋" w:cs="Times New Roman"/>
          <w:bCs/>
          <w:sz w:val="32"/>
          <w:szCs w:val="36"/>
        </w:rPr>
        <w:t>县</w:t>
      </w:r>
      <w:r>
        <w:rPr>
          <w:rFonts w:ascii="Times New Roman" w:hAnsi="Times New Roman" w:eastAsia="仿宋" w:cs="Times New Roman"/>
          <w:bCs/>
          <w:sz w:val="32"/>
          <w:szCs w:val="36"/>
        </w:rPr>
        <w:t>环境应急物资储备库；完善多层级环境应急专家管理体系，修订专家管理办法，明确专家介入机制，</w:t>
      </w:r>
    </w:p>
    <w:p>
      <w:pPr>
        <w:spacing w:line="560" w:lineRule="exact"/>
        <w:ind w:firstLine="643" w:firstLineChars="200"/>
        <w:rPr>
          <w:rFonts w:ascii="Times New Roman" w:hAnsi="Times New Roman" w:eastAsia="仿宋" w:cs="Times New Roman"/>
          <w:b/>
          <w:sz w:val="32"/>
          <w:szCs w:val="36"/>
        </w:rPr>
      </w:pPr>
      <w:r>
        <w:rPr>
          <w:rFonts w:hint="eastAsia" w:ascii="Times New Roman" w:hAnsi="Times New Roman" w:eastAsia="仿宋" w:cs="Times New Roman"/>
          <w:b/>
          <w:sz w:val="32"/>
          <w:szCs w:val="36"/>
        </w:rPr>
        <w:t>（五）</w:t>
      </w:r>
      <w:r>
        <w:rPr>
          <w:rFonts w:ascii="Times New Roman" w:hAnsi="Times New Roman" w:eastAsia="仿宋" w:cs="Times New Roman"/>
          <w:b/>
          <w:sz w:val="32"/>
          <w:szCs w:val="36"/>
        </w:rPr>
        <w:t>完善生态环境治理体系</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1</w:t>
      </w:r>
      <w:r>
        <w:rPr>
          <w:rFonts w:hint="eastAsia" w:ascii="仿宋" w:hAnsi="仿宋" w:eastAsia="仿宋" w:cs="仿宋"/>
          <w:b/>
          <w:sz w:val="32"/>
          <w:szCs w:val="36"/>
        </w:rPr>
        <w:t>.完善责任体系</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落实党政部门责任。</w:t>
      </w:r>
      <w:r>
        <w:rPr>
          <w:rFonts w:ascii="Times New Roman" w:hAnsi="Times New Roman" w:eastAsia="仿宋" w:cs="Times New Roman"/>
          <w:bCs/>
          <w:sz w:val="32"/>
          <w:szCs w:val="36"/>
        </w:rPr>
        <w:t>严格落实生态环境治理</w:t>
      </w:r>
      <w:r>
        <w:rPr>
          <w:rFonts w:hint="eastAsia" w:ascii="Times New Roman" w:hAnsi="Times New Roman" w:eastAsia="仿宋" w:cs="Times New Roman"/>
          <w:bCs/>
          <w:sz w:val="32"/>
          <w:szCs w:val="36"/>
        </w:rPr>
        <w:t>“</w:t>
      </w:r>
      <w:r>
        <w:rPr>
          <w:rFonts w:ascii="Times New Roman" w:hAnsi="Times New Roman" w:eastAsia="仿宋" w:cs="Times New Roman"/>
          <w:bCs/>
          <w:sz w:val="32"/>
          <w:szCs w:val="36"/>
        </w:rPr>
        <w:t>党政同责、一岗双责和失职追责</w:t>
      </w:r>
      <w:r>
        <w:rPr>
          <w:rFonts w:hint="eastAsia" w:ascii="Times New Roman" w:hAnsi="Times New Roman" w:eastAsia="仿宋" w:cs="Times New Roman"/>
          <w:bCs/>
          <w:sz w:val="32"/>
          <w:szCs w:val="36"/>
        </w:rPr>
        <w:t>”</w:t>
      </w:r>
      <w:r>
        <w:rPr>
          <w:rFonts w:ascii="Times New Roman" w:hAnsi="Times New Roman" w:eastAsia="仿宋" w:cs="Times New Roman"/>
          <w:bCs/>
          <w:sz w:val="32"/>
          <w:szCs w:val="36"/>
        </w:rPr>
        <w:t>，</w:t>
      </w:r>
      <w:r>
        <w:rPr>
          <w:rFonts w:hint="eastAsia" w:ascii="Times New Roman" w:hAnsi="Times New Roman" w:eastAsia="仿宋" w:cs="Times New Roman"/>
          <w:bCs/>
          <w:sz w:val="32"/>
          <w:szCs w:val="36"/>
        </w:rPr>
        <w:t>各</w:t>
      </w:r>
      <w:r>
        <w:rPr>
          <w:rFonts w:ascii="Times New Roman" w:hAnsi="Times New Roman" w:eastAsia="仿宋" w:cs="Times New Roman"/>
          <w:bCs/>
          <w:sz w:val="32"/>
          <w:szCs w:val="36"/>
        </w:rPr>
        <w:t>级党委、政府对</w:t>
      </w:r>
      <w:r>
        <w:rPr>
          <w:rFonts w:hint="eastAsia" w:ascii="Times New Roman" w:hAnsi="Times New Roman" w:eastAsia="仿宋" w:cs="Times New Roman"/>
          <w:bCs/>
          <w:sz w:val="32"/>
          <w:szCs w:val="36"/>
        </w:rPr>
        <w:t>辖区内</w:t>
      </w:r>
      <w:r>
        <w:rPr>
          <w:rFonts w:ascii="Times New Roman" w:hAnsi="Times New Roman" w:eastAsia="仿宋" w:cs="Times New Roman"/>
          <w:bCs/>
          <w:sz w:val="32"/>
          <w:szCs w:val="36"/>
        </w:rPr>
        <w:t>生态环境治理承担具体责任。健全部门协作，坚持管发展必须管环保、管生产必须管环保、管行业必须管环保，落实相关部门责任。贯彻落实《</w:t>
      </w:r>
      <w:r>
        <w:rPr>
          <w:rFonts w:hint="eastAsia" w:ascii="Times New Roman" w:hAnsi="Times New Roman" w:eastAsia="仿宋" w:cs="Times New Roman"/>
          <w:bCs/>
          <w:sz w:val="32"/>
          <w:szCs w:val="36"/>
        </w:rPr>
        <w:t>桃源县</w:t>
      </w:r>
      <w:r>
        <w:rPr>
          <w:rFonts w:ascii="Times New Roman" w:hAnsi="Times New Roman" w:eastAsia="仿宋" w:cs="Times New Roman"/>
          <w:bCs/>
          <w:sz w:val="32"/>
          <w:szCs w:val="36"/>
        </w:rPr>
        <w:t>生态环境保护工作责任规定》。全面落实河长制、湖长制、林长制。</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开展科学评价考核。</w:t>
      </w:r>
      <w:r>
        <w:rPr>
          <w:rFonts w:ascii="Times New Roman" w:hAnsi="Times New Roman" w:eastAsia="仿宋" w:cs="Times New Roman"/>
          <w:bCs/>
          <w:sz w:val="32"/>
          <w:szCs w:val="36"/>
        </w:rPr>
        <w:t>将环境质量、主要污染物总量、能耗总量和强度、非化石能源比例、碳排放强度、森林覆盖率等纳入约束性指标管理，分解到全县建立评估考核体系，并科学合理制定落实方案。将生态环境保护和治理融入经济社会发展全过程，建立健全以改善生态环境质量为目标推动高质量发展综合绩效评价考核体系，考核结果作为各级领导班子和领导干部综合评价考核、奖惩任免的重要依据。建立健全环境治理政务失信记录并归集至相关信用信息共享平台。</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提升企业治污水平。</w:t>
      </w:r>
      <w:r>
        <w:rPr>
          <w:rFonts w:ascii="Times New Roman" w:hAnsi="Times New Roman" w:eastAsia="仿宋" w:cs="Times New Roman"/>
          <w:bCs/>
          <w:sz w:val="32"/>
          <w:szCs w:val="36"/>
        </w:rPr>
        <w:t>加强企业生态环境治理责任制度建设，加强污染防治设施建设运营管理，督促企业严格执行法律法规，接受社会监督。落实企业减排主体责任，严格执行污染源自行监测和信息公开制度。推动企业污染源实时监控，落实排污在线监控安装计划。以大数据应用等信息化手段提升行业企业环境质量管理水平，严格企业、环保服务企业信息数据管理，杜绝造假行为。落实生产者责任延伸制度。</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公开生态环境治理信息。</w:t>
      </w:r>
      <w:r>
        <w:rPr>
          <w:rFonts w:ascii="Times New Roman" w:hAnsi="Times New Roman" w:eastAsia="仿宋" w:cs="Times New Roman"/>
          <w:bCs/>
          <w:sz w:val="32"/>
          <w:szCs w:val="36"/>
        </w:rPr>
        <w:t>加快企业污染物排放信息化，通过政府、协会、企业网站等途径，实现企业主要污染物类别名称、排放方式、执行标准以及污染防治设施建设和运行情况更新。依托污染治理技术先进、污染物减排效果明显的重点企业，在确保安全生产前提下，设立企业开放日、建设教育体验场所等，向社会公众展示污染治理工作和成效。</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加强社会监督。</w:t>
      </w:r>
      <w:r>
        <w:rPr>
          <w:rFonts w:ascii="Times New Roman" w:hAnsi="Times New Roman" w:eastAsia="仿宋" w:cs="Times New Roman"/>
          <w:bCs/>
          <w:sz w:val="32"/>
          <w:szCs w:val="36"/>
        </w:rPr>
        <w:t>充分发挥“12369”投诉举报热线作用，建立生态环境违法行为有奖举报制度，扩大公众参与监督渠道。</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积极发挥各类社会团体作用。</w:t>
      </w:r>
      <w:r>
        <w:rPr>
          <w:rFonts w:ascii="Times New Roman" w:hAnsi="Times New Roman" w:eastAsia="仿宋" w:cs="Times New Roman"/>
          <w:bCs/>
          <w:sz w:val="32"/>
          <w:szCs w:val="36"/>
        </w:rPr>
        <w:t>工会、共青团、妇联等群团组织要积极动员广大职工、青年、妇女参与环境治理。推动行业协会、商会发挥桥梁作用，加强对生态环境保护类社会组织的管理指导，引导、支持生态环境保护志愿者队伍建设，积极拓展生态环境保护业务培训，提高志愿服务能力。</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培育和提升公民生态环保素养。</w:t>
      </w:r>
      <w:r>
        <w:rPr>
          <w:rFonts w:ascii="Times New Roman" w:hAnsi="Times New Roman" w:eastAsia="仿宋" w:cs="Times New Roman"/>
          <w:bCs/>
          <w:sz w:val="32"/>
          <w:szCs w:val="36"/>
        </w:rPr>
        <w:t>将生态环境保护纳入党政领导干部教育培训内容，在党校开设相应课程。强化中小学和职校生态环境保护日常教育，全面提高学生生态环境保护意识。持续推进公共机构生态环保宣传，组织党政机关开展节约型机关创建活动。依托六五环境日、节能宣传周、低碳日等主题活动，普及生态环保知识，组织媒体加大生态环保公益广告推送力度，增强广大群众生态环保意识，开展绿色家庭等创建活动，宣传《公民生态环境保护行为规范（试行）》，普及生活垃圾分类。</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2</w:t>
      </w:r>
      <w:r>
        <w:rPr>
          <w:rFonts w:hint="eastAsia" w:ascii="仿宋" w:hAnsi="仿宋" w:eastAsia="仿宋" w:cs="仿宋"/>
          <w:b/>
          <w:sz w:val="32"/>
          <w:szCs w:val="36"/>
        </w:rPr>
        <w:t>.完善法规规章政策体系</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健全生态环境损害赔偿制度。</w:t>
      </w:r>
      <w:r>
        <w:rPr>
          <w:rFonts w:ascii="Times New Roman" w:hAnsi="Times New Roman" w:eastAsia="仿宋" w:cs="Times New Roman"/>
          <w:bCs/>
          <w:sz w:val="32"/>
          <w:szCs w:val="36"/>
        </w:rPr>
        <w:t>加强生态环境修复与损害赔偿的执行和监督，完善生态环境损害行政执法与司法衔接机制，提高损害生态环境违法成本，建立健全生态环境损害鉴定评估方法和实施机制。</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3</w:t>
      </w:r>
      <w:r>
        <w:rPr>
          <w:rFonts w:hint="eastAsia" w:ascii="仿宋" w:hAnsi="仿宋" w:eastAsia="仿宋" w:cs="仿宋"/>
          <w:b/>
          <w:sz w:val="32"/>
          <w:szCs w:val="36"/>
        </w:rPr>
        <w:t>.完善生态环境治理市场体系</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建设规范开放市场。</w:t>
      </w:r>
      <w:r>
        <w:rPr>
          <w:rFonts w:ascii="Times New Roman" w:hAnsi="Times New Roman" w:eastAsia="仿宋" w:cs="Times New Roman"/>
          <w:bCs/>
          <w:sz w:val="32"/>
          <w:szCs w:val="36"/>
        </w:rPr>
        <w:t>加大生态环境领域“放、管、服”力度，支持民营生态环保企业健康发展的政策措施，打破生态环境公共资源交易领域地区、行业壁垒，对各类所有制企业一视同仁，平等对待，引导资本参与生态环境治理投资、建设、运行。进一步规范生态环境治理工程、生态环境专项资金支持项目的招投标市场秩序，加快形成公开透明、规范有序的生态环境治理市场环境。</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做大做强生态环保产业。</w:t>
      </w:r>
      <w:r>
        <w:rPr>
          <w:rFonts w:ascii="Times New Roman" w:hAnsi="Times New Roman" w:eastAsia="仿宋" w:cs="Times New Roman"/>
          <w:bCs/>
          <w:sz w:val="32"/>
          <w:szCs w:val="36"/>
        </w:rPr>
        <w:t>扶持环保骨干企业，做大做强一批节能环保龙头企业，分层培育环保治理领军企业、专精特新的“小巨人”企业。开展平台创建、产需对接、产品推广、品牌建设等活动，推荐一批环保装备制造、重金属污染防治、资源综合利用、生态修复和水质在线监测技术与设备等领域的新技术、新产品和示范项目，支持优质环保企业采取承接海外环保项目、开展行业并购等方式“走出去”，参与“一带一路”建设。不断加大自主创新和科技研发力度，支持企业、高校、科研院所建立环境治理技术创新创业基地，积极推行环保设施首台套制度。</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创新生态环境治理模式。</w:t>
      </w:r>
      <w:r>
        <w:rPr>
          <w:rFonts w:ascii="Times New Roman" w:hAnsi="Times New Roman" w:eastAsia="仿宋" w:cs="Times New Roman"/>
          <w:bCs/>
          <w:sz w:val="32"/>
          <w:szCs w:val="36"/>
        </w:rPr>
        <w:t>因地制宜、加快推行园区环境污染第三方治理，建立健全“污染者付费+第三方治理”等机制。积极创建小城镇生态环境综合治理托管服务国家试点，强化系统治理，实行按效付费。加强污染地块信息统筹和安全利用环境风险防控，鼓励对工业污染地块采用“环境修复+开发建设”模式。强化废弃农膜回收、秸秆收储运及综合利用体系建设、畜禽养殖废弃物资源化利用等制度及配套监管体系建设。</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加快企事业单位信用建设。</w:t>
      </w:r>
      <w:r>
        <w:rPr>
          <w:rFonts w:ascii="Times New Roman" w:hAnsi="Times New Roman" w:eastAsia="仿宋" w:cs="Times New Roman"/>
          <w:bCs/>
          <w:sz w:val="32"/>
          <w:szCs w:val="36"/>
        </w:rPr>
        <w:t>完善企业环境信用评价及结果发布机制，推进“失信名单”管理制度改革。</w:t>
      </w:r>
    </w:p>
    <w:p>
      <w:pPr>
        <w:spacing w:line="560" w:lineRule="exact"/>
        <w:ind w:firstLine="643" w:firstLineChars="200"/>
        <w:rPr>
          <w:rFonts w:ascii="仿宋" w:hAnsi="仿宋" w:eastAsia="仿宋" w:cs="仿宋"/>
          <w:b/>
          <w:sz w:val="32"/>
          <w:szCs w:val="36"/>
        </w:rPr>
      </w:pPr>
      <w:r>
        <w:rPr>
          <w:rFonts w:ascii="Times New Roman" w:hAnsi="Times New Roman" w:eastAsia="仿宋" w:cs="Times New Roman"/>
          <w:b/>
          <w:sz w:val="32"/>
          <w:szCs w:val="36"/>
        </w:rPr>
        <w:t>4</w:t>
      </w:r>
      <w:r>
        <w:rPr>
          <w:rFonts w:hint="eastAsia" w:ascii="仿宋" w:hAnsi="仿宋" w:eastAsia="仿宋" w:cs="仿宋"/>
          <w:b/>
          <w:sz w:val="32"/>
          <w:szCs w:val="36"/>
        </w:rPr>
        <w:t>.强化生态环境治理能力建设</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全面加强党的领导。</w:t>
      </w:r>
      <w:r>
        <w:rPr>
          <w:rFonts w:ascii="Times New Roman" w:hAnsi="Times New Roman" w:eastAsia="仿宋" w:cs="Times New Roman"/>
          <w:bCs/>
          <w:sz w:val="32"/>
          <w:szCs w:val="36"/>
        </w:rPr>
        <w:t>贯彻落实党内各项法规，加强党组织规范化制度建设，全面规范设置各级党组织，配强领导班子、规范组织生活。始终把党的政治建设摆在首位，以党建为引领抓班子、带队伍、促工作。坚定不移推进全面从严治党，坚持严的总基调，持之以恒正风肃纪。严格落实中央八项规定、省委九项规定，坚决整治形式主义、官僚主义问题。一体推进不敢腐、不能腐、不想腐，深化巡视问题整改成效，营造良好政治生态。持续开展党风廉政专项整治和官僚主义、形式主义专项整治，推动党建和业务深度融合，注重突出党建引领作用，建立健全党建和业务工作一起谋划、一起部署、一起落实、一起检查的运行机制。</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加强生态环境监测能力建设。</w:t>
      </w:r>
      <w:r>
        <w:rPr>
          <w:rFonts w:ascii="Times New Roman" w:hAnsi="Times New Roman" w:eastAsia="仿宋" w:cs="Times New Roman"/>
          <w:bCs/>
          <w:sz w:val="32"/>
          <w:szCs w:val="36"/>
        </w:rPr>
        <w:t>逐步建成天地一体、上下协同、信息共享的生态环境监测网络，完善涵盖大气、地表水、地下水、饮用水源、土壤、温室气体、噪声、辐射等环境要素以及城市和乡村的环境质量监测网络；央地共建天地一体化的生态质量监测网络，探索建立生态质量监测站点和监测样地（带），覆盖全</w:t>
      </w:r>
      <w:r>
        <w:rPr>
          <w:rFonts w:hint="eastAsia" w:ascii="Times New Roman" w:hAnsi="Times New Roman" w:eastAsia="仿宋" w:cs="Times New Roman"/>
          <w:bCs/>
          <w:sz w:val="32"/>
          <w:szCs w:val="36"/>
        </w:rPr>
        <w:t>县</w:t>
      </w:r>
      <w:r>
        <w:rPr>
          <w:rFonts w:ascii="Times New Roman" w:hAnsi="Times New Roman" w:eastAsia="仿宋" w:cs="Times New Roman"/>
          <w:bCs/>
          <w:sz w:val="32"/>
          <w:szCs w:val="36"/>
        </w:rPr>
        <w:t>典型生态系统、生态保护红线、重点生态功能区、自然保护地等重要区域；规范排污单位和工业园区污染源自行监测，加强固定污染源、入河排污口、移动源和面源监测，强化高架源、涉挥发性有机物排放、涉工业窑炉等重点污染源自动监测，完善污染源执法监测。优化机构队伍，加强生态环境监测能力建设，2025年前，县监测机构应全面具备有效开展行政区域内执法监测和应急监测的能力。健全生态环境监测质量管理制度和量值溯源体系，加强对排污单位自行监测和各类生态环境监测机构监督管理，严厉打击监测数据弄虚作假。</w:t>
      </w:r>
    </w:p>
    <w:p>
      <w:pPr>
        <w:spacing w:line="560" w:lineRule="exact"/>
        <w:ind w:firstLine="643" w:firstLineChars="200"/>
        <w:rPr>
          <w:rFonts w:ascii="Times New Roman" w:hAnsi="Times New Roman" w:eastAsia="仿宋" w:cs="Times New Roman"/>
          <w:bCs/>
          <w:sz w:val="32"/>
          <w:szCs w:val="36"/>
        </w:rPr>
      </w:pPr>
      <w:r>
        <w:rPr>
          <w:rFonts w:ascii="Times New Roman" w:hAnsi="Times New Roman" w:eastAsia="仿宋" w:cs="Times New Roman"/>
          <w:b/>
          <w:sz w:val="32"/>
          <w:szCs w:val="36"/>
        </w:rPr>
        <w:t>加强生态环境执法能力建设。</w:t>
      </w:r>
      <w:r>
        <w:rPr>
          <w:rFonts w:ascii="Times New Roman" w:hAnsi="Times New Roman" w:eastAsia="仿宋" w:cs="Times New Roman"/>
          <w:bCs/>
          <w:sz w:val="32"/>
          <w:szCs w:val="36"/>
        </w:rPr>
        <w:t>扎实推进生态环境保护综合行政执法改革，积极主动与财政、司法等主管部门沟通衔接，推动地方落实将生态环境执法纳入行政序列予以保障。全面推进执法队伍标准化建设，</w:t>
      </w:r>
      <w:r>
        <w:rPr>
          <w:rFonts w:hint="eastAsia" w:ascii="Times New Roman" w:hAnsi="Times New Roman" w:eastAsia="仿宋" w:cs="Times New Roman"/>
          <w:bCs/>
          <w:sz w:val="32"/>
          <w:szCs w:val="36"/>
        </w:rPr>
        <w:t>按照上级部署，力争</w:t>
      </w:r>
      <w:r>
        <w:rPr>
          <w:rFonts w:ascii="Times New Roman" w:hAnsi="Times New Roman" w:eastAsia="仿宋" w:cs="Times New Roman"/>
          <w:bCs/>
          <w:sz w:val="32"/>
          <w:szCs w:val="36"/>
        </w:rPr>
        <w:t>2021年完成全县环境执法人员制式服装和标志配发工作，2022年6月30日前全面实现环境执法着装上岗，2022年底前省、市、县三级按照《生态环境保护综合行政执法装备标准化建设指导标准( 2020 年版）》要求配齐执法车辆、个人移动执法设备、现场执法助设备、通讯和办公设备、信息化设备等5大类标准化配置。提高大学本科及以上学历人员招录比例。到2025年执法人员具有大专以上学历的应达到90%以上，取得法律或生态环境相关专业学位的应达到50%以上。落实“双随机一公开”，规范自由裁量权，制定监督执法正面清单，服务“六稳”、“六保”，提高规范化水平。持续推进生态环境执法信息化应用。完善以移动执法为基础的生态环境监督执法系统，加强在线监控和用电监控建设，利用无人机、无人船、走航车以及卫星遥感等科技手段，创新非现场监管方法。</w:t>
      </w:r>
    </w:p>
    <w:p>
      <w:pPr>
        <w:pStyle w:val="3"/>
        <w:spacing w:before="312" w:beforeLines="100" w:after="312" w:afterLines="100" w:line="560" w:lineRule="exact"/>
        <w:jc w:val="center"/>
        <w:rPr>
          <w:rFonts w:ascii="黑体" w:hAnsi="黑体" w:cs="黑体"/>
          <w:b w:val="0"/>
          <w:bCs w:val="0"/>
          <w:szCs w:val="36"/>
        </w:rPr>
      </w:pPr>
      <w:r>
        <w:rPr>
          <w:rFonts w:hint="eastAsia" w:ascii="黑体" w:hAnsi="黑体" w:cs="黑体"/>
          <w:b w:val="0"/>
          <w:bCs w:val="0"/>
          <w:szCs w:val="36"/>
        </w:rPr>
        <w:t>五、保障措施</w:t>
      </w:r>
      <w:bookmarkEnd w:id="7"/>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加强组织领导。</w:t>
      </w:r>
      <w:r>
        <w:rPr>
          <w:rFonts w:ascii="Times New Roman" w:hAnsi="Times New Roman" w:eastAsia="仿宋" w:cs="Times New Roman"/>
          <w:sz w:val="32"/>
          <w:szCs w:val="32"/>
        </w:rPr>
        <w:t>县人民政府是规划实施的责任主体，要把规划目标、任务、措施和重点工程纳入本地区国民经济和社会发展规划。</w:t>
      </w:r>
      <w:r>
        <w:rPr>
          <w:rFonts w:hint="eastAsia" w:ascii="Times New Roman" w:hAnsi="Times New Roman" w:eastAsia="仿宋" w:cs="Times New Roman"/>
          <w:sz w:val="32"/>
          <w:szCs w:val="32"/>
        </w:rPr>
        <w:t>县生态环境保护委员会、生态环境部门根据县人民</w:t>
      </w:r>
      <w:r>
        <w:rPr>
          <w:rFonts w:ascii="Times New Roman" w:hAnsi="Times New Roman" w:eastAsia="仿宋" w:cs="Times New Roman"/>
          <w:sz w:val="32"/>
          <w:szCs w:val="32"/>
        </w:rPr>
        <w:t>政府的统一部署，紧密结合工作实际，加强组织领导和工作协同，制定年度方案，细化任务措施，明确责任分工和进度安排，实施年终考核制度，确保各项工作落实到位。</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强化规划引领。</w:t>
      </w:r>
      <w:r>
        <w:rPr>
          <w:rFonts w:ascii="Times New Roman" w:hAnsi="Times New Roman" w:eastAsia="仿宋" w:cs="Times New Roman"/>
          <w:sz w:val="32"/>
          <w:szCs w:val="32"/>
        </w:rPr>
        <w:t>制定重点流域、空气质量改善、土壤、生态、农业农村等污染防治专项规划或实施方案，根据上级生态环境部门下达的环境质量改善指标和主要污染物减排指标，研究制定本地区环境保护规划体系，完善配套政策，落实具体措施，强化规划的约束和引领作用，推动各项污染防治和环境治理改善工作有序开展。</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加大投入力度。</w:t>
      </w:r>
      <w:r>
        <w:rPr>
          <w:rFonts w:ascii="Times New Roman" w:hAnsi="Times New Roman" w:eastAsia="仿宋" w:cs="Times New Roman"/>
          <w:sz w:val="32"/>
          <w:szCs w:val="32"/>
        </w:rPr>
        <w:t>充分利用好中央和地方已有的生态环境专项资金支持政策，各级政府要始终坚持把生态环境作为财政支出的重点领域，建立健全常态化、稳定的地方生态环境治理财政资金投入机制，合理划分生态环境领域财政事权和支出责任，按规定做好预算安排。建立健全项目储备库，中央、省级财政资金支持项目要纳入项目储备库管理，推进重点项目实施。引导社会资本积极参与，不断完善其他配套政策和激励措施，保障规划目标和重点任务完成。</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加强宣传教育。</w:t>
      </w:r>
      <w:r>
        <w:rPr>
          <w:rFonts w:ascii="Times New Roman" w:hAnsi="Times New Roman" w:eastAsia="仿宋" w:cs="Times New Roman"/>
          <w:sz w:val="32"/>
          <w:szCs w:val="32"/>
        </w:rPr>
        <w:t>积极开展生态文明建设和生态环境保护规划政策、法规制度、进展成效、实践经验宣传，利用好省、市、县三级联动的新媒体矩阵，创新表达方式和传播手段，丰富生态文化作品，做好典型报道。积极扩大六五环境日社会影响力，深入推动“美丽中国 我是行动者”系列主题实践活动，增加环保设施向公众开放单位，加快创建生态环境教育基地，加强社会环保组织培育引导。</w:t>
      </w:r>
    </w:p>
    <w:p>
      <w:pPr>
        <w:spacing w:line="56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加强铁军建设。</w:t>
      </w:r>
      <w:r>
        <w:rPr>
          <w:rFonts w:ascii="Times New Roman" w:hAnsi="Times New Roman" w:eastAsia="仿宋" w:cs="Times New Roman"/>
          <w:sz w:val="32"/>
          <w:szCs w:val="32"/>
        </w:rPr>
        <w:t>生态环境部门根据新的“三定”方案，调整和理顺系统内职责分工和协作关系，形成协调推进生态环境保护工作和污染防治的“四大队形”：决策和指挥队形、监测和监控队形、督察和执法队形、技术和保障队形。加强全</w:t>
      </w:r>
      <w:r>
        <w:rPr>
          <w:rFonts w:hint="eastAsia" w:ascii="Times New Roman" w:hAnsi="Times New Roman" w:eastAsia="仿宋" w:cs="Times New Roman"/>
          <w:sz w:val="32"/>
          <w:szCs w:val="32"/>
        </w:rPr>
        <w:t>县</w:t>
      </w:r>
      <w:r>
        <w:rPr>
          <w:rFonts w:ascii="Times New Roman" w:hAnsi="Times New Roman" w:eastAsia="仿宋" w:cs="Times New Roman"/>
          <w:sz w:val="32"/>
          <w:szCs w:val="32"/>
        </w:rPr>
        <w:t>生态环境系统队伍建设，加强人才培养和干部队伍政治、思想、组织、作风和纪律建设，开展全</w:t>
      </w:r>
      <w:r>
        <w:rPr>
          <w:rFonts w:hint="eastAsia" w:ascii="Times New Roman" w:hAnsi="Times New Roman" w:eastAsia="仿宋" w:cs="Times New Roman"/>
          <w:sz w:val="32"/>
          <w:szCs w:val="32"/>
        </w:rPr>
        <w:t>县</w:t>
      </w:r>
      <w:r>
        <w:rPr>
          <w:rFonts w:ascii="Times New Roman" w:hAnsi="Times New Roman" w:eastAsia="仿宋" w:cs="Times New Roman"/>
          <w:sz w:val="32"/>
          <w:szCs w:val="32"/>
        </w:rPr>
        <w:t>生态环境保护系统“大轮训”，提高政治素养和业务本领。</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开展评估考核。</w:t>
      </w:r>
      <w:r>
        <w:rPr>
          <w:rFonts w:ascii="Times New Roman" w:hAnsi="Times New Roman" w:eastAsia="仿宋" w:cs="Times New Roman"/>
          <w:sz w:val="32"/>
          <w:szCs w:val="32"/>
        </w:rPr>
        <w:t>整合各类生态环境评估考核，在2023年，组织对规划执行情况进行中期评估，2025年底对规划执行情况进行终期考核，评估考核结果向</w:t>
      </w:r>
      <w:r>
        <w:rPr>
          <w:rFonts w:hint="eastAsia" w:ascii="Times New Roman" w:hAnsi="Times New Roman" w:eastAsia="仿宋" w:cs="Times New Roman"/>
          <w:sz w:val="32"/>
          <w:szCs w:val="32"/>
        </w:rPr>
        <w:t>县</w:t>
      </w:r>
      <w:r>
        <w:rPr>
          <w:rFonts w:ascii="Times New Roman" w:hAnsi="Times New Roman" w:eastAsia="仿宋" w:cs="Times New Roman"/>
          <w:sz w:val="32"/>
          <w:szCs w:val="32"/>
        </w:rPr>
        <w:t>人民政府报告，并向社会公布评估。规划执行情况纳入</w:t>
      </w:r>
      <w:r>
        <w:rPr>
          <w:rFonts w:hint="eastAsia" w:ascii="Times New Roman" w:hAnsi="Times New Roman" w:eastAsia="仿宋" w:cs="Times New Roman"/>
          <w:sz w:val="32"/>
          <w:szCs w:val="32"/>
        </w:rPr>
        <w:t>县人民</w:t>
      </w:r>
      <w:r>
        <w:rPr>
          <w:rFonts w:ascii="Times New Roman" w:hAnsi="Times New Roman" w:eastAsia="仿宋" w:cs="Times New Roman"/>
          <w:sz w:val="32"/>
          <w:szCs w:val="32"/>
        </w:rPr>
        <w:t>政府绩效评估范围，作为地方政府领导干部综合评价和业绩考核的</w:t>
      </w:r>
      <w:bookmarkStart w:id="8" w:name="_GoBack"/>
      <w:bookmarkEnd w:id="8"/>
      <w:r>
        <w:rPr>
          <w:rFonts w:ascii="Times New Roman" w:hAnsi="Times New Roman" w:eastAsia="仿宋" w:cs="Times New Roman"/>
          <w:sz w:val="32"/>
          <w:szCs w:val="32"/>
        </w:rPr>
        <w:t>重要内容。</w:t>
      </w:r>
    </w:p>
    <w:sectPr>
      <w:headerReference r:id="rId3" w:type="default"/>
      <w:footerReference r:id="rId4" w:type="default"/>
      <w:pgSz w:w="11906" w:h="16838"/>
      <w:pgMar w:top="1701" w:right="1701" w:bottom="1701"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rPr>
      <w:id w:val="1025528411"/>
    </w:sdtPr>
    <w:sdtEndPr>
      <w:rPr>
        <w:rFonts w:ascii="Times New Roman" w:hAnsi="Times New Roman" w:cs="Times New Roman"/>
        <w:sz w:val="21"/>
      </w:rPr>
    </w:sdtEndPr>
    <w:sdtContent>
      <w:p>
        <w:pPr>
          <w:pStyle w:val="7"/>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19</w:t>
        </w:r>
        <w:r>
          <w:rPr>
            <w:rFonts w:ascii="Times New Roman" w:hAnsi="Times New Roman" w:cs="Times New Roman"/>
            <w:sz w:val="21"/>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5F"/>
    <w:rsid w:val="00010002"/>
    <w:rsid w:val="00030A59"/>
    <w:rsid w:val="00063975"/>
    <w:rsid w:val="00093753"/>
    <w:rsid w:val="000B40C5"/>
    <w:rsid w:val="00154B0B"/>
    <w:rsid w:val="001D7A59"/>
    <w:rsid w:val="00214021"/>
    <w:rsid w:val="00240382"/>
    <w:rsid w:val="00253251"/>
    <w:rsid w:val="00284F6F"/>
    <w:rsid w:val="0029564F"/>
    <w:rsid w:val="002C280D"/>
    <w:rsid w:val="002C56BE"/>
    <w:rsid w:val="002D472A"/>
    <w:rsid w:val="002D4EE8"/>
    <w:rsid w:val="002E2F5D"/>
    <w:rsid w:val="003009E2"/>
    <w:rsid w:val="00302B99"/>
    <w:rsid w:val="003375DE"/>
    <w:rsid w:val="003654E4"/>
    <w:rsid w:val="003F2DF4"/>
    <w:rsid w:val="003F34F8"/>
    <w:rsid w:val="00442F70"/>
    <w:rsid w:val="004662CF"/>
    <w:rsid w:val="00470CC4"/>
    <w:rsid w:val="004B605F"/>
    <w:rsid w:val="004E1C3F"/>
    <w:rsid w:val="004F1232"/>
    <w:rsid w:val="004F1940"/>
    <w:rsid w:val="0057379F"/>
    <w:rsid w:val="0058175E"/>
    <w:rsid w:val="00581EE4"/>
    <w:rsid w:val="00602FB5"/>
    <w:rsid w:val="00625F2F"/>
    <w:rsid w:val="00646AC0"/>
    <w:rsid w:val="00676FDC"/>
    <w:rsid w:val="006873BC"/>
    <w:rsid w:val="006D4288"/>
    <w:rsid w:val="00734F69"/>
    <w:rsid w:val="00832431"/>
    <w:rsid w:val="0085109E"/>
    <w:rsid w:val="00894D72"/>
    <w:rsid w:val="008F0029"/>
    <w:rsid w:val="008F2A8A"/>
    <w:rsid w:val="008F3415"/>
    <w:rsid w:val="00926E51"/>
    <w:rsid w:val="009A352D"/>
    <w:rsid w:val="009F3A77"/>
    <w:rsid w:val="009F4756"/>
    <w:rsid w:val="00A045C0"/>
    <w:rsid w:val="00A555CC"/>
    <w:rsid w:val="00AE5758"/>
    <w:rsid w:val="00AE6F2D"/>
    <w:rsid w:val="00B06543"/>
    <w:rsid w:val="00B61455"/>
    <w:rsid w:val="00BB14C1"/>
    <w:rsid w:val="00BE6199"/>
    <w:rsid w:val="00BF24E2"/>
    <w:rsid w:val="00C70466"/>
    <w:rsid w:val="00CA54D0"/>
    <w:rsid w:val="00CF1E9E"/>
    <w:rsid w:val="00D55BE6"/>
    <w:rsid w:val="00D708D4"/>
    <w:rsid w:val="00D857CB"/>
    <w:rsid w:val="00DB155B"/>
    <w:rsid w:val="00E20000"/>
    <w:rsid w:val="00E467AB"/>
    <w:rsid w:val="00E735D3"/>
    <w:rsid w:val="00E81DF0"/>
    <w:rsid w:val="00F17C81"/>
    <w:rsid w:val="03890C6A"/>
    <w:rsid w:val="1C280500"/>
    <w:rsid w:val="21540E22"/>
    <w:rsid w:val="222B068D"/>
    <w:rsid w:val="260A72AF"/>
    <w:rsid w:val="2BC10C9A"/>
    <w:rsid w:val="31DC39FD"/>
    <w:rsid w:val="34CE2998"/>
    <w:rsid w:val="37590EA5"/>
    <w:rsid w:val="37BF3E54"/>
    <w:rsid w:val="39693D1E"/>
    <w:rsid w:val="412B68BE"/>
    <w:rsid w:val="49195C1B"/>
    <w:rsid w:val="521F415A"/>
    <w:rsid w:val="55777367"/>
    <w:rsid w:val="59646883"/>
    <w:rsid w:val="5A1B76AE"/>
    <w:rsid w:val="5B6B4561"/>
    <w:rsid w:val="5E9D621D"/>
    <w:rsid w:val="62D565D5"/>
    <w:rsid w:val="6EFC04D9"/>
    <w:rsid w:val="72C40D64"/>
    <w:rsid w:val="74820B17"/>
    <w:rsid w:val="789D4B6B"/>
    <w:rsid w:val="7BCB0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Date"/>
    <w:basedOn w:val="1"/>
    <w:next w:val="1"/>
    <w:link w:val="22"/>
    <w:semiHidden/>
    <w:unhideWhenUsed/>
    <w:qFormat/>
    <w:uiPriority w:val="99"/>
    <w:pPr>
      <w:ind w:left="100" w:leftChars="2500"/>
    </w:pPr>
  </w:style>
  <w:style w:type="paragraph" w:styleId="6">
    <w:name w:val="Balloon Text"/>
    <w:basedOn w:val="1"/>
    <w:link w:val="23"/>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pPr>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标题 2 字符"/>
    <w:basedOn w:val="13"/>
    <w:link w:val="3"/>
    <w:qFormat/>
    <w:uiPriority w:val="0"/>
    <w:rPr>
      <w:rFonts w:ascii="Arial" w:hAnsi="Arial" w:eastAsia="黑体" w:cs="Times New Roman"/>
      <w:b/>
      <w:bCs/>
      <w:sz w:val="32"/>
      <w:szCs w:val="32"/>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标题 1 字符"/>
    <w:basedOn w:val="13"/>
    <w:link w:val="2"/>
    <w:qFormat/>
    <w:uiPriority w:val="9"/>
    <w:rPr>
      <w:b/>
      <w:bCs/>
      <w:kern w:val="44"/>
      <w:sz w:val="44"/>
      <w:szCs w:val="44"/>
    </w:rPr>
  </w:style>
  <w:style w:type="paragraph" w:customStyle="1" w:styleId="2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2">
    <w:name w:val="日期 字符"/>
    <w:basedOn w:val="13"/>
    <w:link w:val="5"/>
    <w:semiHidden/>
    <w:qFormat/>
    <w:uiPriority w:val="99"/>
  </w:style>
  <w:style w:type="character" w:customStyle="1" w:styleId="23">
    <w:name w:val="批注框文本 字符"/>
    <w:basedOn w:val="13"/>
    <w:link w:val="6"/>
    <w:semiHidden/>
    <w:qFormat/>
    <w:uiPriority w:val="99"/>
    <w:rPr>
      <w:sz w:val="18"/>
      <w:szCs w:val="18"/>
    </w:rPr>
  </w:style>
  <w:style w:type="character" w:customStyle="1" w:styleId="24">
    <w:name w:val="批注文字 字符"/>
    <w:basedOn w:val="13"/>
    <w:link w:val="4"/>
    <w:semiHidden/>
    <w:qFormat/>
    <w:uiPriority w:val="99"/>
  </w:style>
  <w:style w:type="character" w:customStyle="1" w:styleId="25">
    <w:name w:val="批注主题 字符"/>
    <w:basedOn w:val="24"/>
    <w:link w:val="10"/>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3DBDE-DDC0-4BDA-97DB-035D5462A6DB}">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57</Pages>
  <Words>4800</Words>
  <Characters>27366</Characters>
  <Lines>228</Lines>
  <Paragraphs>64</Paragraphs>
  <TotalTime>48</TotalTime>
  <ScaleCrop>false</ScaleCrop>
  <LinksUpToDate>false</LinksUpToDate>
  <CharactersWithSpaces>32102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2020-12-09T00:49:00Z</dcterms:created>
  <dc:creator>Microsoft</dc:creator>
  <cp:lastModifiedBy>Administrator</cp:lastModifiedBy>
  <cp:lastPrinted>2020-12-14T08:49:00Z</cp:lastPrinted>
  <dcterms:modified xsi:type="dcterms:W3CDTF">2021-12-21T02:16:24Z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15302A94E607432F825EA1145FCF7CCF</vt:lpwstr>
  </property>
</Properties>
</file>