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390" w:lineRule="atLeast"/>
        <w:ind w:left="0" w:right="0"/>
        <w:jc w:val="center"/>
      </w:pPr>
      <w:r>
        <w:rPr>
          <w:rFonts w:ascii="黑体" w:hAnsi="宋体" w:eastAsia="黑体" w:cs="黑体"/>
          <w:color w:val="3D4B64"/>
          <w:sz w:val="32"/>
          <w:szCs w:val="32"/>
          <w:shd w:val="clear" w:fill="FFFFFF"/>
        </w:rPr>
        <w:t>常德市国有建设用地使用权挂牌出让公告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220" w:lineRule="atLeast"/>
        <w:ind w:left="0" w:right="0"/>
        <w:jc w:val="center"/>
      </w:pPr>
      <w:r>
        <w:rPr>
          <w:rFonts w:ascii="微软雅黑" w:hAnsi="微软雅黑" w:eastAsia="微软雅黑" w:cs="微软雅黑"/>
          <w:color w:val="3D4B64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390" w:lineRule="atLeast"/>
        <w:ind w:left="0" w:right="0"/>
        <w:jc w:val="center"/>
      </w:pPr>
      <w:r>
        <w:rPr>
          <w:rFonts w:ascii="仿宋" w:hAnsi="仿宋" w:eastAsia="仿宋" w:cs="仿宋"/>
          <w:color w:val="3D4B64"/>
          <w:sz w:val="30"/>
          <w:szCs w:val="30"/>
          <w:shd w:val="clear" w:fill="FFFFFF"/>
        </w:rPr>
        <w:t>常（桃）国土资公告〔</w:t>
      </w:r>
      <w:r>
        <w:rPr>
          <w:rFonts w:hint="eastAsia" w:ascii="仿宋" w:hAnsi="仿宋" w:eastAsia="仿宋" w:cs="仿宋"/>
          <w:color w:val="3D4B64"/>
          <w:sz w:val="30"/>
          <w:szCs w:val="30"/>
          <w:shd w:val="clear" w:fill="FFFFFF"/>
        </w:rPr>
        <w:t>2020〕5号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390" w:lineRule="atLeast"/>
        <w:ind w:left="0" w:right="0"/>
        <w:jc w:val="center"/>
      </w:pPr>
      <w:r>
        <w:rPr>
          <w:rFonts w:hint="eastAsia" w:ascii="仿宋" w:hAnsi="仿宋" w:eastAsia="仿宋" w:cs="仿宋"/>
          <w:color w:val="3D4B64"/>
          <w:sz w:val="30"/>
          <w:szCs w:val="3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20" w:afterAutospacing="0" w:line="480" w:lineRule="atLeast"/>
        <w:ind w:left="0" w:right="0" w:firstLine="600"/>
      </w:pPr>
      <w:r>
        <w:rPr>
          <w:rFonts w:hint="eastAsia" w:ascii="仿宋" w:hAnsi="仿宋" w:eastAsia="仿宋" w:cs="仿宋"/>
          <w:color w:val="3D4B64"/>
          <w:sz w:val="30"/>
          <w:szCs w:val="30"/>
          <w:shd w:val="clear" w:fill="FFFFFF"/>
        </w:rPr>
        <w:t>根据《中华人民共和国土地管理法》《招标拍卖挂牌出让国有建设用地使用权规定》（原国土资源部令第 39 号）等法律法规规定，经桃源县人民政府批准，出让人决定委托挂牌人,以现场挂牌方式出让下列地块的国有建设用地使用权。现将有关事项公告如下：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20" w:afterAutospacing="0" w:line="480" w:lineRule="atLeast"/>
        <w:ind w:left="0" w:right="0" w:firstLine="600"/>
      </w:pPr>
      <w:r>
        <w:rPr>
          <w:rFonts w:hint="eastAsia" w:ascii="黑体" w:hAnsi="宋体" w:eastAsia="黑体" w:cs="黑体"/>
          <w:color w:val="3D4B64"/>
          <w:sz w:val="30"/>
          <w:szCs w:val="30"/>
          <w:shd w:val="clear" w:fill="FFFFFF"/>
        </w:rPr>
        <w:t>一、出让人、挂牌人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20" w:afterAutospacing="0" w:line="480" w:lineRule="atLeast"/>
        <w:ind w:left="0" w:right="0" w:firstLine="600"/>
      </w:pPr>
      <w:r>
        <w:rPr>
          <w:rFonts w:hint="eastAsia" w:ascii="仿宋" w:hAnsi="仿宋" w:eastAsia="仿宋" w:cs="仿宋"/>
          <w:color w:val="3D4B64"/>
          <w:sz w:val="30"/>
          <w:szCs w:val="30"/>
          <w:shd w:val="clear" w:fill="FFFFFF"/>
        </w:rPr>
        <w:t>出让人：桃源县自然资源局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20" w:afterAutospacing="0" w:line="480" w:lineRule="atLeast"/>
        <w:ind w:left="0" w:right="0" w:firstLine="600"/>
        <w:rPr>
          <w:rFonts w:hint="eastAsia" w:ascii="仿宋" w:hAnsi="仿宋" w:eastAsia="仿宋" w:cs="仿宋"/>
          <w:color w:val="3D4B64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color w:val="3D4B64"/>
          <w:sz w:val="30"/>
          <w:szCs w:val="30"/>
          <w:shd w:val="clear" w:fill="FFFFFF"/>
        </w:rPr>
        <w:t>挂牌人：常德市公共资源交易中心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20" w:afterAutospacing="0" w:line="480" w:lineRule="atLeast"/>
        <w:ind w:left="0" w:right="0" w:firstLine="600"/>
      </w:pPr>
      <w:r>
        <w:rPr>
          <w:rFonts w:hint="eastAsia" w:ascii="黑体" w:hAnsi="宋体" w:eastAsia="黑体" w:cs="黑体"/>
          <w:color w:val="3D4B64"/>
          <w:sz w:val="30"/>
          <w:szCs w:val="30"/>
          <w:shd w:val="clear" w:fill="FFFFFF"/>
        </w:rPr>
        <w:t>二、出让地块的基本情况和规划指标要求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20" w:afterAutospacing="0" w:line="480" w:lineRule="atLeast"/>
        <w:ind w:left="0" w:right="0" w:firstLine="600"/>
        <w:rPr>
          <w:rFonts w:hint="eastAsia" w:ascii="仿宋" w:hAnsi="仿宋" w:eastAsia="仿宋" w:cs="仿宋"/>
          <w:color w:val="3D4B64"/>
          <w:sz w:val="30"/>
          <w:szCs w:val="30"/>
          <w:shd w:val="clear" w:fill="FFFFFF"/>
        </w:rPr>
      </w:pPr>
      <w:bookmarkStart w:id="0" w:name="_GoBack"/>
      <w:bookmarkEnd w:id="0"/>
    </w:p>
    <w:tbl>
      <w:tblPr>
        <w:tblStyle w:val="3"/>
        <w:tblpPr w:leftFromText="180" w:rightFromText="180" w:vertAnchor="text" w:horzAnchor="page" w:tblpX="117" w:tblpY="733"/>
        <w:tblOverlap w:val="never"/>
        <w:tblW w:w="7203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3"/>
        <w:gridCol w:w="1221"/>
        <w:gridCol w:w="1833"/>
        <w:gridCol w:w="1618"/>
        <w:gridCol w:w="1610"/>
        <w:gridCol w:w="1184"/>
        <w:gridCol w:w="925"/>
        <w:gridCol w:w="1123"/>
        <w:gridCol w:w="1156"/>
        <w:gridCol w:w="1152"/>
        <w:gridCol w:w="1050"/>
        <w:gridCol w:w="1156"/>
        <w:gridCol w:w="1160"/>
        <w:gridCol w:w="1075"/>
        <w:gridCol w:w="339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9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15"/>
                <w:szCs w:val="15"/>
              </w:rPr>
              <w:t>标的编号</w:t>
            </w:r>
          </w:p>
        </w:tc>
        <w:tc>
          <w:tcPr>
            <w:tcW w:w="301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15"/>
                <w:szCs w:val="15"/>
              </w:rPr>
              <w:t>宗地</w:t>
            </w:r>
            <w:r>
              <w:rPr>
                <w:rFonts w:hint="eastAsia" w:ascii="仿宋" w:hAnsi="仿宋" w:eastAsia="仿宋" w:cs="仿宋"/>
                <w:b/>
                <w:color w:val="00000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color w:val="000000"/>
                <w:sz w:val="15"/>
                <w:szCs w:val="15"/>
              </w:rPr>
              <w:t>编号</w:t>
            </w:r>
          </w:p>
        </w:tc>
        <w:tc>
          <w:tcPr>
            <w:tcW w:w="452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15"/>
                <w:szCs w:val="15"/>
              </w:rPr>
              <w:t>宗 地</w:t>
            </w:r>
            <w:r>
              <w:rPr>
                <w:rFonts w:hint="eastAsia" w:ascii="仿宋" w:hAnsi="仿宋" w:eastAsia="仿宋" w:cs="仿宋"/>
                <w:b/>
                <w:color w:val="00000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color w:val="000000"/>
                <w:sz w:val="15"/>
                <w:szCs w:val="15"/>
              </w:rPr>
              <w:t>位 置</w:t>
            </w:r>
          </w:p>
        </w:tc>
        <w:tc>
          <w:tcPr>
            <w:tcW w:w="399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15"/>
                <w:szCs w:val="15"/>
              </w:rPr>
              <w:t>土地</w:t>
            </w:r>
            <w:r>
              <w:rPr>
                <w:rFonts w:hint="eastAsia" w:ascii="仿宋" w:hAnsi="仿宋" w:eastAsia="仿宋" w:cs="仿宋"/>
                <w:b/>
                <w:color w:val="00000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color w:val="000000"/>
                <w:sz w:val="15"/>
                <w:szCs w:val="15"/>
              </w:rPr>
              <w:t>面积</w:t>
            </w:r>
            <w:r>
              <w:rPr>
                <w:rFonts w:hint="eastAsia" w:ascii="仿宋" w:hAnsi="仿宋" w:eastAsia="仿宋" w:cs="仿宋"/>
                <w:b/>
                <w:color w:val="00000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color w:val="000000"/>
                <w:sz w:val="15"/>
                <w:szCs w:val="15"/>
              </w:rPr>
              <w:t>(㎡)</w:t>
            </w:r>
          </w:p>
        </w:tc>
        <w:tc>
          <w:tcPr>
            <w:tcW w:w="397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15"/>
                <w:szCs w:val="15"/>
              </w:rPr>
              <w:t xml:space="preserve">土地  </w:t>
            </w:r>
            <w:r>
              <w:rPr>
                <w:rFonts w:hint="eastAsia" w:ascii="仿宋" w:hAnsi="仿宋" w:eastAsia="仿宋" w:cs="仿宋"/>
                <w:b/>
                <w:color w:val="00000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color w:val="000000"/>
                <w:sz w:val="15"/>
                <w:szCs w:val="15"/>
              </w:rPr>
              <w:t>用途</w:t>
            </w:r>
          </w:p>
        </w:tc>
        <w:tc>
          <w:tcPr>
            <w:tcW w:w="797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15"/>
                <w:szCs w:val="15"/>
              </w:rPr>
              <w:t>规划指标要求</w:t>
            </w:r>
          </w:p>
        </w:tc>
        <w:tc>
          <w:tcPr>
            <w:tcW w:w="285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15"/>
                <w:szCs w:val="15"/>
              </w:rPr>
              <w:t>出让</w:t>
            </w:r>
            <w:r>
              <w:rPr>
                <w:rFonts w:hint="eastAsia" w:ascii="仿宋" w:hAnsi="仿宋" w:eastAsia="仿宋" w:cs="仿宋"/>
                <w:b/>
                <w:color w:val="00000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color w:val="000000"/>
                <w:sz w:val="15"/>
                <w:szCs w:val="15"/>
              </w:rPr>
              <w:t>年限(年)</w:t>
            </w:r>
          </w:p>
        </w:tc>
        <w:tc>
          <w:tcPr>
            <w:tcW w:w="284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15"/>
                <w:szCs w:val="15"/>
              </w:rPr>
              <w:t>起始价</w:t>
            </w:r>
            <w:r>
              <w:rPr>
                <w:rFonts w:hint="eastAsia" w:ascii="仿宋" w:hAnsi="仿宋" w:eastAsia="仿宋" w:cs="仿宋"/>
                <w:b/>
                <w:color w:val="00000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color w:val="000000"/>
                <w:sz w:val="15"/>
                <w:szCs w:val="15"/>
              </w:rPr>
              <w:t>(万元)</w:t>
            </w:r>
          </w:p>
        </w:tc>
        <w:tc>
          <w:tcPr>
            <w:tcW w:w="259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15"/>
                <w:szCs w:val="15"/>
              </w:rPr>
              <w:t>增价</w:t>
            </w:r>
            <w:r>
              <w:rPr>
                <w:rFonts w:hint="eastAsia" w:ascii="仿宋" w:hAnsi="仿宋" w:eastAsia="仿宋" w:cs="仿宋"/>
                <w:b/>
                <w:color w:val="00000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color w:val="000000"/>
                <w:sz w:val="15"/>
                <w:szCs w:val="15"/>
              </w:rPr>
              <w:t>幅度</w:t>
            </w:r>
            <w:r>
              <w:rPr>
                <w:rFonts w:hint="eastAsia" w:ascii="仿宋" w:hAnsi="仿宋" w:eastAsia="仿宋" w:cs="仿宋"/>
                <w:b/>
                <w:color w:val="00000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color w:val="000000"/>
                <w:sz w:val="15"/>
                <w:szCs w:val="15"/>
              </w:rPr>
              <w:t>（万元）</w:t>
            </w:r>
          </w:p>
        </w:tc>
        <w:tc>
          <w:tcPr>
            <w:tcW w:w="836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15"/>
                <w:szCs w:val="15"/>
              </w:rPr>
              <w:t>竞买预交款项</w:t>
            </w:r>
          </w:p>
        </w:tc>
        <w:tc>
          <w:tcPr>
            <w:tcW w:w="83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49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1"/>
                <w:szCs w:val="21"/>
              </w:rPr>
            </w:pPr>
          </w:p>
        </w:tc>
        <w:tc>
          <w:tcPr>
            <w:tcW w:w="301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1"/>
                <w:szCs w:val="21"/>
              </w:rPr>
            </w:pPr>
          </w:p>
        </w:tc>
        <w:tc>
          <w:tcPr>
            <w:tcW w:w="452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1"/>
                <w:szCs w:val="21"/>
              </w:rPr>
            </w:pPr>
          </w:p>
        </w:tc>
        <w:tc>
          <w:tcPr>
            <w:tcW w:w="397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1"/>
                <w:szCs w:val="21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15"/>
                <w:szCs w:val="15"/>
              </w:rPr>
              <w:t>容积率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15"/>
                <w:szCs w:val="15"/>
              </w:rPr>
              <w:t>建筑密度(%)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15"/>
                <w:szCs w:val="15"/>
              </w:rPr>
              <w:t>绿地率 (%)</w:t>
            </w:r>
          </w:p>
        </w:tc>
        <w:tc>
          <w:tcPr>
            <w:tcW w:w="285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1"/>
                <w:szCs w:val="21"/>
              </w:rPr>
            </w:pPr>
          </w:p>
        </w:tc>
        <w:tc>
          <w:tcPr>
            <w:tcW w:w="284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1"/>
                <w:szCs w:val="21"/>
              </w:rPr>
            </w:pPr>
          </w:p>
        </w:tc>
        <w:tc>
          <w:tcPr>
            <w:tcW w:w="259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1"/>
                <w:szCs w:val="21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15"/>
                <w:szCs w:val="15"/>
              </w:rPr>
              <w:t>竞买保证金</w:t>
            </w:r>
            <w:r>
              <w:rPr>
                <w:rFonts w:hint="eastAsia" w:ascii="仿宋" w:hAnsi="仿宋" w:eastAsia="仿宋" w:cs="仿宋"/>
                <w:b/>
                <w:color w:val="00000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color w:val="000000"/>
                <w:sz w:val="15"/>
                <w:szCs w:val="15"/>
              </w:rPr>
              <w:t>(万元)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15"/>
                <w:szCs w:val="15"/>
              </w:rPr>
              <w:t>土地预付款(万元)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000000"/>
                <w:sz w:val="15"/>
                <w:szCs w:val="15"/>
              </w:rPr>
              <w:t>交易服务费预付款(万元)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9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1</w:t>
            </w:r>
          </w:p>
        </w:tc>
        <w:tc>
          <w:tcPr>
            <w:tcW w:w="30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桃2020-44号（桃纺棚改项目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地块一：漳江街道纺城路社区(储备2062号)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D4B64"/>
                <w:sz w:val="20"/>
                <w:szCs w:val="20"/>
              </w:rPr>
              <w:t>63860.98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D4B64"/>
                <w:sz w:val="20"/>
                <w:szCs w:val="20"/>
              </w:rPr>
              <w:t>城镇居住用地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D4B64"/>
                <w:sz w:val="20"/>
                <w:szCs w:val="20"/>
              </w:rPr>
              <w:t>（商业≤8%）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D4B64"/>
                <w:sz w:val="20"/>
                <w:szCs w:val="20"/>
              </w:rPr>
              <w:t>1.0-2.8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D4B64"/>
                <w:sz w:val="20"/>
                <w:szCs w:val="20"/>
              </w:rPr>
              <w:t>≤22%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D4B64"/>
                <w:sz w:val="20"/>
                <w:szCs w:val="20"/>
              </w:rPr>
              <w:t>≥35%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70（商业40）</w:t>
            </w:r>
          </w:p>
        </w:tc>
        <w:tc>
          <w:tcPr>
            <w:tcW w:w="284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49980</w:t>
            </w:r>
          </w:p>
        </w:tc>
        <w:tc>
          <w:tcPr>
            <w:tcW w:w="259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100或100的整数倍</w:t>
            </w:r>
          </w:p>
        </w:tc>
        <w:tc>
          <w:tcPr>
            <w:tcW w:w="285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10180</w:t>
            </w:r>
          </w:p>
        </w:tc>
        <w:tc>
          <w:tcPr>
            <w:tcW w:w="286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14820</w:t>
            </w:r>
          </w:p>
        </w:tc>
        <w:tc>
          <w:tcPr>
            <w:tcW w:w="265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4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1"/>
                <w:szCs w:val="21"/>
              </w:rPr>
            </w:pPr>
          </w:p>
        </w:tc>
        <w:tc>
          <w:tcPr>
            <w:tcW w:w="30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地块二：漳江街道纺城路社区(储备2063-1号)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D4B64"/>
                <w:sz w:val="20"/>
                <w:szCs w:val="20"/>
              </w:rPr>
              <w:t>10211.53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D4B64"/>
                <w:sz w:val="20"/>
                <w:szCs w:val="20"/>
              </w:rPr>
              <w:t>城镇商业服务业设施用地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D4B64"/>
                <w:sz w:val="20"/>
                <w:szCs w:val="20"/>
              </w:rPr>
              <w:t>≤3.5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D4B64"/>
                <w:sz w:val="20"/>
                <w:szCs w:val="20"/>
              </w:rPr>
              <w:t>≤43%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D4B64"/>
                <w:sz w:val="20"/>
                <w:szCs w:val="20"/>
              </w:rPr>
              <w:t>≥12%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84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0"/>
                <w:szCs w:val="20"/>
              </w:rPr>
            </w:pPr>
          </w:p>
        </w:tc>
        <w:tc>
          <w:tcPr>
            <w:tcW w:w="285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0"/>
                <w:szCs w:val="20"/>
              </w:rPr>
            </w:pPr>
          </w:p>
        </w:tc>
        <w:tc>
          <w:tcPr>
            <w:tcW w:w="286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0"/>
                <w:szCs w:val="20"/>
              </w:rPr>
            </w:pPr>
          </w:p>
        </w:tc>
        <w:tc>
          <w:tcPr>
            <w:tcW w:w="265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0"/>
                <w:szCs w:val="20"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1"/>
                <w:szCs w:val="21"/>
              </w:rPr>
            </w:pPr>
          </w:p>
        </w:tc>
        <w:tc>
          <w:tcPr>
            <w:tcW w:w="30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地块三：漳江街道纺城路社区（储备2063-2号)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D4B64"/>
                <w:sz w:val="20"/>
                <w:szCs w:val="20"/>
              </w:rPr>
              <w:t>49647.37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D4B64"/>
                <w:sz w:val="20"/>
                <w:szCs w:val="20"/>
              </w:rPr>
              <w:t>城镇居住用地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D4B64"/>
                <w:sz w:val="20"/>
                <w:szCs w:val="20"/>
              </w:rPr>
              <w:t>（商业≤8%）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D4B64"/>
                <w:sz w:val="20"/>
                <w:szCs w:val="20"/>
              </w:rPr>
              <w:t>1.0-2.8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D4B64"/>
                <w:sz w:val="20"/>
                <w:szCs w:val="20"/>
              </w:rPr>
              <w:t>≤22%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D4B64"/>
                <w:sz w:val="20"/>
                <w:szCs w:val="20"/>
              </w:rPr>
              <w:t>≥35%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70（商业40）</w:t>
            </w:r>
          </w:p>
        </w:tc>
        <w:tc>
          <w:tcPr>
            <w:tcW w:w="284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0"/>
                <w:szCs w:val="20"/>
              </w:rPr>
            </w:pPr>
          </w:p>
        </w:tc>
        <w:tc>
          <w:tcPr>
            <w:tcW w:w="285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0"/>
                <w:szCs w:val="20"/>
              </w:rPr>
            </w:pPr>
          </w:p>
        </w:tc>
        <w:tc>
          <w:tcPr>
            <w:tcW w:w="286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0"/>
                <w:szCs w:val="20"/>
              </w:rPr>
            </w:pPr>
          </w:p>
        </w:tc>
        <w:tc>
          <w:tcPr>
            <w:tcW w:w="265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0"/>
                <w:szCs w:val="20"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4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1"/>
                <w:szCs w:val="21"/>
              </w:rPr>
            </w:pPr>
          </w:p>
        </w:tc>
        <w:tc>
          <w:tcPr>
            <w:tcW w:w="30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地块四：漳江街道西苑社区（储备2064号）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D4B64"/>
                <w:sz w:val="20"/>
                <w:szCs w:val="20"/>
              </w:rPr>
              <w:t>30013.93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D4B64"/>
                <w:sz w:val="20"/>
                <w:szCs w:val="20"/>
              </w:rPr>
              <w:t>城镇居住用地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D4B64"/>
                <w:sz w:val="20"/>
                <w:szCs w:val="20"/>
              </w:rPr>
              <w:t>（商业≤8%）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D4B64"/>
                <w:sz w:val="20"/>
                <w:szCs w:val="20"/>
              </w:rPr>
              <w:t>1.0-2.8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D4B64"/>
                <w:sz w:val="20"/>
                <w:szCs w:val="20"/>
              </w:rPr>
              <w:t>≤22%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D4B64"/>
                <w:sz w:val="20"/>
                <w:szCs w:val="20"/>
              </w:rPr>
              <w:t>≥35%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70（商业40）</w:t>
            </w:r>
          </w:p>
        </w:tc>
        <w:tc>
          <w:tcPr>
            <w:tcW w:w="284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0"/>
                <w:szCs w:val="20"/>
              </w:rPr>
            </w:pPr>
          </w:p>
        </w:tc>
        <w:tc>
          <w:tcPr>
            <w:tcW w:w="285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0"/>
                <w:szCs w:val="20"/>
              </w:rPr>
            </w:pPr>
          </w:p>
        </w:tc>
        <w:tc>
          <w:tcPr>
            <w:tcW w:w="286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0"/>
                <w:szCs w:val="20"/>
              </w:rPr>
            </w:pPr>
          </w:p>
        </w:tc>
        <w:tc>
          <w:tcPr>
            <w:tcW w:w="265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0"/>
                <w:szCs w:val="20"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4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1"/>
                <w:szCs w:val="21"/>
              </w:rPr>
            </w:pPr>
          </w:p>
        </w:tc>
        <w:tc>
          <w:tcPr>
            <w:tcW w:w="30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地块五：漳江街道纺城路社区（储备2065号）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D4B64"/>
                <w:sz w:val="20"/>
                <w:szCs w:val="20"/>
              </w:rPr>
              <w:t>33863.27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D4B64"/>
                <w:sz w:val="20"/>
                <w:szCs w:val="20"/>
              </w:rPr>
              <w:t>城镇居住用地（商业≤8%）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D4B64"/>
                <w:sz w:val="20"/>
                <w:szCs w:val="20"/>
              </w:rPr>
              <w:t>1.0-2.8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D4B64"/>
                <w:sz w:val="20"/>
                <w:szCs w:val="20"/>
              </w:rPr>
              <w:t>≤22%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D4B64"/>
                <w:sz w:val="20"/>
                <w:szCs w:val="20"/>
              </w:rPr>
              <w:t>≥35%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70（商业40）</w:t>
            </w:r>
          </w:p>
        </w:tc>
        <w:tc>
          <w:tcPr>
            <w:tcW w:w="284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0"/>
                <w:szCs w:val="20"/>
              </w:rPr>
            </w:pPr>
          </w:p>
        </w:tc>
        <w:tc>
          <w:tcPr>
            <w:tcW w:w="285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0"/>
                <w:szCs w:val="20"/>
              </w:rPr>
            </w:pPr>
          </w:p>
        </w:tc>
        <w:tc>
          <w:tcPr>
            <w:tcW w:w="286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0"/>
                <w:szCs w:val="20"/>
              </w:rPr>
            </w:pPr>
          </w:p>
        </w:tc>
        <w:tc>
          <w:tcPr>
            <w:tcW w:w="265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0"/>
                <w:szCs w:val="20"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4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1"/>
                <w:szCs w:val="21"/>
              </w:rPr>
            </w:pPr>
          </w:p>
        </w:tc>
        <w:tc>
          <w:tcPr>
            <w:tcW w:w="30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地块六：漳江街道西苑社区（储备2066号）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D4B64"/>
                <w:sz w:val="20"/>
                <w:szCs w:val="20"/>
              </w:rPr>
              <w:t>11084.40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D4B64"/>
                <w:sz w:val="20"/>
                <w:szCs w:val="20"/>
              </w:rPr>
              <w:t>城镇居住用地（商业≤8%）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D4B64"/>
                <w:sz w:val="20"/>
                <w:szCs w:val="20"/>
              </w:rPr>
              <w:t>1.0-2.8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D4B64"/>
                <w:sz w:val="20"/>
                <w:szCs w:val="20"/>
              </w:rPr>
              <w:t>≤22%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D4B64"/>
                <w:sz w:val="20"/>
                <w:szCs w:val="20"/>
              </w:rPr>
              <w:t>≥35%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 w:line="39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70（商业40）</w:t>
            </w:r>
          </w:p>
        </w:tc>
        <w:tc>
          <w:tcPr>
            <w:tcW w:w="284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0"/>
                <w:szCs w:val="20"/>
              </w:rPr>
            </w:pPr>
          </w:p>
        </w:tc>
        <w:tc>
          <w:tcPr>
            <w:tcW w:w="285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0"/>
                <w:szCs w:val="20"/>
              </w:rPr>
            </w:pPr>
          </w:p>
        </w:tc>
        <w:tc>
          <w:tcPr>
            <w:tcW w:w="286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0"/>
                <w:szCs w:val="20"/>
              </w:rPr>
            </w:pPr>
          </w:p>
        </w:tc>
        <w:tc>
          <w:tcPr>
            <w:tcW w:w="265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0"/>
                <w:szCs w:val="20"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1"/>
                <w:szCs w:val="21"/>
              </w:rPr>
            </w:pPr>
          </w:p>
        </w:tc>
        <w:tc>
          <w:tcPr>
            <w:tcW w:w="30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地块七：漳江街道纺城路社区（储备2067号）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D4B64"/>
                <w:sz w:val="20"/>
                <w:szCs w:val="20"/>
              </w:rPr>
              <w:t>4378.46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D4B64"/>
                <w:sz w:val="20"/>
                <w:szCs w:val="20"/>
              </w:rPr>
              <w:t>城镇居住用地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D4B64"/>
                <w:sz w:val="20"/>
                <w:szCs w:val="20"/>
              </w:rPr>
              <w:t>（商业≤8%）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D4B64"/>
                <w:sz w:val="20"/>
                <w:szCs w:val="20"/>
              </w:rPr>
              <w:t>1.0-2.8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D4B64"/>
                <w:sz w:val="20"/>
                <w:szCs w:val="20"/>
              </w:rPr>
              <w:t>≤22%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D4B64"/>
                <w:sz w:val="20"/>
                <w:szCs w:val="20"/>
              </w:rPr>
              <w:t>≥35%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 w:line="39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70（商业40）</w:t>
            </w:r>
          </w:p>
        </w:tc>
        <w:tc>
          <w:tcPr>
            <w:tcW w:w="284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0"/>
                <w:szCs w:val="20"/>
              </w:rPr>
            </w:pPr>
          </w:p>
        </w:tc>
        <w:tc>
          <w:tcPr>
            <w:tcW w:w="285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0"/>
                <w:szCs w:val="20"/>
              </w:rPr>
            </w:pPr>
          </w:p>
        </w:tc>
        <w:tc>
          <w:tcPr>
            <w:tcW w:w="286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0"/>
                <w:szCs w:val="20"/>
              </w:rPr>
            </w:pPr>
          </w:p>
        </w:tc>
        <w:tc>
          <w:tcPr>
            <w:tcW w:w="265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0"/>
                <w:szCs w:val="20"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4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1"/>
                <w:szCs w:val="21"/>
              </w:rPr>
            </w:pPr>
          </w:p>
        </w:tc>
        <w:tc>
          <w:tcPr>
            <w:tcW w:w="30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地块八：漳江街道纺城路社区（储备2068号）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D4B64"/>
                <w:sz w:val="20"/>
                <w:szCs w:val="20"/>
              </w:rPr>
              <w:t>5548.22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D4B64"/>
                <w:sz w:val="20"/>
                <w:szCs w:val="20"/>
              </w:rPr>
              <w:t>城镇居住用地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D4B64"/>
                <w:sz w:val="20"/>
                <w:szCs w:val="20"/>
              </w:rPr>
              <w:t>（商业≤8%）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D4B64"/>
                <w:sz w:val="20"/>
                <w:szCs w:val="20"/>
              </w:rPr>
              <w:t>1.0-2.8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D4B64"/>
                <w:sz w:val="20"/>
                <w:szCs w:val="20"/>
              </w:rPr>
              <w:t>≤22%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D4B64"/>
                <w:sz w:val="20"/>
                <w:szCs w:val="20"/>
              </w:rPr>
              <w:t>≥35%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 w:line="39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70（商业40）</w:t>
            </w:r>
          </w:p>
        </w:tc>
        <w:tc>
          <w:tcPr>
            <w:tcW w:w="284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0"/>
                <w:szCs w:val="20"/>
              </w:rPr>
            </w:pPr>
          </w:p>
        </w:tc>
        <w:tc>
          <w:tcPr>
            <w:tcW w:w="285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0"/>
                <w:szCs w:val="20"/>
              </w:rPr>
            </w:pPr>
          </w:p>
        </w:tc>
        <w:tc>
          <w:tcPr>
            <w:tcW w:w="286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0"/>
                <w:szCs w:val="20"/>
              </w:rPr>
            </w:pPr>
          </w:p>
        </w:tc>
        <w:tc>
          <w:tcPr>
            <w:tcW w:w="265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0"/>
                <w:szCs w:val="20"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1"/>
                <w:szCs w:val="21"/>
              </w:rPr>
            </w:pPr>
          </w:p>
        </w:tc>
        <w:tc>
          <w:tcPr>
            <w:tcW w:w="30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地块九：漳江街道纺城路社区（储备2069号）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D4B64"/>
                <w:sz w:val="20"/>
                <w:szCs w:val="20"/>
              </w:rPr>
              <w:t>6344.35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D4B64"/>
                <w:sz w:val="20"/>
                <w:szCs w:val="20"/>
              </w:rPr>
              <w:t>城镇居住用地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D4B64"/>
                <w:sz w:val="20"/>
                <w:szCs w:val="20"/>
              </w:rPr>
              <w:t>（商业≤8%）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D4B64"/>
                <w:sz w:val="20"/>
                <w:szCs w:val="20"/>
              </w:rPr>
              <w:t>1.0-2.8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D4B64"/>
                <w:sz w:val="20"/>
                <w:szCs w:val="20"/>
              </w:rPr>
              <w:t>≤22%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D4B64"/>
                <w:sz w:val="20"/>
                <w:szCs w:val="20"/>
              </w:rPr>
              <w:t>≥35%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00" w:afterAutospacing="0" w:line="39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70（商业40）</w:t>
            </w:r>
          </w:p>
        </w:tc>
        <w:tc>
          <w:tcPr>
            <w:tcW w:w="284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0"/>
                <w:szCs w:val="20"/>
              </w:rPr>
            </w:pPr>
          </w:p>
        </w:tc>
        <w:tc>
          <w:tcPr>
            <w:tcW w:w="259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0"/>
                <w:szCs w:val="20"/>
              </w:rPr>
            </w:pPr>
          </w:p>
        </w:tc>
        <w:tc>
          <w:tcPr>
            <w:tcW w:w="285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0"/>
                <w:szCs w:val="20"/>
              </w:rPr>
            </w:pPr>
          </w:p>
        </w:tc>
        <w:tc>
          <w:tcPr>
            <w:tcW w:w="286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0"/>
                <w:szCs w:val="20"/>
              </w:rPr>
            </w:pPr>
          </w:p>
        </w:tc>
        <w:tc>
          <w:tcPr>
            <w:tcW w:w="265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0"/>
                <w:szCs w:val="20"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D4B64"/>
                <w:sz w:val="20"/>
                <w:szCs w:val="20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390" w:lineRule="atLeast"/>
        <w:ind w:left="0" w:right="0" w:firstLine="600"/>
      </w:pPr>
      <w:r>
        <w:rPr>
          <w:rFonts w:hint="eastAsia" w:ascii="黑体" w:hAnsi="宋体" w:eastAsia="黑体" w:cs="黑体"/>
          <w:color w:val="3D4B64"/>
          <w:sz w:val="30"/>
          <w:szCs w:val="3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390" w:lineRule="atLeast"/>
        <w:ind w:left="0" w:right="0" w:firstLine="600"/>
      </w:pPr>
      <w:r>
        <w:rPr>
          <w:rFonts w:hint="eastAsia" w:ascii="黑体" w:hAnsi="宋体" w:eastAsia="黑体" w:cs="黑体"/>
          <w:color w:val="3D4B64"/>
          <w:sz w:val="30"/>
          <w:szCs w:val="30"/>
          <w:shd w:val="clear" w:fill="FFFFFF"/>
        </w:rPr>
        <w:t>三、竞买资格及要求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390" w:lineRule="atLeast"/>
        <w:ind w:left="0" w:right="0" w:firstLine="600"/>
      </w:pPr>
      <w:r>
        <w:rPr>
          <w:rFonts w:hint="eastAsia" w:ascii="仿宋" w:hAnsi="仿宋" w:eastAsia="仿宋" w:cs="仿宋"/>
          <w:color w:val="3D4B64"/>
          <w:sz w:val="30"/>
          <w:szCs w:val="30"/>
          <w:shd w:val="clear" w:fill="FFFFFF"/>
        </w:rPr>
        <w:t>中华人民共和国境内外的自然人、法人和其他组织，均可申请参加竞买，但法律法规和政策规定对竞买人另有限制，以及有欠缴出让人土地出让价款、不履行土地出让合同等不良记录的自然人、法人和其他组织，均不得申请参加本次竞买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390" w:lineRule="atLeast"/>
        <w:ind w:left="0" w:right="0" w:firstLine="600"/>
      </w:pPr>
      <w:r>
        <w:rPr>
          <w:rFonts w:hint="eastAsia" w:ascii="仿宋" w:hAnsi="仿宋" w:eastAsia="仿宋" w:cs="仿宋"/>
          <w:color w:val="3D4B64"/>
          <w:sz w:val="30"/>
          <w:szCs w:val="30"/>
          <w:shd w:val="clear" w:fill="FFFFFF"/>
        </w:rPr>
        <w:t>竞买人可单独申请竞买，也可联合申请竞买。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390" w:lineRule="atLeast"/>
        <w:ind w:left="0" w:right="0" w:firstLine="600"/>
      </w:pPr>
      <w:r>
        <w:rPr>
          <w:rFonts w:hint="eastAsia" w:ascii="黑体" w:hAnsi="宋体" w:eastAsia="黑体" w:cs="黑体"/>
          <w:color w:val="3D4B64"/>
          <w:sz w:val="30"/>
          <w:szCs w:val="30"/>
          <w:shd w:val="clear" w:fill="FFFFFF"/>
        </w:rPr>
        <w:t>四、确定竞得人办法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390" w:lineRule="atLeast"/>
        <w:ind w:left="0" w:right="0" w:firstLine="600"/>
        <w:rPr>
          <w:rFonts w:hint="eastAsia" w:ascii="仿宋" w:hAnsi="仿宋" w:eastAsia="仿宋" w:cs="仿宋"/>
          <w:color w:val="3D4B64"/>
          <w:sz w:val="30"/>
          <w:szCs w:val="3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390" w:lineRule="atLeast"/>
        <w:ind w:left="0" w:right="0" w:firstLine="600"/>
      </w:pPr>
      <w:r>
        <w:rPr>
          <w:rFonts w:hint="eastAsia" w:ascii="仿宋" w:hAnsi="仿宋" w:eastAsia="仿宋" w:cs="仿宋"/>
          <w:color w:val="3D4B64"/>
          <w:sz w:val="30"/>
          <w:szCs w:val="30"/>
          <w:shd w:val="clear" w:fill="FFFFFF"/>
        </w:rPr>
        <w:t xml:space="preserve">本次挂牌出让按“不低于底价”和“出价最高者得”原则确定竞得人。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390" w:lineRule="atLeast"/>
        <w:ind w:left="0" w:right="0" w:firstLine="600"/>
      </w:pPr>
      <w:r>
        <w:rPr>
          <w:rFonts w:hint="eastAsia" w:ascii="黑体" w:hAnsi="宋体" w:eastAsia="黑体" w:cs="黑体"/>
          <w:color w:val="3D4B64"/>
          <w:sz w:val="30"/>
          <w:szCs w:val="30"/>
          <w:shd w:val="clear" w:fill="FFFFFF"/>
        </w:rPr>
        <w:t>五、出让时间、地点安排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390" w:lineRule="atLeast"/>
        <w:ind w:left="0" w:right="0" w:firstLine="600"/>
      </w:pPr>
      <w:r>
        <w:rPr>
          <w:rFonts w:hint="eastAsia" w:ascii="仿宋" w:hAnsi="仿宋" w:eastAsia="仿宋" w:cs="仿宋"/>
          <w:color w:val="3D4B64"/>
          <w:sz w:val="30"/>
          <w:szCs w:val="30"/>
          <w:shd w:val="clear" w:fill="FFFFFF"/>
        </w:rPr>
        <w:t>1、公告期间：</w:t>
      </w:r>
      <w:r>
        <w:rPr>
          <w:rFonts w:hint="eastAsia" w:ascii="仿宋" w:hAnsi="仿宋" w:eastAsia="仿宋" w:cs="仿宋"/>
          <w:color w:val="3D4B64"/>
          <w:sz w:val="30"/>
          <w:szCs w:val="30"/>
          <w:u w:val="single"/>
          <w:shd w:val="clear" w:fill="FFFFFF"/>
        </w:rPr>
        <w:t>2020年7月22日至2020年8月10日</w:t>
      </w:r>
      <w:r>
        <w:rPr>
          <w:rFonts w:hint="eastAsia" w:ascii="仿宋" w:hAnsi="仿宋" w:eastAsia="仿宋" w:cs="仿宋"/>
          <w:color w:val="3D4B64"/>
          <w:sz w:val="30"/>
          <w:szCs w:val="30"/>
          <w:shd w:val="clear" w:fill="FFFFFF"/>
        </w:rPr>
        <w:t xml:space="preserve">                            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390" w:lineRule="atLeast"/>
        <w:ind w:left="0" w:right="0" w:firstLine="528"/>
      </w:pPr>
      <w:r>
        <w:rPr>
          <w:rFonts w:hint="eastAsia" w:ascii="仿宋" w:hAnsi="仿宋" w:eastAsia="仿宋" w:cs="仿宋"/>
          <w:color w:val="3D4B64"/>
          <w:spacing w:val="-18"/>
          <w:sz w:val="30"/>
          <w:szCs w:val="30"/>
          <w:shd w:val="clear" w:fill="FFFFFF"/>
        </w:rPr>
        <w:t>2、下载出让文件期间：</w:t>
      </w:r>
      <w:r>
        <w:rPr>
          <w:rFonts w:hint="eastAsia" w:ascii="仿宋" w:hAnsi="仿宋" w:eastAsia="仿宋" w:cs="仿宋"/>
          <w:color w:val="3D4B64"/>
          <w:spacing w:val="-18"/>
          <w:sz w:val="30"/>
          <w:szCs w:val="30"/>
          <w:u w:val="single"/>
          <w:shd w:val="clear" w:fill="FFFFFF"/>
        </w:rPr>
        <w:t xml:space="preserve">2020年7月22日至2020年8月18日                   </w:t>
      </w:r>
      <w:r>
        <w:rPr>
          <w:rFonts w:hint="eastAsia" w:ascii="仿宋" w:hAnsi="仿宋" w:eastAsia="仿宋" w:cs="仿宋"/>
          <w:color w:val="3D4B64"/>
          <w:spacing w:val="-18"/>
          <w:sz w:val="30"/>
          <w:szCs w:val="30"/>
          <w:shd w:val="clear" w:fill="FFFFFF"/>
        </w:rPr>
        <w:t>                              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590" w:lineRule="atLeast"/>
        <w:ind w:left="0" w:right="0" w:firstLine="600"/>
      </w:pPr>
      <w:r>
        <w:rPr>
          <w:rFonts w:hint="eastAsia" w:ascii="仿宋" w:hAnsi="仿宋" w:eastAsia="仿宋" w:cs="仿宋"/>
          <w:color w:val="3D4B64"/>
          <w:sz w:val="30"/>
          <w:szCs w:val="30"/>
          <w:shd w:val="clear" w:fill="FFFFFF"/>
        </w:rPr>
        <w:t>3、现场挂牌期间：</w:t>
      </w:r>
      <w:r>
        <w:rPr>
          <w:rFonts w:hint="eastAsia" w:ascii="仿宋" w:hAnsi="仿宋" w:eastAsia="仿宋" w:cs="仿宋"/>
          <w:color w:val="3D4B64"/>
          <w:sz w:val="30"/>
          <w:szCs w:val="30"/>
          <w:u w:val="single"/>
          <w:shd w:val="clear" w:fill="FFFFFF"/>
        </w:rPr>
        <w:t>2020年8月11日9:00至2020年8月21日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shd w:val="clear" w:fill="FFFFFF"/>
        </w:rPr>
        <w:t>10:58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390" w:lineRule="atLeast"/>
        <w:ind w:left="0" w:right="0" w:firstLine="600"/>
      </w:pPr>
      <w:r>
        <w:rPr>
          <w:rFonts w:hint="eastAsia" w:ascii="仿宋" w:hAnsi="仿宋" w:eastAsia="仿宋" w:cs="仿宋"/>
          <w:color w:val="3D4B64"/>
          <w:sz w:val="30"/>
          <w:szCs w:val="30"/>
          <w:shd w:val="clear" w:fill="FFFFFF"/>
        </w:rPr>
        <w:t>4、竞买预交款项（为竞买保证金、土地预付款和交易服务费预付款金额之和）到账截止时间：</w:t>
      </w:r>
      <w:r>
        <w:rPr>
          <w:rFonts w:hint="eastAsia" w:ascii="仿宋" w:hAnsi="仿宋" w:eastAsia="仿宋" w:cs="仿宋"/>
          <w:color w:val="3D4B64"/>
          <w:sz w:val="30"/>
          <w:szCs w:val="30"/>
          <w:u w:val="single"/>
          <w:shd w:val="clear" w:fill="FFFFFF"/>
        </w:rPr>
        <w:t>2020年8月18日16:30</w:t>
      </w:r>
      <w:r>
        <w:rPr>
          <w:rFonts w:hint="eastAsia" w:ascii="仿宋" w:hAnsi="仿宋" w:eastAsia="仿宋" w:cs="仿宋"/>
          <w:color w:val="3D4B64"/>
          <w:sz w:val="30"/>
          <w:szCs w:val="30"/>
          <w:shd w:val="clear" w:fill="FFFFFF"/>
        </w:rPr>
        <w:t>（竞买预交款项到账超过截止时间的，不予受理竞买申请）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390" w:lineRule="atLeast"/>
        <w:ind w:left="110" w:right="0" w:firstLine="450"/>
      </w:pPr>
      <w:r>
        <w:rPr>
          <w:rFonts w:hint="eastAsia" w:ascii="仿宋" w:hAnsi="仿宋" w:eastAsia="仿宋" w:cs="仿宋"/>
          <w:color w:val="3D4B64"/>
          <w:sz w:val="30"/>
          <w:szCs w:val="30"/>
          <w:shd w:val="clear" w:fill="FFFFFF"/>
        </w:rPr>
        <w:t>5、接受竞买申请期间（节假日不受理申请）：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390" w:lineRule="atLeast"/>
        <w:ind w:left="110" w:right="0" w:firstLine="450"/>
      </w:pPr>
      <w:r>
        <w:rPr>
          <w:rFonts w:hint="eastAsia" w:ascii="仿宋" w:hAnsi="仿宋" w:eastAsia="仿宋" w:cs="仿宋"/>
          <w:color w:val="3D4B64"/>
          <w:sz w:val="30"/>
          <w:szCs w:val="30"/>
          <w:u w:val="single"/>
          <w:shd w:val="clear" w:fill="FFFFFF"/>
        </w:rPr>
        <w:t>2020年8月10日9:00至2020年8月18日16:30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390" w:lineRule="atLeast"/>
        <w:ind w:left="0" w:right="0" w:firstLine="600"/>
      </w:pPr>
      <w:r>
        <w:rPr>
          <w:rFonts w:hint="eastAsia" w:ascii="仿宋" w:hAnsi="仿宋" w:eastAsia="仿宋" w:cs="仿宋"/>
          <w:color w:val="3D4B64"/>
          <w:sz w:val="30"/>
          <w:szCs w:val="30"/>
          <w:shd w:val="clear" w:fill="FFFFFF"/>
        </w:rPr>
        <w:t>6、接受报价期间（节假日不受理报价）：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390" w:lineRule="atLeast"/>
        <w:ind w:left="0" w:right="0" w:firstLine="600"/>
      </w:pPr>
      <w:r>
        <w:rPr>
          <w:rFonts w:hint="eastAsia" w:ascii="仿宋" w:hAnsi="仿宋" w:eastAsia="仿宋" w:cs="仿宋"/>
          <w:color w:val="3D4B64"/>
          <w:sz w:val="30"/>
          <w:szCs w:val="30"/>
          <w:u w:val="single"/>
          <w:shd w:val="clear" w:fill="FFFFFF"/>
        </w:rPr>
        <w:t>2020年8月10日9:00至2020年8月21日10:58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390" w:lineRule="atLeast"/>
        <w:ind w:left="0" w:right="0" w:firstLine="600"/>
      </w:pPr>
      <w:r>
        <w:rPr>
          <w:rFonts w:hint="eastAsia" w:ascii="仿宋" w:hAnsi="仿宋" w:eastAsia="仿宋" w:cs="仿宋"/>
          <w:color w:val="3D4B64"/>
          <w:sz w:val="30"/>
          <w:szCs w:val="30"/>
          <w:shd w:val="clear" w:fill="FFFFFF"/>
        </w:rPr>
        <w:t>7、接受竞买申请和报价地点：朗州北路与月亮大道交汇处市民之家东部常德市公共资源交易中心</w:t>
      </w:r>
      <w:r>
        <w:rPr>
          <w:rFonts w:hint="eastAsia" w:ascii="仿宋" w:hAnsi="仿宋" w:eastAsia="仿宋" w:cs="仿宋"/>
          <w:color w:val="3D4B64"/>
          <w:sz w:val="30"/>
          <w:szCs w:val="30"/>
          <w:u w:val="single"/>
          <w:shd w:val="clear" w:fill="FFFFFF"/>
        </w:rPr>
        <w:t>一楼109</w:t>
      </w:r>
      <w:r>
        <w:rPr>
          <w:rFonts w:hint="eastAsia" w:ascii="仿宋" w:hAnsi="仿宋" w:eastAsia="仿宋" w:cs="仿宋"/>
          <w:color w:val="3D4B64"/>
          <w:sz w:val="30"/>
          <w:szCs w:val="30"/>
          <w:shd w:val="clear" w:fill="FFFFFF"/>
        </w:rPr>
        <w:t>室                           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390" w:lineRule="atLeast"/>
        <w:ind w:left="0" w:right="0" w:firstLine="600"/>
      </w:pPr>
      <w:r>
        <w:rPr>
          <w:rFonts w:hint="eastAsia" w:ascii="黑体" w:hAnsi="宋体" w:eastAsia="黑体" w:cs="黑体"/>
          <w:color w:val="3D4B64"/>
          <w:sz w:val="30"/>
          <w:szCs w:val="30"/>
          <w:shd w:val="clear" w:fill="FFFFFF"/>
        </w:rPr>
        <w:t>六、出让文件的获取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390" w:lineRule="atLeast"/>
        <w:ind w:left="0" w:right="0" w:firstLine="600"/>
      </w:pPr>
      <w:r>
        <w:rPr>
          <w:rFonts w:hint="eastAsia" w:ascii="仿宋" w:hAnsi="仿宋" w:eastAsia="仿宋" w:cs="仿宋"/>
          <w:color w:val="3D4B64"/>
          <w:sz w:val="30"/>
          <w:szCs w:val="30"/>
          <w:shd w:val="clear" w:fill="FFFFFF"/>
        </w:rPr>
        <w:t>本次挂牌出让的详细资料和具体要求详见挂牌出让文件。有意竞买者须在本公告规定的下载出让文件期间，登录常德市公共资源交易网（ggzy.changde.gov.cn），在“国土资源”板块中的“招拍挂公告”下找到意向地块出让公告，再在出让公告下面的附件中自行下载意向地块的出让文件。出让文件与本公告内容具有同等效力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390" w:lineRule="atLeast"/>
        <w:ind w:left="0" w:right="0" w:firstLine="600"/>
      </w:pPr>
      <w:r>
        <w:rPr>
          <w:rFonts w:hint="eastAsia" w:ascii="黑体" w:hAnsi="宋体" w:eastAsia="黑体" w:cs="黑体"/>
          <w:color w:val="3D4B64"/>
          <w:sz w:val="30"/>
          <w:szCs w:val="30"/>
          <w:shd w:val="clear" w:fill="FFFFFF"/>
        </w:rPr>
        <w:t>七、竞买申请办法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390" w:lineRule="atLeast"/>
        <w:ind w:left="0" w:right="0" w:firstLine="600"/>
      </w:pPr>
      <w:r>
        <w:rPr>
          <w:rFonts w:hint="eastAsia" w:ascii="仿宋" w:hAnsi="仿宋" w:eastAsia="仿宋" w:cs="仿宋"/>
          <w:color w:val="3D4B64"/>
          <w:sz w:val="30"/>
          <w:szCs w:val="30"/>
          <w:shd w:val="clear" w:fill="FFFFFF"/>
        </w:rPr>
        <w:t>有意竞买者应在认真阅读挂牌出让文件后，凭竞买申请必备资料，在本公告规定的竞买申请期间、地点，向挂牌人提出竞买申请。经挂牌人审查合格后，方可取得竞买资格。竞买人在取得竞买资格的同时，必须按照时间先后顺序报价一次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390" w:lineRule="atLeast"/>
        <w:ind w:left="0" w:right="0" w:firstLine="600"/>
      </w:pPr>
      <w:r>
        <w:rPr>
          <w:rFonts w:hint="eastAsia" w:ascii="黑体" w:hAnsi="宋体" w:eastAsia="黑体" w:cs="黑体"/>
          <w:color w:val="3D4B64"/>
          <w:sz w:val="30"/>
          <w:szCs w:val="30"/>
          <w:shd w:val="clear" w:fill="FFFFFF"/>
        </w:rPr>
        <w:t>八、其他需要说明的事项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390" w:lineRule="atLeast"/>
        <w:ind w:left="0" w:right="0" w:firstLine="600"/>
      </w:pPr>
      <w:r>
        <w:rPr>
          <w:rFonts w:hint="eastAsia" w:ascii="仿宋" w:hAnsi="仿宋" w:eastAsia="仿宋" w:cs="仿宋"/>
          <w:color w:val="3D4B64"/>
          <w:sz w:val="30"/>
          <w:szCs w:val="30"/>
          <w:shd w:val="clear" w:fill="FFFFFF"/>
        </w:rPr>
        <w:t>1、出让地块按挂牌期间的现状净地供地。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390" w:lineRule="atLeast"/>
        <w:ind w:left="0" w:right="0" w:firstLine="600"/>
      </w:pPr>
      <w:r>
        <w:rPr>
          <w:rFonts w:hint="eastAsia" w:ascii="仿宋" w:hAnsi="仿宋" w:eastAsia="仿宋" w:cs="仿宋"/>
          <w:color w:val="3D4B64"/>
          <w:sz w:val="30"/>
          <w:szCs w:val="30"/>
          <w:shd w:val="clear" w:fill="FFFFFF"/>
        </w:rPr>
        <w:t>2、竞买人应自行对出让地块现状进行踏勘。竞买人提交的竞买申请一经挂牌人受理并取得竞买资格，即视为竞买人对出让地块现状及其出让文件均不持任何异议。竞买人对其申请和承诺承担法律责任。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390" w:lineRule="atLeast"/>
        <w:ind w:left="0" w:right="0" w:firstLine="600"/>
      </w:pPr>
      <w:r>
        <w:rPr>
          <w:rFonts w:hint="eastAsia" w:ascii="仿宋" w:hAnsi="仿宋" w:eastAsia="仿宋" w:cs="仿宋"/>
          <w:color w:val="3D4B64"/>
          <w:sz w:val="30"/>
          <w:szCs w:val="30"/>
          <w:shd w:val="clear" w:fill="FFFFFF"/>
        </w:rPr>
        <w:t>3、挂牌期限届满，一宗地块有竞买人表示愿意继续竞价的，该宗地块挂牌出让转入现场竞价，通过现场竞价确定竞得人。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390" w:lineRule="atLeast"/>
        <w:ind w:left="0" w:right="0" w:firstLine="600"/>
      </w:pPr>
      <w:r>
        <w:rPr>
          <w:rFonts w:hint="eastAsia" w:ascii="仿宋" w:hAnsi="仿宋" w:eastAsia="仿宋" w:cs="仿宋"/>
          <w:color w:val="3D4B64"/>
          <w:sz w:val="30"/>
          <w:szCs w:val="30"/>
          <w:shd w:val="clear" w:fill="FFFFFF"/>
        </w:rPr>
        <w:t>4、本公告未尽事宜按出让文件的相关规定办理。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390" w:lineRule="atLeast"/>
        <w:ind w:left="0" w:right="0" w:firstLine="600"/>
      </w:pPr>
      <w:r>
        <w:rPr>
          <w:rFonts w:hint="eastAsia" w:ascii="黑体" w:hAnsi="宋体" w:eastAsia="黑体" w:cs="黑体"/>
          <w:color w:val="3D4B64"/>
          <w:sz w:val="30"/>
          <w:szCs w:val="30"/>
          <w:shd w:val="clear" w:fill="FFFFFF"/>
        </w:rPr>
        <w:t xml:space="preserve">九、信息发布媒体   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390" w:lineRule="atLeast"/>
        <w:ind w:left="0" w:right="0" w:firstLine="600"/>
      </w:pPr>
      <w:r>
        <w:rPr>
          <w:rFonts w:hint="eastAsia" w:ascii="仿宋" w:hAnsi="仿宋" w:eastAsia="仿宋" w:cs="仿宋"/>
          <w:color w:val="3D4B64"/>
          <w:sz w:val="30"/>
          <w:szCs w:val="30"/>
          <w:shd w:val="clear" w:fill="FFFFFF"/>
        </w:rPr>
        <w:t>本公告同时在中国土地市场网、常德日报、桃源县自然资源局网站、常德市公共资源交易网发布。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390" w:lineRule="atLeast"/>
        <w:ind w:left="0" w:right="0" w:firstLine="600"/>
      </w:pPr>
      <w:r>
        <w:rPr>
          <w:rFonts w:hint="eastAsia" w:ascii="黑体" w:hAnsi="宋体" w:eastAsia="黑体" w:cs="黑体"/>
          <w:color w:val="3D4B64"/>
          <w:sz w:val="30"/>
          <w:szCs w:val="30"/>
          <w:shd w:val="clear" w:fill="FFFFFF"/>
        </w:rPr>
        <w:t>十、联系人、联系电话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390" w:lineRule="atLeast"/>
        <w:ind w:left="0" w:right="0" w:firstLine="600"/>
      </w:pPr>
      <w:r>
        <w:rPr>
          <w:rFonts w:hint="eastAsia" w:ascii="仿宋" w:hAnsi="仿宋" w:eastAsia="仿宋" w:cs="仿宋"/>
          <w:color w:val="3D4B64"/>
          <w:sz w:val="30"/>
          <w:szCs w:val="30"/>
          <w:shd w:val="clear" w:fill="FFFFFF"/>
        </w:rPr>
        <w:t>出让人联系人：何先生    联系电话：18073688813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390" w:lineRule="atLeast"/>
        <w:ind w:left="0" w:right="0" w:firstLine="600"/>
      </w:pPr>
      <w:r>
        <w:rPr>
          <w:rFonts w:hint="eastAsia" w:ascii="仿宋" w:hAnsi="仿宋" w:eastAsia="仿宋" w:cs="仿宋"/>
          <w:color w:val="3D4B64"/>
          <w:sz w:val="30"/>
          <w:szCs w:val="30"/>
          <w:shd w:val="clear" w:fill="FFFFFF"/>
        </w:rPr>
        <w:t>挂牌人联系人：李女士    联系电话：0736-7256332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390" w:lineRule="atLeast"/>
        <w:ind w:left="0" w:right="0"/>
      </w:pPr>
      <w:r>
        <w:rPr>
          <w:rFonts w:hint="eastAsia" w:ascii="仿宋" w:hAnsi="仿宋" w:eastAsia="仿宋" w:cs="仿宋"/>
          <w:color w:val="3D4B64"/>
          <w:sz w:val="30"/>
          <w:szCs w:val="30"/>
          <w:shd w:val="clear" w:fill="FFFFFF"/>
        </w:rPr>
        <w:t xml:space="preserve">    </w:t>
      </w:r>
      <w:r>
        <w:rPr>
          <w:rFonts w:hint="eastAsia" w:ascii="黑体" w:hAnsi="宋体" w:eastAsia="黑体" w:cs="黑体"/>
          <w:color w:val="3D4B64"/>
          <w:sz w:val="30"/>
          <w:szCs w:val="30"/>
          <w:shd w:val="clear" w:fill="FFFFFF"/>
        </w:rPr>
        <w:t>十一、接受竞买预交款项的银行账户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390" w:lineRule="atLeast"/>
        <w:ind w:left="0" w:right="0" w:firstLine="600"/>
      </w:pPr>
      <w:r>
        <w:rPr>
          <w:rFonts w:hint="eastAsia" w:ascii="仿宋" w:hAnsi="仿宋" w:eastAsia="仿宋" w:cs="仿宋"/>
          <w:color w:val="3D4B64"/>
          <w:sz w:val="30"/>
          <w:szCs w:val="30"/>
          <w:shd w:val="clear" w:fill="FFFFFF"/>
        </w:rPr>
        <w:t>竞买预交款项必须是从竞买人的银行账户转入下述银行账户。竞买人与竞买预交款项交款人、竞得人须为同一市场经营主体，各项信息应完全一致。挂牌人不认可非竞买人代交竞买预交款项的行为。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390" w:lineRule="atLeast"/>
        <w:ind w:left="0" w:right="0" w:firstLine="600"/>
      </w:pPr>
      <w:r>
        <w:rPr>
          <w:rFonts w:hint="eastAsia" w:ascii="仿宋" w:hAnsi="仿宋" w:eastAsia="仿宋" w:cs="仿宋"/>
          <w:color w:val="3D4B64"/>
          <w:sz w:val="30"/>
          <w:szCs w:val="30"/>
          <w:shd w:val="clear" w:fill="FFFFFF"/>
        </w:rPr>
        <w:t>开户单位：常德市公共资源交易中心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390" w:lineRule="atLeast"/>
        <w:ind w:left="0" w:right="0" w:firstLine="600"/>
      </w:pPr>
      <w:r>
        <w:rPr>
          <w:rFonts w:hint="eastAsia" w:ascii="仿宋" w:hAnsi="仿宋" w:eastAsia="仿宋" w:cs="仿宋"/>
          <w:color w:val="3D4B64"/>
          <w:sz w:val="30"/>
          <w:szCs w:val="30"/>
          <w:shd w:val="clear" w:fill="FFFFFF"/>
        </w:rPr>
        <w:t>开户银行：中国农业银行常德政务中心分理处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390" w:lineRule="atLeast"/>
        <w:ind w:left="0" w:right="0" w:firstLine="600"/>
      </w:pPr>
      <w:r>
        <w:rPr>
          <w:rFonts w:hint="eastAsia" w:ascii="仿宋" w:hAnsi="仿宋" w:eastAsia="仿宋" w:cs="仿宋"/>
          <w:color w:val="3D4B64"/>
          <w:sz w:val="30"/>
          <w:szCs w:val="30"/>
          <w:shd w:val="clear" w:fill="FFFFFF"/>
        </w:rPr>
        <w:t>银行账号：18561201040002763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390" w:lineRule="atLeast"/>
        <w:ind w:left="0" w:right="0" w:firstLine="600"/>
      </w:pPr>
      <w:r>
        <w:rPr>
          <w:rFonts w:hint="eastAsia" w:ascii="仿宋" w:hAnsi="仿宋" w:eastAsia="仿宋" w:cs="仿宋"/>
          <w:color w:val="3D4B64"/>
          <w:sz w:val="30"/>
          <w:szCs w:val="3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390" w:lineRule="atLeast"/>
        <w:ind w:left="0" w:right="0" w:firstLine="600"/>
      </w:pPr>
      <w:r>
        <w:rPr>
          <w:rFonts w:hint="eastAsia" w:ascii="仿宋" w:hAnsi="仿宋" w:eastAsia="仿宋" w:cs="仿宋"/>
          <w:color w:val="3D4B64"/>
          <w:sz w:val="30"/>
          <w:szCs w:val="3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390" w:lineRule="atLeast"/>
        <w:ind w:right="0" w:firstLine="600" w:firstLineChars="200"/>
      </w:pPr>
      <w:r>
        <w:rPr>
          <w:rFonts w:hint="eastAsia" w:ascii="仿宋" w:hAnsi="仿宋" w:eastAsia="仿宋" w:cs="仿宋"/>
          <w:color w:val="3D4B64"/>
          <w:sz w:val="30"/>
          <w:szCs w:val="30"/>
          <w:shd w:val="clear" w:fill="FFFFFF"/>
        </w:rPr>
        <w:t xml:space="preserve">桃源县自然资源局          </w:t>
      </w:r>
      <w:r>
        <w:rPr>
          <w:rFonts w:hint="eastAsia" w:ascii="仿宋" w:hAnsi="仿宋" w:eastAsia="仿宋" w:cs="仿宋"/>
          <w:color w:val="3D4B64"/>
          <w:sz w:val="30"/>
          <w:szCs w:val="30"/>
          <w:shd w:val="clear" w:fill="FFFFFF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 w:cs="仿宋"/>
          <w:color w:val="3D4B64"/>
          <w:sz w:val="30"/>
          <w:szCs w:val="30"/>
          <w:shd w:val="clear" w:fill="FFFFFF"/>
        </w:rPr>
        <w:t>常德市公共资源交易中心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390" w:lineRule="atLeast"/>
        <w:ind w:left="2960" w:right="0" w:hanging="2850"/>
      </w:pPr>
      <w:r>
        <w:rPr>
          <w:rFonts w:hint="eastAsia" w:ascii="仿宋" w:hAnsi="仿宋" w:eastAsia="仿宋" w:cs="仿宋"/>
          <w:color w:val="3D4B64"/>
          <w:sz w:val="30"/>
          <w:szCs w:val="30"/>
          <w:shd w:val="clear" w:fill="FFFFFF"/>
        </w:rPr>
        <w:t>                                 </w:t>
      </w:r>
      <w:r>
        <w:rPr>
          <w:rFonts w:hint="eastAsia" w:ascii="仿宋" w:hAnsi="仿宋" w:eastAsia="仿宋" w:cs="仿宋"/>
          <w:color w:val="3D4B64"/>
          <w:sz w:val="30"/>
          <w:szCs w:val="30"/>
          <w:shd w:val="clear" w:fill="FFFFFF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3D4B64"/>
          <w:sz w:val="30"/>
          <w:szCs w:val="30"/>
          <w:shd w:val="clear" w:fill="FFFFFF"/>
        </w:rPr>
        <w:t> </w:t>
      </w:r>
      <w:r>
        <w:rPr>
          <w:rFonts w:hint="eastAsia" w:ascii="仿宋" w:hAnsi="仿宋" w:eastAsia="仿宋" w:cs="仿宋"/>
          <w:color w:val="3D4B64"/>
          <w:sz w:val="30"/>
          <w:szCs w:val="30"/>
          <w:shd w:val="clear" w:fill="FFFFFF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color w:val="3D4B64"/>
          <w:sz w:val="30"/>
          <w:szCs w:val="30"/>
          <w:shd w:val="clear" w:fill="FFFFFF"/>
        </w:rPr>
        <w:t>2020年 7月 21日</w:t>
      </w:r>
    </w:p>
    <w:p/>
    <w:sectPr>
      <w:pgSz w:w="16838" w:h="11906" w:orient="landscape"/>
      <w:pgMar w:top="1800" w:right="1440" w:bottom="1800" w:left="155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B4FC0"/>
    <w:rsid w:val="0BA7576F"/>
    <w:rsid w:val="0D8C0A63"/>
    <w:rsid w:val="0EE97655"/>
    <w:rsid w:val="0EFB60C4"/>
    <w:rsid w:val="22431D94"/>
    <w:rsid w:val="287E2C72"/>
    <w:rsid w:val="317333D9"/>
    <w:rsid w:val="517D4ADD"/>
    <w:rsid w:val="6537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  <w:rPr>
      <w:b/>
    </w:rPr>
  </w:style>
  <w:style w:type="character" w:styleId="8">
    <w:name w:val="HTML Definition"/>
    <w:basedOn w:val="4"/>
    <w:uiPriority w:val="0"/>
  </w:style>
  <w:style w:type="character" w:styleId="9">
    <w:name w:val="HTML Typewriter"/>
    <w:basedOn w:val="4"/>
    <w:uiPriority w:val="0"/>
    <w:rPr>
      <w:rFonts w:ascii="monospace" w:hAnsi="monospace" w:eastAsia="monospace" w:cs="monospace"/>
      <w:sz w:val="20"/>
    </w:rPr>
  </w:style>
  <w:style w:type="character" w:styleId="10">
    <w:name w:val="HTML Acronym"/>
    <w:basedOn w:val="4"/>
    <w:uiPriority w:val="0"/>
  </w:style>
  <w:style w:type="character" w:styleId="11">
    <w:name w:val="HTML Variable"/>
    <w:basedOn w:val="4"/>
    <w:uiPriority w:val="0"/>
  </w:style>
  <w:style w:type="character" w:styleId="12">
    <w:name w:val="Hyperlink"/>
    <w:basedOn w:val="4"/>
    <w:uiPriority w:val="0"/>
    <w:rPr>
      <w:color w:val="0000FF"/>
      <w:u w:val="none"/>
    </w:rPr>
  </w:style>
  <w:style w:type="character" w:styleId="13">
    <w:name w:val="HTML Code"/>
    <w:basedOn w:val="4"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Cite"/>
    <w:basedOn w:val="4"/>
    <w:uiPriority w:val="0"/>
  </w:style>
  <w:style w:type="character" w:styleId="15">
    <w:name w:val="HTML Keyboard"/>
    <w:basedOn w:val="4"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Sample"/>
    <w:basedOn w:val="4"/>
    <w:uiPriority w:val="0"/>
    <w:rPr>
      <w:rFonts w:hint="default" w:ascii="monospace" w:hAnsi="monospace" w:eastAsia="monospace" w:cs="monospace"/>
    </w:rPr>
  </w:style>
  <w:style w:type="character" w:customStyle="1" w:styleId="17">
    <w:name w:val="hover1"/>
    <w:basedOn w:val="4"/>
    <w:uiPriority w:val="0"/>
    <w:rPr>
      <w:color w:val="2590EB"/>
    </w:rPr>
  </w:style>
  <w:style w:type="character" w:customStyle="1" w:styleId="18">
    <w:name w:val="hover2"/>
    <w:basedOn w:val="4"/>
    <w:uiPriority w:val="0"/>
    <w:rPr>
      <w:color w:val="2590EB"/>
    </w:rPr>
  </w:style>
  <w:style w:type="character" w:customStyle="1" w:styleId="19">
    <w:name w:val="hover3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2020-07-21T08:11:00Z</dcterms:created>
  <dc:creator>ty</dc:creator>
  <cp:lastModifiedBy>ty</cp:lastModifiedBy>
  <cp:lastPrinted>2020-07-21T08:19:00Z</cp:lastPrinted>
  <dcterms:modified xsi:type="dcterms:W3CDTF">2020-07-21T08:27:01Z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