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36B57">
      <w:pPr>
        <w:pStyle w:val="2"/>
        <w:jc w:val="left"/>
        <w:rPr>
          <w:rFonts w:ascii="方正公文小标宋" w:eastAsia="方正公文小标宋"/>
          <w:b w:val="0"/>
          <w:sz w:val="84"/>
          <w:szCs w:val="84"/>
          <w:lang w:eastAsia="zh-CN"/>
        </w:rPr>
      </w:pPr>
    </w:p>
    <w:p w14:paraId="3F12F7DB">
      <w:pPr>
        <w:pStyle w:val="2"/>
        <w:jc w:val="left"/>
        <w:rPr>
          <w:rFonts w:ascii="方正公文小标宋" w:eastAsia="方正公文小标宋"/>
          <w:b w:val="0"/>
          <w:sz w:val="84"/>
          <w:szCs w:val="84"/>
          <w:lang w:eastAsia="zh-CN"/>
        </w:rPr>
      </w:pPr>
    </w:p>
    <w:p w14:paraId="6EF576EB">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湖南省常德市桃源县茶庵铺镇</w:t>
      </w:r>
    </w:p>
    <w:p w14:paraId="4C136AEC">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3B64CB1E">
      <w:pPr>
        <w:rPr>
          <w:rFonts w:ascii="方正公文小标宋" w:eastAsia="方正公文小标宋"/>
          <w:sz w:val="84"/>
          <w:szCs w:val="84"/>
          <w:lang w:eastAsia="zh-CN"/>
        </w:rPr>
      </w:pPr>
    </w:p>
    <w:p w14:paraId="78EB56F1">
      <w:pPr>
        <w:rPr>
          <w:rFonts w:ascii="方正公文小标宋" w:eastAsia="方正公文小标宋"/>
          <w:sz w:val="84"/>
          <w:szCs w:val="84"/>
          <w:lang w:eastAsia="zh-CN"/>
        </w:rPr>
      </w:pPr>
    </w:p>
    <w:p w14:paraId="4450C52C">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59281"/>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14:paraId="4374F96B">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0EFFE3F9">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1.</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color w:val="auto"/>
              <w:spacing w:val="7"/>
              <w:sz w:val="32"/>
              <w:szCs w:val="32"/>
              <w:lang w:eastAsia="zh-CN"/>
            </w:rPr>
            <w:instrText xml:space="preserve">TOC \o "1-1" \h \u </w:instrText>
          </w:r>
          <w:r>
            <w:rPr>
              <w:rFonts w:hint="default" w:ascii="Times New Roman" w:hAnsi="Times New Roman" w:eastAsia="仿宋_GB2312" w:cs="Times New Roman"/>
              <w:color w:val="auto"/>
              <w:spacing w:val="7"/>
              <w:sz w:val="32"/>
              <w:szCs w:val="32"/>
              <w:lang w:eastAsia="zh-CN"/>
            </w:rPr>
            <w:fldChar w:fldCharType="separate"/>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_Toc22221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_Toc22221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671AB482">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2.</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_Toc1280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6F1F103A">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3.</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_Toc12281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_Toc12281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57C23B5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hint="default" w:ascii="Times New Roman" w:hAnsi="Times New Roman" w:eastAsia="仿宋_GB2312" w:cs="Times New Roman"/>
              <w:color w:val="auto"/>
              <w:spacing w:val="7"/>
              <w:sz w:val="32"/>
              <w:szCs w:val="32"/>
              <w:lang w:eastAsia="zh-CN"/>
            </w:rPr>
            <w:fldChar w:fldCharType="end"/>
          </w:r>
        </w:p>
      </w:sdtContent>
    </w:sdt>
    <w:p w14:paraId="0B5AD768">
      <w:pPr>
        <w:jc w:val="both"/>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5ED43BDB">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22221"/>
      <w:bookmarkStart w:id="1" w:name="_Toc172077949"/>
      <w:bookmarkStart w:id="2" w:name="_Toc172077551"/>
      <w:bookmarkStart w:id="3" w:name="_Toc172077416"/>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57097B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590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3D9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9F6E5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382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2C7A29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9B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8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15CEC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E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7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BF49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E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9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41A46C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A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A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57485F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B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6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044049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53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F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负责镇党委管理的党组织和党员以及监察对象的信访举报、问题线索和申诉受理，审查调查涉嫌违纪问题，依法依规提出处置意见，开展常态化回访工作。</w:t>
            </w:r>
          </w:p>
        </w:tc>
      </w:tr>
      <w:tr w14:paraId="173D5A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A1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5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6B361F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E1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7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41003F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6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3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4F3F3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C4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7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39BC67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C6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9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负责基层党组织建设，落实党的组织生活制度，开展“三会一课”、组织生活会、民主评议党员、“一月一课一片一实践”主题党日活动等，负责党费收缴、使用和管理。</w:t>
            </w:r>
          </w:p>
        </w:tc>
      </w:tr>
      <w:tr w14:paraId="223D4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2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037051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25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8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3A2E84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D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6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22E8D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D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D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306329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D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2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4E884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5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B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7BFB2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E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B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7258D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A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3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0DDC4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8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A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305ED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E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5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505E69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5A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D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26E327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C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4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2CB8A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82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0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培育和发展茶庵铺镇商会，引导商会发挥经济服务、权益维护等作用，促进民营经济发展。</w:t>
            </w:r>
          </w:p>
        </w:tc>
      </w:tr>
      <w:tr w14:paraId="03A597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E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3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62874D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3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D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5F4160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7A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7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09BB19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B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4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5100C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0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1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6CBC63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6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5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2232F6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27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0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35211B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0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9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5D1C94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A50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6A852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B1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F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150B66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85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3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61542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D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B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689E9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0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7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24F4D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C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7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2181F8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8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A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40DFD9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2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9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671A67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D2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9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0DAD47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C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开展畜禽、渔业水产品种质资源调查与推广，监管蜂业产业发展。</w:t>
            </w:r>
          </w:p>
        </w:tc>
      </w:tr>
      <w:tr w14:paraId="500F31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4A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187C0E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6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1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3ED96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2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D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290A95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E7E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4F9E2C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2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5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2B3DD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E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8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0429CF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5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C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3AE18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B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B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621B5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B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B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59340A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95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E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1CE24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5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4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606002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9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3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4BFAE9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511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3EAC1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8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F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57653C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F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4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56BBE3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0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D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7F45E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C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8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30415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D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1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4860A9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F72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4D8105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F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D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176CB8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F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9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0FCA55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6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7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2E5B3F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6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E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62CA7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9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B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11798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5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1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负责茶产业高质量发展，推广“桃源大叶茶原产地”“桃源野茶王”“桃源红茶”国家地理标志产品，助力茶企发展，打造高品质原生态茶园。</w:t>
            </w:r>
          </w:p>
        </w:tc>
      </w:tr>
      <w:tr w14:paraId="200544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C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8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68D71B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C7B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00EB6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80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1AA612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75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D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68E0E8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8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7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681F062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E33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3362D7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7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A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658134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7AA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39C6A4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8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1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354428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1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6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11309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8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E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68C488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6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C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600261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6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4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6EEF3F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9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F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3038CA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69D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315A42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D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8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3CB78CF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4B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31368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3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1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6027B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F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5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5F632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3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5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472809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07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4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086FA8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2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0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314582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6D5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2BAA5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6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A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负责本镇、村（社区）作为实施主体的工程前期准备、中期监督协调并参与后期验收。</w:t>
            </w:r>
          </w:p>
        </w:tc>
      </w:tr>
      <w:tr w14:paraId="479C78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F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F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7745A2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0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1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负责物业小区、三无小区摸排管理，调解小区业委会、小区居民、小区房屋装修矛盾纠纷。</w:t>
            </w:r>
          </w:p>
        </w:tc>
      </w:tr>
      <w:tr w14:paraId="73EFC5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7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9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负责指导物业小区业主大会、业委会的成立、运行与换届选举，督促物业小区业主大会、业委会依法履职，参与物业考核管理。</w:t>
            </w:r>
          </w:p>
        </w:tc>
      </w:tr>
      <w:tr w14:paraId="55431E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A2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0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262044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9A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1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负责群租房的安全管理，开展房主安全培训，落实安全排查与治理。</w:t>
            </w:r>
          </w:p>
        </w:tc>
      </w:tr>
      <w:tr w14:paraId="28FB48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4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B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210D39A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E20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217B5B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7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0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77932C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1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8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负责内河交通安全管理工作，承担渡运安全生产检查、村（社区）渡口渡船发航管理、签单员管理、农用船舶的监督管理等工作。</w:t>
            </w:r>
          </w:p>
        </w:tc>
      </w:tr>
      <w:tr w14:paraId="7F9047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F17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554A21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2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D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1A4A3E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79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E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负责指导“茶业+旅游业+文化体验”为一体的万亩茶园观光游和“茶韵乡村”精品线路建设，为本土旅游活动提供服务保障。</w:t>
            </w:r>
          </w:p>
        </w:tc>
      </w:tr>
      <w:tr w14:paraId="42D43D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A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2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负责举办“茶BA”本土篮球赛事，促进镇篮球公园和镇篮球协会发展，培育体育赛事活动品牌。</w:t>
            </w:r>
          </w:p>
        </w:tc>
      </w:tr>
      <w:tr w14:paraId="47B1F24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CFC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26425E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B6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E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2E1372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789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4ACC91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1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8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7BEF5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9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3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51D80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C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0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落实安全生产“党政同责、一岗双责”，把安全生产纳入镇党委议事日程，定期研判安全生产形势。</w:t>
            </w:r>
          </w:p>
        </w:tc>
      </w:tr>
      <w:tr w14:paraId="6AE9F7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8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628971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D3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A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监督检查生产经营单位安全生产状况，组织对负有管理责任的公共设施隐患排查，落实整治措施；及时报告非法生产经营情况、严重安全生产违法行为和重大事故隐患。</w:t>
            </w:r>
          </w:p>
        </w:tc>
      </w:tr>
      <w:tr w14:paraId="2C466ED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071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785ACC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3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A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657FD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A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7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5D03DE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6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E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19C682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239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3026F9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0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9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054A6A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36D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1CCC7D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0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E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51C5FF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0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7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6D09D1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C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A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16B1CA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F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7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0A15C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D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E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577B3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B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E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7743E6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2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C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048632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B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负责政务服务、数据管理等工作，负责镇、村（社区）便民服务场所建设管理，集中办理相关审批和服务事项，提供“帮代办”服务。</w:t>
            </w:r>
          </w:p>
        </w:tc>
      </w:tr>
      <w:tr w14:paraId="3CFBF8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B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0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33E17E7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280"/>
      <w:bookmarkStart w:id="6" w:name="_Toc172077950"/>
      <w:bookmarkStart w:id="7" w:name="_Toc172077552"/>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D0BA47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0AA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2C1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C10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868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8FE8">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33DCA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67F4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229025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6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1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7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B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6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74CE82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5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6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5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A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0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2712E2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AE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1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规范纪检监察干部队伍建设，统筹乡镇纪委副书记任免。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8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3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D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6FBAEC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D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5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7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2.会同乡镇党委对推荐人选进行全面考察，并提出意见、下达批复文件；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61D999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8E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4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E8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BC34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8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3.摸底排查符合条件的党员，按程序上报、申领、颁发“光荣在党50年”纪念章。</w:t>
            </w:r>
          </w:p>
        </w:tc>
      </w:tr>
      <w:tr w14:paraId="52C8A0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0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5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06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0808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2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0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6EBB82E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48B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二、民生服务（19项）</w:t>
            </w:r>
          </w:p>
        </w:tc>
      </w:tr>
      <w:tr w14:paraId="27736F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4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7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E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C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C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575528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7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B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5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0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5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6C66C8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0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C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6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0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2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673057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AC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E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E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0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F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2A14E9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7E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9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F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7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0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4A7E7C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A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0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28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C52A4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612E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8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E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11002D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8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A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0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4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2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132E31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39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C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D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0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66E19C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4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1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2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2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5587F3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5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1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5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B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2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5D73B2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0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1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6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B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6AE3AE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E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F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36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1DFC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4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2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600B4F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3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6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9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9BAB7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75A27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07E874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2B50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3.开展老年人能力综合评估；4.负责困难老年人养老服务补贴、高龄津贴等福利发放；5.开展基本养老服务统计监测工作，建立基本养老服务项目统计调查制度。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A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146F72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C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9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F4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7F8C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0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3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36B931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4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9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C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B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B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38581F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C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6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C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A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5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463C5C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6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A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3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A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1DA4AA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48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9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7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F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C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0F78CB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1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8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E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F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64E9CE0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FA9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16E6AD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3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B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69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6EE4FB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47E9ED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51527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BCD53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479B4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AB70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1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7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07E29E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2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C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0A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25B41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1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4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4BB141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0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0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9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B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2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1D4B55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26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4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4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1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2DA3A6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8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6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D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B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0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1ECCAAF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403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604A6C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B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D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4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3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3955FE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7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C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D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8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1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142114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15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0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7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D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A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53F60A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1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6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B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5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692C63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E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3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0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2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1BA409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2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C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E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8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2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0E6AF7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A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E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A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C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0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556D90C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E0D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05F995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8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5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B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8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3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6D488C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7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4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E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561EE5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A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F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7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C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1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503608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8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5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1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A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9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07B939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D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D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6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C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4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7FE2E7E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DE1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10E985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7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4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5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F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3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5CA32D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1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4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9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C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B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306D29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4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A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0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9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047C5D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5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0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D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7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9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2.发放到乡镇的救灾物资。</w:t>
            </w:r>
          </w:p>
        </w:tc>
      </w:tr>
      <w:tr w14:paraId="5221E3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2D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4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F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7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E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28C0BB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E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2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C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5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9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163C297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EC8F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78CE93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4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7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1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5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2B609B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7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1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C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0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532918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5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1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F5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15D17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30B88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54358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1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1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53E844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F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3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14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BCCF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9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6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3DD780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12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7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AD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2FAB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3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5D7CDA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6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3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9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3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9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5BF8FA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B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B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5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3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E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3DDE2A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F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E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4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D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C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659174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1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1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D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3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7121BF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D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D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C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A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5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23DB3E5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B11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2F446C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7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7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7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4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2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10726A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6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1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6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2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8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23A2FA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A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0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A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A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8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1A568F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5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9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B8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A2AA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9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089ADD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7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5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CB4A">
            <w:pPr>
              <w:widowControl/>
              <w:kinsoku/>
              <w:spacing w:before="0" w:beforeLines="0" w:after="0" w:afterLines="0"/>
              <w:jc w:val="distribute"/>
              <w:textAlignment w:val="auto"/>
              <w:rPr>
                <w:rFonts w:hint="eastAsia" w:ascii="Times New Roman" w:hAnsi="方正公文仿宋" w:eastAsia="方正公文仿宋"/>
                <w:spacing w:val="-6"/>
                <w:kern w:val="0"/>
                <w:sz w:val="21"/>
                <w:szCs w:val="21"/>
                <w:lang w:bidi="ar"/>
              </w:rPr>
            </w:pPr>
            <w:r>
              <w:rPr>
                <w:rFonts w:hint="eastAsia" w:ascii="Times New Roman" w:hAnsi="方正公文仿宋" w:eastAsia="方正公文仿宋"/>
                <w:spacing w:val="-6"/>
                <w:kern w:val="0"/>
                <w:sz w:val="21"/>
                <w:szCs w:val="21"/>
                <w:lang w:bidi="ar"/>
              </w:rPr>
              <w:t>市生环局桃源分局</w:t>
            </w:r>
          </w:p>
          <w:p w14:paraId="37EE53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06F1B0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457FB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F61F9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063CD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E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088D29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7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C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D0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378BE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7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A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5273C6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0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7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E0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65E9096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6EEBA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7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5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01B608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E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3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3B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6ADB9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F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2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556B8E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35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A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F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A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1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545CA8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E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9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0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1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E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3B2D0FD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6CC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九、城乡建设（10项）</w:t>
            </w:r>
          </w:p>
        </w:tc>
      </w:tr>
      <w:tr w14:paraId="3F1144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2A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2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9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9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E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2093A0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7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FA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2C080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F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0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52B6CB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8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4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0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F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2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553703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B1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5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8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0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F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1327B5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1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C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0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D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7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1AE63C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D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3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F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B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7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2F2846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A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C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B7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6A4C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6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0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6D5ED6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5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6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B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A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9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59DB0E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2C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C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99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4F8F5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1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8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78264A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7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4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6F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08231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A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2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4.对城镇规划区以外的违法建设，由乡镇组织拆除，乡镇拆除不了的，申请法院强制执行。</w:t>
            </w:r>
          </w:p>
        </w:tc>
      </w:tr>
      <w:tr w14:paraId="3E55CF0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9DD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6E497E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9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A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F6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9E7C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C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0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2FEC37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B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9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B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3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C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404D6D4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207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446400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7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6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3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6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355D91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79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5EEF6A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3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C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1C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7B9E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3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5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75EE82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2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A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6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D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6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41AC9B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0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A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4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B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1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62911D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8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8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3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4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691886A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03A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096322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5D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4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6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6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F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54662E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3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A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6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4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B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67E964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09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6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5B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7E0A3A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42742F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7C8B7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6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0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12D5AD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0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5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92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01F55B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E903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6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6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310F90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C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B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4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6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7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0843C4E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12A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336032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B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D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3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9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6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7F15B5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E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B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9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B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A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10729E6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694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3BE02E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D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A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8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4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4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2113D44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BD54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6E85A0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DF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8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B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4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7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2E8DA4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F3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2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9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9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3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163EE1F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9A2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75AAAA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A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2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6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0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7022D4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5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5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6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2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C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758ED1E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523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21E543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E3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2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06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55417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3450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3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7E4D6C6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2281"/>
      <w:bookmarkStart w:id="9" w:name="_Toc172077418"/>
      <w:bookmarkStart w:id="10" w:name="_Toc172077951"/>
      <w:bookmarkStart w:id="11" w:name="_Toc172077553"/>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96173B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5B6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8AC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B45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2D036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09A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72029A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D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F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D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75739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F7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C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9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1C1839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3FA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546B14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E0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3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0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7A49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0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4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6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20D31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4B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7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B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05B810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5BF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13AE96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7F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0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3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31257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3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A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1A1E0A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CA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3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AF323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2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4623B2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6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B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C4C01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66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D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7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2B838D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7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0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D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03EF1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22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9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9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711BDE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5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B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7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65BBFB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82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3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1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0BC7F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2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F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B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255AC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FD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B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7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386CE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2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F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两癌”免费筛查的相关信息，同时推送“两癌”防治的科普知识，提高广大妇女对“两癌”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38281A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E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6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9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1D333E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E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E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7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10ADEE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0F96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0EB582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0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9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E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89FEF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22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B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6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1FE65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C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7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5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722641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0A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D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09E71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F8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B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E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6A8964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E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7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1CFB01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4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D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2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70C9F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083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2494F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C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E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B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594533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48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2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705420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56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2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B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750A2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E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7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1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19BE3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F5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C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B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6A1B3D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8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6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41F567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54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2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6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0D5222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F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1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7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2FD56F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33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4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4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518D9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D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B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6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677438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E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B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7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4476BF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2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5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B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523BC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A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E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8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7CBC30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F4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3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D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52C5C4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8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F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5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5D89D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A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1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F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1595AC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0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4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1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1C43F4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42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F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1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719E2E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4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2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6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782E2D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5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B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5673E8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67A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0BBB81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FD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8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0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16400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0F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D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5D0E5E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F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3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3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4F067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15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C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4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C60D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7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5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F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3573CB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1AA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2A5D18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6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1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9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3F93C3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02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5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230F98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2A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8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5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60B4AF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5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5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65EAA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50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8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6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707CBF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83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9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9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7D170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1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C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17A3C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A8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A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03D9D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A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D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0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36C9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AB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8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A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00C36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A9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F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6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198E9C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4D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1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D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884F1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04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F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9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28F924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D4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3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22885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9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9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A416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CE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A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1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D253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A8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4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4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5A9814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AE0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4E8FD2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9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1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9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3FA53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F9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B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3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727DF3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CA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6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A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37DCC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56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7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536FB1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4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B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8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528690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A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E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4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75EFEF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9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F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4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5CE5F4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B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7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643AF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8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E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B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662711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AB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0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2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242A2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EA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B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5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47C95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11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8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F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2F7093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F57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41416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C4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9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7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2C297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9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0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2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175F7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A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F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D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工作方式：由县自然资源局负责废弃矿山生态修复和后期管护。</w:t>
            </w:r>
          </w:p>
        </w:tc>
      </w:tr>
      <w:tr w14:paraId="3B6C36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981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39D619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3A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C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A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工作方式：由县工信局、县住建局根据职责对电信、移动、广电、电力、污水管网等地下管线安全运维进行管理。</w:t>
            </w:r>
          </w:p>
        </w:tc>
      </w:tr>
      <w:tr w14:paraId="3AC5B1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2D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8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D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4CD8B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E2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6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开展保交楼工程量核查。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工作方式：由县住建局负责开展保交楼工程量核查。</w:t>
            </w:r>
          </w:p>
        </w:tc>
      </w:tr>
      <w:tr w14:paraId="18D377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A0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C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581C8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EA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D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B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66B203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23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0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B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64F76F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A63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489152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D4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C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A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17252C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D4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F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A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7CCD4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C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4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6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工作方式：由县公安局、县市场监管局按照各自职能负责电动自行车、电动摩托车安全隐患整治。</w:t>
            </w:r>
          </w:p>
        </w:tc>
      </w:tr>
      <w:tr w14:paraId="6915DF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0E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6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0787E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886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00C36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1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C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9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工作方式：由县文旅广体局负责行政区域内旅游纠纷行政调解工作。</w:t>
            </w:r>
          </w:p>
        </w:tc>
      </w:tr>
      <w:tr w14:paraId="472F1B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50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C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5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67AC90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71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9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1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3D7FA2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967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73543C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1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E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D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592E64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3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8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1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1CBF69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BF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1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0A7CFD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9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8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B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22EA01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DB2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26FC29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8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8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9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5540E7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AB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F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E795B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3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5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2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1D41C6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2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4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A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7D5206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672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48D704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4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6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9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工作方式：县发改局负责对民间投资、固定资产投资统计。</w:t>
            </w:r>
          </w:p>
        </w:tc>
      </w:tr>
    </w:tbl>
    <w:p w14:paraId="70CEC46E">
      <w:pPr>
        <w:pStyle w:val="3"/>
        <w:spacing w:before="0" w:after="0" w:line="240" w:lineRule="auto"/>
        <w:jc w:val="center"/>
        <w:rPr>
          <w:rFonts w:ascii="Times New Roman" w:hAnsi="Times New Roman" w:eastAsia="方正小标宋_GBK" w:cs="Times New Roman"/>
          <w:color w:val="auto"/>
          <w:spacing w:val="7"/>
          <w:lang w:eastAsia="zh-CN"/>
        </w:rPr>
      </w:pPr>
    </w:p>
    <w:p w14:paraId="44AFE43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6ABB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829A4F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829A4F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5B5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98171D5"/>
    <w:rsid w:val="0D12405F"/>
    <w:rsid w:val="104F0641"/>
    <w:rsid w:val="518847D8"/>
    <w:rsid w:val="7021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2790</Words>
  <Characters>2834</Characters>
  <Lines>1</Lines>
  <Paragraphs>1</Paragraphs>
  <TotalTime>5</TotalTime>
  <ScaleCrop>false</ScaleCrop>
  <LinksUpToDate>false</LinksUpToDate>
  <CharactersWithSpaces>2836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2025-07-17T07:53:41Z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eyJoZGlkIjoiYjhmMzIyMDg2Njg1N2EwMTY2OWY1ZDA4OTA0NzQwMDkiLCJ1c2VySWQiOiIyNTgzMDYyNzEifQ==</vt:lpwstr>
  </property>
  <property fmtid="{D5CDD505-2E9C-101B-9397-08002B2CF9AE}" pid="3" name="KSOProductBuildVer">
    <vt:lpwstr>2052-12.1.0.17133</vt:lpwstr>
  </property>
  <property fmtid="{D5CDD505-2E9C-101B-9397-08002B2CF9AE}" pid="4" name="ICV">
    <vt:lpwstr>E6559EF2CC1D407689D09C6B588F9B68_12</vt:lpwstr>
  </property>
</Properties>
</file>