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D629">
      <w:pPr>
        <w:pStyle w:val="2"/>
        <w:jc w:val="left"/>
        <w:rPr>
          <w:rFonts w:ascii="方正公文小标宋" w:eastAsia="方正公文小标宋"/>
          <w:b w:val="0"/>
          <w:sz w:val="84"/>
          <w:szCs w:val="84"/>
          <w:lang w:eastAsia="zh-CN"/>
        </w:rPr>
      </w:pPr>
    </w:p>
    <w:p w14:paraId="261BF30F">
      <w:pPr>
        <w:pStyle w:val="2"/>
        <w:jc w:val="left"/>
        <w:rPr>
          <w:rFonts w:ascii="方正公文小标宋" w:eastAsia="方正公文小标宋"/>
          <w:b w:val="0"/>
          <w:sz w:val="84"/>
          <w:szCs w:val="84"/>
          <w:lang w:eastAsia="zh-CN"/>
        </w:rPr>
      </w:pPr>
    </w:p>
    <w:p w14:paraId="0DFA15BE">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湖南省常德市桃源县桃花源镇</w:t>
      </w:r>
    </w:p>
    <w:p w14:paraId="2F0368CA">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4FCBAFBF">
      <w:pPr>
        <w:rPr>
          <w:rFonts w:ascii="方正公文小标宋" w:eastAsia="方正公文小标宋"/>
          <w:sz w:val="84"/>
          <w:szCs w:val="84"/>
          <w:lang w:eastAsia="zh-CN"/>
        </w:rPr>
      </w:pPr>
    </w:p>
    <w:p w14:paraId="28DBC809">
      <w:pPr>
        <w:rPr>
          <w:rFonts w:ascii="方正公文小标宋" w:eastAsia="方正公文小标宋"/>
          <w:sz w:val="84"/>
          <w:szCs w:val="84"/>
          <w:lang w:eastAsia="zh-CN"/>
        </w:rPr>
      </w:pPr>
    </w:p>
    <w:p w14:paraId="65299482">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55531CD0">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6648EEA1">
          <w:pPr>
            <w:pStyle w:val="7"/>
            <w:numPr>
              <w:ilvl w:val="0"/>
              <w:numId w:val="0"/>
            </w:numPr>
            <w:tabs>
              <w:tab w:val="right" w:leader="dot" w:pos="13991"/>
            </w:tabs>
            <w:ind w:leftChars="0"/>
            <w:rPr>
              <w:rFonts w:hint="default" w:ascii="Times New Roman" w:hAnsi="Times New Roman" w:eastAsia="仿宋_GB2312" w:cs="Times New Roman"/>
              <w:snapToGrid/>
              <w:color w:val="auto"/>
              <w:kern w:val="2"/>
              <w:sz w:val="21"/>
              <w:szCs w:val="22"/>
              <w:lang w:eastAsia="zh-CN"/>
            </w:rPr>
          </w:pPr>
          <w:r>
            <w:rPr>
              <w:rFonts w:hint="default" w:ascii="Times New Roman" w:hAnsi="Times New Roman" w:eastAsia="仿宋_GB2312" w:cs="Times New Roman"/>
              <w:lang w:val="en-US" w:eastAsia="zh-CN"/>
            </w:rPr>
            <w:t>1.</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TOC \o "1-3" \h \z \u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"_Toc203576247"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基本履职事项清单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_Toc203576247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79F7D9A">
          <w:pPr>
            <w:pStyle w:val="7"/>
            <w:numPr>
              <w:ilvl w:val="0"/>
              <w:numId w:val="0"/>
            </w:numPr>
            <w:tabs>
              <w:tab w:val="right" w:leader="dot" w:pos="13991"/>
            </w:tabs>
            <w:ind w:leftChars="0"/>
            <w:rPr>
              <w:rFonts w:hint="eastAsia" w:ascii="Times New Roman" w:hAnsi="Times New Roman" w:eastAsia="仿宋_GB2312" w:cs="Times New Roman"/>
              <w:snapToGrid/>
              <w:color w:val="auto"/>
              <w:kern w:val="2"/>
              <w:sz w:val="21"/>
              <w:szCs w:val="22"/>
              <w:lang w:val="en-US"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"_Toc203576248"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配合履职事项清单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_Toc203576248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r>
            <w:rPr>
              <w:rFonts w:hint="eastAsia" w:eastAsia="仿宋_GB2312" w:cs="Times New Roman"/>
              <w:lang w:val="en-US" w:eastAsia="zh-CN"/>
            </w:rPr>
            <w:t>4</w:t>
          </w:r>
        </w:p>
        <w:p w14:paraId="7086675C">
          <w:pPr>
            <w:pStyle w:val="7"/>
            <w:numPr>
              <w:ilvl w:val="0"/>
              <w:numId w:val="0"/>
            </w:numPr>
            <w:tabs>
              <w:tab w:val="right" w:leader="dot" w:pos="13991"/>
            </w:tabs>
            <w:ind w:leftChars="0"/>
            <w:rPr>
              <w:rFonts w:hint="eastAsia" w:ascii="Times New Roman" w:hAnsi="Times New Roman" w:eastAsia="仿宋_GB2312" w:cs="Times New Roman"/>
              <w:snapToGrid/>
              <w:color w:val="auto"/>
              <w:kern w:val="2"/>
              <w:sz w:val="21"/>
              <w:szCs w:val="22"/>
              <w:lang w:val="en-US" w:eastAsia="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"_Toc203576249"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上级部门收回事项清单</w:t>
          </w:r>
          <w:r>
            <w:rPr>
              <w:rFonts w:hint="default" w:ascii="Times New Roman" w:hAnsi="Times New Roman" w:eastAsia="仿宋_GB2312" w:cs="Times New Roman"/>
            </w:rPr>
            <w:tab/>
          </w:r>
          <w:r>
            <w:rPr>
              <w:rFonts w:hint="eastAsia" w:eastAsia="仿宋_GB2312" w:cs="Times New Roman"/>
              <w:lang w:val="en-US" w:eastAsia="zh-CN"/>
            </w:rPr>
            <w:t>4</w:t>
          </w:r>
          <w:r>
            <w:rPr>
              <w:rFonts w:hint="default" w:ascii="Times New Roman" w:hAnsi="Times New Roman" w:eastAsia="仿宋_GB2312" w:cs="Times New Roman"/>
            </w:rPr>
            <w:fldChar w:fldCharType="end"/>
          </w:r>
          <w:r>
            <w:rPr>
              <w:rFonts w:hint="eastAsia" w:eastAsia="仿宋_GB2312" w:cs="Times New Roman"/>
              <w:lang w:val="en-US" w:eastAsia="zh-CN"/>
            </w:rPr>
            <w:t>8</w:t>
          </w:r>
          <w:bookmarkStart w:id="12" w:name="_GoBack"/>
          <w:bookmarkEnd w:id="12"/>
        </w:p>
        <w:p w14:paraId="61089585">
          <w:pPr>
            <w:rPr>
              <w:rFonts w:cs="Times New Roman"/>
              <w:b/>
              <w:bCs/>
              <w:lang w:val="zh-CN"/>
            </w:rPr>
          </w:pPr>
          <w:r>
            <w:rPr>
              <w:rFonts w:hint="default" w:ascii="Times New Roman" w:hAnsi="Times New Roman" w:eastAsia="仿宋_GB2312" w:cs="Times New Roman"/>
              <w:lang w:eastAsia="zh-CN"/>
            </w:rPr>
            <w:fldChar w:fldCharType="end"/>
          </w:r>
        </w:p>
      </w:sdtContent>
    </w:sdt>
    <w:p w14:paraId="12F7B60F">
      <w:pPr>
        <w:pStyle w:val="2"/>
        <w:jc w:val="both"/>
        <w:rPr>
          <w:rFonts w:ascii="Times New Roman" w:hAnsi="Times New Roman" w:eastAsia="方正小标宋_GBK" w:cs="Times New Roman"/>
          <w:color w:val="auto"/>
          <w:spacing w:val="7"/>
          <w:sz w:val="44"/>
          <w:szCs w:val="44"/>
          <w:lang w:eastAsia="zh-CN"/>
        </w:rPr>
      </w:pPr>
    </w:p>
    <w:p w14:paraId="2369116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4D48B4F">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551"/>
      <w:bookmarkStart w:id="1" w:name="_Toc172077416"/>
      <w:bookmarkStart w:id="2" w:name="_Toc172077949"/>
      <w:bookmarkStart w:id="3" w:name="_Toc172533652"/>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300E80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8A0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498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2D734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ADE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784F18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D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9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80494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B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7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38435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0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3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5BD408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5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A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45E66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9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6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5CC3B4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3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9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49A489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A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F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5AAECD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6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0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7F0227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5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3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04730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7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6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795AAD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B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8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负责基层党组织建设，落实党的组织生活制度，开展“三会一课”、组织生活会、民主评议党员、“一月一课一片一实践”主题党日等，负责党费收缴、使用和管理。</w:t>
            </w:r>
          </w:p>
        </w:tc>
      </w:tr>
      <w:tr w14:paraId="5C3FA9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9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F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0445DF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7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F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6D8A89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E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F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12DA16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21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3F3B92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9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7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659CC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8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C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4D758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6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0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20B5E0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1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4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26F45C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6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2326A0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8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A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2367D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B5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A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0BEBF5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5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F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086E7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3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C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培育和发展桃花源镇商会，引导商会发挥经济服务、权益维护等作用，促进民营经济发展。</w:t>
            </w:r>
          </w:p>
        </w:tc>
      </w:tr>
      <w:tr w14:paraId="0C326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F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9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4E3C6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1D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B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15FC79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F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D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30E359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C6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3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7CDB2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0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D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2F8662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7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8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15FCAC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B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B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2A45E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2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8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586673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00E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29206A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2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B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0E77F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A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8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0BBB43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8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1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负责落实农业农村、劳动工资、住户、劳动力、人口变样抽样、规下企业抽样等统计调查基础资料的收集、整理、审核、上报和管理。</w:t>
            </w:r>
          </w:p>
        </w:tc>
      </w:tr>
      <w:tr w14:paraId="480FAA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E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2E9953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8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A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6B51B1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7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A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06E85F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3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4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45C4B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7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2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5312CD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D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3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563D60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0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E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14F4C0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7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F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6C8B0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F3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C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6A1044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8B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0F5E1E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5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C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1B416D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3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5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34DE4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9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0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76725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9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6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01C637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A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F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19673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1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7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3611E6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3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9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522490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A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6B4AD2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599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602E4C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4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F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55C275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FA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3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矛盾纠纷调处工作，坚持和发展新时代“枫桥经验”，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162F7C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CB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1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负责信访接待、受理、答复工作，承办上级党委政府直接交办的信访事项，负责职权范围内信访人员疏导教育、帮扶救助、属地稳控和应急劝返等工作，建立健全信访应急预案，联动协同处置突发事件。</w:t>
            </w:r>
          </w:p>
        </w:tc>
      </w:tr>
      <w:tr w14:paraId="2EA07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1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9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474CA7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F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5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591225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BB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5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3F8BBF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5D8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6BE44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4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0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0A9542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C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69F59D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7D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2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0D9C76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1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0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66F481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C2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6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1F5E3C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9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05447F7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97E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4A5375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C8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3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5AD6A6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6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0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12075D5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41B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F632E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E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B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5A7B0D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91B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3C6D4F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51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1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67DF00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0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E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693768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4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0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2CE137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B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5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329EF6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0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4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3327E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C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4A7173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023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0EC323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B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6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4E5515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9FD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2CBEA2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D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9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7BD67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7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D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134D3E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D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783AC6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A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B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6E4109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A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3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02C285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8F7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3DF1BD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2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1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负责镇、村（社区）作为实施主体的工程前期准备、中期监督协调并参与后期验收。</w:t>
            </w:r>
          </w:p>
        </w:tc>
      </w:tr>
      <w:tr w14:paraId="5B9CB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2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9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4F2652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2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F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负责物业小区、三无小区摸排管理，调解小区业委会、小区居民、小区房屋装修矛盾纠纷。</w:t>
            </w:r>
          </w:p>
        </w:tc>
      </w:tr>
      <w:tr w14:paraId="75329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4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9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00EDAE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4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负责推进老旧小区及配套设施改造工作，开展政策宣传，制定改造方案，推动改造落实。</w:t>
            </w:r>
          </w:p>
        </w:tc>
      </w:tr>
      <w:tr w14:paraId="7CA89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21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B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2C26A9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2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4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36DA6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6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1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7E9F5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B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7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04B6606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1E2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270FDC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E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3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67581F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4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负责内河交通安全管理工作，承担渡运安全生产检查、镇渡口渡船发航管理、签单员管理、农用船舶的监督管理等工作。</w:t>
            </w:r>
          </w:p>
        </w:tc>
      </w:tr>
      <w:tr w14:paraId="44770D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B54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2F91D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1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E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58065A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3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B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支持和发展乡村旅游，依托桃花源5A级景区，开发旅游精品路线，丰富业态供给，打造全域旅游目的地。</w:t>
            </w:r>
          </w:p>
        </w:tc>
      </w:tr>
      <w:tr w14:paraId="0C5AD9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A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7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开展农文旅主题宣传活动，继续办好“共享一棵桃”“沅洲村集”等活动，打造特色场景，形成品牌效应。</w:t>
            </w:r>
          </w:p>
        </w:tc>
      </w:tr>
      <w:tr w14:paraId="169DB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0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4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支持和发展擂茶产业，不断延伸产业链，打造区域公共品牌。</w:t>
            </w:r>
          </w:p>
        </w:tc>
      </w:tr>
      <w:tr w14:paraId="05E6FB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004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3E0536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C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3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5920AD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A3B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710C9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8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4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46269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9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3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77F15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0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B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1BD8D1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7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3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7CEA1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E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C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2A0DC2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6B5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0B7F63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9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6A789F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D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C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6AFD21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2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2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24EA96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836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2426E6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4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6797FC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D46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08081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6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B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037DF3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8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1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6630A1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F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175383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2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D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272F85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1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1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13877C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A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6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254493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3B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3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1E5EC7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6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C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负责政务服务、数据管理等工作，负责镇、村（社区）便民服务场所建设管理，集中办理相关审批和服务事项，提供“帮代办”服务。</w:t>
            </w:r>
          </w:p>
        </w:tc>
      </w:tr>
      <w:tr w14:paraId="7B1112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C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A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负责编制和执行镇财政预算决算，规范镇资金管理。</w:t>
            </w:r>
          </w:p>
        </w:tc>
      </w:tr>
    </w:tbl>
    <w:p w14:paraId="106E567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172533653"/>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1D173B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8B7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314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B8D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B2F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BF8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F7AFA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7E4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154D6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AB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F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8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3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2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3F91C4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B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9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2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E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8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2.提供必要的工作条件，向巡察组如实反映情况，配合做好巡查期间人员谈话、实地调研等工作；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7A77F9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E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6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A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A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7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325E2E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4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8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7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6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0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27DB6F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3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3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07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423D3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0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D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48819B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8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1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F6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5C6CF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A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A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066F08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20B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79BFF0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4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C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4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1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2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7EEEC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1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9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5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8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A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6C07C0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2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5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4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7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7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42A78F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F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C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4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9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3FDB35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F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6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2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 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4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33D25F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4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6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FF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C9013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95E9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3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7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0DC4B8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2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1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D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B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A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1AC75D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C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3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D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1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D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75142A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C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8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5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5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9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1A2821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2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5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E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B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8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00CB09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9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B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6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3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518368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8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9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0B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26F4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0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362F1B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D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12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53BC6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6D95775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449BEB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5E5B0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D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E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00E590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3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4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04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F88D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D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4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6DBD37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9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9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E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B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E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16E8C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7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9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E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D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7F4028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9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3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5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D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2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485C8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5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1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3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4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C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0C83B5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B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A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0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2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4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53D2C9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5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E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D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C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1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2AD385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611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1BD2DF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9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8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1A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414CF2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31F8CE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63D8F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AD22A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25722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930E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1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3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14BC2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2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6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A9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1EC3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9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3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6D5E80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C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8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8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7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9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42BC83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7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4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E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2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1EFCFD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2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E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F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0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B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36FD44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E81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四、乡村振兴（10项）</w:t>
            </w:r>
          </w:p>
        </w:tc>
      </w:tr>
      <w:tr w14:paraId="2A3D23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F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5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4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D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4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r>
      <w:tr w14:paraId="4C08AC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7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D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1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A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1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6F8950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1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5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E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7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7DBC36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5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3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乡村振兴示范片建设工作。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2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0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1.指导产业发展和基础设施建设支持，推动公共服务提升；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2.协调后盾单位以及其他相关部门之间的沟通协调。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1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1.配合各级做好督查、审计；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2.配合市派示范片指导组完成资金使用、项目推进。</w:t>
            </w:r>
          </w:p>
        </w:tc>
      </w:tr>
      <w:tr w14:paraId="7F2255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4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D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9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0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45EE39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8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D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5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2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B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4C208C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9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0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8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F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3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555FFB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CE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0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B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6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6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496825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9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4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开展农产品质量安全监测、对生产经营主体农产品质量安全监管，对饲料及饲料添加剂生产及对兽药经营主体的日常巡查监管工作。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A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3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1.负责农产品质量安全监督管理和农产品质量安全监测抽样，并对生产经营主体进行日常检查；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3.指导食用农产品生产者规范开具承诺达标合格证，指导设立区域农产品质量安全服务站点；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4.负责督促指导饲料及饲料添加剂经营主体规范经营，负责督促指导兽药经营主体规范经营。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E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1.落实农产品质量安全监督管理责任，协助上级人民政府及农业农村部门做好农产品质量安全监督管理工作；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3.负责农产品生产经营主体管理、农产品生产经营巡查；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4.为主体提供质量安全控制技术指导、农产品快速检测等；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5.督促指导食用农产品生产者开具承诺达标合格证；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6.做好日常巡查工作。</w:t>
            </w:r>
          </w:p>
        </w:tc>
      </w:tr>
      <w:tr w14:paraId="2C1FF0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3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7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开展农业农资相关法律宣传及农业技术进行推广示范、农作物病虫害防治宣传、动员、组织、实施及植保培训等工作。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B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E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1.负责农技推广服务体系的管理和建设；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2.加强基层农业技术推广队伍建设，做好业务培训；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3.负责主推技术的遴选、发布；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4.负责全县农作物病虫害防治的指导、监督管理工作。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6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1.对确定的农业技术进行推广、示范；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2.开展新品种试验示范及推广；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3.组织开展农业技术培训；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4.农作物病虫害防治宣传、动员、组织、实施等工作。</w:t>
            </w:r>
          </w:p>
        </w:tc>
      </w:tr>
      <w:tr w14:paraId="0A2C2A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28D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3553CB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5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8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A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0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7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771E9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F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1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B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D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1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0C716F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7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8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0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F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6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38614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3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7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D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3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0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25D467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DF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C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C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1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F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2354E6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6FB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1706F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2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D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E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A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3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6705B4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4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B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2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0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1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032B3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3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8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1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C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5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60D96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3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9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A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0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B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6B554D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A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7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F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3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A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1C21EF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D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0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1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6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4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2.发放到镇的救灾物资。</w:t>
            </w:r>
          </w:p>
        </w:tc>
      </w:tr>
      <w:tr w14:paraId="7632A5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D7C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65F74C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5B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F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8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8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E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65729D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6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C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B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6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E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64C8E5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4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E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D4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81FFB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00AFE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6953E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2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D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5.负责被征收对象房屋水、电、气、产权等的销户和房屋拆除工作；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6.组织研究征收疑难问题。</w:t>
            </w:r>
          </w:p>
        </w:tc>
      </w:tr>
      <w:tr w14:paraId="16F687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6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F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F4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02E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8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E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24BC67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7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B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7A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942C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C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7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783491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FF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3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6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E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E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685EB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3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C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E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9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7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523A05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2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5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6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4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0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r>
      <w:tr w14:paraId="7115F0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A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8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E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4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A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226E6C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C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1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B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D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E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36F7CB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36E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27C7B0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A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9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B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4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3A09B2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6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C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C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D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71C058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5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2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9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1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B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026BA6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6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3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C0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118B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0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7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1B431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7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6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EE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61C579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16B5B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1E4A0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2452D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C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C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4DF78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4E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3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40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18CD5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9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3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275FAE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B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F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D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5412571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27FD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4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A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718593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7B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D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0F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574F9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6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9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06DDF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F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A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8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C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1376B8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7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0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6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E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B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3C5135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026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九、城乡建设（9项）</w:t>
            </w:r>
          </w:p>
        </w:tc>
      </w:tr>
      <w:tr w14:paraId="5D6E30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F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A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E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4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5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4E04D9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C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D9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DF26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E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B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591E5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4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4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D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C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9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4E6C1C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0B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6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5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7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C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2.负责收集、整理、移交镇限额以上居民自建房工程档案资料；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2EB01F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2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E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2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E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9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47161A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E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8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B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855D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4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2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1C31E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8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6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1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E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8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569592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C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B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53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7800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D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D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4503CB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4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F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50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746B8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9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B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4.对城镇规划区以外的违法建设，由街道组织拆除，街道拆除不了的，申请法院强制执行。</w:t>
            </w:r>
          </w:p>
        </w:tc>
      </w:tr>
      <w:tr w14:paraId="6EF204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8C1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5CF9D4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6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0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5D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3B88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D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4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街道交通安全管理站、农村交通安全劝导服务站、街道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54F93F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FFD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十一、文化和旅游（3项）</w:t>
            </w:r>
          </w:p>
        </w:tc>
      </w:tr>
      <w:tr w14:paraId="3A7AAF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4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负责旅游市场监管工作。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B5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1C9C39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55FFD5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CD9B7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1EC1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D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1.依法承担规范旅游市场秩序、监督管理服务质量、维护旅游消费者和经营者合法权益的责任，负责牵头组织对旅游市场秩序的整治工作；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2.负责对旅游演出、娱乐场所文化经营活动等方面的投诉处理和案件查处等。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依法清理网上虚假旅游信息，查处发布各类误导、欺诈消费者等虚假旅游信息的违法违规网站和账号等。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1.依法严厉打击在旅游景区、旅游交通站点等侵害旅游者权益的违法犯罪团伙，及时查处强迫消费、敲诈勒索等违法犯罪行为等；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2.对重要时段、重大节庆、重点部位交通进行疏导，对各类交通事故进行快速处置，确保交通有序。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负责道路、水路运输监管，依法查处违法违规行为。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1.依法查处旅游市场中的虚假广告、虚假或者引人误解的宣传、销售假冒伪劣商品、利用合同格式条款侵害消费者合法权益、垄断行为（价格垄断行为除外）、商业贿赂等不正当竞争行为及其他违法违规行为等；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2.依法对旅游场所大型游乐设施、客运索道等特种设备实施安全监察，对涉及特种设备安全的投诉举报及违法违规行为进行调查处理等。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3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1.配合上级部门开展旅游市场监管；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2.加强区域内日常巡查，及时发现上报旅游安全隐患和违法违规行为；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3.做好辖区内旅游宣传引导、旅游投诉调解处理；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4.按照职责权限，配合做好辖区内旅游秩序执法查处。</w:t>
            </w:r>
          </w:p>
        </w:tc>
      </w:tr>
      <w:tr w14:paraId="385532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4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A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F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E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B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53BAAC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D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0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1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7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7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6E5AD4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0F60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453857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E0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F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
2.协助开展现场实地调查。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3C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9C49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F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1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6EFC96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E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C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C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2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F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7E6467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8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7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7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1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3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3F53E1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E3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E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F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0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E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0B7A25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6947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1345D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1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5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7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2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1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3.加强应急广播系统使用与管理业务培训。</w:t>
            </w:r>
          </w:p>
        </w:tc>
      </w:tr>
      <w:tr w14:paraId="5FD65D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1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9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5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4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0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31CB4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3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9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E7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710D87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8B0D8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4B4E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1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8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08791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C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9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51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61FFB7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58FE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C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8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1CF18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A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7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3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D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A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2EF407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833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3D57CD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4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8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0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D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8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708021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A9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7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7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B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6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723016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687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03D96B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4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2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C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0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6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72E578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E0B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256E30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3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8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A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3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7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4D88FA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6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E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2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8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0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509CD3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27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4A742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6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E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D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6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C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4F7483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E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6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D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6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0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340AA7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6E8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7D5650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2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1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7C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4486A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DFB1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A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2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750ED5F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418"/>
      <w:bookmarkStart w:id="11" w:name="_Toc172077553"/>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9BFA7B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671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BDD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730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90040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926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0B2B94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EB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E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A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7467C9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32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E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C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11420F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ABE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774492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58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E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F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7793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A3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A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B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28AC42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8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2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5E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06277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159E79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04E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797070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17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8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3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790C7E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2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5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A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7C1C6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3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8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D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74CF3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5D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1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2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67BB1E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E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5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6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C4865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81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D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4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19A713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8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C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3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A175F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3D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0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4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2DDB61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3F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C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6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233F5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A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F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C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3BA554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FA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0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6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2CE9D7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C3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F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1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22E3E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36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F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F7B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7D9BB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5F4F8F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B4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3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D3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4CC07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70F1E5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8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1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E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5E8AD8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56E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5C6563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B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C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9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FC41C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A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1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44B01C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27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4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E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05AC9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8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8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6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4CDF1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C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0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2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4F0F0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E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A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5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4EBA73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04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1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B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C418D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E7E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5A47B2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52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5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4D3F6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97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B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A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415E8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1B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6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F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20DEC5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52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D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E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09AF2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8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D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F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6E0E98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5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4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C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77A3F6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F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C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8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712390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B1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F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3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1103BD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89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9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C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79BDC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8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5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D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39046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A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C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E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07A46A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4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7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6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0B6EE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53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8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0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07F72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03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7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B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0C8954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D0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C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B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73D20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2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5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3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0C301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6E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9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5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7D954F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F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C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1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475683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1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3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工作方法：由县农业农村局按照过程监管、风险控制、区域化和可追溯管理相结合的原则，做好动物及动物产品检疫。</w:t>
            </w:r>
          </w:p>
        </w:tc>
      </w:tr>
      <w:tr w14:paraId="27A54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D0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6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A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66D040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914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6E4823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0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F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9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621562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D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E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3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061AD8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00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9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27F2B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5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D6EDA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F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E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8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2A709F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115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3F693E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65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6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B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76359F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7C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C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C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6F8E1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A8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2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E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282B0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3D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0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30EFEB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9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C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C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7FDA1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5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0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D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5783C1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09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0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2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4B6A0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02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E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1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07F3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F5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3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A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07C4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02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3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5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16085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30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F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8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4112AA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5A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7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3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1C3A7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B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F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0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4E1404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23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D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6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7AB522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5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8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F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8181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EC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5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E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F479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38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2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E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79CA5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360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2C530E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85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7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9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482EC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2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D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8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3FA6D6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69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F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D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24F383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B7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3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C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26F0FC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D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3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3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1F3EE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5A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C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A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5C80E3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7E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E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B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7248BF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1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C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A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56F006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2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D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B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290FE8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F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2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692DB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B4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8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2923B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CB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E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B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389CB4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111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2D86EE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3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9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6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656F5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6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C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3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DF695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2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C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垃圾中转站的建设和维护，枯枝树叶的回收运输及垃圾填埋场整治。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A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工作方式：由县城管执法局负责垃圾中转站的建设和维修，枯枝树叶的回收运输及垃圾填埋场整治。</w:t>
            </w:r>
          </w:p>
        </w:tc>
      </w:tr>
      <w:tr w14:paraId="2FE5B9C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5FD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十、城乡建设（7项）</w:t>
            </w:r>
          </w:p>
        </w:tc>
      </w:tr>
      <w:tr w14:paraId="1CF4A7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3A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5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A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3F35E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5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E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B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7DD792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C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2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开展保交楼工程量核查。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D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工作方式：由县住建局负责开展保交楼工程量核查。</w:t>
            </w:r>
          </w:p>
        </w:tc>
      </w:tr>
      <w:tr w14:paraId="5905FC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4C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E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6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78251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9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B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7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245E3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E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D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7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1C503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B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D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A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工作方式：由县城管执法局负责城市小区楼顶平台“圈地占用”集中整治。</w:t>
            </w:r>
          </w:p>
        </w:tc>
      </w:tr>
      <w:tr w14:paraId="068ABA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4D2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6D65CA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8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4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C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3CBB3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58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2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4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688579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A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9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A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309EF2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4B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F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6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379AA0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656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33D30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C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C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6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3F84D7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3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4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A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025FA5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C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7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6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50C119B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095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4B378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0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2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D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4CCEC5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F7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1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8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3D227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1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8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2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280409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ED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4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F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73A5EB6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C37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08203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E6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E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C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1E8D9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4C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3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8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DCB87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C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9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3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5C0D8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E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2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F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0EF25F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574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532E31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7E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A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督导高耗能企业实施节能减排，并常态化实施监管。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工作方式：由县工信局、市生环局桃源分局按各自职责督导高耗能企业实施节能减排，并常态化实施监管。</w:t>
            </w:r>
          </w:p>
        </w:tc>
      </w:tr>
      <w:tr w14:paraId="7A8BA00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0AC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22351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A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D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B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66181604">
      <w:pPr>
        <w:pStyle w:val="3"/>
        <w:spacing w:before="0" w:after="0" w:line="240" w:lineRule="auto"/>
        <w:jc w:val="center"/>
        <w:rPr>
          <w:rFonts w:ascii="Times New Roman" w:hAnsi="Times New Roman" w:eastAsia="方正小标宋_GBK" w:cs="Times New Roman"/>
          <w:color w:val="auto"/>
          <w:spacing w:val="7"/>
          <w:lang w:eastAsia="zh-CN"/>
        </w:rPr>
      </w:pPr>
    </w:p>
    <w:p w14:paraId="0B415E7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DCF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D2213A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D2213A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26D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38D5656"/>
    <w:rsid w:val="04497378"/>
    <w:rsid w:val="09A02008"/>
    <w:rsid w:val="22E72F77"/>
    <w:rsid w:val="3CE45D03"/>
    <w:rsid w:val="3FDE7CC7"/>
    <w:rsid w:val="7737400F"/>
    <w:rsid w:val="7849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82</Words>
  <Characters>83</Characters>
  <Lines>1</Lines>
  <Paragraphs>1</Paragraphs>
  <TotalTime>4</TotalTime>
  <ScaleCrop>false</ScaleCrop>
  <LinksUpToDate>false</LinksUpToDate>
  <CharactersWithSpaces>85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2025-07-17T07:57:10Z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eyJoZGlkIjoiNzUzZTZkNjMxM2UxMDllZGYxMWFhOWFmNzdjNzhhZWMiLCJ1c2VySWQiOiIxMTU0MDkxMzE1In0=</vt:lpwstr>
  </property>
  <property fmtid="{D5CDD505-2E9C-101B-9397-08002B2CF9AE}" pid="3" name="KSOProductBuildVer">
    <vt:lpwstr>2052-12.1.0.17133</vt:lpwstr>
  </property>
  <property fmtid="{D5CDD505-2E9C-101B-9397-08002B2CF9AE}" pid="4" name="ICV">
    <vt:lpwstr>34CE6D4CD3954D21932C096536A71BD1_12</vt:lpwstr>
  </property>
</Properties>
</file>