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Times New Roman"/>
          <w:b/>
          <w:sz w:val="36"/>
          <w:szCs w:val="36"/>
        </w:rPr>
      </w:pPr>
      <w:r>
        <w:rPr>
          <w:rFonts w:hint="eastAsia" w:ascii="宋体" w:hAnsi="宋体" w:cs="宋体"/>
          <w:b/>
          <w:sz w:val="36"/>
          <w:szCs w:val="36"/>
        </w:rPr>
        <w:t>专项资金绩效目标申报表</w:t>
      </w:r>
    </w:p>
    <w:p>
      <w:pPr>
        <w:jc w:val="center"/>
        <w:rPr>
          <w:rFonts w:eastAsia="Times New Roman"/>
          <w:sz w:val="32"/>
          <w:szCs w:val="32"/>
        </w:rPr>
      </w:pPr>
      <w:r>
        <w:rPr>
          <w:rFonts w:hint="eastAsia" w:ascii="宋体" w:hAnsi="宋体" w:cs="宋体"/>
          <w:sz w:val="32"/>
          <w:szCs w:val="32"/>
        </w:rPr>
        <w:t>（</w:t>
      </w:r>
      <w:r>
        <w:rPr>
          <w:rFonts w:eastAsia="Times New Roman"/>
          <w:sz w:val="32"/>
          <w:szCs w:val="32"/>
        </w:rPr>
        <w:t>201</w:t>
      </w:r>
      <w:r>
        <w:rPr>
          <w:rFonts w:hint="eastAsia"/>
          <w:sz w:val="32"/>
          <w:szCs w:val="32"/>
          <w:lang w:val="en-US" w:eastAsia="zh-CN"/>
        </w:rPr>
        <w:t>9</w:t>
      </w:r>
      <w:r>
        <w:rPr>
          <w:rFonts w:hint="eastAsia" w:ascii="宋体" w:hAnsi="宋体" w:cs="宋体"/>
          <w:sz w:val="32"/>
          <w:szCs w:val="32"/>
        </w:rPr>
        <w:t>年度）</w:t>
      </w:r>
      <w:r>
        <w:rPr>
          <w:rFonts w:eastAsia="Times New Roman"/>
          <w:sz w:val="32"/>
          <w:szCs w:val="32"/>
        </w:rPr>
        <w:t xml:space="preserve"> </w:t>
      </w:r>
    </w:p>
    <w:p>
      <w:pPr>
        <w:jc w:val="left"/>
        <w:rPr>
          <w:rFonts w:eastAsia="Times New Roman"/>
          <w:sz w:val="21"/>
          <w:szCs w:val="21"/>
        </w:rPr>
      </w:pPr>
      <w:r>
        <w:rPr>
          <w:rFonts w:hint="eastAsia" w:ascii="宋体" w:hAnsi="宋体" w:cs="宋体"/>
          <w:sz w:val="21"/>
          <w:szCs w:val="21"/>
        </w:rPr>
        <w:t>填报单位：</w:t>
      </w:r>
      <w:r>
        <w:rPr>
          <w:rFonts w:hint="eastAsia" w:ascii="宋体" w:hAnsi="宋体" w:cs="宋体"/>
          <w:kern w:val="0"/>
          <w:sz w:val="21"/>
          <w:szCs w:val="21"/>
        </w:rPr>
        <w:t>桃源县卫生和计划生育局</w:t>
      </w:r>
    </w:p>
    <w:tbl>
      <w:tblPr>
        <w:tblStyle w:val="4"/>
        <w:tblpPr w:leftFromText="180" w:rightFromText="180" w:vertAnchor="text" w:horzAnchor="page" w:tblpX="1522" w:tblpY="99"/>
        <w:tblOverlap w:val="never"/>
        <w:tblW w:w="98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0"/>
        <w:gridCol w:w="720"/>
        <w:gridCol w:w="1260"/>
        <w:gridCol w:w="1131"/>
        <w:gridCol w:w="324"/>
        <w:gridCol w:w="1785"/>
        <w:gridCol w:w="176"/>
        <w:gridCol w:w="484"/>
        <w:gridCol w:w="1217"/>
        <w:gridCol w:w="1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10" w:type="dxa"/>
          </w:tcPr>
          <w:p>
            <w:pPr>
              <w:spacing w:line="360" w:lineRule="exact"/>
              <w:jc w:val="center"/>
              <w:rPr>
                <w:rFonts w:ascii="宋体" w:cs="宋体"/>
                <w:sz w:val="21"/>
                <w:szCs w:val="21"/>
              </w:rPr>
            </w:pPr>
            <w:r>
              <w:rPr>
                <w:rFonts w:hint="eastAsia" w:ascii="宋体" w:hAnsi="宋体" w:cs="宋体"/>
                <w:sz w:val="21"/>
                <w:szCs w:val="21"/>
              </w:rPr>
              <w:t>专项名称</w:t>
            </w:r>
          </w:p>
        </w:tc>
        <w:tc>
          <w:tcPr>
            <w:tcW w:w="3435" w:type="dxa"/>
            <w:gridSpan w:val="4"/>
          </w:tcPr>
          <w:p>
            <w:pPr>
              <w:spacing w:line="360" w:lineRule="exact"/>
              <w:jc w:val="center"/>
              <w:rPr>
                <w:rFonts w:ascii="宋体" w:cs="宋体"/>
                <w:sz w:val="21"/>
                <w:szCs w:val="21"/>
              </w:rPr>
            </w:pPr>
            <w:r>
              <w:rPr>
                <w:rFonts w:hint="eastAsia" w:ascii="宋体" w:hAnsi="宋体" w:cs="宋体"/>
                <w:sz w:val="21"/>
                <w:szCs w:val="21"/>
              </w:rPr>
              <w:t>严重精神障碍患者监护人看护管理补贴</w:t>
            </w:r>
          </w:p>
        </w:tc>
        <w:tc>
          <w:tcPr>
            <w:tcW w:w="1785" w:type="dxa"/>
          </w:tcPr>
          <w:p>
            <w:pPr>
              <w:spacing w:line="360" w:lineRule="exact"/>
              <w:jc w:val="center"/>
              <w:rPr>
                <w:rFonts w:ascii="宋体" w:cs="宋体"/>
                <w:sz w:val="21"/>
                <w:szCs w:val="21"/>
              </w:rPr>
            </w:pPr>
            <w:r>
              <w:rPr>
                <w:rFonts w:hint="eastAsia" w:ascii="宋体" w:hAnsi="宋体" w:cs="宋体"/>
                <w:sz w:val="21"/>
                <w:szCs w:val="21"/>
              </w:rPr>
              <w:t>专项属性</w:t>
            </w:r>
          </w:p>
        </w:tc>
        <w:tc>
          <w:tcPr>
            <w:tcW w:w="3494" w:type="dxa"/>
            <w:gridSpan w:val="4"/>
          </w:tcPr>
          <w:p>
            <w:pPr>
              <w:spacing w:line="360" w:lineRule="exact"/>
              <w:ind w:firstLine="210" w:firstLineChars="100"/>
              <w:rPr>
                <w:rFonts w:ascii="宋体" w:cs="宋体"/>
                <w:sz w:val="21"/>
                <w:szCs w:val="21"/>
              </w:rPr>
            </w:pPr>
            <w:r>
              <w:rPr>
                <w:rFonts w:hint="eastAsia" w:ascii="宋体" w:hAnsi="宋体" w:cs="宋体"/>
                <w:sz w:val="21"/>
                <w:szCs w:val="21"/>
              </w:rPr>
              <w:t>延续专项</w:t>
            </w:r>
            <w:r>
              <w:rPr>
                <w:rFonts w:hint="eastAsia" w:ascii="宋体" w:hAnsi="宋体" w:cs="宋体"/>
                <w:color w:val="000000"/>
                <w:sz w:val="21"/>
                <w:szCs w:val="21"/>
              </w:rPr>
              <w:t>√</w:t>
            </w:r>
            <w:r>
              <w:rPr>
                <w:rFonts w:ascii="宋体" w:hAnsi="宋体" w:cs="宋体"/>
                <w:color w:val="000000"/>
                <w:sz w:val="21"/>
                <w:szCs w:val="21"/>
              </w:rPr>
              <w:t xml:space="preserve">      </w:t>
            </w:r>
            <w:r>
              <w:rPr>
                <w:rFonts w:hint="eastAsia" w:ascii="宋体" w:hAnsi="宋体" w:cs="宋体"/>
                <w:sz w:val="21"/>
                <w:szCs w:val="21"/>
              </w:rPr>
              <w:t>新增专项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10" w:type="dxa"/>
          </w:tcPr>
          <w:p>
            <w:pPr>
              <w:spacing w:line="360" w:lineRule="exact"/>
              <w:jc w:val="center"/>
              <w:rPr>
                <w:rFonts w:ascii="宋体" w:cs="宋体"/>
                <w:sz w:val="21"/>
                <w:szCs w:val="21"/>
              </w:rPr>
            </w:pPr>
            <w:r>
              <w:rPr>
                <w:rFonts w:hint="eastAsia" w:ascii="宋体" w:hAnsi="宋体" w:cs="宋体"/>
                <w:sz w:val="21"/>
                <w:szCs w:val="21"/>
              </w:rPr>
              <w:t>部门名称</w:t>
            </w:r>
          </w:p>
        </w:tc>
        <w:tc>
          <w:tcPr>
            <w:tcW w:w="3435" w:type="dxa"/>
            <w:gridSpan w:val="4"/>
          </w:tcPr>
          <w:p>
            <w:pPr>
              <w:spacing w:line="360" w:lineRule="exact"/>
              <w:jc w:val="center"/>
              <w:rPr>
                <w:rFonts w:ascii="宋体" w:cs="宋体"/>
                <w:sz w:val="21"/>
                <w:szCs w:val="21"/>
              </w:rPr>
            </w:pPr>
            <w:r>
              <w:rPr>
                <w:rFonts w:hint="eastAsia" w:ascii="宋体" w:hAnsi="宋体" w:cs="宋体"/>
                <w:sz w:val="21"/>
                <w:szCs w:val="21"/>
              </w:rPr>
              <w:t>桃源县卫生和计划生育局</w:t>
            </w:r>
          </w:p>
        </w:tc>
        <w:tc>
          <w:tcPr>
            <w:tcW w:w="1785" w:type="dxa"/>
          </w:tcPr>
          <w:p>
            <w:pPr>
              <w:spacing w:line="360" w:lineRule="exact"/>
              <w:jc w:val="center"/>
              <w:rPr>
                <w:rFonts w:ascii="宋体" w:cs="宋体"/>
                <w:sz w:val="21"/>
                <w:szCs w:val="21"/>
              </w:rPr>
            </w:pPr>
            <w:r>
              <w:rPr>
                <w:rFonts w:hint="eastAsia" w:ascii="宋体" w:hAnsi="宋体" w:cs="宋体"/>
                <w:sz w:val="21"/>
                <w:szCs w:val="21"/>
              </w:rPr>
              <w:t>资金总额（万元）</w:t>
            </w:r>
          </w:p>
        </w:tc>
        <w:tc>
          <w:tcPr>
            <w:tcW w:w="3494" w:type="dxa"/>
            <w:gridSpan w:val="4"/>
          </w:tcPr>
          <w:p>
            <w:pPr>
              <w:spacing w:line="360" w:lineRule="exact"/>
              <w:jc w:val="center"/>
              <w:rPr>
                <w:rFonts w:ascii="宋体" w:cs="宋体"/>
                <w:sz w:val="21"/>
                <w:szCs w:val="21"/>
              </w:rPr>
            </w:pPr>
            <w:r>
              <w:rPr>
                <w:rFonts w:ascii="宋体" w:hAnsi="宋体" w:cs="宋体"/>
                <w:sz w:val="21"/>
                <w:szCs w:val="21"/>
              </w:rPr>
              <w:t>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0" w:hRule="atLeast"/>
        </w:trPr>
        <w:tc>
          <w:tcPr>
            <w:tcW w:w="1110" w:type="dxa"/>
          </w:tcPr>
          <w:p>
            <w:pPr>
              <w:spacing w:line="360" w:lineRule="exact"/>
              <w:jc w:val="center"/>
              <w:rPr>
                <w:rFonts w:ascii="宋体" w:cs="宋体"/>
                <w:sz w:val="21"/>
                <w:szCs w:val="21"/>
              </w:rPr>
            </w:pPr>
            <w:r>
              <w:rPr>
                <w:rFonts w:hint="eastAsia" w:ascii="宋体" w:hAnsi="宋体" w:cs="宋体"/>
                <w:sz w:val="21"/>
                <w:szCs w:val="21"/>
              </w:rPr>
              <w:t>部门相应职能职责概述</w:t>
            </w:r>
          </w:p>
        </w:tc>
        <w:tc>
          <w:tcPr>
            <w:tcW w:w="8714" w:type="dxa"/>
            <w:gridSpan w:val="9"/>
          </w:tcPr>
          <w:p>
            <w:pPr>
              <w:spacing w:line="360" w:lineRule="exact"/>
              <w:ind w:firstLine="420" w:firstLineChars="200"/>
              <w:jc w:val="left"/>
              <w:rPr>
                <w:rFonts w:ascii="宋体" w:cs="宋体"/>
                <w:sz w:val="21"/>
                <w:szCs w:val="21"/>
              </w:rPr>
            </w:pPr>
            <w:r>
              <w:rPr>
                <w:rFonts w:hint="eastAsia" w:ascii="宋体" w:hAnsi="宋体" w:cs="宋体"/>
                <w:kern w:val="0"/>
                <w:sz w:val="21"/>
                <w:szCs w:val="21"/>
              </w:rPr>
              <w:t>卫</w:t>
            </w:r>
            <w:r>
              <w:rPr>
                <w:rFonts w:hint="eastAsia" w:ascii="宋体" w:hAnsi="宋体" w:cs="宋体"/>
                <w:sz w:val="21"/>
                <w:szCs w:val="21"/>
              </w:rPr>
              <w:t>生计生行政部门负责在本系统内对基层医疗卫生机构和精防专干加强政策宣传和业务指导；组织精防专干加强随访，教育指导监护人履行看护管理责任；做好对疑似患者的诊断复核和确诊登记在册患者的随访管理；及时认定患者危险性评估等级；配合相关部门做好制定补贴预算和发放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8" w:hRule="atLeast"/>
        </w:trPr>
        <w:tc>
          <w:tcPr>
            <w:tcW w:w="1110" w:type="dxa"/>
          </w:tcPr>
          <w:p>
            <w:pPr>
              <w:spacing w:line="360" w:lineRule="exact"/>
              <w:jc w:val="center"/>
              <w:rPr>
                <w:rFonts w:ascii="宋体" w:cs="宋体"/>
                <w:sz w:val="21"/>
                <w:szCs w:val="21"/>
              </w:rPr>
            </w:pPr>
            <w:r>
              <w:rPr>
                <w:rFonts w:hint="eastAsia" w:ascii="宋体" w:hAnsi="宋体" w:cs="宋体"/>
                <w:sz w:val="21"/>
                <w:szCs w:val="21"/>
              </w:rPr>
              <w:t>专项立项依据</w:t>
            </w:r>
          </w:p>
        </w:tc>
        <w:tc>
          <w:tcPr>
            <w:tcW w:w="8714" w:type="dxa"/>
            <w:gridSpan w:val="9"/>
          </w:tcPr>
          <w:p>
            <w:pPr>
              <w:spacing w:line="360" w:lineRule="exact"/>
              <w:jc w:val="left"/>
              <w:rPr>
                <w:rFonts w:ascii="宋体" w:cs="宋体"/>
                <w:color w:val="333333"/>
                <w:sz w:val="21"/>
                <w:szCs w:val="21"/>
                <w:shd w:val="clear" w:color="auto" w:fill="FFFFFF"/>
              </w:rPr>
            </w:pPr>
            <w:r>
              <w:rPr>
                <w:rFonts w:hint="eastAsia" w:ascii="宋体" w:hAnsi="宋体" w:cs="宋体"/>
                <w:color w:val="333333"/>
                <w:sz w:val="21"/>
                <w:szCs w:val="21"/>
                <w:shd w:val="clear" w:color="auto" w:fill="FFFFFF"/>
              </w:rPr>
              <w:t>中央综治办、公安部、民政部、财政部、国家卫生计生委、中国残联《关于实施以奖代补政策落实严重精神障碍患者监护责任的意见》（中综办〔</w:t>
            </w:r>
            <w:r>
              <w:rPr>
                <w:rFonts w:ascii="宋体" w:hAnsi="宋体" w:cs="宋体"/>
                <w:color w:val="333333"/>
                <w:sz w:val="21"/>
                <w:szCs w:val="21"/>
                <w:shd w:val="clear" w:color="auto" w:fill="FFFFFF"/>
              </w:rPr>
              <w:t>2016</w:t>
            </w:r>
            <w:r>
              <w:rPr>
                <w:rFonts w:hint="eastAsia" w:ascii="宋体" w:hAnsi="宋体" w:cs="宋体"/>
                <w:color w:val="333333"/>
                <w:sz w:val="21"/>
                <w:szCs w:val="21"/>
                <w:shd w:val="clear" w:color="auto" w:fill="FFFFFF"/>
              </w:rPr>
              <w:t>〕</w:t>
            </w:r>
            <w:r>
              <w:rPr>
                <w:rFonts w:ascii="宋体" w:hAnsi="宋体" w:cs="宋体"/>
                <w:color w:val="333333"/>
                <w:sz w:val="21"/>
                <w:szCs w:val="21"/>
                <w:shd w:val="clear" w:color="auto" w:fill="FFFFFF"/>
              </w:rPr>
              <w:t>1</w:t>
            </w:r>
            <w:r>
              <w:rPr>
                <w:rFonts w:hint="eastAsia" w:ascii="宋体" w:hAnsi="宋体" w:cs="宋体"/>
                <w:color w:val="333333"/>
                <w:sz w:val="21"/>
                <w:szCs w:val="21"/>
                <w:shd w:val="clear" w:color="auto" w:fill="FFFFFF"/>
              </w:rPr>
              <w:t>号）；常德市综治办、市卫生计生委、市公安局、市财政局、市民政局、市残联《关于印发</w:t>
            </w:r>
            <w:r>
              <w:rPr>
                <w:rFonts w:ascii="宋体" w:hAnsi="宋体" w:cs="宋体"/>
                <w:color w:val="333333"/>
                <w:sz w:val="21"/>
                <w:szCs w:val="21"/>
                <w:shd w:val="clear" w:color="auto" w:fill="FFFFFF"/>
              </w:rPr>
              <w:t>&lt;</w:t>
            </w:r>
            <w:r>
              <w:rPr>
                <w:rFonts w:hint="eastAsia" w:ascii="宋体" w:hAnsi="宋体" w:cs="宋体"/>
                <w:color w:val="333333"/>
                <w:sz w:val="21"/>
                <w:szCs w:val="21"/>
                <w:shd w:val="clear" w:color="auto" w:fill="FFFFFF"/>
              </w:rPr>
              <w:t>常德市严重精神障碍患者监护人申领看护管理补贴的暂行办法</w:t>
            </w:r>
            <w:r>
              <w:rPr>
                <w:rFonts w:ascii="宋体" w:hAnsi="宋体" w:cs="宋体"/>
                <w:color w:val="333333"/>
                <w:sz w:val="21"/>
                <w:szCs w:val="21"/>
                <w:shd w:val="clear" w:color="auto" w:fill="FFFFFF"/>
              </w:rPr>
              <w:t>&gt;</w:t>
            </w:r>
            <w:r>
              <w:rPr>
                <w:rFonts w:hint="eastAsia" w:ascii="宋体" w:hAnsi="宋体" w:cs="宋体"/>
                <w:color w:val="333333"/>
                <w:sz w:val="21"/>
                <w:szCs w:val="21"/>
                <w:shd w:val="clear" w:color="auto" w:fill="FFFFFF"/>
              </w:rPr>
              <w:t>的通知》（常综治办〔</w:t>
            </w:r>
            <w:r>
              <w:rPr>
                <w:rFonts w:ascii="宋体" w:hAnsi="宋体" w:cs="宋体"/>
                <w:color w:val="333333"/>
                <w:sz w:val="21"/>
                <w:szCs w:val="21"/>
                <w:shd w:val="clear" w:color="auto" w:fill="FFFFFF"/>
              </w:rPr>
              <w:t>2016</w:t>
            </w:r>
            <w:r>
              <w:rPr>
                <w:rFonts w:hint="eastAsia" w:ascii="宋体" w:hAnsi="宋体" w:cs="宋体"/>
                <w:color w:val="333333"/>
                <w:sz w:val="21"/>
                <w:szCs w:val="21"/>
                <w:shd w:val="clear" w:color="auto" w:fill="FFFFFF"/>
              </w:rPr>
              <w:t>〕</w:t>
            </w:r>
            <w:r>
              <w:rPr>
                <w:rFonts w:ascii="宋体" w:hAnsi="宋体" w:cs="宋体"/>
                <w:color w:val="333333"/>
                <w:sz w:val="21"/>
                <w:szCs w:val="21"/>
                <w:shd w:val="clear" w:color="auto" w:fill="FFFFFF"/>
              </w:rPr>
              <w:t>7</w:t>
            </w:r>
            <w:r>
              <w:rPr>
                <w:rFonts w:hint="eastAsia" w:ascii="宋体" w:hAnsi="宋体" w:cs="宋体"/>
                <w:color w:val="333333"/>
                <w:sz w:val="21"/>
                <w:szCs w:val="21"/>
                <w:shd w:val="clear" w:color="auto" w:fill="FFFFFF"/>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 w:hRule="atLeast"/>
        </w:trPr>
        <w:tc>
          <w:tcPr>
            <w:tcW w:w="1110" w:type="dxa"/>
            <w:vMerge w:val="restart"/>
            <w:vAlign w:val="center"/>
          </w:tcPr>
          <w:p>
            <w:pPr>
              <w:spacing w:line="360" w:lineRule="exact"/>
              <w:jc w:val="center"/>
              <w:rPr>
                <w:rFonts w:ascii="宋体" w:cs="宋体"/>
                <w:sz w:val="21"/>
                <w:szCs w:val="21"/>
              </w:rPr>
            </w:pPr>
            <w:r>
              <w:rPr>
                <w:rFonts w:hint="eastAsia" w:ascii="宋体" w:hAnsi="宋体" w:cs="宋体"/>
                <w:sz w:val="21"/>
                <w:szCs w:val="21"/>
              </w:rPr>
              <w:t>专项实施进度计划</w:t>
            </w:r>
          </w:p>
        </w:tc>
        <w:tc>
          <w:tcPr>
            <w:tcW w:w="3111" w:type="dxa"/>
            <w:gridSpan w:val="3"/>
            <w:vAlign w:val="center"/>
          </w:tcPr>
          <w:p>
            <w:pPr>
              <w:spacing w:line="360" w:lineRule="exact"/>
              <w:jc w:val="center"/>
              <w:rPr>
                <w:rFonts w:ascii="宋体" w:cs="宋体"/>
                <w:sz w:val="21"/>
                <w:szCs w:val="21"/>
              </w:rPr>
            </w:pPr>
            <w:r>
              <w:rPr>
                <w:rFonts w:hint="eastAsia" w:ascii="宋体" w:hAnsi="宋体" w:cs="宋体"/>
                <w:sz w:val="21"/>
                <w:szCs w:val="21"/>
              </w:rPr>
              <w:t>专项实施内容</w:t>
            </w:r>
          </w:p>
        </w:tc>
        <w:tc>
          <w:tcPr>
            <w:tcW w:w="2285" w:type="dxa"/>
            <w:gridSpan w:val="3"/>
            <w:vAlign w:val="center"/>
          </w:tcPr>
          <w:p>
            <w:pPr>
              <w:spacing w:line="360" w:lineRule="exact"/>
              <w:jc w:val="center"/>
              <w:rPr>
                <w:rFonts w:ascii="宋体" w:cs="宋体"/>
                <w:sz w:val="21"/>
                <w:szCs w:val="21"/>
              </w:rPr>
            </w:pPr>
            <w:r>
              <w:rPr>
                <w:rFonts w:hint="eastAsia" w:ascii="宋体" w:hAnsi="宋体" w:cs="宋体"/>
                <w:sz w:val="21"/>
                <w:szCs w:val="21"/>
              </w:rPr>
              <w:t>计划开始时间</w:t>
            </w:r>
          </w:p>
        </w:tc>
        <w:tc>
          <w:tcPr>
            <w:tcW w:w="3318" w:type="dxa"/>
            <w:gridSpan w:val="3"/>
            <w:vAlign w:val="center"/>
          </w:tcPr>
          <w:p>
            <w:pPr>
              <w:spacing w:line="360" w:lineRule="exact"/>
              <w:jc w:val="center"/>
              <w:rPr>
                <w:rFonts w:ascii="宋体" w:cs="宋体"/>
                <w:sz w:val="21"/>
                <w:szCs w:val="21"/>
              </w:rPr>
            </w:pPr>
            <w:r>
              <w:rPr>
                <w:rFonts w:hint="eastAsia" w:ascii="宋体" w:hAnsi="宋体" w:cs="宋体"/>
                <w:sz w:val="21"/>
                <w:szCs w:val="21"/>
              </w:rPr>
              <w:t>计划完成时间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10" w:type="dxa"/>
            <w:vMerge w:val="continue"/>
          </w:tcPr>
          <w:p>
            <w:pPr>
              <w:spacing w:line="360" w:lineRule="exact"/>
              <w:jc w:val="center"/>
              <w:rPr>
                <w:rFonts w:ascii="宋体" w:cs="宋体"/>
                <w:sz w:val="21"/>
                <w:szCs w:val="21"/>
              </w:rPr>
            </w:pPr>
          </w:p>
        </w:tc>
        <w:tc>
          <w:tcPr>
            <w:tcW w:w="3111" w:type="dxa"/>
            <w:gridSpan w:val="3"/>
          </w:tcPr>
          <w:p>
            <w:pPr>
              <w:spacing w:line="360" w:lineRule="exact"/>
              <w:jc w:val="center"/>
              <w:rPr>
                <w:rFonts w:ascii="宋体" w:cs="宋体"/>
                <w:sz w:val="21"/>
                <w:szCs w:val="21"/>
              </w:rPr>
            </w:pPr>
            <w:r>
              <w:rPr>
                <w:rFonts w:hint="eastAsia" w:ascii="宋体" w:hAnsi="宋体" w:cs="宋体"/>
                <w:sz w:val="21"/>
                <w:szCs w:val="21"/>
              </w:rPr>
              <w:t>严重精神障碍患者监护人申领看护管理补贴</w:t>
            </w:r>
          </w:p>
        </w:tc>
        <w:tc>
          <w:tcPr>
            <w:tcW w:w="2285" w:type="dxa"/>
            <w:gridSpan w:val="3"/>
            <w:vAlign w:val="center"/>
          </w:tcPr>
          <w:p>
            <w:pPr>
              <w:spacing w:line="360" w:lineRule="exact"/>
              <w:jc w:val="center"/>
              <w:rPr>
                <w:rFonts w:ascii="宋体" w:cs="宋体"/>
                <w:sz w:val="21"/>
                <w:szCs w:val="21"/>
              </w:rPr>
            </w:pPr>
            <w:r>
              <w:rPr>
                <w:rFonts w:ascii="宋体" w:hAnsi="宋体" w:cs="宋体"/>
                <w:sz w:val="21"/>
                <w:szCs w:val="21"/>
              </w:rPr>
              <w:t>201</w:t>
            </w:r>
            <w:r>
              <w:rPr>
                <w:rFonts w:hint="eastAsia" w:ascii="宋体" w:hAnsi="宋体" w:cs="宋体"/>
                <w:sz w:val="21"/>
                <w:szCs w:val="21"/>
                <w:lang w:val="en-US" w:eastAsia="zh-CN"/>
              </w:rPr>
              <w:t>9</w:t>
            </w:r>
            <w:r>
              <w:rPr>
                <w:rFonts w:ascii="宋体" w:hAnsi="宋体" w:cs="宋体"/>
                <w:sz w:val="21"/>
                <w:szCs w:val="21"/>
              </w:rPr>
              <w:t>.1</w:t>
            </w:r>
          </w:p>
        </w:tc>
        <w:tc>
          <w:tcPr>
            <w:tcW w:w="3318" w:type="dxa"/>
            <w:gridSpan w:val="3"/>
            <w:vAlign w:val="center"/>
          </w:tcPr>
          <w:p>
            <w:pPr>
              <w:spacing w:line="360" w:lineRule="exact"/>
              <w:jc w:val="center"/>
              <w:rPr>
                <w:rFonts w:ascii="宋体" w:cs="宋体"/>
                <w:sz w:val="21"/>
                <w:szCs w:val="21"/>
              </w:rPr>
            </w:pPr>
            <w:r>
              <w:rPr>
                <w:rFonts w:ascii="宋体" w:hAnsi="宋体" w:cs="宋体"/>
                <w:sz w:val="21"/>
                <w:szCs w:val="21"/>
              </w:rPr>
              <w:t>201</w:t>
            </w:r>
            <w:r>
              <w:rPr>
                <w:rFonts w:hint="eastAsia" w:ascii="宋体" w:hAnsi="宋体" w:cs="宋体"/>
                <w:sz w:val="21"/>
                <w:szCs w:val="21"/>
                <w:lang w:val="en-US" w:eastAsia="zh-CN"/>
              </w:rPr>
              <w:t>9</w:t>
            </w:r>
            <w:r>
              <w:rPr>
                <w:rFonts w:ascii="宋体" w:hAnsi="宋体" w:cs="宋体"/>
                <w:sz w:val="21"/>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10" w:type="dxa"/>
          </w:tcPr>
          <w:p>
            <w:pPr>
              <w:spacing w:line="360" w:lineRule="exact"/>
              <w:jc w:val="center"/>
              <w:rPr>
                <w:rFonts w:ascii="宋体" w:cs="宋体"/>
                <w:sz w:val="21"/>
                <w:szCs w:val="21"/>
              </w:rPr>
            </w:pPr>
            <w:r>
              <w:rPr>
                <w:rFonts w:hint="eastAsia" w:ascii="宋体" w:hAnsi="宋体" w:cs="宋体"/>
                <w:sz w:val="21"/>
                <w:szCs w:val="21"/>
              </w:rPr>
              <w:t>专项长期绩效目标</w:t>
            </w:r>
          </w:p>
        </w:tc>
        <w:tc>
          <w:tcPr>
            <w:tcW w:w="8714" w:type="dxa"/>
            <w:gridSpan w:val="9"/>
            <w:vAlign w:val="center"/>
          </w:tcPr>
          <w:p>
            <w:pPr>
              <w:spacing w:line="360" w:lineRule="exact"/>
              <w:rPr>
                <w:rFonts w:ascii="宋体" w:cs="宋体"/>
                <w:sz w:val="21"/>
                <w:szCs w:val="21"/>
              </w:rPr>
            </w:pPr>
            <w:r>
              <w:rPr>
                <w:rFonts w:hint="eastAsia" w:ascii="宋体" w:hAnsi="宋体" w:cs="宋体"/>
                <w:sz w:val="21"/>
                <w:szCs w:val="21"/>
              </w:rPr>
              <w:t>以依法救治、人本救助、有奖监护为重点，实现救治救助管理监护工作有效衔接，对患者做到“应管尽管、应收尽收、应治尽治、应助尽助”，有效减轻患者及家庭负担，最大限度预防和减少肇事肇祸案事件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10" w:type="dxa"/>
          </w:tcPr>
          <w:p>
            <w:pPr>
              <w:spacing w:line="360" w:lineRule="exact"/>
              <w:jc w:val="center"/>
              <w:rPr>
                <w:rFonts w:ascii="宋体" w:cs="宋体"/>
                <w:sz w:val="21"/>
                <w:szCs w:val="21"/>
              </w:rPr>
            </w:pPr>
            <w:r>
              <w:rPr>
                <w:rFonts w:hint="eastAsia" w:ascii="宋体" w:hAnsi="宋体" w:cs="宋体"/>
                <w:sz w:val="21"/>
                <w:szCs w:val="21"/>
              </w:rPr>
              <w:t>专项年度绩效目标</w:t>
            </w:r>
          </w:p>
        </w:tc>
        <w:tc>
          <w:tcPr>
            <w:tcW w:w="8714" w:type="dxa"/>
            <w:gridSpan w:val="9"/>
          </w:tcPr>
          <w:p>
            <w:pPr>
              <w:spacing w:line="360" w:lineRule="exact"/>
              <w:jc w:val="left"/>
              <w:rPr>
                <w:rFonts w:ascii="宋体" w:cs="宋体"/>
                <w:sz w:val="21"/>
                <w:szCs w:val="21"/>
              </w:rPr>
            </w:pPr>
            <w:r>
              <w:rPr>
                <w:rFonts w:hint="eastAsia" w:ascii="宋体" w:hAnsi="宋体" w:cs="宋体"/>
                <w:sz w:val="21"/>
                <w:szCs w:val="21"/>
              </w:rPr>
              <w:t>将实施监护人补贴列入当前严重精神障碍患者救治救助工作重点，纳入社会治安综合治理考评内容，激励监护人主动、积极履责，减轻患者及家属负担，防范严重精神障碍患者肇事肇祸。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10" w:type="dxa"/>
            <w:vMerge w:val="restart"/>
            <w:vAlign w:val="center"/>
          </w:tcPr>
          <w:p>
            <w:pPr>
              <w:spacing w:line="360" w:lineRule="exact"/>
              <w:jc w:val="center"/>
              <w:rPr>
                <w:rFonts w:ascii="宋体" w:cs="宋体"/>
                <w:sz w:val="21"/>
                <w:szCs w:val="21"/>
              </w:rPr>
            </w:pPr>
            <w:r>
              <w:rPr>
                <w:rFonts w:hint="eastAsia" w:ascii="宋体" w:hAnsi="宋体" w:cs="宋体"/>
                <w:sz w:val="21"/>
                <w:szCs w:val="21"/>
              </w:rPr>
              <w:t>专项年度绩效指标</w:t>
            </w:r>
          </w:p>
        </w:tc>
        <w:tc>
          <w:tcPr>
            <w:tcW w:w="720" w:type="dxa"/>
          </w:tcPr>
          <w:p>
            <w:pPr>
              <w:spacing w:line="360" w:lineRule="exact"/>
              <w:jc w:val="center"/>
              <w:rPr>
                <w:rFonts w:ascii="宋体" w:cs="宋体"/>
                <w:sz w:val="21"/>
                <w:szCs w:val="21"/>
              </w:rPr>
            </w:pPr>
            <w:r>
              <w:rPr>
                <w:rFonts w:hint="eastAsia" w:ascii="宋体" w:hAnsi="宋体" w:cs="宋体"/>
                <w:sz w:val="21"/>
                <w:szCs w:val="21"/>
              </w:rPr>
              <w:t>一级指标</w:t>
            </w:r>
          </w:p>
        </w:tc>
        <w:tc>
          <w:tcPr>
            <w:tcW w:w="1260" w:type="dxa"/>
          </w:tcPr>
          <w:p>
            <w:pPr>
              <w:spacing w:line="360" w:lineRule="exact"/>
              <w:jc w:val="center"/>
              <w:rPr>
                <w:rFonts w:ascii="宋体" w:cs="宋体"/>
                <w:sz w:val="21"/>
                <w:szCs w:val="21"/>
              </w:rPr>
            </w:pPr>
            <w:r>
              <w:rPr>
                <w:rFonts w:hint="eastAsia" w:ascii="宋体" w:hAnsi="宋体" w:cs="宋体"/>
                <w:sz w:val="21"/>
                <w:szCs w:val="21"/>
              </w:rPr>
              <w:t>二级指标</w:t>
            </w:r>
          </w:p>
        </w:tc>
        <w:tc>
          <w:tcPr>
            <w:tcW w:w="3900" w:type="dxa"/>
            <w:gridSpan w:val="5"/>
          </w:tcPr>
          <w:p>
            <w:pPr>
              <w:spacing w:line="360" w:lineRule="exact"/>
              <w:jc w:val="center"/>
              <w:rPr>
                <w:rFonts w:ascii="宋体" w:cs="宋体"/>
                <w:sz w:val="21"/>
                <w:szCs w:val="21"/>
              </w:rPr>
            </w:pPr>
            <w:r>
              <w:rPr>
                <w:rFonts w:hint="eastAsia" w:ascii="宋体" w:hAnsi="宋体" w:cs="宋体"/>
                <w:sz w:val="21"/>
                <w:szCs w:val="21"/>
              </w:rPr>
              <w:t>指标内容</w:t>
            </w:r>
          </w:p>
        </w:tc>
        <w:tc>
          <w:tcPr>
            <w:tcW w:w="1217" w:type="dxa"/>
          </w:tcPr>
          <w:p>
            <w:pPr>
              <w:spacing w:line="360" w:lineRule="exact"/>
              <w:jc w:val="center"/>
              <w:rPr>
                <w:rFonts w:ascii="宋体" w:cs="宋体"/>
                <w:sz w:val="21"/>
                <w:szCs w:val="21"/>
              </w:rPr>
            </w:pPr>
            <w:r>
              <w:rPr>
                <w:rFonts w:hint="eastAsia" w:ascii="宋体" w:hAnsi="宋体" w:cs="宋体"/>
                <w:sz w:val="21"/>
                <w:szCs w:val="21"/>
              </w:rPr>
              <w:t>指标值</w:t>
            </w:r>
          </w:p>
        </w:tc>
        <w:tc>
          <w:tcPr>
            <w:tcW w:w="1617" w:type="dxa"/>
          </w:tcPr>
          <w:p>
            <w:pPr>
              <w:spacing w:line="360" w:lineRule="exact"/>
              <w:jc w:val="center"/>
              <w:rPr>
                <w:rFonts w:ascii="宋体" w:cs="宋体"/>
                <w:sz w:val="21"/>
                <w:szCs w:val="21"/>
              </w:rPr>
            </w:pPr>
            <w:r>
              <w:rPr>
                <w:rFonts w:hint="eastAsia" w:ascii="宋体" w:hAnsi="宋体" w:cs="宋体"/>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10" w:type="dxa"/>
            <w:vMerge w:val="continue"/>
            <w:vAlign w:val="center"/>
          </w:tcPr>
          <w:p>
            <w:pPr>
              <w:spacing w:line="360" w:lineRule="exact"/>
              <w:jc w:val="center"/>
              <w:rPr>
                <w:rFonts w:ascii="宋体" w:cs="宋体"/>
                <w:sz w:val="21"/>
                <w:szCs w:val="21"/>
              </w:rPr>
            </w:pPr>
          </w:p>
        </w:tc>
        <w:tc>
          <w:tcPr>
            <w:tcW w:w="720" w:type="dxa"/>
            <w:vMerge w:val="restart"/>
            <w:vAlign w:val="center"/>
          </w:tcPr>
          <w:p>
            <w:pPr>
              <w:spacing w:line="360" w:lineRule="exact"/>
              <w:jc w:val="center"/>
              <w:rPr>
                <w:rFonts w:ascii="宋体" w:cs="宋体"/>
                <w:sz w:val="21"/>
                <w:szCs w:val="21"/>
              </w:rPr>
            </w:pPr>
            <w:r>
              <w:rPr>
                <w:rFonts w:hint="eastAsia" w:ascii="宋体" w:hAnsi="宋体" w:cs="宋体"/>
                <w:sz w:val="21"/>
                <w:szCs w:val="21"/>
              </w:rPr>
              <w:t>产出指标</w:t>
            </w:r>
          </w:p>
        </w:tc>
        <w:tc>
          <w:tcPr>
            <w:tcW w:w="1260" w:type="dxa"/>
            <w:vAlign w:val="center"/>
          </w:tcPr>
          <w:p>
            <w:pPr>
              <w:spacing w:line="360" w:lineRule="exact"/>
              <w:jc w:val="center"/>
              <w:rPr>
                <w:rFonts w:ascii="宋体" w:cs="宋体"/>
                <w:sz w:val="21"/>
                <w:szCs w:val="21"/>
              </w:rPr>
            </w:pPr>
            <w:r>
              <w:rPr>
                <w:rFonts w:hint="eastAsia" w:ascii="宋体" w:hAnsi="宋体" w:cs="宋体"/>
                <w:sz w:val="21"/>
                <w:szCs w:val="21"/>
              </w:rPr>
              <w:t>数量指标</w:t>
            </w:r>
          </w:p>
        </w:tc>
        <w:tc>
          <w:tcPr>
            <w:tcW w:w="3900" w:type="dxa"/>
            <w:gridSpan w:val="5"/>
          </w:tcPr>
          <w:p>
            <w:pPr>
              <w:spacing w:line="360" w:lineRule="exact"/>
              <w:rPr>
                <w:rFonts w:ascii="宋体" w:cs="宋体"/>
                <w:sz w:val="21"/>
                <w:szCs w:val="21"/>
              </w:rPr>
            </w:pPr>
            <w:r>
              <w:rPr>
                <w:rFonts w:hint="eastAsia" w:ascii="宋体" w:hAnsi="宋体" w:cs="宋体"/>
                <w:sz w:val="21"/>
                <w:szCs w:val="21"/>
              </w:rPr>
              <w:t>制定监护人申领看护管理补贴具体实施细则，明确监护人申报确认程序，看护管理补贴申领程序、发放标准、监管措施等。</w:t>
            </w:r>
          </w:p>
        </w:tc>
        <w:tc>
          <w:tcPr>
            <w:tcW w:w="1217" w:type="dxa"/>
          </w:tcPr>
          <w:p>
            <w:pPr>
              <w:spacing w:line="360" w:lineRule="exact"/>
              <w:rPr>
                <w:rFonts w:ascii="宋体" w:cs="宋体"/>
                <w:sz w:val="21"/>
                <w:szCs w:val="21"/>
              </w:rPr>
            </w:pPr>
            <w:r>
              <w:rPr>
                <w:rFonts w:hint="eastAsia" w:ascii="宋体" w:hAnsi="宋体" w:cs="宋体"/>
                <w:sz w:val="21"/>
                <w:szCs w:val="21"/>
              </w:rPr>
              <w:t>每监护</w:t>
            </w:r>
            <w:r>
              <w:rPr>
                <w:rFonts w:ascii="宋体" w:hAnsi="宋体" w:cs="宋体"/>
                <w:sz w:val="21"/>
                <w:szCs w:val="21"/>
              </w:rPr>
              <w:t>1</w:t>
            </w:r>
            <w:r>
              <w:rPr>
                <w:rFonts w:hint="eastAsia" w:ascii="宋体" w:hAnsi="宋体" w:cs="宋体"/>
                <w:sz w:val="21"/>
                <w:szCs w:val="21"/>
              </w:rPr>
              <w:t>名患者的看护管理补贴标准每月</w:t>
            </w:r>
            <w:r>
              <w:rPr>
                <w:rFonts w:ascii="宋体" w:hAnsi="宋体" w:cs="宋体"/>
                <w:sz w:val="21"/>
                <w:szCs w:val="21"/>
              </w:rPr>
              <w:t>300</w:t>
            </w:r>
            <w:r>
              <w:rPr>
                <w:rFonts w:hint="eastAsia" w:ascii="宋体" w:hAnsi="宋体" w:cs="宋体"/>
                <w:sz w:val="21"/>
                <w:szCs w:val="21"/>
              </w:rPr>
              <w:t>元。</w:t>
            </w:r>
          </w:p>
        </w:tc>
        <w:tc>
          <w:tcPr>
            <w:tcW w:w="1617" w:type="dxa"/>
          </w:tcPr>
          <w:p>
            <w:pPr>
              <w:spacing w:line="360" w:lineRule="exact"/>
              <w:rPr>
                <w:rFonts w:ascii="宋体" w:cs="宋体"/>
                <w:sz w:val="21"/>
                <w:szCs w:val="21"/>
              </w:rPr>
            </w:pPr>
            <w:r>
              <w:rPr>
                <w:rFonts w:hint="eastAsia" w:ascii="宋体" w:hAnsi="宋体" w:cs="宋体"/>
                <w:sz w:val="21"/>
                <w:szCs w:val="21"/>
              </w:rPr>
              <w:t>每个患者</w:t>
            </w:r>
            <w:r>
              <w:rPr>
                <w:rFonts w:ascii="宋体" w:hAnsi="宋体" w:cs="宋体"/>
                <w:sz w:val="21"/>
                <w:szCs w:val="21"/>
              </w:rPr>
              <w:t>1</w:t>
            </w:r>
            <w:r>
              <w:rPr>
                <w:rFonts w:hint="eastAsia" w:ascii="宋体" w:hAnsi="宋体" w:cs="宋体"/>
                <w:sz w:val="21"/>
                <w:szCs w:val="21"/>
              </w:rPr>
              <w:t>名监护人，每个监护人监护患者人数不超过</w:t>
            </w:r>
            <w:r>
              <w:rPr>
                <w:rFonts w:ascii="宋体" w:hAnsi="宋体" w:cs="宋体"/>
                <w:sz w:val="21"/>
                <w:szCs w:val="21"/>
              </w:rPr>
              <w:t>5</w:t>
            </w:r>
            <w:r>
              <w:rPr>
                <w:rFonts w:hint="eastAsia" w:ascii="宋体" w:hAnsi="宋体" w:cs="宋体"/>
                <w:sz w:val="21"/>
                <w:szCs w:val="21"/>
              </w:rPr>
              <w:t>名，发放数额按监护人实际履行职责的月数计算。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10" w:type="dxa"/>
            <w:vMerge w:val="continue"/>
            <w:vAlign w:val="center"/>
          </w:tcPr>
          <w:p>
            <w:pPr>
              <w:spacing w:line="360" w:lineRule="exact"/>
              <w:jc w:val="center"/>
              <w:rPr>
                <w:rFonts w:ascii="宋体" w:cs="宋体"/>
                <w:sz w:val="21"/>
                <w:szCs w:val="21"/>
              </w:rPr>
            </w:pPr>
          </w:p>
        </w:tc>
        <w:tc>
          <w:tcPr>
            <w:tcW w:w="720" w:type="dxa"/>
            <w:vMerge w:val="continue"/>
            <w:vAlign w:val="center"/>
          </w:tcPr>
          <w:p>
            <w:pPr>
              <w:spacing w:line="360" w:lineRule="exact"/>
              <w:jc w:val="center"/>
              <w:rPr>
                <w:rFonts w:ascii="宋体" w:cs="宋体"/>
                <w:sz w:val="21"/>
                <w:szCs w:val="21"/>
              </w:rPr>
            </w:pPr>
          </w:p>
        </w:tc>
        <w:tc>
          <w:tcPr>
            <w:tcW w:w="1260" w:type="dxa"/>
            <w:vAlign w:val="center"/>
          </w:tcPr>
          <w:p>
            <w:pPr>
              <w:spacing w:line="360" w:lineRule="exact"/>
              <w:jc w:val="center"/>
              <w:rPr>
                <w:rFonts w:ascii="宋体" w:cs="宋体"/>
                <w:sz w:val="21"/>
                <w:szCs w:val="21"/>
              </w:rPr>
            </w:pPr>
            <w:r>
              <w:rPr>
                <w:rFonts w:hint="eastAsia" w:ascii="宋体" w:hAnsi="宋体" w:cs="宋体"/>
                <w:sz w:val="21"/>
                <w:szCs w:val="21"/>
              </w:rPr>
              <w:t>质量指标</w:t>
            </w:r>
          </w:p>
        </w:tc>
        <w:tc>
          <w:tcPr>
            <w:tcW w:w="3900" w:type="dxa"/>
            <w:gridSpan w:val="5"/>
          </w:tcPr>
          <w:p>
            <w:pPr>
              <w:spacing w:line="360" w:lineRule="exact"/>
              <w:rPr>
                <w:rFonts w:ascii="宋体" w:cs="宋体"/>
                <w:sz w:val="21"/>
                <w:szCs w:val="21"/>
              </w:rPr>
            </w:pPr>
            <w:r>
              <w:rPr>
                <w:rFonts w:hint="eastAsia" w:ascii="宋体" w:hAnsi="宋体" w:cs="宋体"/>
                <w:sz w:val="21"/>
                <w:szCs w:val="21"/>
              </w:rPr>
              <w:t>监护人照料、看管被监护人日常生活，不得虐待、遗弃被监护人，防止被监护人失踪或下落不明、流浪乞讨、肇事肇祸。</w:t>
            </w:r>
          </w:p>
        </w:tc>
        <w:tc>
          <w:tcPr>
            <w:tcW w:w="1217" w:type="dxa"/>
          </w:tcPr>
          <w:p>
            <w:pPr>
              <w:spacing w:line="360" w:lineRule="exact"/>
              <w:rPr>
                <w:rFonts w:ascii="宋体" w:cs="宋体"/>
                <w:sz w:val="21"/>
                <w:szCs w:val="21"/>
              </w:rPr>
            </w:pPr>
            <w:r>
              <w:rPr>
                <w:rFonts w:hint="eastAsia" w:ascii="宋体" w:hAnsi="宋体" w:cs="宋体"/>
                <w:sz w:val="21"/>
                <w:szCs w:val="21"/>
              </w:rPr>
              <w:t>尽可能减少肇事肇祸发生。</w:t>
            </w:r>
          </w:p>
        </w:tc>
        <w:tc>
          <w:tcPr>
            <w:tcW w:w="1617" w:type="dxa"/>
          </w:tcPr>
          <w:p>
            <w:pPr>
              <w:spacing w:line="360" w:lineRule="exact"/>
              <w:jc w:val="center"/>
              <w:rPr>
                <w:rFonts w:asci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10" w:type="dxa"/>
            <w:vMerge w:val="continue"/>
            <w:vAlign w:val="center"/>
          </w:tcPr>
          <w:p>
            <w:pPr>
              <w:spacing w:line="360" w:lineRule="exact"/>
              <w:jc w:val="center"/>
              <w:rPr>
                <w:rFonts w:ascii="宋体" w:cs="宋体"/>
                <w:sz w:val="21"/>
                <w:szCs w:val="21"/>
              </w:rPr>
            </w:pPr>
          </w:p>
        </w:tc>
        <w:tc>
          <w:tcPr>
            <w:tcW w:w="720" w:type="dxa"/>
            <w:vMerge w:val="continue"/>
            <w:vAlign w:val="center"/>
          </w:tcPr>
          <w:p>
            <w:pPr>
              <w:spacing w:line="360" w:lineRule="exact"/>
              <w:jc w:val="center"/>
              <w:rPr>
                <w:rFonts w:ascii="宋体" w:cs="宋体"/>
                <w:sz w:val="21"/>
                <w:szCs w:val="21"/>
              </w:rPr>
            </w:pPr>
          </w:p>
        </w:tc>
        <w:tc>
          <w:tcPr>
            <w:tcW w:w="1260" w:type="dxa"/>
            <w:vAlign w:val="center"/>
          </w:tcPr>
          <w:p>
            <w:pPr>
              <w:spacing w:line="360" w:lineRule="exact"/>
              <w:jc w:val="center"/>
              <w:rPr>
                <w:rFonts w:ascii="宋体" w:cs="宋体"/>
                <w:sz w:val="21"/>
                <w:szCs w:val="21"/>
              </w:rPr>
            </w:pPr>
            <w:r>
              <w:rPr>
                <w:rFonts w:hint="eastAsia" w:ascii="宋体" w:hAnsi="宋体" w:cs="宋体"/>
                <w:sz w:val="21"/>
                <w:szCs w:val="21"/>
              </w:rPr>
              <w:t>时效指标</w:t>
            </w:r>
          </w:p>
        </w:tc>
        <w:tc>
          <w:tcPr>
            <w:tcW w:w="3900" w:type="dxa"/>
            <w:gridSpan w:val="5"/>
            <w:vAlign w:val="center"/>
          </w:tcPr>
          <w:p>
            <w:pPr>
              <w:spacing w:line="360" w:lineRule="exact"/>
              <w:rPr>
                <w:rFonts w:ascii="宋体" w:cs="宋体"/>
                <w:sz w:val="21"/>
                <w:szCs w:val="21"/>
              </w:rPr>
            </w:pPr>
            <w:r>
              <w:rPr>
                <w:rFonts w:hint="eastAsia" w:ascii="宋体" w:hAnsi="宋体" w:cs="宋体"/>
                <w:sz w:val="21"/>
                <w:szCs w:val="21"/>
              </w:rPr>
              <w:t>每年底由村（居）委会组织监护人领取，由乡镇统一发放。</w:t>
            </w:r>
          </w:p>
        </w:tc>
        <w:tc>
          <w:tcPr>
            <w:tcW w:w="1217" w:type="dxa"/>
          </w:tcPr>
          <w:p>
            <w:pPr>
              <w:spacing w:line="360" w:lineRule="exact"/>
              <w:rPr>
                <w:rFonts w:ascii="宋体" w:cs="宋体"/>
                <w:sz w:val="21"/>
                <w:szCs w:val="21"/>
              </w:rPr>
            </w:pPr>
            <w:r>
              <w:rPr>
                <w:rFonts w:hint="eastAsia" w:ascii="宋体" w:hAnsi="宋体" w:cs="宋体"/>
                <w:kern w:val="0"/>
                <w:sz w:val="21"/>
                <w:szCs w:val="21"/>
              </w:rPr>
              <w:t>年底前</w:t>
            </w:r>
            <w:r>
              <w:rPr>
                <w:rFonts w:hint="eastAsia" w:ascii="宋体" w:hAnsi="宋体" w:cs="宋体"/>
                <w:sz w:val="21"/>
                <w:szCs w:val="21"/>
              </w:rPr>
              <w:t>据实</w:t>
            </w:r>
            <w:r>
              <w:rPr>
                <w:rFonts w:hint="eastAsia" w:ascii="宋体" w:hAnsi="宋体" w:cs="宋体"/>
                <w:kern w:val="0"/>
                <w:sz w:val="21"/>
                <w:szCs w:val="21"/>
              </w:rPr>
              <w:t>拨付到位</w:t>
            </w:r>
          </w:p>
        </w:tc>
        <w:tc>
          <w:tcPr>
            <w:tcW w:w="1617" w:type="dxa"/>
          </w:tcPr>
          <w:p>
            <w:pPr>
              <w:spacing w:line="360" w:lineRule="exact"/>
              <w:jc w:val="center"/>
              <w:rPr>
                <w:rFonts w:asci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6" w:hRule="atLeast"/>
        </w:trPr>
        <w:tc>
          <w:tcPr>
            <w:tcW w:w="1110" w:type="dxa"/>
            <w:vMerge w:val="continue"/>
            <w:vAlign w:val="center"/>
          </w:tcPr>
          <w:p>
            <w:pPr>
              <w:spacing w:line="360" w:lineRule="exact"/>
              <w:jc w:val="center"/>
              <w:rPr>
                <w:rFonts w:ascii="宋体" w:cs="宋体"/>
                <w:sz w:val="21"/>
                <w:szCs w:val="21"/>
              </w:rPr>
            </w:pPr>
          </w:p>
        </w:tc>
        <w:tc>
          <w:tcPr>
            <w:tcW w:w="720" w:type="dxa"/>
            <w:vMerge w:val="continue"/>
            <w:vAlign w:val="center"/>
          </w:tcPr>
          <w:p>
            <w:pPr>
              <w:spacing w:line="360" w:lineRule="exact"/>
              <w:jc w:val="center"/>
              <w:rPr>
                <w:rFonts w:ascii="宋体" w:cs="宋体"/>
                <w:sz w:val="21"/>
                <w:szCs w:val="21"/>
              </w:rPr>
            </w:pPr>
          </w:p>
        </w:tc>
        <w:tc>
          <w:tcPr>
            <w:tcW w:w="1260" w:type="dxa"/>
            <w:vAlign w:val="center"/>
          </w:tcPr>
          <w:p>
            <w:pPr>
              <w:spacing w:line="360" w:lineRule="exact"/>
              <w:jc w:val="center"/>
              <w:rPr>
                <w:rFonts w:ascii="宋体" w:cs="宋体"/>
                <w:sz w:val="21"/>
                <w:szCs w:val="21"/>
              </w:rPr>
            </w:pPr>
            <w:r>
              <w:rPr>
                <w:rFonts w:hint="eastAsia" w:ascii="宋体" w:hAnsi="宋体" w:cs="宋体"/>
                <w:sz w:val="21"/>
                <w:szCs w:val="21"/>
              </w:rPr>
              <w:t>成本指标</w:t>
            </w:r>
          </w:p>
        </w:tc>
        <w:tc>
          <w:tcPr>
            <w:tcW w:w="3900" w:type="dxa"/>
            <w:gridSpan w:val="5"/>
          </w:tcPr>
          <w:p>
            <w:pPr>
              <w:spacing w:line="360" w:lineRule="exact"/>
              <w:jc w:val="center"/>
              <w:rPr>
                <w:rFonts w:ascii="宋体" w:cs="宋体"/>
                <w:sz w:val="21"/>
                <w:szCs w:val="21"/>
              </w:rPr>
            </w:pPr>
            <w:r>
              <w:rPr>
                <w:rFonts w:hint="eastAsia" w:ascii="宋体" w:hAnsi="宋体" w:cs="宋体"/>
                <w:sz w:val="21"/>
                <w:szCs w:val="21"/>
              </w:rPr>
              <w:t>看护管理补贴按月考核、年度结算，</w:t>
            </w:r>
          </w:p>
          <w:p>
            <w:pPr>
              <w:spacing w:line="360" w:lineRule="exact"/>
              <w:jc w:val="center"/>
              <w:rPr>
                <w:rFonts w:ascii="宋体" w:cs="宋体"/>
                <w:sz w:val="21"/>
                <w:szCs w:val="21"/>
              </w:rPr>
            </w:pPr>
            <w:r>
              <w:rPr>
                <w:rFonts w:ascii="宋体" w:hAnsi="宋体" w:cs="宋体"/>
                <w:sz w:val="21"/>
                <w:szCs w:val="21"/>
              </w:rPr>
              <w:t>300</w:t>
            </w:r>
            <w:r>
              <w:rPr>
                <w:rFonts w:hint="eastAsia" w:ascii="宋体" w:hAnsi="宋体" w:cs="宋体"/>
                <w:sz w:val="21"/>
                <w:szCs w:val="21"/>
              </w:rPr>
              <w:t>元</w:t>
            </w:r>
            <w:r>
              <w:rPr>
                <w:rFonts w:ascii="宋体" w:hAnsi="宋体" w:cs="宋体"/>
                <w:sz w:val="21"/>
                <w:szCs w:val="21"/>
              </w:rPr>
              <w:t>/</w:t>
            </w:r>
            <w:r>
              <w:rPr>
                <w:rFonts w:hint="eastAsia" w:ascii="宋体" w:hAnsi="宋体" w:cs="宋体"/>
                <w:sz w:val="21"/>
                <w:szCs w:val="21"/>
              </w:rPr>
              <w:t>人</w:t>
            </w:r>
            <w:r>
              <w:rPr>
                <w:rFonts w:ascii="宋体" w:hAnsi="宋体" w:cs="宋体"/>
                <w:sz w:val="21"/>
                <w:szCs w:val="21"/>
              </w:rPr>
              <w:t>/</w:t>
            </w:r>
            <w:r>
              <w:rPr>
                <w:rFonts w:hint="eastAsia" w:ascii="宋体" w:hAnsi="宋体" w:cs="宋体"/>
                <w:sz w:val="21"/>
                <w:szCs w:val="21"/>
              </w:rPr>
              <w:t>年。</w:t>
            </w:r>
          </w:p>
        </w:tc>
        <w:tc>
          <w:tcPr>
            <w:tcW w:w="1217" w:type="dxa"/>
          </w:tcPr>
          <w:p>
            <w:pPr>
              <w:spacing w:line="360" w:lineRule="exact"/>
              <w:rPr>
                <w:rFonts w:ascii="宋体" w:cs="宋体"/>
                <w:sz w:val="21"/>
                <w:szCs w:val="21"/>
              </w:rPr>
            </w:pPr>
            <w:r>
              <w:rPr>
                <w:rFonts w:hint="eastAsia" w:ascii="宋体" w:hAnsi="宋体" w:cs="宋体"/>
                <w:sz w:val="21"/>
                <w:szCs w:val="21"/>
              </w:rPr>
              <w:t>不超年初预算</w:t>
            </w:r>
            <w:r>
              <w:rPr>
                <w:rFonts w:ascii="宋体" w:hAnsi="宋体" w:cs="宋体"/>
                <w:sz w:val="21"/>
                <w:szCs w:val="21"/>
              </w:rPr>
              <w:t>77</w:t>
            </w:r>
            <w:r>
              <w:rPr>
                <w:rFonts w:hint="eastAsia" w:ascii="宋体" w:hAnsi="宋体" w:cs="宋体"/>
                <w:sz w:val="21"/>
                <w:szCs w:val="21"/>
              </w:rPr>
              <w:t>万</w:t>
            </w:r>
          </w:p>
        </w:tc>
        <w:tc>
          <w:tcPr>
            <w:tcW w:w="1617" w:type="dxa"/>
          </w:tcPr>
          <w:p>
            <w:pPr>
              <w:spacing w:line="360" w:lineRule="exact"/>
              <w:jc w:val="center"/>
              <w:rPr>
                <w:rFonts w:asci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10" w:type="dxa"/>
            <w:vMerge w:val="continue"/>
            <w:vAlign w:val="center"/>
          </w:tcPr>
          <w:p>
            <w:pPr>
              <w:spacing w:line="360" w:lineRule="exact"/>
              <w:jc w:val="center"/>
              <w:rPr>
                <w:rFonts w:ascii="宋体" w:cs="宋体"/>
                <w:sz w:val="21"/>
                <w:szCs w:val="21"/>
              </w:rPr>
            </w:pPr>
          </w:p>
        </w:tc>
        <w:tc>
          <w:tcPr>
            <w:tcW w:w="720" w:type="dxa"/>
            <w:vMerge w:val="restart"/>
            <w:vAlign w:val="center"/>
          </w:tcPr>
          <w:p>
            <w:pPr>
              <w:spacing w:line="360" w:lineRule="exact"/>
              <w:rPr>
                <w:rFonts w:ascii="宋体" w:cs="宋体"/>
                <w:sz w:val="21"/>
                <w:szCs w:val="21"/>
              </w:rPr>
            </w:pPr>
            <w:r>
              <w:rPr>
                <w:rFonts w:hint="eastAsia" w:ascii="宋体" w:hAnsi="宋体" w:cs="宋体"/>
                <w:sz w:val="21"/>
                <w:szCs w:val="21"/>
              </w:rPr>
              <w:t>效益指标</w:t>
            </w:r>
          </w:p>
        </w:tc>
        <w:tc>
          <w:tcPr>
            <w:tcW w:w="1260" w:type="dxa"/>
            <w:vAlign w:val="center"/>
          </w:tcPr>
          <w:p>
            <w:pPr>
              <w:spacing w:line="360" w:lineRule="exact"/>
              <w:jc w:val="center"/>
              <w:rPr>
                <w:rFonts w:ascii="宋体" w:cs="宋体"/>
                <w:sz w:val="21"/>
                <w:szCs w:val="21"/>
              </w:rPr>
            </w:pPr>
            <w:r>
              <w:rPr>
                <w:rFonts w:hint="eastAsia" w:ascii="宋体" w:hAnsi="宋体" w:cs="宋体"/>
                <w:sz w:val="21"/>
                <w:szCs w:val="21"/>
              </w:rPr>
              <w:t>社会效益指标</w:t>
            </w:r>
          </w:p>
        </w:tc>
        <w:tc>
          <w:tcPr>
            <w:tcW w:w="3900" w:type="dxa"/>
            <w:gridSpan w:val="5"/>
          </w:tcPr>
          <w:p>
            <w:pPr>
              <w:spacing w:line="360" w:lineRule="exact"/>
              <w:rPr>
                <w:rFonts w:ascii="宋体" w:cs="宋体"/>
                <w:sz w:val="21"/>
                <w:szCs w:val="21"/>
              </w:rPr>
            </w:pPr>
            <w:r>
              <w:rPr>
                <w:rFonts w:hint="eastAsia" w:ascii="宋体" w:hAnsi="宋体" w:cs="宋体"/>
                <w:sz w:val="21"/>
                <w:szCs w:val="21"/>
              </w:rPr>
              <w:t>坚持“政府主导、部门协作、家庭履行义务、全社会参与”原则，建立健全全县精神卫生发展体制机制，有机整合现有政策及各方资源，加强管理治疗，完善防治服务网络，督促激励监护人落实患者监护责任等措施。</w:t>
            </w:r>
          </w:p>
        </w:tc>
        <w:tc>
          <w:tcPr>
            <w:tcW w:w="1217" w:type="dxa"/>
          </w:tcPr>
          <w:p>
            <w:pPr>
              <w:spacing w:line="360" w:lineRule="exact"/>
              <w:rPr>
                <w:rFonts w:ascii="宋体" w:cs="宋体"/>
                <w:sz w:val="21"/>
                <w:szCs w:val="21"/>
              </w:rPr>
            </w:pPr>
            <w:r>
              <w:rPr>
                <w:rFonts w:hint="eastAsia" w:ascii="宋体" w:hAnsi="宋体" w:cs="宋体"/>
                <w:sz w:val="21"/>
                <w:szCs w:val="21"/>
              </w:rPr>
              <w:t>全面深入推进全县精神卫生工作</w:t>
            </w:r>
          </w:p>
        </w:tc>
        <w:tc>
          <w:tcPr>
            <w:tcW w:w="1617" w:type="dxa"/>
          </w:tcPr>
          <w:p>
            <w:pPr>
              <w:spacing w:line="360" w:lineRule="exact"/>
              <w:rPr>
                <w:rFonts w:asci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5" w:hRule="atLeast"/>
        </w:trPr>
        <w:tc>
          <w:tcPr>
            <w:tcW w:w="1110" w:type="dxa"/>
            <w:vMerge w:val="continue"/>
            <w:vAlign w:val="center"/>
          </w:tcPr>
          <w:p>
            <w:pPr>
              <w:spacing w:line="360" w:lineRule="exact"/>
              <w:jc w:val="center"/>
              <w:rPr>
                <w:rFonts w:ascii="宋体" w:cs="宋体"/>
                <w:sz w:val="21"/>
                <w:szCs w:val="21"/>
              </w:rPr>
            </w:pPr>
          </w:p>
        </w:tc>
        <w:tc>
          <w:tcPr>
            <w:tcW w:w="720" w:type="dxa"/>
            <w:vMerge w:val="continue"/>
            <w:vAlign w:val="center"/>
          </w:tcPr>
          <w:p>
            <w:pPr>
              <w:spacing w:line="360" w:lineRule="exact"/>
              <w:rPr>
                <w:rFonts w:ascii="宋体" w:cs="宋体"/>
                <w:sz w:val="21"/>
                <w:szCs w:val="21"/>
              </w:rPr>
            </w:pPr>
          </w:p>
        </w:tc>
        <w:tc>
          <w:tcPr>
            <w:tcW w:w="1260" w:type="dxa"/>
            <w:vAlign w:val="center"/>
          </w:tcPr>
          <w:p>
            <w:pPr>
              <w:spacing w:line="360" w:lineRule="exact"/>
              <w:jc w:val="center"/>
              <w:rPr>
                <w:rFonts w:ascii="宋体" w:cs="宋体"/>
                <w:sz w:val="21"/>
                <w:szCs w:val="21"/>
              </w:rPr>
            </w:pPr>
            <w:r>
              <w:rPr>
                <w:rFonts w:hint="eastAsia" w:ascii="宋体" w:hAnsi="宋体" w:cs="宋体"/>
                <w:sz w:val="21"/>
                <w:szCs w:val="21"/>
              </w:rPr>
              <w:t>社会公众或服务满意度指标</w:t>
            </w:r>
          </w:p>
        </w:tc>
        <w:tc>
          <w:tcPr>
            <w:tcW w:w="3900" w:type="dxa"/>
            <w:gridSpan w:val="5"/>
          </w:tcPr>
          <w:p>
            <w:pPr>
              <w:spacing w:line="360" w:lineRule="exact"/>
              <w:rPr>
                <w:rFonts w:ascii="宋体" w:cs="宋体"/>
                <w:sz w:val="21"/>
                <w:szCs w:val="21"/>
              </w:rPr>
            </w:pPr>
            <w:r>
              <w:rPr>
                <w:rFonts w:hint="eastAsia" w:ascii="宋体" w:hAnsi="宋体" w:cs="宋体"/>
                <w:sz w:val="21"/>
                <w:szCs w:val="21"/>
              </w:rPr>
              <w:t>群众满意度</w:t>
            </w:r>
          </w:p>
        </w:tc>
        <w:tc>
          <w:tcPr>
            <w:tcW w:w="1217" w:type="dxa"/>
          </w:tcPr>
          <w:p>
            <w:pPr>
              <w:spacing w:line="360" w:lineRule="exact"/>
              <w:rPr>
                <w:rFonts w:ascii="宋体" w:cs="宋体"/>
                <w:sz w:val="21"/>
                <w:szCs w:val="21"/>
              </w:rPr>
            </w:pPr>
            <w:r>
              <w:rPr>
                <w:rFonts w:hint="eastAsia" w:ascii="宋体" w:hAnsi="宋体" w:cs="宋体"/>
                <w:sz w:val="21"/>
                <w:szCs w:val="21"/>
              </w:rPr>
              <w:t>满意度</w:t>
            </w:r>
            <w:r>
              <w:rPr>
                <w:rFonts w:ascii="宋体" w:hAnsi="宋体" w:cs="宋体"/>
                <w:sz w:val="21"/>
                <w:szCs w:val="21"/>
              </w:rPr>
              <w:t>90%</w:t>
            </w:r>
            <w:r>
              <w:rPr>
                <w:rFonts w:hint="eastAsia" w:ascii="宋体" w:hAnsi="宋体" w:cs="宋体"/>
                <w:sz w:val="21"/>
                <w:szCs w:val="21"/>
              </w:rPr>
              <w:t>及以上</w:t>
            </w:r>
          </w:p>
        </w:tc>
        <w:tc>
          <w:tcPr>
            <w:tcW w:w="1617" w:type="dxa"/>
          </w:tcPr>
          <w:p>
            <w:pPr>
              <w:spacing w:line="360" w:lineRule="exact"/>
              <w:rPr>
                <w:rFonts w:asci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10" w:type="dxa"/>
            <w:vAlign w:val="center"/>
          </w:tcPr>
          <w:p>
            <w:pPr>
              <w:spacing w:line="360" w:lineRule="exact"/>
              <w:jc w:val="center"/>
              <w:rPr>
                <w:rFonts w:ascii="宋体" w:cs="宋体"/>
                <w:sz w:val="21"/>
                <w:szCs w:val="21"/>
              </w:rPr>
            </w:pPr>
            <w:r>
              <w:rPr>
                <w:rFonts w:hint="eastAsia" w:ascii="宋体" w:hAnsi="宋体" w:cs="宋体"/>
                <w:sz w:val="21"/>
                <w:szCs w:val="21"/>
              </w:rPr>
              <w:t>专项实施保障措施</w:t>
            </w:r>
          </w:p>
        </w:tc>
        <w:tc>
          <w:tcPr>
            <w:tcW w:w="8714" w:type="dxa"/>
            <w:gridSpan w:val="9"/>
          </w:tcPr>
          <w:p>
            <w:pPr>
              <w:spacing w:line="320" w:lineRule="exact"/>
              <w:jc w:val="left"/>
              <w:rPr>
                <w:rFonts w:ascii="宋体" w:cs="宋体"/>
                <w:sz w:val="21"/>
                <w:szCs w:val="21"/>
              </w:rPr>
            </w:pPr>
            <w:r>
              <w:rPr>
                <w:rFonts w:hint="eastAsia" w:ascii="宋体" w:hAnsi="宋体" w:cs="宋体"/>
                <w:sz w:val="21"/>
                <w:szCs w:val="21"/>
              </w:rPr>
              <w:t>桃源县综治办、县卫计局、县公安局、县财政局、县民政局、县残联联合制定并下发了《桃源县严重精神障碍患者监护人申领看护管理补贴暂行办法》（桃综治办〔</w:t>
            </w:r>
            <w:r>
              <w:rPr>
                <w:rFonts w:ascii="宋体" w:hAnsi="宋体" w:cs="宋体"/>
                <w:sz w:val="21"/>
                <w:szCs w:val="21"/>
              </w:rPr>
              <w:t>2017</w:t>
            </w: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号）和《桃源县严重精神障碍患者监护人申领看护管理补贴暂行办法的实施细则》（桃综治办〔</w:t>
            </w:r>
            <w:r>
              <w:rPr>
                <w:rFonts w:ascii="宋体" w:hAnsi="宋体" w:cs="宋体"/>
                <w:sz w:val="21"/>
                <w:szCs w:val="21"/>
              </w:rPr>
              <w:t>2017</w:t>
            </w: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号）保障该项目的实施。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9" w:hRule="atLeast"/>
        </w:trPr>
        <w:tc>
          <w:tcPr>
            <w:tcW w:w="1110" w:type="dxa"/>
            <w:vAlign w:val="center"/>
          </w:tcPr>
          <w:p>
            <w:pPr>
              <w:spacing w:line="360" w:lineRule="exact"/>
              <w:jc w:val="center"/>
              <w:rPr>
                <w:rFonts w:ascii="宋体" w:cs="宋体"/>
                <w:sz w:val="21"/>
                <w:szCs w:val="21"/>
              </w:rPr>
            </w:pPr>
            <w:r>
              <w:rPr>
                <w:rFonts w:hint="eastAsia" w:ascii="宋体" w:hAnsi="宋体" w:cs="宋体"/>
                <w:sz w:val="21"/>
                <w:szCs w:val="21"/>
              </w:rPr>
              <w:t>财政部门审核意见</w:t>
            </w:r>
          </w:p>
        </w:tc>
        <w:tc>
          <w:tcPr>
            <w:tcW w:w="8714" w:type="dxa"/>
            <w:gridSpan w:val="9"/>
          </w:tcPr>
          <w:p>
            <w:pPr>
              <w:spacing w:line="360" w:lineRule="exact"/>
              <w:ind w:firstLine="315" w:firstLineChars="150"/>
              <w:jc w:val="right"/>
              <w:rPr>
                <w:rFonts w:ascii="宋体" w:cs="宋体"/>
                <w:sz w:val="21"/>
                <w:szCs w:val="21"/>
              </w:rPr>
            </w:pPr>
          </w:p>
          <w:p>
            <w:pPr>
              <w:spacing w:line="360" w:lineRule="exact"/>
              <w:ind w:firstLine="315" w:firstLineChars="150"/>
              <w:jc w:val="center"/>
              <w:rPr>
                <w:rFonts w:ascii="宋体" w:cs="宋体"/>
                <w:sz w:val="21"/>
                <w:szCs w:val="21"/>
              </w:rPr>
            </w:pPr>
            <w:r>
              <w:rPr>
                <w:rFonts w:hint="eastAsia" w:ascii="宋体" w:hAnsi="宋体" w:cs="宋体"/>
                <w:sz w:val="21"/>
                <w:szCs w:val="21"/>
              </w:rPr>
              <w:t>（盖章）</w:t>
            </w:r>
          </w:p>
          <w:p>
            <w:pPr>
              <w:spacing w:line="360" w:lineRule="exact"/>
              <w:ind w:firstLine="105" w:firstLineChars="50"/>
              <w:jc w:val="center"/>
              <w:rPr>
                <w:rFonts w:ascii="宋体" w:cs="宋体"/>
                <w:sz w:val="21"/>
                <w:szCs w:val="21"/>
              </w:rPr>
            </w:pPr>
            <w:r>
              <w:rPr>
                <w:rFonts w:hint="eastAsia" w:ascii="宋体" w:hAnsi="宋体" w:cs="宋体"/>
                <w:sz w:val="21"/>
                <w:szCs w:val="21"/>
              </w:rPr>
              <w:t>年月日</w:t>
            </w:r>
          </w:p>
        </w:tc>
      </w:tr>
    </w:tbl>
    <w:p>
      <w:pPr>
        <w:jc w:val="left"/>
      </w:pPr>
    </w:p>
    <w:p>
      <w:pPr>
        <w:spacing w:line="440" w:lineRule="exact"/>
        <w:jc w:val="left"/>
        <w:rPr>
          <w:rFonts w:ascii="宋体" w:cs="宋体"/>
          <w:sz w:val="21"/>
          <w:szCs w:val="21"/>
        </w:rPr>
      </w:pPr>
      <w:r>
        <w:rPr>
          <w:rFonts w:hint="eastAsia" w:ascii="宋体" w:hAnsi="宋体" w:cs="宋体"/>
          <w:sz w:val="21"/>
          <w:szCs w:val="21"/>
        </w:rPr>
        <w:t>填报人：刘祺</w:t>
      </w:r>
      <w:r>
        <w:rPr>
          <w:rFonts w:ascii="宋体" w:hAnsi="宋体" w:cs="宋体"/>
          <w:sz w:val="21"/>
          <w:szCs w:val="21"/>
        </w:rPr>
        <w:t xml:space="preserve">                  </w:t>
      </w:r>
      <w:r>
        <w:rPr>
          <w:rFonts w:hint="eastAsia" w:ascii="宋体" w:hAnsi="宋体" w:cs="宋体"/>
          <w:sz w:val="21"/>
          <w:szCs w:val="21"/>
        </w:rPr>
        <w:t>联系电话：</w:t>
      </w:r>
      <w:r>
        <w:rPr>
          <w:rFonts w:ascii="宋体" w:hAnsi="宋体" w:cs="宋体"/>
          <w:sz w:val="21"/>
          <w:szCs w:val="21"/>
        </w:rPr>
        <w:t xml:space="preserve">6663686           </w:t>
      </w:r>
      <w:r>
        <w:rPr>
          <w:rFonts w:hint="eastAsia" w:ascii="宋体" w:hAnsi="宋体" w:cs="宋体"/>
          <w:sz w:val="21"/>
          <w:szCs w:val="21"/>
        </w:rPr>
        <w:t>填报日期：</w:t>
      </w:r>
      <w:r>
        <w:rPr>
          <w:rFonts w:ascii="宋体" w:hAnsi="宋体" w:cs="宋体"/>
          <w:sz w:val="21"/>
          <w:szCs w:val="21"/>
        </w:rPr>
        <w:t>201</w:t>
      </w:r>
      <w:r>
        <w:rPr>
          <w:rFonts w:hint="eastAsia" w:ascii="宋体" w:hAnsi="宋体" w:cs="宋体"/>
          <w:sz w:val="21"/>
          <w:szCs w:val="21"/>
          <w:lang w:val="en-US" w:eastAsia="zh-CN"/>
        </w:rPr>
        <w:t>9</w:t>
      </w:r>
      <w:bookmarkStart w:id="0" w:name="_GoBack"/>
      <w:bookmarkEnd w:id="0"/>
      <w:r>
        <w:rPr>
          <w:rFonts w:ascii="宋体" w:hAnsi="宋体" w:cs="宋体"/>
          <w:sz w:val="21"/>
          <w:szCs w:val="21"/>
        </w:rPr>
        <w:t>.3.24</w:t>
      </w:r>
    </w:p>
    <w:p>
      <w:pPr>
        <w:spacing w:line="440" w:lineRule="exact"/>
        <w:jc w:val="left"/>
        <w:rPr>
          <w:rFonts w:ascii="宋体" w:cs="宋体"/>
          <w:sz w:val="21"/>
          <w:szCs w:val="21"/>
        </w:rPr>
      </w:pPr>
    </w:p>
    <w:p>
      <w:pPr>
        <w:spacing w:line="440" w:lineRule="exact"/>
        <w:jc w:val="left"/>
        <w:rPr>
          <w:rFonts w:ascii="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158C"/>
    <w:rsid w:val="00052B67"/>
    <w:rsid w:val="00067D9E"/>
    <w:rsid w:val="000935ED"/>
    <w:rsid w:val="000B5A45"/>
    <w:rsid w:val="00115650"/>
    <w:rsid w:val="00175E1D"/>
    <w:rsid w:val="0018699B"/>
    <w:rsid w:val="001B679D"/>
    <w:rsid w:val="002200DC"/>
    <w:rsid w:val="00271C6E"/>
    <w:rsid w:val="003871A5"/>
    <w:rsid w:val="003A0542"/>
    <w:rsid w:val="003C529F"/>
    <w:rsid w:val="003D3524"/>
    <w:rsid w:val="003F11AC"/>
    <w:rsid w:val="003F3011"/>
    <w:rsid w:val="00403E9D"/>
    <w:rsid w:val="00410C01"/>
    <w:rsid w:val="004177E8"/>
    <w:rsid w:val="0043615C"/>
    <w:rsid w:val="00445DCD"/>
    <w:rsid w:val="004467C2"/>
    <w:rsid w:val="004B2713"/>
    <w:rsid w:val="004F1BF2"/>
    <w:rsid w:val="0052204A"/>
    <w:rsid w:val="00570A97"/>
    <w:rsid w:val="005A085E"/>
    <w:rsid w:val="005B3BBF"/>
    <w:rsid w:val="005B5DD3"/>
    <w:rsid w:val="005D07AE"/>
    <w:rsid w:val="005F5FE7"/>
    <w:rsid w:val="00610E41"/>
    <w:rsid w:val="00655E8A"/>
    <w:rsid w:val="006C2713"/>
    <w:rsid w:val="006C6816"/>
    <w:rsid w:val="00703B93"/>
    <w:rsid w:val="00780A7B"/>
    <w:rsid w:val="007872C1"/>
    <w:rsid w:val="007C69FE"/>
    <w:rsid w:val="008134C1"/>
    <w:rsid w:val="0083033D"/>
    <w:rsid w:val="00973F31"/>
    <w:rsid w:val="0097540B"/>
    <w:rsid w:val="009853D6"/>
    <w:rsid w:val="0099344A"/>
    <w:rsid w:val="009935A5"/>
    <w:rsid w:val="00993F25"/>
    <w:rsid w:val="00A34277"/>
    <w:rsid w:val="00A7158C"/>
    <w:rsid w:val="00A7191C"/>
    <w:rsid w:val="00AB367E"/>
    <w:rsid w:val="00AB4D5B"/>
    <w:rsid w:val="00AE2DD9"/>
    <w:rsid w:val="00AE68A0"/>
    <w:rsid w:val="00AF360A"/>
    <w:rsid w:val="00AF3972"/>
    <w:rsid w:val="00B12B07"/>
    <w:rsid w:val="00B662CC"/>
    <w:rsid w:val="00B741B6"/>
    <w:rsid w:val="00B8694D"/>
    <w:rsid w:val="00BD5229"/>
    <w:rsid w:val="00C276C9"/>
    <w:rsid w:val="00C65A87"/>
    <w:rsid w:val="00CA1803"/>
    <w:rsid w:val="00CE14D2"/>
    <w:rsid w:val="00D01377"/>
    <w:rsid w:val="00D40ADF"/>
    <w:rsid w:val="00D6320E"/>
    <w:rsid w:val="00D67E3B"/>
    <w:rsid w:val="00E27FB9"/>
    <w:rsid w:val="00EB77F5"/>
    <w:rsid w:val="00EC4417"/>
    <w:rsid w:val="00EF0916"/>
    <w:rsid w:val="00F13FE8"/>
    <w:rsid w:val="00F14A66"/>
    <w:rsid w:val="00F55C71"/>
    <w:rsid w:val="00F6003B"/>
    <w:rsid w:val="00FB1178"/>
    <w:rsid w:val="00FC2A6F"/>
    <w:rsid w:val="00FD632D"/>
    <w:rsid w:val="03052571"/>
    <w:rsid w:val="04D17EF7"/>
    <w:rsid w:val="0F9619F9"/>
    <w:rsid w:val="11B7250E"/>
    <w:rsid w:val="123829EF"/>
    <w:rsid w:val="27517AE8"/>
    <w:rsid w:val="292F3482"/>
    <w:rsid w:val="2FA8573B"/>
    <w:rsid w:val="392B072A"/>
    <w:rsid w:val="409E4B74"/>
    <w:rsid w:val="42836415"/>
    <w:rsid w:val="446D4159"/>
    <w:rsid w:val="4A22397A"/>
    <w:rsid w:val="56D73AF3"/>
    <w:rsid w:val="587618AA"/>
    <w:rsid w:val="596E1600"/>
    <w:rsid w:val="5A6C60F1"/>
    <w:rsid w:val="5F513860"/>
    <w:rsid w:val="5FDF78C9"/>
    <w:rsid w:val="60085EDD"/>
    <w:rsid w:val="64C40F55"/>
    <w:rsid w:val="6A823B7E"/>
    <w:rsid w:val="7289509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Cs/>
      <w:kern w:val="2"/>
      <w:sz w:val="24"/>
      <w:szCs w:val="30"/>
      <w:lang w:val="en-US" w:eastAsia="zh-CN" w:bidi="ar-SA"/>
    </w:rPr>
  </w:style>
  <w:style w:type="character" w:default="1" w:styleId="6">
    <w:name w:val="Default Paragraph Font"/>
    <w:semiHidden/>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7">
    <w:name w:val="Footer Char"/>
    <w:basedOn w:val="6"/>
    <w:link w:val="2"/>
    <w:semiHidden/>
    <w:qFormat/>
    <w:locked/>
    <w:uiPriority w:val="99"/>
    <w:rPr>
      <w:rFonts w:cs="Times New Roman"/>
      <w:sz w:val="18"/>
      <w:szCs w:val="18"/>
    </w:rPr>
  </w:style>
  <w:style w:type="character" w:customStyle="1" w:styleId="8">
    <w:name w:val="Head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211</Words>
  <Characters>1208</Characters>
  <Lines>0</Lines>
  <Paragraphs>0</Paragraphs>
  <TotalTime>7</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2015-08-20T02:45:00Z</dcterms:created>
  <dc:creator>Lenovo</dc:creator>
  <cp:lastModifiedBy>Administrator</cp:lastModifiedBy>
  <cp:lastPrinted>2017-03-23T05:27:00Z</cp:lastPrinted>
  <dcterms:modified xsi:type="dcterms:W3CDTF">2019-06-24T02:58:30Z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