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imes New Roman"/>
          <w:b/>
          <w:sz w:val="36"/>
          <w:szCs w:val="36"/>
        </w:rPr>
      </w:pPr>
      <w:r>
        <w:rPr>
          <w:rFonts w:hint="eastAsia" w:ascii="宋体" w:hAnsi="宋体" w:cs="宋体"/>
          <w:b/>
          <w:sz w:val="36"/>
          <w:szCs w:val="36"/>
        </w:rPr>
        <w:t>专项资金绩效目标申报表</w:t>
      </w:r>
    </w:p>
    <w:p>
      <w:pPr>
        <w:jc w:val="center"/>
        <w:rPr>
          <w:rFonts w:eastAsia="Times New Roman"/>
          <w:sz w:val="32"/>
          <w:szCs w:val="32"/>
        </w:rPr>
      </w:pPr>
      <w:r>
        <w:rPr>
          <w:rFonts w:hint="eastAsia" w:ascii="宋体" w:hAnsi="宋体" w:cs="宋体"/>
          <w:sz w:val="32"/>
          <w:szCs w:val="32"/>
        </w:rPr>
        <w:t>（</w:t>
      </w:r>
      <w:r>
        <w:rPr>
          <w:rFonts w:eastAsia="Times New Roman"/>
          <w:sz w:val="32"/>
          <w:szCs w:val="32"/>
        </w:rPr>
        <w:t>201</w:t>
      </w:r>
      <w:r>
        <w:rPr>
          <w:rFonts w:hint="eastAsia"/>
          <w:sz w:val="32"/>
          <w:szCs w:val="32"/>
          <w:lang w:val="en-US" w:eastAsia="zh-CN"/>
        </w:rPr>
        <w:t>9</w:t>
      </w:r>
      <w:r>
        <w:rPr>
          <w:rFonts w:hint="eastAsia" w:ascii="宋体" w:hAnsi="宋体" w:cs="宋体"/>
          <w:sz w:val="32"/>
          <w:szCs w:val="32"/>
        </w:rPr>
        <w:t>年度）</w:t>
      </w:r>
      <w:r>
        <w:rPr>
          <w:rFonts w:eastAsia="Times New Roman"/>
          <w:sz w:val="32"/>
          <w:szCs w:val="32"/>
        </w:rPr>
        <w:t xml:space="preserve"> </w:t>
      </w:r>
    </w:p>
    <w:p>
      <w:pPr>
        <w:jc w:val="left"/>
        <w:rPr>
          <w:rFonts w:eastAsia="Times New Roman"/>
          <w:sz w:val="21"/>
          <w:szCs w:val="21"/>
        </w:rPr>
      </w:pPr>
      <w:r>
        <w:rPr>
          <w:rFonts w:hint="eastAsia" w:ascii="宋体" w:hAnsi="宋体" w:cs="宋体"/>
          <w:sz w:val="21"/>
          <w:szCs w:val="21"/>
        </w:rPr>
        <w:t>填报单位：</w:t>
      </w:r>
      <w:r>
        <w:rPr>
          <w:rFonts w:hint="eastAsia" w:ascii="宋体" w:hAnsi="宋体" w:cs="宋体"/>
          <w:kern w:val="0"/>
          <w:sz w:val="21"/>
          <w:szCs w:val="21"/>
        </w:rPr>
        <w:t>桃源县卫生和计划生育局</w:t>
      </w:r>
    </w:p>
    <w:tbl>
      <w:tblPr>
        <w:tblStyle w:val="5"/>
        <w:tblpPr w:leftFromText="180" w:rightFromText="180" w:vertAnchor="text" w:horzAnchor="page" w:tblpX="1522" w:tblpY="99"/>
        <w:tblOverlap w:val="never"/>
        <w:tblW w:w="98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720"/>
        <w:gridCol w:w="1260"/>
        <w:gridCol w:w="1131"/>
        <w:gridCol w:w="324"/>
        <w:gridCol w:w="1785"/>
        <w:gridCol w:w="176"/>
        <w:gridCol w:w="675"/>
        <w:gridCol w:w="1834"/>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280" w:lineRule="exact"/>
              <w:jc w:val="center"/>
              <w:rPr>
                <w:rFonts w:ascii="宋体" w:cs="宋体"/>
                <w:sz w:val="21"/>
                <w:szCs w:val="21"/>
              </w:rPr>
            </w:pPr>
            <w:r>
              <w:rPr>
                <w:rFonts w:hint="eastAsia" w:ascii="宋体" w:hAnsi="宋体" w:cs="宋体"/>
                <w:sz w:val="21"/>
                <w:szCs w:val="21"/>
              </w:rPr>
              <w:t>专项名称</w:t>
            </w:r>
          </w:p>
        </w:tc>
        <w:tc>
          <w:tcPr>
            <w:tcW w:w="3435" w:type="dxa"/>
            <w:gridSpan w:val="4"/>
          </w:tcPr>
          <w:p>
            <w:pPr>
              <w:spacing w:line="280" w:lineRule="exact"/>
              <w:jc w:val="center"/>
              <w:rPr>
                <w:rFonts w:ascii="宋体" w:cs="宋体"/>
                <w:sz w:val="21"/>
                <w:szCs w:val="21"/>
              </w:rPr>
            </w:pPr>
            <w:r>
              <w:rPr>
                <w:rFonts w:hint="eastAsia" w:ascii="宋体" w:hAnsi="宋体" w:cs="宋体"/>
                <w:sz w:val="21"/>
                <w:szCs w:val="21"/>
              </w:rPr>
              <w:t>预防性体检专项经费</w:t>
            </w:r>
          </w:p>
        </w:tc>
        <w:tc>
          <w:tcPr>
            <w:tcW w:w="1785" w:type="dxa"/>
          </w:tcPr>
          <w:p>
            <w:pPr>
              <w:spacing w:line="280" w:lineRule="exact"/>
              <w:jc w:val="center"/>
              <w:rPr>
                <w:rFonts w:ascii="宋体" w:cs="宋体"/>
                <w:sz w:val="21"/>
                <w:szCs w:val="21"/>
              </w:rPr>
            </w:pPr>
            <w:r>
              <w:rPr>
                <w:rFonts w:hint="eastAsia" w:ascii="宋体" w:hAnsi="宋体" w:cs="宋体"/>
                <w:sz w:val="21"/>
                <w:szCs w:val="21"/>
              </w:rPr>
              <w:t>专项属性</w:t>
            </w:r>
          </w:p>
        </w:tc>
        <w:tc>
          <w:tcPr>
            <w:tcW w:w="3494" w:type="dxa"/>
            <w:gridSpan w:val="4"/>
          </w:tcPr>
          <w:p>
            <w:pPr>
              <w:spacing w:line="280" w:lineRule="exact"/>
              <w:ind w:firstLine="210" w:firstLineChars="100"/>
              <w:rPr>
                <w:rFonts w:ascii="宋体" w:cs="宋体"/>
                <w:sz w:val="21"/>
                <w:szCs w:val="21"/>
              </w:rPr>
            </w:pPr>
            <w:r>
              <w:rPr>
                <w:rFonts w:hint="eastAsia" w:ascii="宋体" w:hAnsi="宋体" w:cs="宋体"/>
                <w:sz w:val="21"/>
                <w:szCs w:val="21"/>
              </w:rPr>
              <w:t>延续专项</w:t>
            </w:r>
            <w:r>
              <w:rPr>
                <w:rFonts w:hint="eastAsia" w:ascii="宋体" w:hAnsi="宋体" w:cs="宋体"/>
                <w:color w:val="000000"/>
                <w:sz w:val="21"/>
                <w:szCs w:val="21"/>
              </w:rPr>
              <w:t>√</w:t>
            </w:r>
            <w:r>
              <w:rPr>
                <w:rFonts w:ascii="宋体" w:hAnsi="宋体" w:cs="宋体"/>
                <w:color w:val="000000"/>
                <w:sz w:val="21"/>
                <w:szCs w:val="21"/>
              </w:rPr>
              <w:t xml:space="preserve">     </w:t>
            </w:r>
            <w:r>
              <w:rPr>
                <w:rFonts w:hint="eastAsia" w:ascii="宋体" w:hAnsi="宋体" w:cs="宋体"/>
                <w:sz w:val="21"/>
                <w:szCs w:val="21"/>
              </w:rPr>
              <w:t>新增专项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280" w:lineRule="exact"/>
              <w:jc w:val="center"/>
              <w:rPr>
                <w:rFonts w:ascii="宋体" w:cs="宋体"/>
                <w:sz w:val="21"/>
                <w:szCs w:val="21"/>
              </w:rPr>
            </w:pPr>
            <w:r>
              <w:rPr>
                <w:rFonts w:hint="eastAsia" w:ascii="宋体" w:hAnsi="宋体" w:cs="宋体"/>
                <w:sz w:val="21"/>
                <w:szCs w:val="21"/>
              </w:rPr>
              <w:t>部门名称</w:t>
            </w:r>
          </w:p>
        </w:tc>
        <w:tc>
          <w:tcPr>
            <w:tcW w:w="3435" w:type="dxa"/>
            <w:gridSpan w:val="4"/>
          </w:tcPr>
          <w:p>
            <w:pPr>
              <w:spacing w:line="280" w:lineRule="exact"/>
              <w:jc w:val="center"/>
              <w:rPr>
                <w:rFonts w:ascii="宋体" w:cs="宋体"/>
                <w:sz w:val="21"/>
                <w:szCs w:val="21"/>
              </w:rPr>
            </w:pPr>
            <w:r>
              <w:rPr>
                <w:rFonts w:hint="eastAsia" w:ascii="宋体" w:hAnsi="宋体" w:cs="宋体"/>
                <w:sz w:val="21"/>
                <w:szCs w:val="21"/>
              </w:rPr>
              <w:t>桃源县卫生和计划生育局</w:t>
            </w:r>
          </w:p>
        </w:tc>
        <w:tc>
          <w:tcPr>
            <w:tcW w:w="1785" w:type="dxa"/>
          </w:tcPr>
          <w:p>
            <w:pPr>
              <w:spacing w:line="280" w:lineRule="exact"/>
              <w:jc w:val="center"/>
              <w:rPr>
                <w:rFonts w:ascii="宋体" w:cs="宋体"/>
                <w:sz w:val="21"/>
                <w:szCs w:val="21"/>
              </w:rPr>
            </w:pPr>
            <w:r>
              <w:rPr>
                <w:rFonts w:hint="eastAsia" w:ascii="宋体" w:hAnsi="宋体" w:cs="宋体"/>
                <w:sz w:val="21"/>
                <w:szCs w:val="21"/>
              </w:rPr>
              <w:t>资金总额（万元）</w:t>
            </w:r>
          </w:p>
        </w:tc>
        <w:tc>
          <w:tcPr>
            <w:tcW w:w="3494" w:type="dxa"/>
            <w:gridSpan w:val="4"/>
          </w:tcPr>
          <w:p>
            <w:pPr>
              <w:spacing w:line="280" w:lineRule="exact"/>
              <w:jc w:val="center"/>
              <w:rPr>
                <w:rFonts w:ascii="宋体" w:cs="宋体"/>
                <w:sz w:val="21"/>
                <w:szCs w:val="21"/>
              </w:rPr>
            </w:pPr>
            <w:r>
              <w:rPr>
                <w:rFonts w:ascii="宋体" w:hAnsi="宋体" w:cs="宋体"/>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trPr>
        <w:tc>
          <w:tcPr>
            <w:tcW w:w="1110" w:type="dxa"/>
          </w:tcPr>
          <w:p>
            <w:pPr>
              <w:spacing w:line="280" w:lineRule="exact"/>
              <w:jc w:val="center"/>
              <w:rPr>
                <w:rFonts w:ascii="宋体" w:cs="宋体"/>
                <w:sz w:val="21"/>
                <w:szCs w:val="21"/>
              </w:rPr>
            </w:pPr>
            <w:r>
              <w:rPr>
                <w:rFonts w:hint="eastAsia" w:ascii="宋体" w:hAnsi="宋体" w:cs="宋体"/>
                <w:sz w:val="21"/>
                <w:szCs w:val="21"/>
              </w:rPr>
              <w:t>部门相应职能职责概述</w:t>
            </w:r>
          </w:p>
        </w:tc>
        <w:tc>
          <w:tcPr>
            <w:tcW w:w="8714" w:type="dxa"/>
            <w:gridSpan w:val="9"/>
          </w:tcPr>
          <w:p>
            <w:pPr>
              <w:spacing w:line="280" w:lineRule="exact"/>
              <w:ind w:firstLine="420" w:firstLineChars="200"/>
              <w:jc w:val="left"/>
              <w:rPr>
                <w:rFonts w:ascii="宋体" w:cs="宋体"/>
                <w:sz w:val="21"/>
                <w:szCs w:val="21"/>
              </w:rPr>
            </w:pPr>
            <w:r>
              <w:rPr>
                <w:rFonts w:hint="eastAsia" w:ascii="宋体" w:hAnsi="宋体" w:cs="宋体"/>
                <w:kern w:val="0"/>
                <w:sz w:val="21"/>
                <w:szCs w:val="21"/>
              </w:rPr>
              <w:t>卫</w:t>
            </w:r>
            <w:r>
              <w:rPr>
                <w:rFonts w:hint="eastAsia" w:ascii="宋体" w:hAnsi="宋体" w:cs="宋体"/>
                <w:sz w:val="21"/>
                <w:szCs w:val="21"/>
              </w:rPr>
              <w:t>生计生行政部门主管本辖区的预防性健康检查工作。</w:t>
            </w:r>
            <w:r>
              <w:rPr>
                <w:rFonts w:hint="eastAsia" w:ascii="Arial" w:hAnsi="Arial" w:cs="Arial"/>
                <w:color w:val="333333"/>
                <w:sz w:val="21"/>
                <w:szCs w:val="21"/>
                <w:shd w:val="clear" w:color="auto" w:fill="FFFFFF"/>
              </w:rPr>
              <w:t>承担预防性健康检查工作的医疗卫生机构必须经政府卫生行政部门审查批准后，方可在指定范围内开展预防性健康检查工作。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rPr>
        <w:tc>
          <w:tcPr>
            <w:tcW w:w="1110" w:type="dxa"/>
          </w:tcPr>
          <w:p>
            <w:pPr>
              <w:spacing w:line="280" w:lineRule="exact"/>
              <w:jc w:val="center"/>
              <w:rPr>
                <w:rFonts w:ascii="宋体" w:cs="宋体"/>
                <w:sz w:val="21"/>
                <w:szCs w:val="21"/>
              </w:rPr>
            </w:pPr>
            <w:r>
              <w:rPr>
                <w:rFonts w:hint="eastAsia" w:ascii="宋体" w:hAnsi="宋体" w:cs="宋体"/>
                <w:sz w:val="21"/>
                <w:szCs w:val="21"/>
              </w:rPr>
              <w:t>专项立项依据</w:t>
            </w:r>
          </w:p>
        </w:tc>
        <w:tc>
          <w:tcPr>
            <w:tcW w:w="8714" w:type="dxa"/>
            <w:gridSpan w:val="9"/>
          </w:tcPr>
          <w:p>
            <w:pPr>
              <w:spacing w:line="280" w:lineRule="exact"/>
              <w:jc w:val="left"/>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《中华人民共和国传染病防治法》、《中华人民共和国食品安全法》、《公共场所卫生管理条例》、财政部、国家发展改革委下发了《关于清理规范一批行政事业性收费有关政策的通知》（财税〔</w:t>
            </w:r>
            <w:r>
              <w:rPr>
                <w:rFonts w:ascii="宋体" w:hAnsi="宋体" w:cs="宋体"/>
                <w:color w:val="333333"/>
                <w:sz w:val="21"/>
                <w:szCs w:val="21"/>
                <w:shd w:val="clear" w:color="auto" w:fill="FFFFFF"/>
              </w:rPr>
              <w:t>2017</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20</w:t>
            </w:r>
            <w:r>
              <w:rPr>
                <w:rFonts w:hint="eastAsia" w:ascii="宋体" w:hAnsi="宋体" w:cs="宋体"/>
                <w:color w:val="333333"/>
                <w:sz w:val="21"/>
                <w:szCs w:val="21"/>
                <w:shd w:val="clear" w:color="auto" w:fill="FFFFFF"/>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110" w:type="dxa"/>
            <w:vMerge w:val="restart"/>
            <w:vAlign w:val="center"/>
          </w:tcPr>
          <w:p>
            <w:pPr>
              <w:spacing w:line="280" w:lineRule="exact"/>
              <w:jc w:val="center"/>
              <w:rPr>
                <w:rFonts w:ascii="宋体" w:cs="宋体"/>
                <w:sz w:val="21"/>
                <w:szCs w:val="21"/>
              </w:rPr>
            </w:pPr>
            <w:r>
              <w:rPr>
                <w:rFonts w:hint="eastAsia" w:ascii="宋体" w:hAnsi="宋体" w:cs="宋体"/>
                <w:sz w:val="21"/>
                <w:szCs w:val="21"/>
              </w:rPr>
              <w:t>专项实施进度计划</w:t>
            </w:r>
          </w:p>
        </w:tc>
        <w:tc>
          <w:tcPr>
            <w:tcW w:w="3111" w:type="dxa"/>
            <w:gridSpan w:val="3"/>
            <w:vAlign w:val="center"/>
          </w:tcPr>
          <w:p>
            <w:pPr>
              <w:spacing w:line="280" w:lineRule="exact"/>
              <w:jc w:val="center"/>
              <w:rPr>
                <w:rFonts w:ascii="宋体" w:cs="宋体"/>
                <w:sz w:val="21"/>
                <w:szCs w:val="21"/>
              </w:rPr>
            </w:pPr>
            <w:r>
              <w:rPr>
                <w:rFonts w:hint="eastAsia" w:ascii="宋体" w:hAnsi="宋体" w:cs="宋体"/>
                <w:sz w:val="21"/>
                <w:szCs w:val="21"/>
              </w:rPr>
              <w:t>专项实施内容</w:t>
            </w:r>
          </w:p>
        </w:tc>
        <w:tc>
          <w:tcPr>
            <w:tcW w:w="2285" w:type="dxa"/>
            <w:gridSpan w:val="3"/>
            <w:vAlign w:val="center"/>
          </w:tcPr>
          <w:p>
            <w:pPr>
              <w:spacing w:line="280" w:lineRule="exact"/>
              <w:jc w:val="center"/>
              <w:rPr>
                <w:rFonts w:ascii="宋体" w:cs="宋体"/>
                <w:sz w:val="21"/>
                <w:szCs w:val="21"/>
              </w:rPr>
            </w:pPr>
            <w:r>
              <w:rPr>
                <w:rFonts w:hint="eastAsia" w:ascii="宋体" w:hAnsi="宋体" w:cs="宋体"/>
                <w:sz w:val="21"/>
                <w:szCs w:val="21"/>
              </w:rPr>
              <w:t>计划开始时间</w:t>
            </w:r>
          </w:p>
        </w:tc>
        <w:tc>
          <w:tcPr>
            <w:tcW w:w="3318" w:type="dxa"/>
            <w:gridSpan w:val="3"/>
            <w:vAlign w:val="center"/>
          </w:tcPr>
          <w:p>
            <w:pPr>
              <w:spacing w:line="280" w:lineRule="exact"/>
              <w:jc w:val="center"/>
              <w:rPr>
                <w:rFonts w:ascii="宋体" w:cs="宋体"/>
                <w:sz w:val="21"/>
                <w:szCs w:val="21"/>
              </w:rPr>
            </w:pPr>
            <w:r>
              <w:rPr>
                <w:rFonts w:hint="eastAsia" w:ascii="宋体" w:hAnsi="宋体" w:cs="宋体"/>
                <w:sz w:val="21"/>
                <w:szCs w:val="21"/>
              </w:rPr>
              <w:t>计划完成时间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tcPr>
          <w:p>
            <w:pPr>
              <w:spacing w:line="280" w:lineRule="exact"/>
              <w:jc w:val="center"/>
              <w:rPr>
                <w:rFonts w:ascii="宋体" w:cs="宋体"/>
                <w:sz w:val="21"/>
                <w:szCs w:val="21"/>
              </w:rPr>
            </w:pPr>
          </w:p>
        </w:tc>
        <w:tc>
          <w:tcPr>
            <w:tcW w:w="3111" w:type="dxa"/>
            <w:gridSpan w:val="3"/>
          </w:tcPr>
          <w:p>
            <w:pPr>
              <w:spacing w:line="280" w:lineRule="exact"/>
              <w:jc w:val="center"/>
              <w:rPr>
                <w:rFonts w:ascii="宋体" w:cs="宋体"/>
                <w:sz w:val="21"/>
                <w:szCs w:val="21"/>
              </w:rPr>
            </w:pPr>
            <w:r>
              <w:rPr>
                <w:rFonts w:hint="eastAsia" w:ascii="宋体" w:hAnsi="宋体" w:cs="宋体"/>
                <w:sz w:val="21"/>
                <w:szCs w:val="21"/>
              </w:rPr>
              <w:t>预防性体检</w:t>
            </w:r>
          </w:p>
        </w:tc>
        <w:tc>
          <w:tcPr>
            <w:tcW w:w="2285" w:type="dxa"/>
            <w:gridSpan w:val="3"/>
            <w:vAlign w:val="center"/>
          </w:tcPr>
          <w:p>
            <w:pPr>
              <w:spacing w:line="280" w:lineRule="exact"/>
              <w:jc w:val="center"/>
              <w:rPr>
                <w:rFonts w:ascii="宋体" w:cs="宋体"/>
                <w:sz w:val="21"/>
                <w:szCs w:val="21"/>
              </w:rPr>
            </w:pPr>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.1</w:t>
            </w:r>
          </w:p>
        </w:tc>
        <w:tc>
          <w:tcPr>
            <w:tcW w:w="3318" w:type="dxa"/>
            <w:gridSpan w:val="3"/>
            <w:vAlign w:val="center"/>
          </w:tcPr>
          <w:p>
            <w:pPr>
              <w:spacing w:line="280" w:lineRule="exact"/>
              <w:jc w:val="center"/>
              <w:rPr>
                <w:rFonts w:ascii="宋体" w:cs="宋体"/>
                <w:sz w:val="21"/>
                <w:szCs w:val="21"/>
              </w:rPr>
            </w:pPr>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280" w:lineRule="exact"/>
              <w:jc w:val="center"/>
              <w:rPr>
                <w:rFonts w:ascii="宋体" w:cs="宋体"/>
                <w:sz w:val="21"/>
                <w:szCs w:val="21"/>
              </w:rPr>
            </w:pPr>
            <w:r>
              <w:rPr>
                <w:rFonts w:hint="eastAsia" w:ascii="宋体" w:hAnsi="宋体" w:cs="宋体"/>
                <w:sz w:val="21"/>
                <w:szCs w:val="21"/>
              </w:rPr>
              <w:t>专项长期绩效目标</w:t>
            </w:r>
          </w:p>
        </w:tc>
        <w:tc>
          <w:tcPr>
            <w:tcW w:w="8714" w:type="dxa"/>
            <w:gridSpan w:val="9"/>
            <w:vAlign w:val="center"/>
          </w:tcPr>
          <w:p>
            <w:pPr>
              <w:spacing w:line="280" w:lineRule="exact"/>
              <w:rPr>
                <w:rFonts w:ascii="宋体" w:cs="宋体"/>
                <w:sz w:val="21"/>
                <w:szCs w:val="21"/>
              </w:rPr>
            </w:pPr>
            <w:r>
              <w:rPr>
                <w:rFonts w:hint="eastAsia" w:ascii="宋体" w:hAnsi="宋体" w:cs="宋体"/>
                <w:sz w:val="21"/>
                <w:szCs w:val="21"/>
              </w:rPr>
              <w:t>贯彻实施相关法律法规，认真做好我县从业人员预防性健康体检、卫生知识培训和健康证发放等工作。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280" w:lineRule="exact"/>
              <w:jc w:val="center"/>
              <w:rPr>
                <w:rFonts w:ascii="宋体" w:cs="宋体"/>
                <w:sz w:val="21"/>
                <w:szCs w:val="21"/>
              </w:rPr>
            </w:pPr>
            <w:r>
              <w:rPr>
                <w:rFonts w:hint="eastAsia" w:ascii="宋体" w:hAnsi="宋体" w:cs="宋体"/>
                <w:sz w:val="21"/>
                <w:szCs w:val="21"/>
              </w:rPr>
              <w:t>专项年度绩效目标</w:t>
            </w:r>
          </w:p>
        </w:tc>
        <w:tc>
          <w:tcPr>
            <w:tcW w:w="8714" w:type="dxa"/>
            <w:gridSpan w:val="9"/>
          </w:tcPr>
          <w:p>
            <w:pPr>
              <w:spacing w:line="280" w:lineRule="exact"/>
              <w:jc w:val="left"/>
              <w:rPr>
                <w:rFonts w:ascii="宋体" w:cs="宋体"/>
                <w:sz w:val="21"/>
                <w:szCs w:val="21"/>
              </w:rPr>
            </w:pPr>
            <w:r>
              <w:rPr>
                <w:rFonts w:hint="eastAsia" w:ascii="宋体" w:hAnsi="宋体" w:cs="宋体"/>
                <w:sz w:val="21"/>
                <w:szCs w:val="21"/>
              </w:rPr>
              <w:t>结合本县实际情况，从事食品、药品、化妆品、消毒产品、饮用水生产经营人员及餐饮单位、公共场所（宾馆旅店、酒吧茶座、公共浴室、理发美容、商店、超市、游泳场等）直接为顾客提供服务的人员免费提供预防性体检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restart"/>
            <w:vAlign w:val="center"/>
          </w:tcPr>
          <w:p>
            <w:pPr>
              <w:spacing w:line="280" w:lineRule="exact"/>
              <w:jc w:val="center"/>
              <w:rPr>
                <w:rFonts w:ascii="宋体" w:cs="宋体"/>
                <w:sz w:val="21"/>
                <w:szCs w:val="21"/>
              </w:rPr>
            </w:pPr>
            <w:r>
              <w:rPr>
                <w:rFonts w:hint="eastAsia" w:ascii="宋体" w:hAnsi="宋体" w:cs="宋体"/>
                <w:sz w:val="21"/>
                <w:szCs w:val="21"/>
              </w:rPr>
              <w:t>专项年度绩效指标</w:t>
            </w:r>
          </w:p>
        </w:tc>
        <w:tc>
          <w:tcPr>
            <w:tcW w:w="720" w:type="dxa"/>
          </w:tcPr>
          <w:p>
            <w:pPr>
              <w:spacing w:line="280" w:lineRule="exact"/>
              <w:jc w:val="center"/>
              <w:rPr>
                <w:rFonts w:ascii="宋体" w:cs="宋体"/>
                <w:sz w:val="21"/>
                <w:szCs w:val="21"/>
              </w:rPr>
            </w:pPr>
            <w:r>
              <w:rPr>
                <w:rFonts w:hint="eastAsia" w:ascii="宋体" w:hAnsi="宋体" w:cs="宋体"/>
                <w:sz w:val="21"/>
                <w:szCs w:val="21"/>
              </w:rPr>
              <w:t>一级指标</w:t>
            </w:r>
          </w:p>
        </w:tc>
        <w:tc>
          <w:tcPr>
            <w:tcW w:w="1260" w:type="dxa"/>
          </w:tcPr>
          <w:p>
            <w:pPr>
              <w:spacing w:line="280" w:lineRule="exact"/>
              <w:jc w:val="center"/>
              <w:rPr>
                <w:rFonts w:ascii="宋体" w:cs="宋体"/>
                <w:sz w:val="21"/>
                <w:szCs w:val="21"/>
              </w:rPr>
            </w:pPr>
            <w:r>
              <w:rPr>
                <w:rFonts w:hint="eastAsia" w:ascii="宋体" w:hAnsi="宋体" w:cs="宋体"/>
                <w:sz w:val="21"/>
                <w:szCs w:val="21"/>
              </w:rPr>
              <w:t>二级指标</w:t>
            </w:r>
          </w:p>
        </w:tc>
        <w:tc>
          <w:tcPr>
            <w:tcW w:w="4091" w:type="dxa"/>
            <w:gridSpan w:val="5"/>
          </w:tcPr>
          <w:p>
            <w:pPr>
              <w:spacing w:line="280" w:lineRule="exact"/>
              <w:jc w:val="center"/>
              <w:rPr>
                <w:rFonts w:ascii="宋体" w:cs="宋体"/>
                <w:sz w:val="21"/>
                <w:szCs w:val="21"/>
              </w:rPr>
            </w:pPr>
            <w:r>
              <w:rPr>
                <w:rFonts w:hint="eastAsia" w:ascii="宋体" w:hAnsi="宋体" w:cs="宋体"/>
                <w:sz w:val="21"/>
                <w:szCs w:val="21"/>
              </w:rPr>
              <w:t>指标内容</w:t>
            </w:r>
          </w:p>
        </w:tc>
        <w:tc>
          <w:tcPr>
            <w:tcW w:w="1834" w:type="dxa"/>
          </w:tcPr>
          <w:p>
            <w:pPr>
              <w:spacing w:line="280" w:lineRule="exact"/>
              <w:jc w:val="center"/>
              <w:rPr>
                <w:rFonts w:ascii="宋体" w:cs="宋体"/>
                <w:sz w:val="21"/>
                <w:szCs w:val="21"/>
              </w:rPr>
            </w:pPr>
            <w:r>
              <w:rPr>
                <w:rFonts w:hint="eastAsia" w:ascii="宋体" w:hAnsi="宋体" w:cs="宋体"/>
                <w:sz w:val="21"/>
                <w:szCs w:val="21"/>
              </w:rPr>
              <w:t>指标值</w:t>
            </w:r>
          </w:p>
        </w:tc>
        <w:tc>
          <w:tcPr>
            <w:tcW w:w="809" w:type="dxa"/>
          </w:tcPr>
          <w:p>
            <w:pPr>
              <w:spacing w:line="280" w:lineRule="exact"/>
              <w:jc w:val="center"/>
              <w:rPr>
                <w:rFonts w:ascii="宋体" w:cs="宋体"/>
                <w:sz w:val="21"/>
                <w:szCs w:val="21"/>
              </w:rPr>
            </w:pPr>
            <w:r>
              <w:rPr>
                <w:rFonts w:hint="eastAsia" w:ascii="宋体" w:hAnsi="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280" w:lineRule="exact"/>
              <w:jc w:val="center"/>
              <w:rPr>
                <w:rFonts w:ascii="宋体" w:cs="宋体"/>
                <w:sz w:val="21"/>
                <w:szCs w:val="21"/>
              </w:rPr>
            </w:pPr>
          </w:p>
        </w:tc>
        <w:tc>
          <w:tcPr>
            <w:tcW w:w="720" w:type="dxa"/>
            <w:vMerge w:val="restart"/>
            <w:vAlign w:val="center"/>
          </w:tcPr>
          <w:p>
            <w:pPr>
              <w:spacing w:line="280" w:lineRule="exact"/>
              <w:jc w:val="center"/>
              <w:rPr>
                <w:rFonts w:ascii="宋体" w:cs="宋体"/>
                <w:sz w:val="21"/>
                <w:szCs w:val="21"/>
              </w:rPr>
            </w:pPr>
            <w:r>
              <w:rPr>
                <w:rFonts w:hint="eastAsia" w:ascii="宋体" w:hAnsi="宋体" w:cs="宋体"/>
                <w:sz w:val="21"/>
                <w:szCs w:val="21"/>
              </w:rPr>
              <w:t>产出指标</w:t>
            </w: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数量指标</w:t>
            </w:r>
          </w:p>
        </w:tc>
        <w:tc>
          <w:tcPr>
            <w:tcW w:w="4091" w:type="dxa"/>
            <w:gridSpan w:val="5"/>
            <w:vAlign w:val="center"/>
          </w:tcPr>
          <w:p>
            <w:pPr>
              <w:spacing w:line="280" w:lineRule="exact"/>
              <w:rPr>
                <w:rFonts w:ascii="宋体" w:cs="宋体"/>
                <w:sz w:val="21"/>
                <w:szCs w:val="21"/>
              </w:rPr>
            </w:pPr>
            <w:r>
              <w:rPr>
                <w:rFonts w:hint="eastAsia" w:ascii="宋体" w:hAnsi="宋体" w:cs="宋体"/>
                <w:sz w:val="21"/>
                <w:szCs w:val="21"/>
              </w:rPr>
              <w:t>参考</w:t>
            </w:r>
            <w:r>
              <w:rPr>
                <w:rFonts w:ascii="宋体" w:hAnsi="宋体" w:cs="宋体"/>
                <w:sz w:val="21"/>
                <w:szCs w:val="21"/>
              </w:rPr>
              <w:t>201</w:t>
            </w:r>
            <w:r>
              <w:rPr>
                <w:rFonts w:hint="eastAsia" w:ascii="宋体" w:hAnsi="宋体" w:cs="宋体"/>
                <w:sz w:val="21"/>
                <w:szCs w:val="21"/>
                <w:lang w:val="en-US" w:eastAsia="zh-CN"/>
              </w:rPr>
              <w:t>7</w:t>
            </w:r>
            <w:r>
              <w:rPr>
                <w:rFonts w:hint="eastAsia" w:ascii="宋体" w:hAnsi="宋体" w:cs="宋体"/>
                <w:sz w:val="21"/>
                <w:szCs w:val="21"/>
              </w:rPr>
              <w:t>年实际完成体检办证人数，将</w:t>
            </w:r>
            <w:r>
              <w:rPr>
                <w:rFonts w:hint="eastAsia" w:ascii="Arial" w:hAnsi="Arial" w:cs="Arial"/>
                <w:color w:val="333333"/>
                <w:sz w:val="21"/>
                <w:szCs w:val="21"/>
                <w:shd w:val="clear" w:color="auto" w:fill="FFFFFF"/>
              </w:rPr>
              <w:t>医疗卫生机构</w:t>
            </w:r>
            <w:r>
              <w:rPr>
                <w:rFonts w:hint="eastAsia" w:ascii="宋体" w:hAnsi="宋体" w:cs="宋体"/>
                <w:sz w:val="21"/>
                <w:szCs w:val="21"/>
              </w:rPr>
              <w:t>按乡镇划片负责</w:t>
            </w:r>
            <w:r>
              <w:rPr>
                <w:rFonts w:hint="eastAsia" w:ascii="Arial" w:hAnsi="Arial" w:cs="Arial"/>
                <w:color w:val="333333"/>
                <w:sz w:val="21"/>
                <w:szCs w:val="21"/>
                <w:shd w:val="clear" w:color="auto" w:fill="FFFFFF"/>
              </w:rPr>
              <w:t>。</w:t>
            </w:r>
          </w:p>
        </w:tc>
        <w:tc>
          <w:tcPr>
            <w:tcW w:w="1834" w:type="dxa"/>
          </w:tcPr>
          <w:p>
            <w:pPr>
              <w:spacing w:line="280" w:lineRule="exact"/>
              <w:ind w:firstLine="420" w:firstLineChars="200"/>
              <w:rPr>
                <w:rFonts w:ascii="宋体" w:cs="宋体"/>
                <w:sz w:val="21"/>
                <w:szCs w:val="21"/>
              </w:rPr>
            </w:pPr>
            <w:r>
              <w:rPr>
                <w:rFonts w:ascii="宋体" w:hAnsi="宋体" w:cs="宋体"/>
                <w:sz w:val="21"/>
                <w:szCs w:val="21"/>
              </w:rPr>
              <w:t>11905</w:t>
            </w:r>
            <w:r>
              <w:rPr>
                <w:rFonts w:hint="eastAsia" w:ascii="宋体" w:hAnsi="宋体" w:cs="宋体"/>
                <w:sz w:val="21"/>
                <w:szCs w:val="21"/>
              </w:rPr>
              <w:t>人</w:t>
            </w:r>
          </w:p>
        </w:tc>
        <w:tc>
          <w:tcPr>
            <w:tcW w:w="809" w:type="dxa"/>
          </w:tcPr>
          <w:p>
            <w:pPr>
              <w:spacing w:line="280" w:lineRule="exac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280" w:lineRule="exact"/>
              <w:jc w:val="center"/>
              <w:rPr>
                <w:rFonts w:ascii="宋体" w:cs="宋体"/>
                <w:sz w:val="21"/>
                <w:szCs w:val="21"/>
              </w:rPr>
            </w:pPr>
          </w:p>
        </w:tc>
        <w:tc>
          <w:tcPr>
            <w:tcW w:w="720" w:type="dxa"/>
            <w:vMerge w:val="continue"/>
            <w:vAlign w:val="center"/>
          </w:tcPr>
          <w:p>
            <w:pPr>
              <w:spacing w:line="280" w:lineRule="exact"/>
              <w:jc w:val="center"/>
              <w:rPr>
                <w:rFonts w:ascii="宋体" w:cs="宋体"/>
                <w:sz w:val="21"/>
                <w:szCs w:val="21"/>
              </w:rPr>
            </w:pP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质量指标</w:t>
            </w:r>
          </w:p>
        </w:tc>
        <w:tc>
          <w:tcPr>
            <w:tcW w:w="4091" w:type="dxa"/>
            <w:gridSpan w:val="5"/>
            <w:vAlign w:val="center"/>
          </w:tcPr>
          <w:p>
            <w:pPr>
              <w:spacing w:line="280" w:lineRule="exact"/>
              <w:rPr>
                <w:rFonts w:ascii="宋体" w:cs="宋体"/>
                <w:sz w:val="21"/>
                <w:szCs w:val="21"/>
              </w:rPr>
            </w:pPr>
            <w:r>
              <w:rPr>
                <w:rFonts w:hint="eastAsia" w:ascii="宋体" w:hAnsi="宋体" w:cs="宋体"/>
                <w:sz w:val="21"/>
                <w:szCs w:val="21"/>
              </w:rPr>
              <w:t>体检项目中主要检查的疾病为病毒性肝炎（甲肝和戊肝）、痢疾、伤寒、活动期肺结核、皮肤病和其他有碍健康的疾病；需开展一般内、外、皮肤科检查，胸部透视，甲型病毒性肝炎抗体测定，戊型病毒性肝炎抗体测定，肠道致病菌检测等。</w:t>
            </w:r>
          </w:p>
        </w:tc>
        <w:tc>
          <w:tcPr>
            <w:tcW w:w="1834" w:type="dxa"/>
          </w:tcPr>
          <w:p>
            <w:pPr>
              <w:spacing w:line="280" w:lineRule="exact"/>
              <w:rPr>
                <w:rFonts w:ascii="宋体" w:cs="宋体"/>
                <w:sz w:val="21"/>
                <w:szCs w:val="21"/>
              </w:rPr>
            </w:pPr>
            <w:r>
              <w:rPr>
                <w:rFonts w:hint="eastAsia" w:ascii="宋体" w:hAnsi="宋体" w:cs="宋体"/>
                <w:sz w:val="21"/>
                <w:szCs w:val="21"/>
              </w:rPr>
              <w:t>逐项完成体检项目，不得随意增减健康检查项目和频次。</w:t>
            </w:r>
          </w:p>
        </w:tc>
        <w:tc>
          <w:tcPr>
            <w:tcW w:w="809" w:type="dxa"/>
          </w:tcPr>
          <w:p>
            <w:pPr>
              <w:spacing w:line="28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280" w:lineRule="exact"/>
              <w:jc w:val="center"/>
              <w:rPr>
                <w:rFonts w:ascii="宋体" w:cs="宋体"/>
                <w:sz w:val="21"/>
                <w:szCs w:val="21"/>
              </w:rPr>
            </w:pPr>
          </w:p>
        </w:tc>
        <w:tc>
          <w:tcPr>
            <w:tcW w:w="720" w:type="dxa"/>
            <w:vMerge w:val="continue"/>
            <w:vAlign w:val="center"/>
          </w:tcPr>
          <w:p>
            <w:pPr>
              <w:spacing w:line="280" w:lineRule="exact"/>
              <w:jc w:val="center"/>
              <w:rPr>
                <w:rFonts w:ascii="宋体" w:cs="宋体"/>
                <w:sz w:val="21"/>
                <w:szCs w:val="21"/>
              </w:rPr>
            </w:pP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时效指标</w:t>
            </w:r>
          </w:p>
        </w:tc>
        <w:tc>
          <w:tcPr>
            <w:tcW w:w="4091" w:type="dxa"/>
            <w:gridSpan w:val="5"/>
            <w:vAlign w:val="center"/>
          </w:tcPr>
          <w:p>
            <w:pPr>
              <w:spacing w:line="280" w:lineRule="exact"/>
              <w:rPr>
                <w:rFonts w:ascii="宋体" w:cs="宋体"/>
                <w:sz w:val="21"/>
                <w:szCs w:val="21"/>
              </w:rPr>
            </w:pPr>
            <w:r>
              <w:rPr>
                <w:rFonts w:hint="eastAsia" w:ascii="宋体" w:hAnsi="宋体" w:cs="宋体"/>
                <w:sz w:val="21"/>
                <w:szCs w:val="21"/>
              </w:rPr>
              <w:t>从业人员需每年体检一次。</w:t>
            </w:r>
          </w:p>
        </w:tc>
        <w:tc>
          <w:tcPr>
            <w:tcW w:w="1834" w:type="dxa"/>
          </w:tcPr>
          <w:p>
            <w:pPr>
              <w:spacing w:line="280" w:lineRule="exact"/>
              <w:rPr>
                <w:rFonts w:ascii="宋体" w:cs="宋体"/>
                <w:sz w:val="21"/>
                <w:szCs w:val="21"/>
              </w:rPr>
            </w:pPr>
            <w:r>
              <w:rPr>
                <w:rFonts w:hint="eastAsia" w:ascii="宋体" w:hAnsi="宋体" w:cs="宋体"/>
                <w:kern w:val="0"/>
                <w:sz w:val="21"/>
                <w:szCs w:val="21"/>
              </w:rPr>
              <w:t>年底前</w:t>
            </w:r>
            <w:r>
              <w:rPr>
                <w:rFonts w:hint="eastAsia" w:ascii="宋体" w:hAnsi="宋体" w:cs="宋体"/>
                <w:sz w:val="21"/>
                <w:szCs w:val="21"/>
              </w:rPr>
              <w:t>据实</w:t>
            </w:r>
            <w:r>
              <w:rPr>
                <w:rFonts w:hint="eastAsia" w:ascii="宋体" w:hAnsi="宋体" w:cs="宋体"/>
                <w:kern w:val="0"/>
                <w:sz w:val="21"/>
                <w:szCs w:val="21"/>
              </w:rPr>
              <w:t>拨付到位。</w:t>
            </w:r>
          </w:p>
        </w:tc>
        <w:tc>
          <w:tcPr>
            <w:tcW w:w="809" w:type="dxa"/>
          </w:tcPr>
          <w:p>
            <w:pPr>
              <w:spacing w:line="28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trPr>
        <w:tc>
          <w:tcPr>
            <w:tcW w:w="1110" w:type="dxa"/>
            <w:vMerge w:val="continue"/>
            <w:vAlign w:val="center"/>
          </w:tcPr>
          <w:p>
            <w:pPr>
              <w:spacing w:line="280" w:lineRule="exact"/>
              <w:jc w:val="center"/>
              <w:rPr>
                <w:rFonts w:ascii="宋体" w:cs="宋体"/>
                <w:sz w:val="21"/>
                <w:szCs w:val="21"/>
              </w:rPr>
            </w:pPr>
          </w:p>
        </w:tc>
        <w:tc>
          <w:tcPr>
            <w:tcW w:w="720" w:type="dxa"/>
            <w:vMerge w:val="continue"/>
            <w:vAlign w:val="center"/>
          </w:tcPr>
          <w:p>
            <w:pPr>
              <w:spacing w:line="280" w:lineRule="exact"/>
              <w:jc w:val="center"/>
              <w:rPr>
                <w:rFonts w:ascii="宋体" w:cs="宋体"/>
                <w:sz w:val="21"/>
                <w:szCs w:val="21"/>
              </w:rPr>
            </w:pP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成本指标</w:t>
            </w:r>
          </w:p>
        </w:tc>
        <w:tc>
          <w:tcPr>
            <w:tcW w:w="4091" w:type="dxa"/>
            <w:gridSpan w:val="5"/>
            <w:vAlign w:val="center"/>
          </w:tcPr>
          <w:p>
            <w:pPr>
              <w:spacing w:line="280" w:lineRule="exact"/>
              <w:rPr>
                <w:rFonts w:ascii="宋体" w:cs="宋体"/>
                <w:sz w:val="21"/>
                <w:szCs w:val="21"/>
              </w:rPr>
            </w:pPr>
            <w:r>
              <w:rPr>
                <w:rFonts w:hint="eastAsia" w:ascii="宋体" w:hAnsi="宋体" w:cs="宋体"/>
                <w:sz w:val="21"/>
                <w:szCs w:val="21"/>
              </w:rPr>
              <w:t>根据预防性健康体检项目及办证成本核算</w:t>
            </w:r>
          </w:p>
        </w:tc>
        <w:tc>
          <w:tcPr>
            <w:tcW w:w="1834" w:type="dxa"/>
          </w:tcPr>
          <w:p>
            <w:pPr>
              <w:spacing w:line="280" w:lineRule="exact"/>
              <w:rPr>
                <w:rFonts w:ascii="宋体" w:cs="宋体"/>
                <w:sz w:val="21"/>
                <w:szCs w:val="21"/>
              </w:rPr>
            </w:pPr>
            <w:r>
              <w:rPr>
                <w:rFonts w:ascii="宋体" w:hAnsi="宋体" w:cs="宋体"/>
                <w:sz w:val="21"/>
                <w:szCs w:val="21"/>
              </w:rPr>
              <w:t>42</w:t>
            </w:r>
            <w:r>
              <w:rPr>
                <w:rFonts w:hint="eastAsia" w:ascii="宋体" w:hAnsi="宋体" w:cs="宋体"/>
                <w:sz w:val="21"/>
                <w:szCs w:val="21"/>
              </w:rPr>
              <w:t>元</w:t>
            </w:r>
            <w:r>
              <w:rPr>
                <w:rFonts w:ascii="宋体" w:hAnsi="宋体" w:cs="宋体"/>
                <w:sz w:val="21"/>
                <w:szCs w:val="21"/>
              </w:rPr>
              <w:t>/</w:t>
            </w:r>
            <w:r>
              <w:rPr>
                <w:rFonts w:hint="eastAsia" w:ascii="宋体" w:hAnsi="宋体" w:cs="宋体"/>
                <w:sz w:val="21"/>
                <w:szCs w:val="21"/>
              </w:rPr>
              <w:t>人，预算金额</w:t>
            </w:r>
            <w:r>
              <w:rPr>
                <w:rFonts w:ascii="宋体" w:hAnsi="宋体" w:cs="宋体"/>
                <w:sz w:val="21"/>
                <w:szCs w:val="21"/>
              </w:rPr>
              <w:t>50</w:t>
            </w:r>
            <w:r>
              <w:rPr>
                <w:rFonts w:hint="eastAsia" w:ascii="宋体" w:hAnsi="宋体" w:cs="宋体"/>
                <w:sz w:val="21"/>
                <w:szCs w:val="21"/>
              </w:rPr>
              <w:t>万元。</w:t>
            </w:r>
          </w:p>
        </w:tc>
        <w:tc>
          <w:tcPr>
            <w:tcW w:w="809" w:type="dxa"/>
          </w:tcPr>
          <w:p>
            <w:pPr>
              <w:spacing w:line="28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280" w:lineRule="exact"/>
              <w:jc w:val="center"/>
              <w:rPr>
                <w:rFonts w:ascii="宋体" w:cs="宋体"/>
                <w:sz w:val="21"/>
                <w:szCs w:val="21"/>
              </w:rPr>
            </w:pPr>
          </w:p>
        </w:tc>
        <w:tc>
          <w:tcPr>
            <w:tcW w:w="720" w:type="dxa"/>
            <w:vMerge w:val="restart"/>
            <w:vAlign w:val="center"/>
          </w:tcPr>
          <w:p>
            <w:pPr>
              <w:spacing w:line="280" w:lineRule="exact"/>
              <w:rPr>
                <w:rFonts w:ascii="宋体" w:cs="宋体"/>
                <w:sz w:val="21"/>
                <w:szCs w:val="21"/>
              </w:rPr>
            </w:pPr>
            <w:r>
              <w:rPr>
                <w:rFonts w:hint="eastAsia" w:ascii="宋体" w:hAnsi="宋体" w:cs="宋体"/>
                <w:sz w:val="21"/>
                <w:szCs w:val="21"/>
              </w:rPr>
              <w:t>效益指标</w:t>
            </w: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社会效益指标</w:t>
            </w:r>
          </w:p>
        </w:tc>
        <w:tc>
          <w:tcPr>
            <w:tcW w:w="4091" w:type="dxa"/>
            <w:gridSpan w:val="5"/>
            <w:vAlign w:val="center"/>
          </w:tcPr>
          <w:p>
            <w:pPr>
              <w:spacing w:line="280" w:lineRule="exact"/>
              <w:rPr>
                <w:rFonts w:ascii="宋体" w:cs="宋体"/>
                <w:sz w:val="21"/>
                <w:szCs w:val="21"/>
              </w:rPr>
            </w:pPr>
            <w:r>
              <w:rPr>
                <w:rFonts w:hint="eastAsia" w:ascii="宋体" w:hAnsi="宋体" w:cs="宋体"/>
                <w:sz w:val="21"/>
                <w:szCs w:val="21"/>
              </w:rPr>
              <w:t>从业人员健康关系到公共卫生安全，保障人民群众生命安全和身体健康。</w:t>
            </w:r>
          </w:p>
        </w:tc>
        <w:tc>
          <w:tcPr>
            <w:tcW w:w="1834" w:type="dxa"/>
          </w:tcPr>
          <w:p>
            <w:pPr>
              <w:spacing w:line="280" w:lineRule="exact"/>
              <w:rPr>
                <w:rFonts w:ascii="宋体" w:cs="宋体"/>
                <w:sz w:val="21"/>
                <w:szCs w:val="21"/>
              </w:rPr>
            </w:pPr>
            <w:bookmarkStart w:id="0" w:name="_GoBack"/>
            <w:r>
              <w:rPr>
                <w:rFonts w:hint="eastAsia" w:ascii="宋体" w:hAnsi="宋体" w:cs="宋体"/>
                <w:sz w:val="21"/>
                <w:szCs w:val="21"/>
              </w:rPr>
              <w:t>提供优质的健康检查服务，营造良好的工作环境。</w:t>
            </w:r>
            <w:bookmarkEnd w:id="0"/>
          </w:p>
        </w:tc>
        <w:tc>
          <w:tcPr>
            <w:tcW w:w="809" w:type="dxa"/>
          </w:tcPr>
          <w:p>
            <w:pPr>
              <w:spacing w:line="280" w:lineRule="exac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atLeast"/>
        </w:trPr>
        <w:tc>
          <w:tcPr>
            <w:tcW w:w="1110" w:type="dxa"/>
            <w:vMerge w:val="continue"/>
            <w:vAlign w:val="center"/>
          </w:tcPr>
          <w:p>
            <w:pPr>
              <w:spacing w:line="280" w:lineRule="exact"/>
              <w:jc w:val="center"/>
              <w:rPr>
                <w:rFonts w:ascii="宋体" w:cs="宋体"/>
                <w:sz w:val="21"/>
                <w:szCs w:val="21"/>
              </w:rPr>
            </w:pPr>
          </w:p>
        </w:tc>
        <w:tc>
          <w:tcPr>
            <w:tcW w:w="720" w:type="dxa"/>
            <w:vMerge w:val="continue"/>
            <w:vAlign w:val="center"/>
          </w:tcPr>
          <w:p>
            <w:pPr>
              <w:spacing w:line="280" w:lineRule="exact"/>
              <w:rPr>
                <w:rFonts w:ascii="宋体" w:cs="宋体"/>
                <w:sz w:val="21"/>
                <w:szCs w:val="21"/>
              </w:rPr>
            </w:pPr>
          </w:p>
        </w:tc>
        <w:tc>
          <w:tcPr>
            <w:tcW w:w="1260" w:type="dxa"/>
            <w:vAlign w:val="center"/>
          </w:tcPr>
          <w:p>
            <w:pPr>
              <w:spacing w:line="280" w:lineRule="exact"/>
              <w:jc w:val="center"/>
              <w:rPr>
                <w:rFonts w:ascii="宋体" w:cs="宋体"/>
                <w:sz w:val="21"/>
                <w:szCs w:val="21"/>
              </w:rPr>
            </w:pPr>
            <w:r>
              <w:rPr>
                <w:rFonts w:hint="eastAsia" w:ascii="宋体" w:hAnsi="宋体" w:cs="宋体"/>
                <w:sz w:val="21"/>
                <w:szCs w:val="21"/>
              </w:rPr>
              <w:t>社会公众或服务满意度指标</w:t>
            </w:r>
          </w:p>
        </w:tc>
        <w:tc>
          <w:tcPr>
            <w:tcW w:w="4091" w:type="dxa"/>
            <w:gridSpan w:val="5"/>
          </w:tcPr>
          <w:p>
            <w:pPr>
              <w:spacing w:line="280" w:lineRule="exact"/>
              <w:rPr>
                <w:rFonts w:ascii="宋体" w:cs="宋体"/>
                <w:sz w:val="21"/>
                <w:szCs w:val="21"/>
              </w:rPr>
            </w:pPr>
            <w:r>
              <w:rPr>
                <w:rFonts w:hint="eastAsia" w:ascii="宋体" w:hAnsi="宋体" w:cs="宋体"/>
                <w:sz w:val="21"/>
                <w:szCs w:val="21"/>
              </w:rPr>
              <w:t>群众满意度</w:t>
            </w:r>
          </w:p>
        </w:tc>
        <w:tc>
          <w:tcPr>
            <w:tcW w:w="1834" w:type="dxa"/>
          </w:tcPr>
          <w:p>
            <w:pPr>
              <w:spacing w:line="280" w:lineRule="exact"/>
              <w:rPr>
                <w:rFonts w:ascii="宋体" w:cs="宋体"/>
                <w:sz w:val="21"/>
                <w:szCs w:val="21"/>
              </w:rPr>
            </w:pPr>
            <w:r>
              <w:rPr>
                <w:rFonts w:hint="eastAsia" w:ascii="宋体" w:hAnsi="宋体" w:cs="宋体"/>
                <w:sz w:val="21"/>
                <w:szCs w:val="21"/>
              </w:rPr>
              <w:t>满意度</w:t>
            </w:r>
            <w:r>
              <w:rPr>
                <w:rFonts w:ascii="宋体" w:hAnsi="宋体" w:cs="宋体"/>
                <w:sz w:val="21"/>
                <w:szCs w:val="21"/>
              </w:rPr>
              <w:t>90%</w:t>
            </w:r>
            <w:r>
              <w:rPr>
                <w:rFonts w:hint="eastAsia" w:ascii="宋体" w:hAnsi="宋体" w:cs="宋体"/>
                <w:sz w:val="21"/>
                <w:szCs w:val="21"/>
              </w:rPr>
              <w:t>及以上</w:t>
            </w:r>
          </w:p>
        </w:tc>
        <w:tc>
          <w:tcPr>
            <w:tcW w:w="809" w:type="dxa"/>
          </w:tcPr>
          <w:p>
            <w:pPr>
              <w:spacing w:line="280" w:lineRule="exac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1" w:hRule="atLeast"/>
        </w:trPr>
        <w:tc>
          <w:tcPr>
            <w:tcW w:w="1110" w:type="dxa"/>
            <w:vAlign w:val="center"/>
          </w:tcPr>
          <w:p>
            <w:pPr>
              <w:spacing w:line="280" w:lineRule="exact"/>
              <w:jc w:val="center"/>
              <w:rPr>
                <w:rFonts w:ascii="宋体" w:cs="宋体"/>
                <w:sz w:val="21"/>
                <w:szCs w:val="21"/>
              </w:rPr>
            </w:pPr>
            <w:r>
              <w:rPr>
                <w:rFonts w:hint="eastAsia" w:ascii="宋体" w:hAnsi="宋体" w:cs="宋体"/>
                <w:sz w:val="21"/>
                <w:szCs w:val="21"/>
              </w:rPr>
              <w:t>专项实施保障措施</w:t>
            </w:r>
          </w:p>
        </w:tc>
        <w:tc>
          <w:tcPr>
            <w:tcW w:w="8714" w:type="dxa"/>
            <w:gridSpan w:val="9"/>
          </w:tcPr>
          <w:p>
            <w:pPr>
              <w:spacing w:line="280" w:lineRule="exact"/>
              <w:jc w:val="left"/>
              <w:rPr>
                <w:rFonts w:ascii="宋体" w:cs="宋体"/>
                <w:sz w:val="21"/>
                <w:szCs w:val="21"/>
              </w:rPr>
            </w:pPr>
            <w:r>
              <w:rPr>
                <w:rFonts w:hint="eastAsia" w:ascii="宋体" w:hAnsi="宋体" w:cs="宋体"/>
                <w:sz w:val="21"/>
                <w:szCs w:val="21"/>
              </w:rPr>
              <w:t>县卫计局制定《桃源县卫生和计划生育局关于明确县第二人民医院等单位为预防性健康体检单位的工作方案》，预防性健康体检经费由县财政统一安排，由县卫计局按体检人数拨付到单位。</w:t>
            </w:r>
          </w:p>
          <w:p>
            <w:pPr>
              <w:spacing w:line="280" w:lineRule="exact"/>
              <w:jc w:val="lef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9" w:hRule="atLeast"/>
        </w:trPr>
        <w:tc>
          <w:tcPr>
            <w:tcW w:w="1110" w:type="dxa"/>
            <w:vAlign w:val="center"/>
          </w:tcPr>
          <w:p>
            <w:pPr>
              <w:spacing w:line="280" w:lineRule="exact"/>
              <w:jc w:val="center"/>
              <w:rPr>
                <w:rFonts w:ascii="宋体" w:cs="宋体"/>
                <w:sz w:val="21"/>
                <w:szCs w:val="21"/>
              </w:rPr>
            </w:pPr>
            <w:r>
              <w:rPr>
                <w:rFonts w:hint="eastAsia" w:ascii="宋体" w:hAnsi="宋体" w:cs="宋体"/>
                <w:sz w:val="21"/>
                <w:szCs w:val="21"/>
              </w:rPr>
              <w:t>财政部门审核意见</w:t>
            </w:r>
          </w:p>
        </w:tc>
        <w:tc>
          <w:tcPr>
            <w:tcW w:w="8714" w:type="dxa"/>
            <w:gridSpan w:val="9"/>
          </w:tcPr>
          <w:p>
            <w:pPr>
              <w:spacing w:line="280" w:lineRule="exact"/>
              <w:ind w:firstLine="315" w:firstLineChars="150"/>
              <w:jc w:val="right"/>
              <w:rPr>
                <w:rFonts w:ascii="宋体" w:cs="宋体"/>
                <w:sz w:val="21"/>
                <w:szCs w:val="21"/>
              </w:rPr>
            </w:pPr>
          </w:p>
          <w:p>
            <w:pPr>
              <w:spacing w:line="280" w:lineRule="exact"/>
              <w:ind w:firstLine="315" w:firstLineChars="150"/>
              <w:jc w:val="center"/>
              <w:rPr>
                <w:rFonts w:ascii="宋体" w:cs="宋体"/>
                <w:sz w:val="21"/>
                <w:szCs w:val="21"/>
              </w:rPr>
            </w:pPr>
            <w:r>
              <w:rPr>
                <w:rFonts w:hint="eastAsia" w:ascii="宋体" w:hAnsi="宋体" w:cs="宋体"/>
                <w:sz w:val="21"/>
                <w:szCs w:val="21"/>
              </w:rPr>
              <w:t>（盖章）</w:t>
            </w:r>
          </w:p>
          <w:p>
            <w:pPr>
              <w:spacing w:line="280" w:lineRule="exact"/>
              <w:ind w:firstLine="105" w:firstLineChars="50"/>
              <w:jc w:val="center"/>
              <w:rPr>
                <w:rFonts w:ascii="宋体" w:cs="宋体"/>
                <w:sz w:val="21"/>
                <w:szCs w:val="21"/>
              </w:rPr>
            </w:pPr>
            <w:r>
              <w:rPr>
                <w:rFonts w:hint="eastAsia" w:ascii="宋体" w:hAnsi="宋体" w:cs="宋体"/>
                <w:sz w:val="21"/>
                <w:szCs w:val="21"/>
              </w:rPr>
              <w:t>年月日</w:t>
            </w:r>
          </w:p>
        </w:tc>
      </w:tr>
    </w:tbl>
    <w:p>
      <w:pPr>
        <w:jc w:val="left"/>
      </w:pPr>
    </w:p>
    <w:p>
      <w:pPr>
        <w:spacing w:line="440" w:lineRule="exact"/>
        <w:jc w:val="left"/>
        <w:rPr>
          <w:rFonts w:ascii="宋体" w:cs="宋体"/>
          <w:sz w:val="21"/>
          <w:szCs w:val="21"/>
        </w:rPr>
      </w:pPr>
      <w:r>
        <w:rPr>
          <w:rFonts w:hint="eastAsia" w:ascii="宋体" w:hAnsi="宋体" w:cs="宋体"/>
          <w:sz w:val="21"/>
          <w:szCs w:val="21"/>
        </w:rPr>
        <w:t>填报人：刘祺</w:t>
      </w:r>
      <w:r>
        <w:rPr>
          <w:rFonts w:ascii="宋体" w:hAnsi="宋体" w:cs="宋体"/>
          <w:sz w:val="21"/>
          <w:szCs w:val="21"/>
        </w:rPr>
        <w:t xml:space="preserve">                    </w:t>
      </w:r>
      <w:r>
        <w:rPr>
          <w:rFonts w:hint="eastAsia" w:ascii="宋体" w:hAnsi="宋体" w:cs="宋体"/>
          <w:sz w:val="21"/>
          <w:szCs w:val="21"/>
        </w:rPr>
        <w:t>联系电话：</w:t>
      </w:r>
      <w:r>
        <w:rPr>
          <w:rFonts w:ascii="宋体" w:hAnsi="宋体" w:cs="宋体"/>
          <w:sz w:val="21"/>
          <w:szCs w:val="21"/>
        </w:rPr>
        <w:t xml:space="preserve">6663686              </w:t>
      </w:r>
      <w:r>
        <w:rPr>
          <w:rFonts w:hint="eastAsia" w:ascii="宋体" w:hAnsi="宋体" w:cs="宋体"/>
          <w:sz w:val="21"/>
          <w:szCs w:val="21"/>
        </w:rPr>
        <w:t>填报日期：</w:t>
      </w:r>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.1.24</w:t>
      </w:r>
    </w:p>
    <w:p>
      <w:pPr>
        <w:spacing w:line="440" w:lineRule="exact"/>
        <w:jc w:val="left"/>
        <w:rPr>
          <w:rFonts w:ascii="宋体" w:cs="宋体"/>
          <w:sz w:val="21"/>
          <w:szCs w:val="21"/>
        </w:rPr>
      </w:pPr>
    </w:p>
    <w:p>
      <w:pPr>
        <w:spacing w:line="440" w:lineRule="exact"/>
        <w:jc w:val="left"/>
        <w:rPr>
          <w:rFonts w:ascii="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58C"/>
    <w:rsid w:val="00052B67"/>
    <w:rsid w:val="00067D9E"/>
    <w:rsid w:val="000935ED"/>
    <w:rsid w:val="000B5A45"/>
    <w:rsid w:val="00115650"/>
    <w:rsid w:val="00175E1D"/>
    <w:rsid w:val="0018699B"/>
    <w:rsid w:val="001B679D"/>
    <w:rsid w:val="002B122D"/>
    <w:rsid w:val="003853A0"/>
    <w:rsid w:val="003871A5"/>
    <w:rsid w:val="003A0542"/>
    <w:rsid w:val="003C529F"/>
    <w:rsid w:val="003D3524"/>
    <w:rsid w:val="003D5387"/>
    <w:rsid w:val="003F3011"/>
    <w:rsid w:val="00403E9D"/>
    <w:rsid w:val="00410C01"/>
    <w:rsid w:val="004177E8"/>
    <w:rsid w:val="0043615C"/>
    <w:rsid w:val="00445DCD"/>
    <w:rsid w:val="004467C2"/>
    <w:rsid w:val="004B2713"/>
    <w:rsid w:val="004E7027"/>
    <w:rsid w:val="004F1BF2"/>
    <w:rsid w:val="0052204A"/>
    <w:rsid w:val="00570A97"/>
    <w:rsid w:val="005A085E"/>
    <w:rsid w:val="005B3BBF"/>
    <w:rsid w:val="005B5DD3"/>
    <w:rsid w:val="005F5FE7"/>
    <w:rsid w:val="00610E41"/>
    <w:rsid w:val="00655E8A"/>
    <w:rsid w:val="00663338"/>
    <w:rsid w:val="006C2713"/>
    <w:rsid w:val="00703B93"/>
    <w:rsid w:val="007872C1"/>
    <w:rsid w:val="007C69FE"/>
    <w:rsid w:val="008134C1"/>
    <w:rsid w:val="0083033D"/>
    <w:rsid w:val="00897616"/>
    <w:rsid w:val="008D28A8"/>
    <w:rsid w:val="00973F31"/>
    <w:rsid w:val="009853D6"/>
    <w:rsid w:val="0099344A"/>
    <w:rsid w:val="009935A5"/>
    <w:rsid w:val="00993F25"/>
    <w:rsid w:val="00A7158C"/>
    <w:rsid w:val="00A7191C"/>
    <w:rsid w:val="00AB367E"/>
    <w:rsid w:val="00AB4D5B"/>
    <w:rsid w:val="00AE2DD9"/>
    <w:rsid w:val="00AE68A0"/>
    <w:rsid w:val="00AF360A"/>
    <w:rsid w:val="00AF3972"/>
    <w:rsid w:val="00B12B07"/>
    <w:rsid w:val="00B624CE"/>
    <w:rsid w:val="00B662CC"/>
    <w:rsid w:val="00B741B6"/>
    <w:rsid w:val="00BD5229"/>
    <w:rsid w:val="00BF6CDF"/>
    <w:rsid w:val="00C276C9"/>
    <w:rsid w:val="00C65A87"/>
    <w:rsid w:val="00C70425"/>
    <w:rsid w:val="00CA1803"/>
    <w:rsid w:val="00CE14D2"/>
    <w:rsid w:val="00D40ADF"/>
    <w:rsid w:val="00D6320E"/>
    <w:rsid w:val="00D67E3B"/>
    <w:rsid w:val="00D71EE2"/>
    <w:rsid w:val="00E27FB9"/>
    <w:rsid w:val="00EB77F5"/>
    <w:rsid w:val="00EC4417"/>
    <w:rsid w:val="00EF0916"/>
    <w:rsid w:val="00F13FE8"/>
    <w:rsid w:val="00F14A66"/>
    <w:rsid w:val="00F55C71"/>
    <w:rsid w:val="00FB1178"/>
    <w:rsid w:val="00FC2A6F"/>
    <w:rsid w:val="00FD632D"/>
    <w:rsid w:val="03052571"/>
    <w:rsid w:val="03170237"/>
    <w:rsid w:val="04D17EF7"/>
    <w:rsid w:val="06C04D1C"/>
    <w:rsid w:val="06E748F7"/>
    <w:rsid w:val="0F9619F9"/>
    <w:rsid w:val="11B7250E"/>
    <w:rsid w:val="123829EF"/>
    <w:rsid w:val="13057228"/>
    <w:rsid w:val="167A0EEE"/>
    <w:rsid w:val="27517AE8"/>
    <w:rsid w:val="292F3482"/>
    <w:rsid w:val="2E3C6D5E"/>
    <w:rsid w:val="2FA8573B"/>
    <w:rsid w:val="2FC65074"/>
    <w:rsid w:val="392B072A"/>
    <w:rsid w:val="409E4B74"/>
    <w:rsid w:val="42836415"/>
    <w:rsid w:val="4A22397A"/>
    <w:rsid w:val="4D88341B"/>
    <w:rsid w:val="55634E03"/>
    <w:rsid w:val="56D73AF3"/>
    <w:rsid w:val="587618AA"/>
    <w:rsid w:val="596E1600"/>
    <w:rsid w:val="5A6C60F1"/>
    <w:rsid w:val="5F513860"/>
    <w:rsid w:val="5FDF78C9"/>
    <w:rsid w:val="60085EDD"/>
    <w:rsid w:val="618A27D6"/>
    <w:rsid w:val="6A823B7E"/>
    <w:rsid w:val="72895093"/>
    <w:rsid w:val="769A48B8"/>
    <w:rsid w:val="7D7C49A1"/>
    <w:rsid w:val="7D9B4C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30"/>
      <w:lang w:val="en-US" w:eastAsia="zh-CN" w:bidi="ar-SA"/>
    </w:rPr>
  </w:style>
  <w:style w:type="paragraph" w:styleId="2">
    <w:name w:val="heading 1"/>
    <w:basedOn w:val="1"/>
    <w:next w:val="1"/>
    <w:link w:val="8"/>
    <w:qFormat/>
    <w:locked/>
    <w:uiPriority w:val="99"/>
    <w:pPr>
      <w:spacing w:beforeAutospacing="1" w:afterAutospacing="1"/>
      <w:jc w:val="left"/>
      <w:outlineLvl w:val="0"/>
    </w:pPr>
    <w:rPr>
      <w:rFonts w:ascii="宋体" w:hAnsi="宋体"/>
      <w:b/>
      <w:kern w:val="44"/>
      <w:sz w:val="48"/>
      <w:szCs w:val="48"/>
    </w:rPr>
  </w:style>
  <w:style w:type="character" w:default="1" w:styleId="7">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8">
    <w:name w:val="Heading 1 Char"/>
    <w:basedOn w:val="7"/>
    <w:link w:val="2"/>
    <w:locked/>
    <w:uiPriority w:val="99"/>
    <w:rPr>
      <w:rFonts w:cs="Times New Roman"/>
      <w:b/>
      <w:bCs/>
      <w:kern w:val="44"/>
      <w:sz w:val="44"/>
      <w:szCs w:val="44"/>
    </w:rPr>
  </w:style>
  <w:style w:type="character" w:customStyle="1" w:styleId="9">
    <w:name w:val="Footer Char"/>
    <w:basedOn w:val="7"/>
    <w:link w:val="3"/>
    <w:semiHidden/>
    <w:locked/>
    <w:uiPriority w:val="99"/>
    <w:rPr>
      <w:rFonts w:cs="Times New Roman"/>
      <w:sz w:val="18"/>
      <w:szCs w:val="18"/>
    </w:rPr>
  </w:style>
  <w:style w:type="character" w:customStyle="1" w:styleId="10">
    <w:name w:val="Header Char"/>
    <w:basedOn w:val="7"/>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166</Words>
  <Characters>951</Characters>
  <Lines>0</Lines>
  <Paragraphs>0</Paragraphs>
  <TotalTime>17</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2015-08-20T02:45:00Z</dcterms:created>
  <dc:creator>Lenovo</dc:creator>
  <cp:lastModifiedBy>Administrator</cp:lastModifiedBy>
  <cp:lastPrinted>2017-03-23T05:27:00Z</cp:lastPrinted>
  <dcterms:modified xsi:type="dcterms:W3CDTF">2019-07-08T08:24:49Z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