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84"/>
          <w:szCs w:val="84"/>
        </w:rPr>
      </w:pPr>
    </w:p>
    <w:p>
      <w:pPr>
        <w:pStyle w:val="11"/>
        <w:jc w:val="center"/>
        <w:rPr>
          <w:rFonts w:hint="eastAsia" w:ascii="方正小标宋_GBK" w:hAnsi="方正小标宋_GBK" w:eastAsia="方正小标宋_GBK" w:cs="方正小标宋_GBK"/>
          <w:sz w:val="84"/>
          <w:szCs w:val="84"/>
        </w:rPr>
      </w:pPr>
    </w:p>
    <w:p>
      <w:pPr>
        <w:pStyle w:val="11"/>
        <w:ind w:firstLine="2520" w:firstLineChars="3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西安镇</w:t>
      </w:r>
      <w:r>
        <w:rPr>
          <w:rFonts w:hint="eastAsia" w:ascii="方正小标宋_GBK" w:hAnsi="方正小标宋_GBK" w:eastAsia="方正小标宋_GBK" w:cs="方正小标宋_GBK"/>
          <w:sz w:val="84"/>
          <w:szCs w:val="84"/>
        </w:rPr>
        <w:t>部门决算</w:t>
      </w:r>
    </w:p>
    <w:p>
      <w:pPr>
        <w:pStyle w:val="11"/>
        <w:jc w:val="center"/>
        <w:rPr>
          <w:rFonts w:hint="eastAsia" w:ascii="方正小标宋_GBK" w:hAnsi="方正小标宋_GBK" w:eastAsia="方正小标宋_GBK" w:cs="方正小标宋_GBK"/>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spacing w:line="540" w:lineRule="exact"/>
        <w:jc w:val="both"/>
        <w:rPr>
          <w:sz w:val="56"/>
          <w:szCs w:val="56"/>
        </w:rPr>
      </w:pPr>
    </w:p>
    <w:p>
      <w:pPr>
        <w:pStyle w:val="11"/>
        <w:spacing w:line="500" w:lineRule="exact"/>
        <w:jc w:val="both"/>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西安镇</w:t>
      </w:r>
      <w:r>
        <w:rPr>
          <w:rFonts w:hint="eastAsia" w:ascii="黑体" w:hAnsi="黑体" w:eastAsia="黑体" w:cs="黑体"/>
          <w:b w:val="0"/>
          <w:bCs/>
          <w:sz w:val="28"/>
          <w:szCs w:val="28"/>
        </w:rPr>
        <w:t>概况</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1"/>
        <w:spacing w:line="500" w:lineRule="exact"/>
        <w:rPr>
          <w:rFonts w:hint="eastAsia" w:hAnsi="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spacing w:line="500" w:lineRule="exact"/>
        <w:rPr>
          <w:rFonts w:hint="eastAsia" w:hAnsi="黑体" w:cs="黑体"/>
          <w:b w:val="0"/>
          <w:bCs/>
          <w:sz w:val="28"/>
          <w:szCs w:val="28"/>
          <w:lang w:eastAsia="zh-CN"/>
        </w:rPr>
      </w:pPr>
    </w:p>
    <w:p>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1"/>
        <w:ind w:firstLine="1680" w:firstLineChars="2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西安镇部门</w:t>
      </w:r>
      <w:r>
        <w:rPr>
          <w:rFonts w:hint="eastAsia" w:ascii="方正小标宋_GBK" w:hAnsi="方正小标宋_GBK" w:eastAsia="方正小标宋_GBK" w:cs="方正小标宋_GBK"/>
          <w:sz w:val="84"/>
          <w:szCs w:val="84"/>
        </w:rPr>
        <w:t>概况</w:t>
      </w:r>
    </w:p>
    <w:p>
      <w:pPr>
        <w:pStyle w:val="11"/>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Style w:val="8"/>
          <w:rFonts w:hint="eastAsia" w:ascii="Helvetica" w:hAnsi="Helvetica" w:eastAsia="宋体" w:cs="Helvetica"/>
          <w:color w:val="333333"/>
          <w:sz w:val="21"/>
          <w:szCs w:val="21"/>
          <w:shd w:val="clear" w:color="auto" w:fill="FFFFFF"/>
          <w:lang w:val="en-US" w:eastAsia="zh-CN"/>
        </w:rPr>
        <w:t>(</w:t>
      </w:r>
      <w:r>
        <w:rPr>
          <w:rStyle w:val="8"/>
          <w:rFonts w:ascii="Helvetica" w:hAnsi="Helvetica" w:eastAsia="Helvetica" w:cs="Helvetica"/>
          <w:color w:val="333333"/>
          <w:sz w:val="21"/>
          <w:szCs w:val="21"/>
          <w:shd w:val="clear" w:color="auto" w:fill="FFFFFF"/>
        </w:rPr>
        <w:t>一</w:t>
      </w:r>
      <w:r>
        <w:rPr>
          <w:rStyle w:val="8"/>
          <w:rFonts w:hint="eastAsia" w:ascii="Helvetica" w:hAnsi="Helvetica" w:eastAsia="宋体" w:cs="Helvetica"/>
          <w:color w:val="333333"/>
          <w:sz w:val="21"/>
          <w:szCs w:val="21"/>
          <w:shd w:val="clear" w:color="auto" w:fill="FFFFFF"/>
          <w:lang w:val="en-US" w:eastAsia="zh-CN"/>
        </w:rPr>
        <w:t>)</w:t>
      </w:r>
      <w:r>
        <w:rPr>
          <w:rStyle w:val="8"/>
          <w:rFonts w:ascii="Helvetica" w:hAnsi="Helvetica" w:eastAsia="Helvetica" w:cs="Helvetica"/>
          <w:color w:val="333333"/>
          <w:sz w:val="21"/>
          <w:szCs w:val="21"/>
          <w:shd w:val="clear" w:color="auto" w:fill="FFFFFF"/>
        </w:rPr>
        <w:t>部门职责</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一）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（二）制定并组织实施村镇建设规划,部署重点工程建设,地方道路建设及公共设施,水利设施的管理,负责土地、林木、水等自然资源和生态环境的保护,做好护林防火工作。</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（三）负责本行政区域内的民政、计划生育、文化教育、卫生、体育等社会公益事业的综合性工作,维护一切经济单位和个人的正当经济权益,取缔非法经济活动,调解和处理民事纠纷,打击刑事犯罪维护社会稳定。</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（四）按计划组织本级财政收入和地方税的征收,完成国家财政计划,不断培植税源,管好财政资金,增强财政实力。</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（五）抓好精神文明建设,丰富群众文化生活,提倡移风易俗,反对封建迷信,破除陈规陋习,树立社会主义新风尚。</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（六）完成上级政府交办的其他工作任务。</w:t>
      </w:r>
    </w:p>
    <w:p>
      <w:pPr>
        <w:pStyle w:val="12"/>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二、机构设置</w:t>
      </w:r>
      <w:r>
        <w:rPr>
          <w:rFonts w:hint="eastAsia" w:ascii="黑体" w:hAnsi="黑体" w:eastAsia="黑体" w:cs="黑体"/>
          <w:b w:val="0"/>
          <w:bCs w:val="0"/>
          <w:sz w:val="32"/>
          <w:szCs w:val="32"/>
          <w:lang w:eastAsia="zh-CN"/>
        </w:rPr>
        <w:t>及决算单位构成</w:t>
      </w:r>
    </w:p>
    <w:p>
      <w:pPr>
        <w:pStyle w:val="6"/>
        <w:widowControl/>
        <w:shd w:val="clear" w:color="auto" w:fill="FFFFFF"/>
        <w:spacing w:beforeAutospacing="0" w:afterAutospacing="0" w:line="435" w:lineRule="atLeast"/>
        <w:ind w:firstLine="420"/>
        <w:rPr>
          <w:rStyle w:val="8"/>
          <w:rFonts w:hint="eastAsia" w:ascii="Helvetica" w:hAnsi="Helvetica" w:eastAsia="宋体" w:cs="Helvetica"/>
          <w:color w:val="333333"/>
          <w:sz w:val="21"/>
          <w:szCs w:val="21"/>
          <w:shd w:val="clear" w:color="auto" w:fill="FFFFFF"/>
          <w:lang w:val="en-US" w:eastAsia="zh-CN"/>
        </w:rPr>
      </w:pPr>
      <w:r>
        <w:rPr>
          <w:rStyle w:val="8"/>
          <w:rFonts w:hint="eastAsia" w:ascii="Helvetica" w:hAnsi="Helvetica" w:eastAsia="宋体" w:cs="Helvetica"/>
          <w:color w:val="333333"/>
          <w:sz w:val="21"/>
          <w:szCs w:val="21"/>
          <w:shd w:val="clear" w:color="auto" w:fill="FFFFFF"/>
          <w:lang w:val="en-US" w:eastAsia="zh-CN"/>
        </w:rPr>
        <w:t>（一）内设机构设置</w:t>
      </w:r>
    </w:p>
    <w:p>
      <w:pPr>
        <w:widowControl/>
        <w:spacing w:line="600" w:lineRule="exact"/>
        <w:ind w:firstLine="420" w:firstLineChars="200"/>
        <w:rPr>
          <w:rFonts w:ascii="Helvetica" w:hAnsi="Helvetica" w:eastAsia="Helvetica" w:cs="Helvetica"/>
          <w:color w:val="333333"/>
          <w:sz w:val="21"/>
          <w:szCs w:val="21"/>
          <w:shd w:val="clear" w:color="auto" w:fill="FFFFFF"/>
        </w:rPr>
      </w:pPr>
      <w:r>
        <w:rPr>
          <w:rFonts w:ascii="Helvetica" w:hAnsi="Helvetica" w:eastAsia="Helvetica" w:cs="Helvetica"/>
          <w:color w:val="333333"/>
          <w:sz w:val="21"/>
          <w:szCs w:val="21"/>
          <w:shd w:val="clear" w:color="auto" w:fill="FFFFFF"/>
        </w:rPr>
        <w:t>本镇独立编制机构7个，其中：行政机构2个，包括政府机关、财政所；事业机构5个，包括：退役军人服务站、农业综合服务中心、社会综合服务中心、政务服务中心、行政综合执法大队。独立核算机构6个，其中：行政机构1个，仅西安镇人民政府本级；事业机构5个，包括：退役军人服务站、农业综合服务中心、社会综合服务中心、政务服务中心、行政综合执法大队。</w:t>
      </w:r>
    </w:p>
    <w:p>
      <w:pPr>
        <w:pStyle w:val="6"/>
        <w:widowControl/>
        <w:shd w:val="clear" w:color="auto" w:fill="FFFFFF"/>
        <w:spacing w:beforeAutospacing="0" w:afterAutospacing="0" w:line="435" w:lineRule="atLeast"/>
        <w:ind w:firstLine="420"/>
        <w:rPr>
          <w:rStyle w:val="8"/>
          <w:rFonts w:hint="eastAsia" w:ascii="Helvetica" w:hAnsi="Helvetica" w:eastAsia="宋体" w:cs="Helvetica"/>
          <w:color w:val="333333"/>
          <w:sz w:val="21"/>
          <w:szCs w:val="21"/>
          <w:shd w:val="clear" w:color="auto" w:fill="FFFFFF"/>
          <w:lang w:val="en-US" w:eastAsia="zh-CN"/>
        </w:rPr>
      </w:pPr>
      <w:r>
        <w:rPr>
          <w:rStyle w:val="8"/>
          <w:rFonts w:hint="eastAsia" w:ascii="Helvetica" w:hAnsi="Helvetica" w:eastAsia="宋体" w:cs="Helvetica"/>
          <w:color w:val="333333"/>
          <w:sz w:val="21"/>
          <w:szCs w:val="21"/>
          <w:shd w:val="clear" w:color="auto" w:fill="FFFFFF"/>
          <w:lang w:val="en-US" w:eastAsia="zh-CN"/>
        </w:rPr>
        <w:t>（二）决算单位构成</w:t>
      </w:r>
    </w:p>
    <w:p>
      <w:pPr>
        <w:pStyle w:val="11"/>
        <w:jc w:val="center"/>
        <w:rPr>
          <w:rFonts w:hint="eastAsia" w:ascii="Helvetica" w:hAnsi="Helvetica" w:eastAsia="宋体" w:cs="Helvetica"/>
          <w:color w:val="333333"/>
          <w:sz w:val="21"/>
          <w:szCs w:val="21"/>
          <w:shd w:val="clear" w:color="auto" w:fill="FFFFFF"/>
          <w:lang w:eastAsia="zh-CN"/>
        </w:rPr>
      </w:pPr>
      <w:r>
        <w:rPr>
          <w:rFonts w:hint="eastAsia" w:ascii="Helvetica" w:hAnsi="Helvetica" w:eastAsia="Helvetica" w:cs="Helvetica"/>
          <w:color w:val="333333"/>
          <w:sz w:val="21"/>
          <w:szCs w:val="21"/>
          <w:shd w:val="clear" w:color="auto" w:fill="FFFFFF"/>
          <w:lang w:eastAsia="zh-CN"/>
        </w:rPr>
        <w:t>西安镇</w:t>
      </w:r>
      <w:r>
        <w:rPr>
          <w:rFonts w:hint="eastAsia" w:ascii="Helvetica" w:hAnsi="Helvetica" w:eastAsia="Helvetica" w:cs="Helvetica"/>
          <w:color w:val="333333"/>
          <w:sz w:val="21"/>
          <w:szCs w:val="21"/>
          <w:shd w:val="clear" w:color="auto" w:fill="FFFFFF"/>
        </w:rPr>
        <w:t>202</w:t>
      </w:r>
      <w:r>
        <w:rPr>
          <w:rFonts w:hint="eastAsia" w:ascii="Helvetica" w:hAnsi="Helvetica" w:eastAsia="Helvetica" w:cs="Helvetica"/>
          <w:color w:val="333333"/>
          <w:sz w:val="21"/>
          <w:szCs w:val="21"/>
          <w:shd w:val="clear" w:color="auto" w:fill="FFFFFF"/>
          <w:lang w:val="en-US" w:eastAsia="zh-CN"/>
        </w:rPr>
        <w:t>3</w:t>
      </w:r>
      <w:r>
        <w:rPr>
          <w:rFonts w:hint="eastAsia" w:ascii="Helvetica" w:hAnsi="Helvetica" w:eastAsia="Helvetica" w:cs="Helvetica"/>
          <w:color w:val="333333"/>
          <w:sz w:val="21"/>
          <w:szCs w:val="21"/>
          <w:shd w:val="clear" w:color="auto" w:fill="FFFFFF"/>
        </w:rPr>
        <w:t>年部门决算汇总公开单位构成包括：</w:t>
      </w:r>
      <w:r>
        <w:rPr>
          <w:rFonts w:hint="eastAsia" w:ascii="Helvetica" w:hAnsi="Helvetica" w:eastAsia="Helvetica" w:cs="Helvetica"/>
          <w:color w:val="333333"/>
          <w:sz w:val="21"/>
          <w:szCs w:val="21"/>
          <w:shd w:val="clear" w:color="auto" w:fill="FFFFFF"/>
          <w:lang w:eastAsia="zh-CN"/>
        </w:rPr>
        <w:t>西安镇人民政府</w:t>
      </w:r>
      <w:r>
        <w:rPr>
          <w:rFonts w:hint="eastAsia" w:ascii="Helvetica" w:hAnsi="Helvetica" w:eastAsia="Helvetica" w:cs="Helvetica"/>
          <w:color w:val="333333"/>
          <w:sz w:val="21"/>
          <w:szCs w:val="21"/>
          <w:shd w:val="clear" w:color="auto" w:fill="FFFFFF"/>
        </w:rPr>
        <w:t>本级以及</w:t>
      </w:r>
      <w:r>
        <w:rPr>
          <w:rFonts w:ascii="Helvetica" w:hAnsi="Helvetica" w:eastAsia="Helvetica" w:cs="Helvetica"/>
          <w:color w:val="333333"/>
          <w:sz w:val="21"/>
          <w:szCs w:val="21"/>
          <w:shd w:val="clear" w:color="auto" w:fill="FFFFFF"/>
        </w:rPr>
        <w:t>退役军人服务站、农业综合服务中心、社会综合服务中心、政务服务中心、行政综合执法大队</w:t>
      </w:r>
      <w:r>
        <w:rPr>
          <w:rFonts w:hint="eastAsia" w:ascii="Helvetica" w:hAnsi="Helvetica" w:eastAsia="宋体" w:cs="Helvetica"/>
          <w:color w:val="333333"/>
          <w:sz w:val="21"/>
          <w:szCs w:val="21"/>
          <w:shd w:val="clear" w:color="auto" w:fill="FFFFFF"/>
          <w:lang w:eastAsia="zh-CN"/>
        </w:rPr>
        <w:t>。</w:t>
      </w: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jc w:val="center"/>
        <w:rPr>
          <w:rFonts w:hint="eastAsia" w:ascii="Helvetica" w:hAnsi="Helvetica" w:eastAsia="宋体" w:cs="Helvetica"/>
          <w:color w:val="333333"/>
          <w:sz w:val="21"/>
          <w:szCs w:val="21"/>
          <w:shd w:val="clear" w:color="auto" w:fill="FFFFFF"/>
          <w:lang w:eastAsia="zh-CN"/>
        </w:rPr>
      </w:pPr>
    </w:p>
    <w:p>
      <w:pPr>
        <w:pStyle w:val="11"/>
        <w:ind w:firstLine="2520" w:firstLineChars="3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1"/>
        <w:jc w:val="center"/>
        <w:rPr>
          <w:rFonts w:hint="eastAsia" w:ascii="黑体" w:hAnsi="黑体" w:eastAsia="黑体" w:cs="黑体"/>
          <w:b w:val="0"/>
          <w:bCs w:val="0"/>
          <w:sz w:val="32"/>
          <w:szCs w:val="32"/>
        </w:rPr>
      </w:pPr>
      <w:r>
        <w:rPr>
          <w:rFonts w:hint="eastAsia" w:ascii="方正小标宋_GBK" w:hAnsi="方正小标宋_GBK" w:eastAsia="方正小标宋_GBK" w:cs="方正小标宋_GBK"/>
          <w:sz w:val="84"/>
          <w:szCs w:val="84"/>
        </w:rPr>
        <w:t>部门决算表</w:t>
      </w:r>
      <w:r>
        <w:rPr>
          <w:rFonts w:hint="eastAsia" w:ascii="方正小标宋_GBK" w:hAnsi="方正小标宋_GBK" w:eastAsia="方正小标宋_GBK" w:cs="方正小标宋_GBK"/>
          <w:sz w:val="84"/>
          <w:szCs w:val="84"/>
          <w:lang w:eastAsia="zh-CN"/>
        </w:rPr>
        <w:t>（见附件）</w:t>
      </w:r>
    </w:p>
    <w:p>
      <w:pPr>
        <w:pStyle w:val="12"/>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一、收入支出决算总表（公开01表）</w:t>
      </w:r>
    </w:p>
    <w:p>
      <w:pPr>
        <w:pStyle w:val="12"/>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二、收入决算表（公开02表）</w:t>
      </w:r>
    </w:p>
    <w:p>
      <w:pPr>
        <w:pStyle w:val="12"/>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三、支出决算表（公开03表）</w:t>
      </w:r>
    </w:p>
    <w:p>
      <w:pPr>
        <w:pStyle w:val="12"/>
        <w:numPr>
          <w:ilvl w:val="0"/>
          <w:numId w:val="0"/>
        </w:numPr>
        <w:spacing w:line="240" w:lineRule="auto"/>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四、财政拨款收入支出决算总表（公开04表）</w:t>
      </w:r>
    </w:p>
    <w:p>
      <w:pPr>
        <w:pStyle w:val="12"/>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五、一般公共预算财政拨款支出决算表（公开05表）</w:t>
      </w:r>
    </w:p>
    <w:p>
      <w:pPr>
        <w:pStyle w:val="12"/>
        <w:numPr>
          <w:ilvl w:val="0"/>
          <w:numId w:val="0"/>
        </w:numPr>
        <w:ind w:leftChars="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六、一般公共预算财政拨款基本支出决算明细表（公开06表）</w:t>
      </w:r>
    </w:p>
    <w:p>
      <w:pPr>
        <w:pStyle w:val="12"/>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七、政府性基金预算财政拨款收入支出决算表（公开07表）</w:t>
      </w:r>
    </w:p>
    <w:p>
      <w:pPr>
        <w:pStyle w:val="12"/>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八、国有资本经营预算财政拨款支出决算表（公开08表）</w:t>
      </w:r>
    </w:p>
    <w:p>
      <w:pPr>
        <w:pStyle w:val="12"/>
        <w:numPr>
          <w:ilvl w:val="0"/>
          <w:numId w:val="0"/>
        </w:numPr>
        <w:ind w:leftChars="0"/>
        <w:jc w:val="left"/>
        <w:rPr>
          <w:rFonts w:hint="eastAsia" w:ascii="方正小标宋_GBK" w:hAnsi="方正小标宋_GBK" w:eastAsia="方正小标宋_GBK" w:cs="方正小标宋_GBK"/>
          <w:sz w:val="72"/>
          <w:szCs w:val="72"/>
        </w:rPr>
      </w:pPr>
      <w:r>
        <w:rPr>
          <w:rFonts w:hint="eastAsia" w:ascii="黑体" w:hAnsi="黑体" w:eastAsia="黑体" w:cs="黑体"/>
          <w:b w:val="0"/>
          <w:bCs w:val="0"/>
          <w:sz w:val="32"/>
          <w:szCs w:val="32"/>
        </w:rPr>
        <w:t>九、财政拨款“三公”经费支出决算表（公开09表）</w:t>
      </w: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第三部分</w:t>
      </w: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3</w:t>
      </w:r>
      <w:r>
        <w:rPr>
          <w:rFonts w:hint="eastAsia" w:ascii="方正小标宋_GBK" w:hAnsi="方正小标宋_GBK" w:eastAsia="方正小标宋_GBK" w:cs="方正小标宋_GBK"/>
          <w:sz w:val="72"/>
          <w:szCs w:val="72"/>
        </w:rPr>
        <w:t>年度部门决算情况说明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6"/>
        <w:widowControl/>
        <w:shd w:val="clear" w:color="auto" w:fill="FFFFFF"/>
        <w:spacing w:beforeAutospacing="0" w:afterAutospacing="0" w:line="435" w:lineRule="atLeast"/>
        <w:ind w:firstLine="960" w:firstLineChars="3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2549.21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834.18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24.66</w:t>
      </w:r>
      <w:r>
        <w:rPr>
          <w:rFonts w:hint="eastAsia" w:ascii="Times New Roman" w:hAnsi="Times New Roman" w:eastAsia="仿宋_GB2312"/>
          <w:sz w:val="32"/>
          <w:szCs w:val="32"/>
        </w:rPr>
        <w:t>%，主要是因为一般公共预算</w:t>
      </w:r>
      <w:r>
        <w:rPr>
          <w:rFonts w:hint="eastAsia" w:ascii="Times New Roman" w:hAnsi="Times New Roman" w:eastAsia="仿宋_GB2312"/>
          <w:sz w:val="32"/>
          <w:szCs w:val="32"/>
          <w:lang w:eastAsia="zh-CN"/>
        </w:rPr>
        <w:t>减少。</w:t>
      </w:r>
    </w:p>
    <w:p>
      <w:pPr>
        <w:pStyle w:val="6"/>
        <w:widowControl/>
        <w:shd w:val="clear" w:color="auto" w:fill="FFFFFF"/>
        <w:spacing w:beforeAutospacing="0" w:afterAutospacing="0" w:line="435" w:lineRule="atLeast"/>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2549.21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834.18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24.66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主要是因为一般公共预算减少。</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1"/>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2549.21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2509.21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98.43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1"/>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2549.21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909.5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35.68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1639.7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64.32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6"/>
        <w:widowControl/>
        <w:shd w:val="clear" w:color="auto" w:fill="FFFFFF"/>
        <w:spacing w:beforeAutospacing="0" w:afterAutospacing="0" w:line="435" w:lineRule="atLeast"/>
        <w:ind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年度财政拨款收入总计</w:t>
      </w:r>
      <w:r>
        <w:rPr>
          <w:rFonts w:hint="eastAsia" w:ascii="Times New Roman" w:hAnsi="Times New Roman" w:eastAsia="仿宋_GB2312"/>
          <w:sz w:val="32"/>
          <w:szCs w:val="32"/>
          <w:lang w:val="en-US" w:eastAsia="zh-CN"/>
        </w:rPr>
        <w:t>2509.21万元，</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834.18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24.95</w:t>
      </w:r>
      <w:r>
        <w:rPr>
          <w:rFonts w:hint="eastAsia" w:ascii="Times New Roman" w:hAnsi="Times New Roman" w:eastAsia="仿宋_GB2312"/>
          <w:sz w:val="32"/>
          <w:szCs w:val="32"/>
        </w:rPr>
        <w:t>%，主要是因为一般公共预算</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pPr>
        <w:pStyle w:val="6"/>
        <w:widowControl/>
        <w:shd w:val="clear" w:color="auto" w:fill="FFFFFF"/>
        <w:spacing w:beforeAutospacing="0" w:afterAutospacing="0" w:line="435" w:lineRule="atLeast"/>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年度财政拨款收入总计</w:t>
      </w:r>
      <w:r>
        <w:rPr>
          <w:rFonts w:hint="eastAsia" w:ascii="Times New Roman" w:hAnsi="Times New Roman" w:eastAsia="仿宋_GB2312"/>
          <w:sz w:val="32"/>
          <w:szCs w:val="32"/>
          <w:lang w:val="en-US" w:eastAsia="zh-CN"/>
        </w:rPr>
        <w:t>2509.21万元，</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834.18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24.95</w:t>
      </w:r>
      <w:r>
        <w:rPr>
          <w:rFonts w:hint="eastAsia" w:ascii="Times New Roman" w:hAnsi="Times New Roman" w:eastAsia="仿宋_GB2312"/>
          <w:sz w:val="32"/>
          <w:szCs w:val="32"/>
        </w:rPr>
        <w:t>%，主要是因为一般公共预算</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6"/>
        <w:widowControl/>
        <w:shd w:val="clear" w:color="auto" w:fill="FFFFFF"/>
        <w:spacing w:beforeAutospacing="0" w:afterAutospacing="0" w:line="435" w:lineRule="atLeast"/>
        <w:ind w:firstLine="42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2485.21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97.49</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财政拨款支出减少</w:t>
      </w:r>
      <w:r>
        <w:rPr>
          <w:rFonts w:hint="eastAsia" w:ascii="Times New Roman" w:hAnsi="Times New Roman" w:eastAsia="仿宋_GB2312"/>
          <w:sz w:val="32"/>
          <w:szCs w:val="32"/>
          <w:lang w:val="en-US" w:eastAsia="zh-CN"/>
        </w:rPr>
        <w:t>858.18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25.67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2022年</w:t>
      </w:r>
      <w:r>
        <w:rPr>
          <w:rFonts w:hint="eastAsia" w:ascii="Times New Roman" w:hAnsi="Times New Roman" w:eastAsia="仿宋_GB2312"/>
          <w:sz w:val="32"/>
          <w:szCs w:val="32"/>
        </w:rPr>
        <w:t>受洪灾影响，灾后重建工作</w:t>
      </w:r>
      <w:r>
        <w:rPr>
          <w:rFonts w:hint="eastAsia" w:ascii="Times New Roman" w:hAnsi="Times New Roman" w:eastAsia="仿宋_GB2312"/>
          <w:sz w:val="32"/>
          <w:szCs w:val="32"/>
          <w:lang w:eastAsia="zh-CN"/>
        </w:rPr>
        <w:t>资金较多，</w:t>
      </w:r>
      <w:r>
        <w:rPr>
          <w:rFonts w:hint="eastAsia" w:ascii="Times New Roman" w:hAnsi="Times New Roman" w:eastAsia="仿宋_GB2312"/>
          <w:sz w:val="32"/>
          <w:szCs w:val="32"/>
          <w:lang w:val="en-US" w:eastAsia="zh-CN"/>
        </w:rPr>
        <w:t>2023年无此项目。</w:t>
      </w:r>
    </w:p>
    <w:p>
      <w:pPr>
        <w:pStyle w:val="11"/>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2485.21</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721.33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29.02</w:t>
      </w:r>
      <w:r>
        <w:rPr>
          <w:rFonts w:hint="eastAsia" w:ascii="Times New Roman" w:hAnsi="Times New Roman" w:eastAsia="仿宋_GB2312"/>
          <w:sz w:val="32"/>
          <w:szCs w:val="32"/>
        </w:rPr>
        <w:t>%；公共安全支出（类）支出</w:t>
      </w:r>
      <w:r>
        <w:rPr>
          <w:rFonts w:hint="eastAsia" w:ascii="Times New Roman" w:hAnsi="Times New Roman" w:eastAsia="仿宋_GB2312"/>
          <w:sz w:val="32"/>
          <w:szCs w:val="32"/>
          <w:lang w:val="en-US" w:eastAsia="zh-CN"/>
        </w:rPr>
        <w:t>14.52</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%；文化旅游体育与传媒支出</w:t>
      </w:r>
      <w:r>
        <w:rPr>
          <w:rFonts w:hint="eastAsia" w:ascii="Times New Roman" w:hAnsi="Times New Roman" w:eastAsia="仿宋_GB2312"/>
          <w:sz w:val="32"/>
          <w:szCs w:val="32"/>
          <w:lang w:val="en-US" w:eastAsia="zh-CN"/>
        </w:rPr>
        <w:t>5万元，占比0.2%；社会保障和就业支出109.3万元，占比43.98%；卫生健康支出43.26万元，占比1.74%；节能环保支出5万元，占比0.2%；城乡社区支出58.09，占比23.37%；农林水支出1398.45万元，占比56.27%；交通运输支出45万元，占比1.81%；资源勘探工业信息等支出5万元，占比0.2%；商业服务业等支出15万元，占比0.6%；自然资源海洋气象等支出8万元，占比0.32%；住房保障支出20.7万元，占比0.83%；灾害防治及应急管理支出34.16万元，占比13.74%；其他支出5万元，占比0.2%。</w:t>
      </w:r>
      <w:r>
        <w:rPr>
          <w:rFonts w:hint="eastAsia" w:ascii="Times New Roman" w:hAnsi="Times New Roman" w:eastAsia="仿宋_GB2312"/>
          <w:sz w:val="32"/>
          <w:szCs w:val="32"/>
        </w:rPr>
        <w:t>支出较去年</w:t>
      </w:r>
      <w:r>
        <w:rPr>
          <w:rFonts w:hint="eastAsia" w:ascii="Times New Roman" w:hAnsi="Times New Roman" w:eastAsia="仿宋_GB2312"/>
          <w:sz w:val="32"/>
          <w:szCs w:val="32"/>
          <w:lang w:val="en-US" w:eastAsia="zh-CN"/>
        </w:rPr>
        <w:t>3299.57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814.36万</w:t>
      </w:r>
      <w:r>
        <w:rPr>
          <w:rFonts w:hint="eastAsia" w:ascii="Times New Roman" w:hAnsi="Times New Roman" w:eastAsia="仿宋_GB2312"/>
          <w:sz w:val="32"/>
          <w:szCs w:val="32"/>
        </w:rPr>
        <w:t>元，主要是由于</w:t>
      </w:r>
      <w:r>
        <w:rPr>
          <w:rFonts w:hint="eastAsia" w:ascii="Times New Roman" w:hAnsi="Times New Roman" w:eastAsia="仿宋_GB2312"/>
          <w:sz w:val="32"/>
          <w:szCs w:val="32"/>
          <w:lang w:val="en-US" w:eastAsia="zh-CN"/>
        </w:rPr>
        <w:t>2022年</w:t>
      </w:r>
      <w:r>
        <w:rPr>
          <w:rFonts w:hint="eastAsia" w:ascii="Times New Roman" w:hAnsi="Times New Roman" w:eastAsia="仿宋_GB2312"/>
          <w:sz w:val="32"/>
          <w:szCs w:val="32"/>
        </w:rPr>
        <w:t>受洪灾影响，灾后重建工作项目</w:t>
      </w:r>
      <w:r>
        <w:rPr>
          <w:rFonts w:hint="eastAsia" w:ascii="Times New Roman" w:hAnsi="Times New Roman" w:eastAsia="仿宋_GB2312"/>
          <w:sz w:val="32"/>
          <w:szCs w:val="32"/>
          <w:lang w:eastAsia="zh-CN"/>
        </w:rPr>
        <w:t>较多，而今年无此项目</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2023年度财政拨款支出年初预算数为2359.9万元，支出决算数为2485.21万元，完成年初预算的105.31%，其中：</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1、一般公共服务（类）政府办公厅（室）及相关机构事务（款） 行政运行（项）。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年初预算为684.71万元，支出决算为634.6万元，完成年初预算的92.68%，决算数小于年初预算数的主要原因是：预算和决算的统计口径不一致。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2、一般公共服务（类）政府办公厅（室）及相关机构事务（款）信访事务（项）。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年初预算为0万元，支出决算为16.01万元，（因预算金额为0，无法计算超预算百分比）决算数大于年初预算数的主要原因是：年初预算未细化。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3、一般公共服务（类）政府办公厅（室）及相关机构事务（款） 其他政府办公厅（室）及相关机构事务支出（项）。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年初预算为0万元，支出决算为8.83万元，（因预算金额为0，无法计算超预算百分比）决算数大于年初预算数的主要原因是：年初预算未细化。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4、一般公共服务（类）发展与改革事务（款）其他发展与改革事务支出（项）。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年初预算为0万元，支出决算为10万元，决算数大于年初预算数的主要原因是：年初预算未细化。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5、一般公共服务（类）统计信息事务（款）其他统计信息事务支出（项）。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6、一般公共服务（类）财政事务（款）行政运行（项）。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年初预算为0万元，支出决算为23万元，（因预算金额为0，无法计算超预算百分比）决算数大于年初预算数的主要原因是：年初预算未细化。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7、一般公共服务（类）财政事务（款）一般行政管理事务（项）。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年初预算为0万元，支出决算为16万元，（因预算金额为0，无法计算超预算百分比）决算数大于年初预算数的主要原因是：年初预算未细化。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8、一般公共服务（类）财政事务（款）其他财政事务支出（项）。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年初预算为0万元，支出决算为0.52万元，（因预算金额为0，无法计算超预算百分比）决算数大于年初预算数的主要原因是：年初预算未细化。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9、一般公共服务（类）组织事务（款）公务员事务（项）。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年初预算为0万元，支出决算为0.9万元，（因预算金额为0，无法计算超预算百分比）决算数大于年初预算数的主要原因是：年初预算未细化。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10、一般公共服务（类）组织事务（款）其他组织事务支出（项）。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11、一般公共服务（类）宣传事务（款）一般行政管理事务（项）。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12、一般公共服务（类）其他共产党事务支出（款）一般行政管理事务（项）。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13、一般公共服务（类）其他共产党事务支出（款）其他共产党事务支出（项）。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年初预算为0万元，支出决算为0.12万元，（因预算金额为0，无法计算超预算百分比）决算数大于年初预算数的主要原因是：年初预算未细化。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14、一般公共服务（类）其他一般公共服务支出（款）其他一般公共服务支出（项）。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年初预算为0万元，支出决算为7.8万元，（因预算金额为0，无法计算超预算百分比）决算数大于年初预算数的主要原因是：年初预算未细化。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15、国防支出（类）国防动员（款）兵役征集（项）。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16、公共安全支出（类）公安（款）信息化建设（项）。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17、公共安全支出（类）司法（款）一般行政管理事务（项）。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18、文化旅游体育与传媒支出（类）文化和旅游（款）群众文化（项）。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年初预算为0万元，支出决算为0万元，完成年初预算的0%（因预算金额为0，无法计算超预算百分比）。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19、文化旅游体育与传媒支出（类）文化和旅游（款）其他文化和旅游支出（项）。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年初预算为5万元，支出决算为5万元，完成年初预算的100%，决算数等于年初预算数的主要原因是：严格控制支出。</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20、文化旅游体育与传媒支出（类）其他文化旅游体育与传媒支出（款）其他文化旅游体育与传媒支出（项）。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21、社会保障和就业支出（类）人力资源和社会保障管理事务（款）综合业务管理（项）。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年初预算为0万元，支出决算为0.53万元，（因预算金额为0，无法计算超预算百分比）决算数大于年初预算数的主要原因是：年初预算未细化。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22、社会保障和就业支出（类）人力资源和社会保障管理事务（款）社会保险业务管理事务（项）。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年初预算为0万元，支出决算为1.16万元，（因预算金额为0，无法计算超预算百分比）决算数大于年初预算数的主要原因是：年初预算未细化。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23、社会保障和就业支出（类）人力资源和社会保障管理事务（款）事业运行（项）。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年初预算为0万元，支出决算为0.3万元，决算数大于年初预算数的主要原因是：年初预算未细化。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24、社会保障和就业支出（类）民政管理事务（款）其他民政管理事务支出（项）。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年初预算为50万元，支出决算为36.76万元，完成年初预算的73.52%，决算数小于年初预算数的主要原因是：预算和决算的统计口径不一致。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25、社会保障和就业支出（类）行政事业单位养老支出（款）机关事业单位基本养老保险缴费支出（项）。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年初预算为34.66万元，支出决算为25.39万元，完成年初预算73.25%，决算数小于年初预算数，原因是：有人员退休、调出至养老保险支出减少。</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26、社会保障和就业支出（类）行政事业单位养老支出（款）其他行政事业单位养老支出（项）。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年初预算为0万元，支出决算为0.24万元，（因预算金额为0，无法计算超预算百分比）决算数大于年初预算数的主要原因是：年初预算未细化。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27、社会保障和就业支出（类）抚恤（款）死亡抚恤（项）。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年初预算为0万元，支出决算为2.86万元，（因预算金额为0，无法计算超预算百分比）决算数大于年初预算数的主要原因是：年初预算未细化。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28、社会保障和就业支出（类）抚恤（款）其他优抚支出（项）。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年初预算为0万元，支出决算为0万元，（因预算金额为0，无法计算超预算百分比）。</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29、社会保障和就业支出（类）退役安置（款）其他退役安置支出（项）。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年初预算为10万元，支出决算为0.39万元，完成年初预算的3.9%，决算数小于年初预算数的主要原因是：预算和决算的统计口径不一致。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30、社会保障和就业支出（类）社会福利（款）养老服务（项）。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年初预算为0万元，支出决算为14.84万元，（因预算金额为0，无法计算超预算百分比）决算数大于年初预算数的主要原因是：年初预算未细化。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31、社会保障和就业支出（类）临时救助（款）临时救助支出（项）。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年初预算为15万元，支出决算为14.61万元，完成年初预算的97.4%，决算数小于年初预算数的主要原因是：预算和决算的统计口径不一致。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32、社会保障和就业支出（类）特困人员救助供养（款）农村特困人员救助供养支出（项）。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年初预算为15万元，支出决算为21.52万元，完成年初预算的143.47%，决算数大于年初预算数的主要原因是：年初预算未细化。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33、社会保障和就业支出（类）退役军人管理事务（款）事业运行（项）。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年初预算为0万元，支出决算为36.52万元，（因预算金额为0，无法计算超预算百分比）决算数大于年初预算数的主要原因是：年初预算未细化。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34、社会保障和就业支出（类）退役军人管理事务（款）其他退役军人事务管理支出（项）。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年初预算为8万元，支出决算为1.68万元，完成年初预算的21%，决算数小于年初预算数的主要原因是：预算和决算的统计口径不一致。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35、社会保障和就业支出（类）其他社会保障和就业支出（款）其他社会保障和就业支出（项）。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年初预算为25万元，支出决算为5.35万元，完成年初预算的21.4%，决算数小于年初预算数的主要原因是：预算和决算的统计口径不一致。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36、卫生健康支出（类）基层医疗卫生机构（款）其他基层医疗卫生机构支出（项）。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年初预算为6万元，支出决算为1万元，完成年初预算的16.67%，决算数小于年初预算数的主要原因是：预算和决算的统计口径不一致。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37、卫生健康支出（类）公共卫生（款）其他公共卫生支出（项）。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年初预算为0万元，支出决算为3万元，（因预算金额为0，无法计算超预算百分比）决算数大于年初预算数的主要原因是：年初预算未细化。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38、卫生健康支出（类）计划生育事务（款）其他计划生育事务支出（项）。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年初预算为0万元，支出决算为4.15万元，（因预算金额为0，无法计算超预算百分比）决算数大于年初预算数的主要原因是：年初预算未细化。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39、卫生健康支出（类）行政事业单位医疗（款）行政单位医疗（项）。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年初预算为13.8万元，支出决算为13.8万元，完成年初预算的100%，决算数等于年初预算数。</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40、卫生健康支出（类）优抚对象医疗（款）其他优抚对象医疗支出（项）。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年初预算为0万元，支出决算为0.08万元，（因预算金额为0，无法计算超预算百分比）决算数大于年初预算数的主要原因是：年初预算未细化。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41、卫生健康支出（类）医疗保障管理事务（款）其他医疗保障管理事务支出（项）。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年初预算为0万元，支出决算为9.13万元，（因预算金额为0，无法计算超预算百分比）决算数大于年初预算数的主要原因是：年初预算未细化。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42、卫生健康支出（类）其他卫生健康支出（款）其他卫生健康支出（项）。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年初预算为0万元，支出决算为2.71万元，（因预算金额为0，无法计算超预算百分比）决算数大于年初预算数的主要原因是：年初预算未细化。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43、节能环保支出（类）自然生态保护（款）农村环境保护（项）。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年初预算为0万元，支出决算为64.1万元，（因预算金额为0，无法计算超预算百分比）决算数大于年初预算数的主要原因是：年初预算未细化。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44、城乡社区支出（类）城乡社区管理事务（款）行政运行（项）。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年初预算为0万元，支出决算为1.96万元，（因预算金额为0，无法计算超预算百分比）决算数大于年初预算数的主要原因是：年初预算未细化。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45、城乡社区支出（类）城乡社区公共设施（款）小城镇基础设施建设（项）。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年初预算为,60万元，支出决算为29万元，完成年初预算的48.33%，决算数小于年初预算数的主要原因是：预算和决算的统计口径不一致。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46、城乡社区支出（类）其他城乡社区支出（款）其他城乡社区支出（项）。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年初预算为10万元，支出决算为13.41万元，完成年初预算的134.1%，决算数大于年初预算数的主要原因是：年初预算未细化。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47、农林水支出（类）农业农村（款）行政运行（项）。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年初预算为0万元，支出决算为29.79万元，（因预算金额为0，无法计算超预算百分比）决算数大于年初预算数的主要原因是：年初预算未细化。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48、农林水支出（类）农业农村（款）事业运行（项）。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年初预算为0万元，支出决算为356.61万元，（因预算金额为0，无法计算超预算百分比）决算数大于年初预算数的主要原因是：年初预算未细化。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49、农林水支出（类）农业农村（款）防灾救灾（项）。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年初预算为0万元，支出决算为4万元，（因预算金额为0，无法计算超预算百分比）决算数大于年初预算数的主要原因是：年初预算未细化。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50、农林水支出（类）农业农村（款）农业生产发展（项）。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年初预算为0万元，支出决算为22.97万元，（因预算金额为0，无法计算超预算百分比）决算数大于年初预算数的主要原因是：年初预算未细化。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51、农林水支出（类）农业农村（款）农村社会事业（项）。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年初预算为70万元，支出决算为37.55万元，完成年初预算的53.64%，决算数小于年初预算数的主要原因是：预算和决算的统计口径不一致。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52、农林水支出（类）农业农村（款）农田建设（项）。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年初预算为0万元，支出决算为5万元，（因预算金额为0，无法计算超预算百分比）决算数大于年初预算数的主要原因是：年初预算未细化。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53、农林水支出（类）农业农村（款）其他农业农村支出（项）。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年初预算为100万元，支出决算为33万元，完成年初预算的33%，决算数小于年初预算数的主要原因是：预算和决算的统计口径不一致。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54、农林水支出（类）林业和草原（款）其他林业和草原支出（项）。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年初预算为20万元，支出决算为2万元，完成年初预算的10%，决算数小于年初预算数的主要原因是：预算和决算的统计口径不一致。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55、农林水支出（类）水利（款）农村水利（项）。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年初预算为0万元，支出决算为18万元，（因预算金额为0，无法计算超预算百分比）决算数大于年初预算数的主要原因是：年初预算未细化。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56、农林水支出（类）巩固脱贫衔接乡村振兴（款）农村基础设施建设（项）。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年初预算为80万元，支出决算为155万元，完成年初预算的193.75%，决算数大于年初预算数的主要原因是：年初预算未细化。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57、农林水支出（类）巩固脱贫衔接乡村振兴（款）其他巩固脱贫衔接乡村振兴支出（项）。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年初预算为200万元，支出决算为316.66万元，完成年初预算的158.33%，决算数大于年初预算数的主要原因是：年初预算未细化。      </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58、农林水支出（类）农村综合改革（款）对村级公益事业建设的补助（项）。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年初预算为60万元，支出决算为155万元，决算数大于年初预算数的主要原因是：年初预算未细化。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59、农林水支出（类）农村综合改革（款）对村民委员会和村党支部的补助（项）。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年初预算为354.04万元，支出决算为354.04万元，完成年初预算的100%，决算数等于年初预算数。</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60、农林水支出（类）农村综合改革（款）其他农村综合改革支出（项）。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年初预算为0万元，支出决算为22.6万元，（因预算金额为0，无法计算超预算百分比）决算数大于年初预算数的主要原因是：年初预算未细化。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61、农林水支出（类）其他农林水支出（款）其他农林水支出（项）。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年初预算为15万元，支出决算为5万元，完成年初预算的33.33%，决算数小于年初预算数的主要原因是：预算和决算的统计口径不一致。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62、交通运输支出（类）公路水路运输（款）公路建设（项）。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年初预算为0万元，支出决算为10万元，（因预算金额为0，无法计算超预算百分比）决算数大于年初预算数的主要原因是：年初预算未细化。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63、资源勘探工业信息等支出（类）工业和信息产业监管（款）其他工业和信息产业监管支出（项）。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年初预算为0万元，支出决算为10万元，（因预算金额为0，无法计算超预算百分比）决算数大于年初预算数的主要原因是：年初预算未细化。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64、金融支出（类）金融发展支出（款）其他金融发展支出（项）。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65、自然资源海洋气象等支出（类）自然资源事务（款）一般行政管理事务（项）。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年初预算为0万元，支出决算为15万元，（因预算金额为0，无法计算超预算百分比）决算数大于年初预算数的主要原因是：年初预算未细化。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66、自然资源海洋气象等支出（类）自然资源事务（款）自然资源利用与保护（项）。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年初预算为0万元，支出决算为6.22万元，（因预算金额为0，无法计算超预算百分比）决算数大于年初预算数的主要原因是：年初预算未细化。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67、自然资源海洋气象等支出（类）自然资源事务（款）自然资源调查与确权登记（项）。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年初预算为0万元，支出决算为5.88万元，（因预算金额为0，无法计算超预算百分比）决算数大于年初预算数的主要原因是：年初预算未细化。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68、自然资源海洋气象等支出（类）自然资源事务（款）地质矿产资源与环境调查（项）。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年初预算为0万元，支出决算为3万元，（因预算金额为0，无法计算超预算百分比）决算数大于年初预算数的主要原因是：年初预算未细化。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69、自然资源海洋气象等支出（类）自然资源事务（款）其他自然资源事务支出（项）。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年初预算为0万元，支出决算为20万元，（因预算金额为0，无法计算超预算百分比）决算数大于年初预算数的主要原因是：年初预算未细化。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70、住房保障支出（类）住房改革支出（款）住房公积金（项）。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年初预算为32.69万元，支出决算为20.7万元，完成年初预算的63.32%，决算数小于年初预算数的主要原因是：预算和决算的统计口径不一致。</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71、灾害防治及应急管理支出（类）应急管理事务（款）安全监管（项）。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年初预算为0万元，支出决算为1.6万元，（因预算金额为0，无法计算超预算百分比）决算数大于年初预算数的主要原因是：年初预算未细化。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72、灾害防治及应急管理支出（类）应急管理事务（款）其他应急管理支出（项）。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年初预算为0万元，支出决算为0.15万元，（因预算金额为0，无法计算超预算百分比）决算数大于年初预算数的主要原因是：年初预算未细化。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73、灾害防治及应急管理支出（类）矿山安全（款）其他矿山安全支出（项）。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年初预算为0万元，支出决算为20万元，（因预算金额为0，无法计算超预算百分比）决算数大于年初预算数的主要原因是：年初预算未细化。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74、灾害防治及应急管理支出（类）自然灾害防治（款）地质灾害防治（项）。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年初预算为0万元，支出决算为5万元，（因预算金额为0，无法计算超预算百分比）决算数大于年初预算数的主要原因是：年初预算未细化。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75、灾害防治及应急管理支出（类）自然灾害防治（款）其他自然灾害防治支出（项）。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年初预算为0万元，支出决算为4万元，（因预算金额为0，无法计算超预算百分比）决算数大于年初预算数的主要原因是：年初预算未细化。</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76、灾害防治及应急管理支出（类）自然灾害救灾及恢复重建支出（款）其他自然灾害救灾及恢复重建支出（项）。</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年初预算为28万元，支出决算为68万元，完成年初预算的242.86%，决算数大于年初预算数的主要原因是：年初预算未细化。</w:t>
      </w:r>
    </w:p>
    <w:p>
      <w:pPr>
        <w:pStyle w:val="6"/>
        <w:widowControl/>
        <w:shd w:val="clear" w:color="auto" w:fill="FFFFFF"/>
        <w:spacing w:beforeAutospacing="0" w:afterAutospacing="0" w:line="435" w:lineRule="atLeast"/>
        <w:ind w:firstLine="555"/>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 </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2023年政拨款基本支出869.51万元，其中：</w:t>
      </w:r>
    </w:p>
    <w:p>
      <w:pPr>
        <w:pStyle w:val="6"/>
        <w:widowControl/>
        <w:shd w:val="clear" w:color="auto" w:fill="FFFFFF"/>
        <w:spacing w:beforeAutospacing="0" w:afterAutospacing="0" w:line="435" w:lineRule="atLeast"/>
        <w:ind w:firstLine="420"/>
        <w:rPr>
          <w:rFonts w:hint="eastAsia" w:ascii="Times New Roman" w:hAnsi="Times New Roman" w:eastAsia="仿宋_GB2312"/>
          <w:b/>
          <w:sz w:val="32"/>
          <w:szCs w:val="32"/>
        </w:rPr>
      </w:pPr>
      <w:r>
        <w:rPr>
          <w:rFonts w:hint="eastAsia" w:ascii="Times New Roman" w:hAnsi="Times New Roman" w:eastAsia="仿宋_GB2312" w:cs="黑体"/>
          <w:color w:val="000000"/>
          <w:kern w:val="0"/>
          <w:sz w:val="32"/>
          <w:szCs w:val="32"/>
          <w:lang w:val="en-US" w:eastAsia="zh-CN" w:bidi="ar-SA"/>
        </w:rPr>
        <w:t>人员经费支出751.89万元，占基本支出的86.47%，主要包括基本工资、津贴补贴、奖金、伙食补助费等；公用经费支出117.62万元，占基本支出的13.53%，主要包括办公费、印刷费、咨询费、手续费等。</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1"/>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128.3</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工作内容增加，公务接待次数比预算时增加，</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27.58</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工作内容增加，公务接待次数比预算时增加</w:t>
      </w:r>
      <w:r>
        <w:rPr>
          <w:rFonts w:hint="eastAsia" w:ascii="Times New Roman" w:hAnsi="Times New Roman" w:eastAsia="仿宋_GB2312"/>
          <w:sz w:val="32"/>
          <w:szCs w:val="32"/>
        </w:rPr>
        <w:t>。其中：</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预算为0万元，支出决算为0万元（因预算金额为0，无法计算超预算百分比），决算数等于年初预算数的主要原因是本年无该项支出；与上年决算持平，持平的主要原因是本年及上年均无该项支出。</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2、公务接待费支出预算5.3万元，支出决算为6.8万元，完成预算的128.3%，决算数大于年初预算数的主要原因是严格按预算执行；与上年决算相比，</w:t>
      </w:r>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1.47</w:t>
      </w:r>
      <w:r>
        <w:rPr>
          <w:rFonts w:hint="eastAsia" w:ascii="Times New Roman" w:hAnsi="Times New Roman" w:eastAsia="仿宋_GB2312" w:cs="黑体"/>
          <w:color w:val="000000"/>
          <w:kern w:val="0"/>
          <w:sz w:val="32"/>
          <w:szCs w:val="32"/>
          <w:lang w:val="en-US" w:eastAsia="zh-CN" w:bidi="ar-SA"/>
        </w:rPr>
        <w:t>万元，</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27.58</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，增加的主要原因是</w:t>
      </w:r>
      <w:r>
        <w:rPr>
          <w:rFonts w:hint="eastAsia" w:ascii="Times New Roman" w:hAnsi="Times New Roman" w:eastAsia="仿宋_GB2312"/>
          <w:sz w:val="32"/>
          <w:szCs w:val="32"/>
          <w:lang w:eastAsia="zh-CN"/>
        </w:rPr>
        <w:t>工作内容增加，公务接待次数比预算时增加。</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预算为0万元，支出决算为0万元（因预算金额为0，无法计算超预算百分比）决算数等于年初预算数的主要原因是本年无该项支出；与上年决算持平，持平的主要原因是本年及上年均无该项支出。</w:t>
      </w:r>
    </w:p>
    <w:p>
      <w:pPr>
        <w:pStyle w:val="11"/>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p>
    <w:p>
      <w:pPr>
        <w:pStyle w:val="11"/>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2023年度“三公”经费财政拨款支出决算中，公务接待费支出决算6.8万元，占100%，因公出国（境）费支出决算0万元，占0%,公务用车购置费及运行维护费支出决算0万元，占0%。其中：</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1、因公出国（境）费支出决算为0万元，全年安排因公出国（境）团组0个，累计0人次，本单位本年度无因公出国（境）费支出。</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2、公务接待费支出决算为6.8万元，全年共接待来访团组119个、来宾1800人次，主要是上级有关部门来西安调研及检查发生的接待支出。</w:t>
      </w:r>
    </w:p>
    <w:p>
      <w:pPr>
        <w:pStyle w:val="6"/>
        <w:widowControl/>
        <w:shd w:val="clear" w:color="auto" w:fill="FFFFFF"/>
        <w:spacing w:beforeAutospacing="0" w:afterAutospacing="0" w:line="435" w:lineRule="atLeast"/>
        <w:ind w:firstLine="420"/>
        <w:rPr>
          <w:rFonts w:hint="eastAsia"/>
          <w:lang w:val="en-US" w:eastAsia="zh-CN"/>
        </w:rPr>
      </w:pPr>
      <w:r>
        <w:rPr>
          <w:rFonts w:hint="eastAsia" w:ascii="Times New Roman" w:hAnsi="Times New Roman" w:eastAsia="仿宋_GB2312" w:cs="黑体"/>
          <w:color w:val="000000"/>
          <w:kern w:val="0"/>
          <w:sz w:val="32"/>
          <w:szCs w:val="32"/>
          <w:lang w:val="en-US" w:eastAsia="zh-CN" w:bidi="ar-SA"/>
        </w:rPr>
        <w:t>3、公务用车购置费及运行维护费支出决算为0万元，其中：公务用车购置费0万元，西安镇单位本级更新公务用车0辆。公务用车运行维护费0万元，主要是车辆运行维护支出，截至2022年12月31日，我单位开支财政拨款的公务用车保有量为0辆。</w:t>
      </w:r>
      <w:bookmarkStart w:id="0" w:name="_GoBack"/>
      <w:bookmarkEnd w:id="0"/>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22.6</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22.6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22.6</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1"/>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6"/>
        <w:widowControl/>
        <w:shd w:val="clear" w:color="auto" w:fill="FFFFFF"/>
        <w:spacing w:beforeAutospacing="0" w:afterAutospacing="0" w:line="435" w:lineRule="atLeast"/>
        <w:ind w:firstLine="42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634.6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，比</w:t>
      </w:r>
      <w:r>
        <w:rPr>
          <w:rFonts w:hint="eastAsia" w:ascii="Times New Roman" w:hAnsi="Times New Roman" w:eastAsia="仿宋_GB2312"/>
          <w:sz w:val="32"/>
          <w:szCs w:val="32"/>
          <w:lang w:val="en-US" w:eastAsia="zh-CN"/>
        </w:rPr>
        <w:t>2022年增加211.78万元，同比增加50.8%，主要是单位编制人数增加，日常支出增加；比年初预算增加106.89万元，同比增加2026%，主要原因是单位编制人数增加，日常支出增加。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w:t>
      </w:r>
      <w:r>
        <w:rPr>
          <w:rFonts w:ascii="Helvetica" w:hAnsi="Helvetica" w:eastAsia="Helvetica" w:cs="Helvetica"/>
          <w:color w:val="333333"/>
          <w:sz w:val="21"/>
          <w:szCs w:val="21"/>
          <w:shd w:val="clear" w:color="auto" w:fill="FFFFFF"/>
        </w:rPr>
        <w:t>用于召开乡村振兴迎检、</w:t>
      </w:r>
      <w:r>
        <w:rPr>
          <w:rFonts w:hint="eastAsia" w:ascii="Helvetica" w:hAnsi="Helvetica" w:eastAsia="宋体" w:cs="Helvetica"/>
          <w:color w:val="333333"/>
          <w:sz w:val="21"/>
          <w:szCs w:val="21"/>
          <w:shd w:val="clear" w:color="auto" w:fill="FFFFFF"/>
          <w:lang w:eastAsia="zh-CN"/>
        </w:rPr>
        <w:t>抗洪防汛</w:t>
      </w:r>
      <w:r>
        <w:rPr>
          <w:rFonts w:ascii="Helvetica" w:hAnsi="Helvetica" w:eastAsia="Helvetica" w:cs="Helvetica"/>
          <w:color w:val="333333"/>
          <w:sz w:val="21"/>
          <w:szCs w:val="21"/>
          <w:shd w:val="clear" w:color="auto" w:fill="FFFFFF"/>
        </w:rPr>
        <w:t>部署等各项会议，人数1</w:t>
      </w:r>
      <w:r>
        <w:rPr>
          <w:rFonts w:hint="eastAsia" w:ascii="Helvetica" w:hAnsi="Helvetica" w:eastAsia="宋体" w:cs="Helvetica"/>
          <w:color w:val="333333"/>
          <w:sz w:val="21"/>
          <w:szCs w:val="21"/>
          <w:shd w:val="clear" w:color="auto" w:fill="FFFFFF"/>
          <w:lang w:val="en-US" w:eastAsia="zh-CN"/>
        </w:rPr>
        <w:t>458</w:t>
      </w:r>
      <w:r>
        <w:rPr>
          <w:rFonts w:ascii="Helvetica" w:hAnsi="Helvetica" w:eastAsia="Helvetica" w:cs="Helvetica"/>
          <w:color w:val="333333"/>
          <w:sz w:val="21"/>
          <w:szCs w:val="21"/>
          <w:shd w:val="clear" w:color="auto" w:fill="FFFFFF"/>
        </w:rPr>
        <w:t>人，内容为乡镇各项工作统筹联系</w:t>
      </w:r>
      <w:r>
        <w:rPr>
          <w:rFonts w:hint="eastAsia" w:ascii="Helvetica" w:hAnsi="Helvetica" w:eastAsia="宋体" w:cs="Helvetica"/>
          <w:color w:val="333333"/>
          <w:sz w:val="21"/>
          <w:szCs w:val="21"/>
          <w:shd w:val="clear" w:color="auto" w:fill="FFFFFF"/>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乡村振兴、财政知识、农业方面</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216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乡村振兴、财政知识、农业方面理论知识</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1"/>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1"/>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绩效管理工作开展情况</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根据新《预算法》中对财政绩效管理的新要求,我镇坚持以提升财政资金绩效为主线,以绩效目标实现为导向,加强财政绩效管理建设,各项收入和支出都基本按预算的目标完成,2022年预算绩效管理取得新成效。现将预算绩效开展情况说明如下:</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1、探索绩效跟踪监控,加强全过程监控,以预算单位为责任主体,提高财政资金使用的规范性和时效性。</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2、深入开展财政支出绩效评价,并将绩效评价作为改进预算管理和安排以后年度预算的重要依据。</w:t>
      </w:r>
    </w:p>
    <w:p>
      <w:pPr>
        <w:pStyle w:val="6"/>
        <w:widowControl/>
        <w:shd w:val="clear" w:color="auto" w:fill="FFFFFF"/>
        <w:spacing w:beforeAutospacing="0" w:afterAutospacing="0" w:line="435" w:lineRule="atLeast"/>
        <w:ind w:firstLine="420"/>
        <w:rPr>
          <w:rFonts w:hint="eastAsia" w:ascii="楷体" w:hAnsi="楷体" w:eastAsia="楷体" w:cs="楷体"/>
          <w:b/>
          <w:bCs/>
          <w:sz w:val="32"/>
          <w:szCs w:val="32"/>
          <w:lang w:eastAsia="zh-CN"/>
        </w:rPr>
      </w:pPr>
      <w:r>
        <w:rPr>
          <w:rFonts w:hint="eastAsia" w:ascii="Times New Roman" w:hAnsi="Times New Roman" w:eastAsia="仿宋_GB2312" w:cs="黑体"/>
          <w:color w:val="auto"/>
          <w:kern w:val="0"/>
          <w:sz w:val="32"/>
          <w:szCs w:val="32"/>
          <w:lang w:val="en-US" w:eastAsia="zh-CN" w:bidi="ar-SA"/>
        </w:rPr>
        <w:t>3、强化评价结果应用,对发现的问题及时改进,加强评价结果与项目资金安排的衔接。</w:t>
      </w:r>
    </w:p>
    <w:p>
      <w:pPr>
        <w:pStyle w:val="11"/>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一、部门产出指标完成情况</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1.数量指标。全年政府召开每周工作例会46次，召开紧急工作调度会18次；全年在县级以上融媒体发表文章20篇以上。</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2.质量指标。基础设施工程验收合格率大于95%；农村人居环境整治工作监管到位；乡村振兴和脱贫攻坚成果有保障。</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3.时效指标。惠农补贴等各类指标发放及时；按时拨付村级各项资金。</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4.成本指标。严格控制三公经费&lt;7万元。</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二、部门效益指标完成情况</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1.社会效益指标。深入开展党风廉政建设工作，争创党风廉政建设先进单位；无重大事故无案件发生，及时处置信访事件，争创全县综治考核先进单位；贫困户就业率提升5%；新型农村合作医疗人数参保率达95%。</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2.生态效益指标。加强节能管理，创建节约型机关，改厕完成率&gt;95%。</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3.可持续影响指标。村集体合作社每年稳定向村民分红，村集体经济收入增长率&gt;10%。</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4.满意度。干部职工和村干部、群众满意度&gt;95%；社会评价和群众满意度&gt;95%。</w:t>
      </w:r>
    </w:p>
    <w:p>
      <w:pPr>
        <w:pStyle w:val="1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pStyle w:val="11"/>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一、存在的问题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5"/>
        <w:jc w:val="left"/>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预算部门内部预算绩效职责不清，工作安排不到位，财务科室独自完成项目的绩效申报、自评。由于财务科室缺乏专业人员，缺少业务科室的协调配合，承担了本该由业务部门承担的绩效工作，简单地将绩效目标制定、跟踪监控等专业性工作归口于财务人员，没有专人承担绩效管理职责，导致业务管理与绩效管理脱节，弱化了实施预算绩效管理的最基本环节。</w:t>
      </w:r>
    </w:p>
    <w:p>
      <w:pPr>
        <w:keepNext w:val="0"/>
        <w:keepLines w:val="0"/>
        <w:pageBreakBefore w:val="0"/>
        <w:widowControl/>
        <w:kinsoku/>
        <w:wordWrap/>
        <w:overflowPunct/>
        <w:topLinePunct w:val="0"/>
        <w:autoSpaceDE/>
        <w:autoSpaceDN/>
        <w:bidi w:val="0"/>
        <w:adjustRightInd/>
        <w:snapToGrid/>
        <w:spacing w:line="560" w:lineRule="exact"/>
        <w:ind w:right="0" w:rightChars="0" w:firstLine="645"/>
        <w:jc w:val="left"/>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绩效管理不到位，对预算单位绩效评价审核不严，预算单位绩效目标存在填报内容不规范、不完整，个性指标设置不够细化、项目资金执行率较低。绩效目标管理有待提质。绩效目标有一定的目标空泛性，质量指标弱化、效益指标软化等问题也难以避免。</w:t>
      </w:r>
    </w:p>
    <w:p>
      <w:pPr>
        <w:keepNext w:val="0"/>
        <w:keepLines w:val="0"/>
        <w:pageBreakBefore w:val="0"/>
        <w:widowControl/>
        <w:kinsoku/>
        <w:wordWrap/>
        <w:overflowPunct/>
        <w:topLinePunct w:val="0"/>
        <w:autoSpaceDE/>
        <w:autoSpaceDN/>
        <w:bidi w:val="0"/>
        <w:adjustRightInd/>
        <w:snapToGrid/>
        <w:spacing w:line="560" w:lineRule="exact"/>
        <w:ind w:right="0" w:rightChars="0" w:firstLine="645"/>
        <w:jc w:val="left"/>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绩效评价不全面。如未对政府性基金预算、社保基金、国有资本经营三本预算开展绩效评价，未对政策、制度、管理等方面开展绩效评价。预算编制不够细化。一笔大类资金只分到单一的款项中，没有具体到哪一类资金，使预决算的细分资金存在一定出入。</w:t>
      </w:r>
    </w:p>
    <w:p>
      <w:pPr>
        <w:pStyle w:val="2"/>
        <w:keepNext w:val="0"/>
        <w:keepLines w:val="0"/>
        <w:pageBreakBefore w:val="0"/>
        <w:kinsoku/>
        <w:wordWrap/>
        <w:overflowPunct/>
        <w:topLinePunct w:val="0"/>
        <w:autoSpaceDE/>
        <w:autoSpaceDN/>
        <w:bidi w:val="0"/>
        <w:adjustRightInd/>
        <w:snapToGrid/>
        <w:spacing w:after="0"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评价结果运用不充分，推动作用有局限。广泛运用绩效评价结果既是预算绩效管理的重要环节，也是强化预算绩效管理的重要措施。现阶段，预算绩效评价结果运用很不充分，通过评价结果运用促进强化绩效管理的推动作用不是很明显。绩效管理与年度预算编制结合得不够紧密，绩效评价结果不能更快更多地转化成管理措施。</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二、原因分析</w:t>
      </w:r>
    </w:p>
    <w:p>
      <w:pPr>
        <w:pStyle w:val="2"/>
        <w:keepNext w:val="0"/>
        <w:keepLines w:val="0"/>
        <w:pageBreakBefore w:val="0"/>
        <w:kinsoku/>
        <w:wordWrap/>
        <w:overflowPunct/>
        <w:topLinePunct w:val="0"/>
        <w:autoSpaceDE/>
        <w:autoSpaceDN/>
        <w:bidi w:val="0"/>
        <w:adjustRightInd/>
        <w:snapToGrid/>
        <w:spacing w:after="0"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预算绩效观念不深入，思想认识有误区。预算绩效管理工作整体上还处于起步阶段，经历着从认知到实践的磨合期。对这项管理制度的认知不是十分到位。存在“两轻两重”惯性思维，“重分配、轻管理；重支出、轻绩效”的思想还没有从根本上转变，没有站在全局高度考虑是不是达到了效益最大化，做不到准确科学规范操作，质量难以保证。</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评价指标体系不完善，实际操作有难度。尽管财政部制定出台了绩效评价共性指标体系，省级财政也在陆续推出细化的评价指标和落实措施，但是对指标具体设置没有统一的明确规定，没有针对性较强的个性评价指标体系可供借鉴。县级财政预算支出的范围在逐年扩大、建设发展的投入在逐年增加、新政策新情况时有出现，已经形成的评价标准不能与之完全匹配。同时，既有的评价指标存在定性指标多、定量指标少的弊端，导致出现单位职能不同、支出事项有差别等情况时，针对性不是很强，指标难以量化，评价缺乏依据，直接影响绩效评价的质量。</w:t>
      </w:r>
    </w:p>
    <w:p>
      <w:pPr>
        <w:widowControl/>
        <w:numPr>
          <w:ilvl w:val="0"/>
          <w:numId w:val="0"/>
        </w:numPr>
        <w:spacing w:line="500" w:lineRule="exact"/>
        <w:ind w:firstLine="643" w:firstLineChars="200"/>
        <w:jc w:val="left"/>
        <w:rPr>
          <w:rFonts w:hint="eastAsia"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（四）下一步改进措施</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1、加强宣传引导，强化绩效观念。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在来年编制预算时，加强与业务部门的沟通力度，科学、完整的编制单位预算。一方面，采取召开会议、出台规范性文件、专题培训、分类指导等多种形式，让绩效理念深入人心、让绩效管理人员熟知政策、知行合一。另一方面，要通过专题工作报告、情况通报、工作简报等方式，积极向党政机关和主要领导报告工作，让主要领导及时掌握预算绩效管理的推进情况、实际效果和存在的问题，以利于及时作出决策，支持并帮助解决工作中出现的困难和问题，有效运用绩效评价结果调整管理思路。</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2、完善指标体系，规范评价标准。</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准确把握预算绩效管理的制度规定、深入研究符合区情推进措施、积极探索适用于不同项目的绩效指标，逐步建立涵盖各类各项支出、符合目标内容、突出绩效特色、细化量化、便于考核的统一规范的绩效评价指标体系，以及覆盖全部预算支出结果绩效评价的规范标准，尽快形成“预算编制有目标、预算执行有监控、预算完成有评价、评价结果有反馈、反馈结果有应用”的全过程预算绩效管理机制。</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3、强化运行监管，突出结果导向</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在运行监管过程中，切实做好四点。一是确定监控重点。按照“有申报就有监控、有执行就要跟进”的要求，重点对社会关注度高的民生工程、影响地方经济社会发展的基础设施建设工程的推进运行情况进行全过程监督。二是明确监管内容。要把项目的绩效目标实现程度、资金使用、项目实施、项目管理等情况全部纳入监督范围。三是强化整改措施。绩效运行中发现的问题，要即知即改；绩效评价时指出的问题，要问责问效；管理机制上存在的问题，要标本兼治。四是突出结果导向。对推进预算绩效管理过程中各个环节的落实措施和实际效果进行评价。</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4、加强队伍建设，提高管理水平。</w:t>
      </w:r>
    </w:p>
    <w:p>
      <w:pPr>
        <w:pStyle w:val="6"/>
        <w:widowControl/>
        <w:shd w:val="clear" w:color="auto" w:fill="FFFFFF"/>
        <w:spacing w:beforeAutospacing="0" w:afterAutospacing="0" w:line="435" w:lineRule="atLeast"/>
        <w:ind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针对当前预算绩效管理专业队伍缺乏和管理人员专业技能不强的现状，一方面，政府及财政部门要拓宽引入专业人才参与绩效管理的渠道。强化专业培训、学习考察、工作调研、业务交流等措施，帮助和促进现有人员提高政策理论水平、实际工作能力。另一方面，适时组织单位主要领导、分管负责人以及具体工作人员的培训教育，促进各预算单位绩效管理整体上台阶。另外，注重做好聘请的专家和社会中介机构的管理工作和技术交流，真正发挥“专家”的专长和权威。</w:t>
      </w: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名词解释</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一、财政拨款收入：指中央财政当年拨付的资金。</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三、经营收入：指事业单位在专业业务活动及其辅助活动之外开展非独立核算经营活动取得的收入。如：中国财政杂志社广告收入等。</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四、其他收入：指除上述“财政拨款收入”、“事业收入” 、“经营收入”等以外的收入。主要是按规定动用的售房收入、存款利息收入等。</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六、年初结转和结余：指以前年度尚未完成、结转到本年按有关规定继续使用的资金。</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七、结余分配：指事业单位按规定提取的职工福利基金、事业基金和缴纳的所得税，以及建设单位按规定应交回的基本建设竣工项目结余资金。</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八、年末结转和结余：指本年度或以前年度预算安排、因客观条件发生变化无法按原计划实施，需要延迟到以后年度按有关规定继续使用的资金。</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九、基本支出：指为保障机构正常运转、完成日常工作任务而发生的人员支出和公用支出。</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十、项目支出：指在基本支出之外为完成特定行政任务和事业发展目标所发生的支出。</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十一、经营支出：指事业单位在专业业务活动及其辅助活动之外开展非独立核算经营活动发生的支出。</w:t>
      </w:r>
    </w:p>
    <w:p>
      <w:pPr>
        <w:pStyle w:val="6"/>
        <w:widowControl/>
        <w:shd w:val="clear" w:color="auto" w:fill="FFFFFF"/>
        <w:spacing w:beforeAutospacing="0" w:afterAutospacing="0" w:line="435" w:lineRule="atLeast"/>
        <w:ind w:firstLine="420"/>
        <w:rPr>
          <w:rFonts w:ascii="Helvetica" w:hAnsi="Helvetica" w:eastAsia="Helvetica" w:cs="Helvetica"/>
          <w:color w:val="333333"/>
          <w:sz w:val="21"/>
          <w:szCs w:val="21"/>
        </w:rPr>
      </w:pPr>
      <w:r>
        <w:rPr>
          <w:rFonts w:ascii="Helvetica" w:hAnsi="Helvetica" w:eastAsia="Helvetica" w:cs="Helvetica"/>
          <w:color w:val="333333"/>
          <w:sz w:val="21"/>
          <w:szCs w:val="21"/>
          <w:shd w:val="clear" w:color="auto"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1"/>
        <w:keepNext w:val="0"/>
        <w:keepLines w:val="0"/>
        <w:pageBreakBefore w:val="0"/>
        <w:widowControl w:val="0"/>
        <w:kinsoku/>
        <w:wordWrap/>
        <w:overflowPunct/>
        <w:topLinePunct w:val="0"/>
        <w:autoSpaceDE w:val="0"/>
        <w:autoSpaceDN w:val="0"/>
        <w:bidi w:val="0"/>
        <w:adjustRightInd w:val="0"/>
        <w:snapToGrid/>
        <w:spacing w:line="580" w:lineRule="exact"/>
        <w:ind w:firstLine="420" w:firstLineChars="200"/>
        <w:jc w:val="left"/>
        <w:textAlignment w:val="auto"/>
        <w:rPr>
          <w:rFonts w:ascii="Helvetica" w:hAnsi="Helvetica" w:eastAsia="Helvetica" w:cs="Helvetica"/>
          <w:color w:val="333333"/>
          <w:sz w:val="21"/>
          <w:szCs w:val="21"/>
          <w:shd w:val="clear" w:color="auto" w:fill="FFFFFF"/>
        </w:rPr>
      </w:pPr>
      <w:r>
        <w:rPr>
          <w:rFonts w:ascii="Helvetica" w:hAnsi="Helvetica" w:eastAsia="Helvetica" w:cs="Helvetica"/>
          <w:color w:val="333333"/>
          <w:sz w:val="21"/>
          <w:szCs w:val="21"/>
          <w:shd w:val="clear" w:color="auto"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both"/>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附件</w:t>
      </w: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fldChar w:fldCharType="begin"/>
      </w:r>
      <w:r>
        <w:rPr>
          <w:rFonts w:hint="eastAsia" w:ascii="方正小标宋_GBK" w:hAnsi="方正小标宋_GBK" w:eastAsia="方正小标宋_GBK" w:cs="方正小标宋_GBK"/>
          <w:sz w:val="72"/>
          <w:szCs w:val="72"/>
        </w:rPr>
        <w:instrText xml:space="preserve"> HYPERLINK "2023年决算公开表上报.xlsx" </w:instrText>
      </w:r>
      <w:r>
        <w:rPr>
          <w:rFonts w:hint="eastAsia" w:ascii="方正小标宋_GBK" w:hAnsi="方正小标宋_GBK" w:eastAsia="方正小标宋_GBK" w:cs="方正小标宋_GBK"/>
          <w:sz w:val="72"/>
          <w:szCs w:val="72"/>
        </w:rPr>
        <w:fldChar w:fldCharType="separate"/>
      </w:r>
      <w:r>
        <w:rPr>
          <w:rStyle w:val="9"/>
          <w:rFonts w:hint="eastAsia" w:ascii="方正小标宋_GBK" w:hAnsi="方正小标宋_GBK" w:eastAsia="方正小标宋_GBK" w:cs="方正小标宋_GBK"/>
          <w:sz w:val="72"/>
          <w:szCs w:val="72"/>
        </w:rPr>
        <w:t>2023年决算公开表上报.xlsx</w:t>
      </w:r>
      <w:r>
        <w:rPr>
          <w:rFonts w:hint="eastAsia" w:ascii="方正小标宋_GBK" w:hAnsi="方正小标宋_GBK" w:eastAsia="方正小标宋_GBK" w:cs="方正小标宋_GBK"/>
          <w:sz w:val="72"/>
          <w:szCs w:val="72"/>
        </w:rPr>
        <w:fldChar w:fldCharType="end"/>
      </w:r>
    </w:p>
    <w:p>
      <w:pPr>
        <w:pStyle w:val="11"/>
        <w:keepNext w:val="0"/>
        <w:keepLines w:val="0"/>
        <w:pageBreakBefore w:val="0"/>
        <w:widowControl w:val="0"/>
        <w:kinsoku/>
        <w:wordWrap/>
        <w:overflowPunct/>
        <w:topLinePunct w:val="0"/>
        <w:autoSpaceDE w:val="0"/>
        <w:autoSpaceDN w:val="0"/>
        <w:bidi w:val="0"/>
        <w:adjustRightInd w:val="0"/>
        <w:snapToGrid/>
        <w:spacing w:line="580" w:lineRule="exact"/>
        <w:ind w:firstLine="420" w:firstLineChars="200"/>
        <w:jc w:val="left"/>
        <w:textAlignment w:val="auto"/>
        <w:rPr>
          <w:rFonts w:hint="eastAsia" w:ascii="Helvetica" w:hAnsi="Helvetica" w:eastAsia="Helvetica" w:cs="Helvetica"/>
          <w:color w:val="333333"/>
          <w:sz w:val="21"/>
          <w:szCs w:val="21"/>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E34A3"/>
    <w:multiLevelType w:val="singleLevel"/>
    <w:tmpl w:val="670E34A3"/>
    <w:lvl w:ilvl="0" w:tentative="0">
      <w:start w:val="13"/>
      <w:numFmt w:val="chineseCounting"/>
      <w:suff w:val="nothing"/>
      <w:lvlText w:val="%1、"/>
      <w:lvlJc w:val="left"/>
    </w:lvl>
  </w:abstractNum>
  <w:abstractNum w:abstractNumId="1">
    <w:nsid w:val="670E34C5"/>
    <w:multiLevelType w:val="singleLevel"/>
    <w:tmpl w:val="670E34C5"/>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14959"/>
    <w:rsid w:val="09B85351"/>
    <w:rsid w:val="139637F2"/>
    <w:rsid w:val="1E98378D"/>
    <w:rsid w:val="33A23976"/>
    <w:rsid w:val="46A85CE1"/>
    <w:rsid w:val="51AE2B2E"/>
    <w:rsid w:val="5C0932A7"/>
    <w:rsid w:val="638A6E2E"/>
    <w:rsid w:val="63B93EC4"/>
    <w:rsid w:val="7C246CA3"/>
    <w:rsid w:val="7DD1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BodyText"/>
    <w:basedOn w:val="1"/>
    <w:qFormat/>
    <w:uiPriority w:val="99"/>
    <w:pPr>
      <w:spacing w:after="120"/>
      <w:textAlignment w:val="baseline"/>
    </w:pPr>
    <w:rPr>
      <w:rFonts w:eastAsia="宋体"/>
      <w:sz w:val="32"/>
      <w:szCs w:val="32"/>
    </w:rPr>
  </w:style>
  <w:style w:type="paragraph" w:styleId="3">
    <w:name w:val="Body Text Indent"/>
    <w:basedOn w:val="1"/>
    <w:next w:val="4"/>
    <w:qFormat/>
    <w:uiPriority w:val="0"/>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qFormat/>
    <w:uiPriority w:val="0"/>
    <w:pPr>
      <w:ind w:firstLine="420" w:firstLineChars="200"/>
    </w:pPr>
  </w:style>
  <w:style w:type="paragraph" w:styleId="5">
    <w:name w:val="footnote text"/>
    <w:basedOn w:val="1"/>
    <w:next w:val="4"/>
    <w:qFormat/>
    <w:uiPriority w:val="0"/>
    <w:pPr>
      <w:snapToGrid w:val="0"/>
      <w:jc w:val="left"/>
    </w:pPr>
    <w:rPr>
      <w:sz w:val="18"/>
      <w:szCs w:val="18"/>
    </w:rPr>
  </w:style>
  <w:style w:type="paragraph" w:styleId="6">
    <w:name w:val="Normal (Web)"/>
    <w:basedOn w:val="1"/>
    <w:qFormat/>
    <w:uiPriority w:val="0"/>
    <w:pPr>
      <w:spacing w:beforeAutospacing="1" w:after="0"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2021-12-09T02:10:00Z</dcterms:created>
  <dc:creator>Administrator</dc:creator>
  <cp:lastModifiedBy>Administrator</cp:lastModifiedBy>
  <cp:lastPrinted>2025-06-12T14:04:00Z</cp:lastPrinted>
  <dcterms:modified xsi:type="dcterms:W3CDTF">2025-09-19T02:47:50Z</dcterms:modified>
  <dc:title>财政所内部交叉检查记录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