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D491C">
      <w:pPr>
        <w:keepNext w:val="0"/>
        <w:keepLines w:val="0"/>
        <w:pageBreakBefore w:val="0"/>
        <w:kinsoku/>
        <w:wordWrap/>
        <w:overflowPunct/>
        <w:topLinePunct w:val="0"/>
        <w:autoSpaceDE/>
        <w:autoSpaceDN/>
        <w:bidi w:val="0"/>
        <w:adjustRightInd/>
        <w:snapToGrid/>
        <w:spacing w:line="560" w:lineRule="exact"/>
        <w:rPr>
          <w:rFonts w:eastAsia="黑体"/>
          <w:sz w:val="32"/>
          <w:szCs w:val="32"/>
        </w:rPr>
      </w:pPr>
    </w:p>
    <w:p w14:paraId="4693D2A1">
      <w:pPr>
        <w:keepNext w:val="0"/>
        <w:keepLines w:val="0"/>
        <w:pageBreakBefore w:val="0"/>
        <w:kinsoku/>
        <w:wordWrap/>
        <w:overflowPunct/>
        <w:topLinePunct w:val="0"/>
        <w:autoSpaceDE/>
        <w:autoSpaceDN/>
        <w:bidi w:val="0"/>
        <w:adjustRightInd/>
        <w:snapToGrid/>
        <w:spacing w:line="560" w:lineRule="exact"/>
        <w:rPr>
          <w:rFonts w:eastAsia="黑体"/>
          <w:sz w:val="32"/>
          <w:szCs w:val="32"/>
        </w:rPr>
      </w:pPr>
    </w:p>
    <w:p w14:paraId="1D0A56EC">
      <w:pPr>
        <w:keepNext w:val="0"/>
        <w:keepLines w:val="0"/>
        <w:pageBreakBefore w:val="0"/>
        <w:kinsoku/>
        <w:wordWrap/>
        <w:overflowPunct/>
        <w:topLinePunct w:val="0"/>
        <w:autoSpaceDE/>
        <w:autoSpaceDN/>
        <w:bidi w:val="0"/>
        <w:adjustRightInd/>
        <w:snapToGrid/>
        <w:spacing w:line="560" w:lineRule="exact"/>
        <w:rPr>
          <w:rFonts w:eastAsia="黑体"/>
          <w:sz w:val="32"/>
          <w:szCs w:val="32"/>
        </w:rPr>
      </w:pPr>
    </w:p>
    <w:p w14:paraId="04E8061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eastAsia="方正小标宋_GBK"/>
          <w:sz w:val="52"/>
          <w:szCs w:val="52"/>
        </w:rPr>
      </w:pPr>
      <w:r>
        <w:rPr>
          <w:rFonts w:eastAsia="方正小标宋_GBK"/>
          <w:sz w:val="52"/>
          <w:szCs w:val="52"/>
        </w:rPr>
        <w:t>202</w:t>
      </w:r>
      <w:r>
        <w:rPr>
          <w:rFonts w:hint="eastAsia" w:eastAsia="方正小标宋_GBK"/>
          <w:sz w:val="52"/>
          <w:szCs w:val="52"/>
          <w:lang w:val="en-US" w:eastAsia="zh-CN"/>
        </w:rPr>
        <w:t>2</w:t>
      </w:r>
      <w:r>
        <w:rPr>
          <w:rFonts w:hint="eastAsia" w:eastAsia="方正小标宋_GBK" w:cs="方正小标宋_GBK"/>
          <w:sz w:val="52"/>
          <w:szCs w:val="52"/>
        </w:rPr>
        <w:t>年度</w:t>
      </w:r>
      <w:r>
        <w:rPr>
          <w:rFonts w:hint="eastAsia" w:eastAsia="方正小标宋_GBK" w:cs="方正小标宋_GBK"/>
          <w:sz w:val="52"/>
          <w:szCs w:val="52"/>
          <w:lang w:eastAsia="zh-CN"/>
        </w:rPr>
        <w:t>桃源县农业农村</w:t>
      </w:r>
      <w:r>
        <w:rPr>
          <w:rFonts w:hint="eastAsia" w:eastAsia="方正小标宋_GBK" w:cs="方正小标宋_GBK"/>
          <w:sz w:val="52"/>
          <w:szCs w:val="52"/>
        </w:rPr>
        <w:t>局</w:t>
      </w:r>
      <w:r>
        <w:rPr>
          <w:rFonts w:hint="eastAsia" w:eastAsia="方正小标宋_GBK" w:cs="方正小标宋_GBK"/>
          <w:sz w:val="52"/>
          <w:szCs w:val="52"/>
          <w:lang w:val="en-US" w:eastAsia="zh-CN"/>
        </w:rPr>
        <w:t xml:space="preserve">        </w:t>
      </w:r>
      <w:r>
        <w:rPr>
          <w:rFonts w:hint="eastAsia" w:eastAsia="方正小标宋_GBK" w:cs="方正小标宋_GBK"/>
          <w:sz w:val="52"/>
          <w:szCs w:val="52"/>
        </w:rPr>
        <w:t>整体支出绩效自评报告</w:t>
      </w:r>
    </w:p>
    <w:p w14:paraId="11D4557C">
      <w:pPr>
        <w:keepNext w:val="0"/>
        <w:keepLines w:val="0"/>
        <w:pageBreakBefore w:val="0"/>
        <w:kinsoku/>
        <w:wordWrap/>
        <w:overflowPunct/>
        <w:topLinePunct w:val="0"/>
        <w:autoSpaceDE/>
        <w:autoSpaceDN/>
        <w:bidi w:val="0"/>
        <w:adjustRightInd/>
        <w:snapToGrid/>
        <w:spacing w:line="560" w:lineRule="exact"/>
        <w:jc w:val="center"/>
        <w:rPr>
          <w:rFonts w:eastAsia="方正小标宋_GBK"/>
          <w:b/>
          <w:bCs/>
          <w:sz w:val="52"/>
          <w:szCs w:val="52"/>
        </w:rPr>
      </w:pPr>
    </w:p>
    <w:p w14:paraId="5ED2F2ED">
      <w:pPr>
        <w:keepNext w:val="0"/>
        <w:keepLines w:val="0"/>
        <w:pageBreakBefore w:val="0"/>
        <w:kinsoku/>
        <w:wordWrap/>
        <w:overflowPunct/>
        <w:topLinePunct w:val="0"/>
        <w:autoSpaceDE/>
        <w:autoSpaceDN/>
        <w:bidi w:val="0"/>
        <w:adjustRightInd/>
        <w:snapToGrid/>
        <w:spacing w:line="560" w:lineRule="exact"/>
        <w:jc w:val="center"/>
        <w:rPr>
          <w:rFonts w:eastAsia="黑体"/>
          <w:sz w:val="32"/>
          <w:szCs w:val="32"/>
        </w:rPr>
      </w:pPr>
    </w:p>
    <w:p w14:paraId="4CD5FA8B">
      <w:pPr>
        <w:keepNext w:val="0"/>
        <w:keepLines w:val="0"/>
        <w:pageBreakBefore w:val="0"/>
        <w:kinsoku/>
        <w:wordWrap/>
        <w:overflowPunct/>
        <w:topLinePunct w:val="0"/>
        <w:autoSpaceDE/>
        <w:autoSpaceDN/>
        <w:bidi w:val="0"/>
        <w:adjustRightInd/>
        <w:snapToGrid/>
        <w:spacing w:line="560" w:lineRule="exact"/>
        <w:jc w:val="center"/>
        <w:rPr>
          <w:rFonts w:eastAsia="黑体"/>
          <w:sz w:val="32"/>
          <w:szCs w:val="32"/>
        </w:rPr>
      </w:pPr>
    </w:p>
    <w:p w14:paraId="1A7CBCC2">
      <w:pPr>
        <w:keepNext w:val="0"/>
        <w:keepLines w:val="0"/>
        <w:pageBreakBefore w:val="0"/>
        <w:kinsoku/>
        <w:wordWrap/>
        <w:overflowPunct/>
        <w:topLinePunct w:val="0"/>
        <w:autoSpaceDE/>
        <w:autoSpaceDN/>
        <w:bidi w:val="0"/>
        <w:adjustRightInd/>
        <w:snapToGrid/>
        <w:spacing w:line="560" w:lineRule="exact"/>
        <w:jc w:val="center"/>
        <w:rPr>
          <w:rFonts w:eastAsia="黑体"/>
          <w:sz w:val="32"/>
          <w:szCs w:val="32"/>
        </w:rPr>
      </w:pPr>
    </w:p>
    <w:p w14:paraId="548E596C">
      <w:pPr>
        <w:keepNext w:val="0"/>
        <w:keepLines w:val="0"/>
        <w:pageBreakBefore w:val="0"/>
        <w:kinsoku/>
        <w:wordWrap/>
        <w:overflowPunct/>
        <w:topLinePunct w:val="0"/>
        <w:autoSpaceDE/>
        <w:autoSpaceDN/>
        <w:bidi w:val="0"/>
        <w:adjustRightInd/>
        <w:snapToGrid/>
        <w:spacing w:line="560" w:lineRule="exact"/>
        <w:jc w:val="center"/>
        <w:rPr>
          <w:rFonts w:eastAsia="黑体"/>
          <w:sz w:val="32"/>
          <w:szCs w:val="32"/>
        </w:rPr>
      </w:pPr>
    </w:p>
    <w:p w14:paraId="51BADC83">
      <w:pPr>
        <w:keepNext w:val="0"/>
        <w:keepLines w:val="0"/>
        <w:pageBreakBefore w:val="0"/>
        <w:kinsoku/>
        <w:wordWrap/>
        <w:overflowPunct/>
        <w:topLinePunct w:val="0"/>
        <w:autoSpaceDE/>
        <w:autoSpaceDN/>
        <w:bidi w:val="0"/>
        <w:adjustRightInd/>
        <w:snapToGrid/>
        <w:spacing w:line="560" w:lineRule="exact"/>
        <w:jc w:val="center"/>
        <w:rPr>
          <w:rFonts w:eastAsia="黑体"/>
          <w:sz w:val="32"/>
          <w:szCs w:val="32"/>
        </w:rPr>
      </w:pPr>
    </w:p>
    <w:p w14:paraId="1C211273">
      <w:pPr>
        <w:keepNext w:val="0"/>
        <w:keepLines w:val="0"/>
        <w:pageBreakBefore w:val="0"/>
        <w:kinsoku/>
        <w:wordWrap/>
        <w:overflowPunct/>
        <w:topLinePunct w:val="0"/>
        <w:autoSpaceDE/>
        <w:autoSpaceDN/>
        <w:bidi w:val="0"/>
        <w:adjustRightInd/>
        <w:snapToGrid/>
        <w:spacing w:line="560" w:lineRule="exact"/>
        <w:jc w:val="center"/>
        <w:rPr>
          <w:rFonts w:eastAsia="黑体"/>
          <w:sz w:val="32"/>
          <w:szCs w:val="32"/>
        </w:rPr>
      </w:pPr>
    </w:p>
    <w:p w14:paraId="28405046">
      <w:pPr>
        <w:keepNext w:val="0"/>
        <w:keepLines w:val="0"/>
        <w:pageBreakBefore w:val="0"/>
        <w:kinsoku/>
        <w:wordWrap/>
        <w:overflowPunct/>
        <w:topLinePunct w:val="0"/>
        <w:autoSpaceDE/>
        <w:autoSpaceDN/>
        <w:bidi w:val="0"/>
        <w:adjustRightInd/>
        <w:snapToGrid/>
        <w:spacing w:line="560" w:lineRule="exact"/>
        <w:jc w:val="center"/>
        <w:rPr>
          <w:rFonts w:eastAsia="黑体"/>
          <w:sz w:val="32"/>
          <w:szCs w:val="32"/>
        </w:rPr>
      </w:pPr>
    </w:p>
    <w:p w14:paraId="3162BB14">
      <w:pPr>
        <w:keepNext w:val="0"/>
        <w:keepLines w:val="0"/>
        <w:pageBreakBefore w:val="0"/>
        <w:kinsoku/>
        <w:wordWrap/>
        <w:overflowPunct/>
        <w:topLinePunct w:val="0"/>
        <w:autoSpaceDE/>
        <w:autoSpaceDN/>
        <w:bidi w:val="0"/>
        <w:adjustRightInd/>
        <w:snapToGrid/>
        <w:spacing w:line="560" w:lineRule="exact"/>
        <w:jc w:val="center"/>
        <w:rPr>
          <w:rFonts w:eastAsia="黑体"/>
          <w:sz w:val="32"/>
          <w:szCs w:val="32"/>
        </w:rPr>
      </w:pPr>
    </w:p>
    <w:p w14:paraId="613FC34E">
      <w:pPr>
        <w:keepNext w:val="0"/>
        <w:keepLines w:val="0"/>
        <w:pageBreakBefore w:val="0"/>
        <w:kinsoku/>
        <w:wordWrap/>
        <w:overflowPunct/>
        <w:topLinePunct w:val="0"/>
        <w:autoSpaceDE/>
        <w:autoSpaceDN/>
        <w:bidi w:val="0"/>
        <w:adjustRightInd/>
        <w:snapToGrid/>
        <w:spacing w:line="560" w:lineRule="exact"/>
        <w:ind w:firstLine="1920" w:firstLineChars="600"/>
        <w:rPr>
          <w:rFonts w:eastAsia="仿宋"/>
          <w:sz w:val="32"/>
          <w:szCs w:val="32"/>
          <w:u w:val="single"/>
        </w:rPr>
      </w:pPr>
      <w:r>
        <w:rPr>
          <w:rFonts w:hint="eastAsia" w:eastAsia="仿宋" w:cs="仿宋"/>
          <w:sz w:val="32"/>
          <w:szCs w:val="32"/>
        </w:rPr>
        <w:t>单位名称：</w:t>
      </w:r>
      <w:r>
        <w:rPr>
          <w:rFonts w:hint="eastAsia" w:eastAsia="仿宋" w:cs="仿宋"/>
          <w:sz w:val="32"/>
          <w:szCs w:val="32"/>
          <w:u w:val="single"/>
          <w:lang w:eastAsia="zh-CN"/>
        </w:rPr>
        <w:t>桃源县农业农村</w:t>
      </w:r>
      <w:r>
        <w:rPr>
          <w:rFonts w:hint="eastAsia" w:eastAsia="仿宋" w:cs="仿宋"/>
          <w:sz w:val="32"/>
          <w:szCs w:val="32"/>
          <w:u w:val="single"/>
        </w:rPr>
        <w:t>局</w:t>
      </w:r>
    </w:p>
    <w:p w14:paraId="7D7ED1D2">
      <w:pPr>
        <w:keepNext w:val="0"/>
        <w:keepLines w:val="0"/>
        <w:pageBreakBefore w:val="0"/>
        <w:kinsoku/>
        <w:wordWrap/>
        <w:overflowPunct/>
        <w:topLinePunct w:val="0"/>
        <w:autoSpaceDE/>
        <w:autoSpaceDN/>
        <w:bidi w:val="0"/>
        <w:adjustRightInd/>
        <w:snapToGrid/>
        <w:spacing w:line="560" w:lineRule="exact"/>
        <w:ind w:firstLine="3520" w:firstLineChars="1100"/>
        <w:rPr>
          <w:rFonts w:eastAsia="仿宋"/>
          <w:sz w:val="32"/>
          <w:szCs w:val="32"/>
        </w:rPr>
      </w:pPr>
      <w:r>
        <w:rPr>
          <w:rFonts w:eastAsia="仿宋"/>
          <w:sz w:val="32"/>
          <w:szCs w:val="32"/>
        </w:rPr>
        <w:t>202</w:t>
      </w:r>
      <w:r>
        <w:rPr>
          <w:rFonts w:hint="eastAsia" w:eastAsia="仿宋"/>
          <w:sz w:val="32"/>
          <w:szCs w:val="32"/>
          <w:lang w:val="en-US" w:eastAsia="zh-CN"/>
        </w:rPr>
        <w:t>3</w:t>
      </w:r>
      <w:r>
        <w:rPr>
          <w:rFonts w:hint="eastAsia" w:eastAsia="仿宋" w:cs="仿宋"/>
          <w:sz w:val="32"/>
          <w:szCs w:val="32"/>
        </w:rPr>
        <w:t>年</w:t>
      </w:r>
      <w:r>
        <w:rPr>
          <w:rFonts w:hint="eastAsia" w:eastAsia="仿宋" w:cs="仿宋"/>
          <w:sz w:val="32"/>
          <w:szCs w:val="32"/>
          <w:lang w:val="en-US" w:eastAsia="zh-CN"/>
        </w:rPr>
        <w:t>7</w:t>
      </w:r>
      <w:r>
        <w:rPr>
          <w:rFonts w:hint="eastAsia" w:eastAsia="仿宋" w:cs="仿宋"/>
          <w:sz w:val="32"/>
          <w:szCs w:val="32"/>
        </w:rPr>
        <w:t>月</w:t>
      </w:r>
      <w:r>
        <w:rPr>
          <w:rFonts w:hint="eastAsia" w:eastAsia="仿宋"/>
          <w:sz w:val="32"/>
          <w:szCs w:val="32"/>
          <w:lang w:val="en-US" w:eastAsia="zh-CN"/>
        </w:rPr>
        <w:t>19</w:t>
      </w:r>
      <w:r>
        <w:rPr>
          <w:rFonts w:hint="eastAsia" w:eastAsia="仿宋" w:cs="仿宋"/>
          <w:sz w:val="32"/>
          <w:szCs w:val="32"/>
        </w:rPr>
        <w:t>日</w:t>
      </w:r>
    </w:p>
    <w:p w14:paraId="28591729">
      <w:pPr>
        <w:keepNext w:val="0"/>
        <w:keepLines w:val="0"/>
        <w:pageBreakBefore w:val="0"/>
        <w:kinsoku/>
        <w:wordWrap/>
        <w:overflowPunct/>
        <w:topLinePunct w:val="0"/>
        <w:autoSpaceDE/>
        <w:autoSpaceDN/>
        <w:bidi w:val="0"/>
        <w:adjustRightInd/>
        <w:snapToGrid/>
        <w:spacing w:line="560" w:lineRule="exact"/>
        <w:rPr>
          <w:rFonts w:eastAsia="方正小标宋_GBK"/>
          <w:sz w:val="44"/>
          <w:szCs w:val="44"/>
        </w:rPr>
      </w:pPr>
    </w:p>
    <w:p w14:paraId="383224E7">
      <w:pPr>
        <w:keepNext w:val="0"/>
        <w:keepLines w:val="0"/>
        <w:pageBreakBefore w:val="0"/>
        <w:kinsoku/>
        <w:wordWrap/>
        <w:overflowPunct/>
        <w:topLinePunct w:val="0"/>
        <w:autoSpaceDE/>
        <w:autoSpaceDN/>
        <w:bidi w:val="0"/>
        <w:adjustRightInd/>
        <w:snapToGrid/>
        <w:spacing w:line="560" w:lineRule="exact"/>
        <w:rPr>
          <w:rFonts w:eastAsia="方正小标宋_GBK"/>
          <w:sz w:val="44"/>
          <w:szCs w:val="44"/>
        </w:rPr>
      </w:pPr>
    </w:p>
    <w:p w14:paraId="75C4074C">
      <w:pPr>
        <w:keepNext w:val="0"/>
        <w:keepLines w:val="0"/>
        <w:pageBreakBefore w:val="0"/>
        <w:kinsoku/>
        <w:wordWrap/>
        <w:overflowPunct/>
        <w:topLinePunct w:val="0"/>
        <w:autoSpaceDE/>
        <w:autoSpaceDN/>
        <w:bidi w:val="0"/>
        <w:adjustRightInd/>
        <w:snapToGrid/>
        <w:spacing w:line="560" w:lineRule="exact"/>
        <w:rPr>
          <w:rFonts w:eastAsia="方正小标宋_GBK"/>
          <w:sz w:val="44"/>
          <w:szCs w:val="44"/>
        </w:rPr>
      </w:pPr>
    </w:p>
    <w:p w14:paraId="437BAB62">
      <w:pPr>
        <w:keepNext w:val="0"/>
        <w:keepLines w:val="0"/>
        <w:pageBreakBefore w:val="0"/>
        <w:kinsoku/>
        <w:wordWrap/>
        <w:overflowPunct/>
        <w:topLinePunct w:val="0"/>
        <w:autoSpaceDE/>
        <w:autoSpaceDN/>
        <w:bidi w:val="0"/>
        <w:adjustRightInd/>
        <w:snapToGrid/>
        <w:spacing w:line="560" w:lineRule="exact"/>
        <w:jc w:val="center"/>
        <w:rPr>
          <w:rFonts w:eastAsia="方正小标宋_GBK"/>
          <w:sz w:val="44"/>
          <w:szCs w:val="44"/>
        </w:rPr>
      </w:pPr>
    </w:p>
    <w:p w14:paraId="3A3226C3">
      <w:pPr>
        <w:keepNext w:val="0"/>
        <w:keepLines w:val="0"/>
        <w:pageBreakBefore w:val="0"/>
        <w:kinsoku/>
        <w:wordWrap/>
        <w:overflowPunct/>
        <w:topLinePunct w:val="0"/>
        <w:autoSpaceDE/>
        <w:autoSpaceDN/>
        <w:bidi w:val="0"/>
        <w:adjustRightInd/>
        <w:snapToGrid/>
        <w:spacing w:line="560" w:lineRule="exact"/>
        <w:jc w:val="center"/>
        <w:rPr>
          <w:rFonts w:eastAsia="方正小标宋_GBK"/>
          <w:sz w:val="44"/>
          <w:szCs w:val="44"/>
        </w:rPr>
      </w:pPr>
    </w:p>
    <w:p w14:paraId="27536776">
      <w:pPr>
        <w:keepNext w:val="0"/>
        <w:keepLines w:val="0"/>
        <w:pageBreakBefore w:val="0"/>
        <w:kinsoku/>
        <w:wordWrap/>
        <w:overflowPunct/>
        <w:topLinePunct w:val="0"/>
        <w:autoSpaceDE/>
        <w:autoSpaceDN/>
        <w:bidi w:val="0"/>
        <w:adjustRightInd/>
        <w:snapToGrid/>
        <w:spacing w:line="560" w:lineRule="exact"/>
        <w:jc w:val="center"/>
        <w:rPr>
          <w:rFonts w:eastAsia="方正小标宋_GBK"/>
          <w:sz w:val="44"/>
          <w:szCs w:val="44"/>
        </w:rPr>
        <w:sectPr>
          <w:pgSz w:w="11906" w:h="16838"/>
          <w:pgMar w:top="2098" w:right="1474" w:bottom="1984" w:left="1587" w:header="851" w:footer="1587" w:gutter="0"/>
          <w:cols w:space="425" w:num="1"/>
          <w:docGrid w:type="lines" w:linePitch="312" w:charSpace="0"/>
        </w:sectPr>
      </w:pPr>
    </w:p>
    <w:p w14:paraId="3F7E9E79">
      <w:pPr>
        <w:keepNext w:val="0"/>
        <w:keepLines w:val="0"/>
        <w:pageBreakBefore w:val="0"/>
        <w:kinsoku/>
        <w:wordWrap/>
        <w:overflowPunct/>
        <w:topLinePunct w:val="0"/>
        <w:autoSpaceDE/>
        <w:autoSpaceDN/>
        <w:bidi w:val="0"/>
        <w:adjustRightInd/>
        <w:snapToGrid/>
        <w:spacing w:line="560" w:lineRule="exact"/>
        <w:jc w:val="center"/>
        <w:rPr>
          <w:rFonts w:eastAsia="方正小标宋_GBK"/>
          <w:sz w:val="44"/>
          <w:szCs w:val="44"/>
        </w:rPr>
      </w:pPr>
    </w:p>
    <w:p w14:paraId="16852F45">
      <w:pPr>
        <w:keepNext w:val="0"/>
        <w:keepLines w:val="0"/>
        <w:pageBreakBefore w:val="0"/>
        <w:kinsoku/>
        <w:wordWrap/>
        <w:overflowPunct/>
        <w:topLinePunct w:val="0"/>
        <w:autoSpaceDE/>
        <w:autoSpaceDN/>
        <w:bidi w:val="0"/>
        <w:adjustRightInd/>
        <w:snapToGrid/>
        <w:spacing w:line="560" w:lineRule="exact"/>
        <w:jc w:val="center"/>
        <w:rPr>
          <w:rFonts w:eastAsia="方正小标宋_GBK"/>
          <w:sz w:val="44"/>
          <w:szCs w:val="44"/>
        </w:rPr>
      </w:pPr>
      <w:r>
        <w:rPr>
          <w:rFonts w:eastAsia="方正小标宋_GBK"/>
          <w:sz w:val="44"/>
          <w:szCs w:val="44"/>
        </w:rPr>
        <w:t>202</w:t>
      </w:r>
      <w:r>
        <w:rPr>
          <w:rFonts w:hint="eastAsia" w:eastAsia="方正小标宋_GBK"/>
          <w:sz w:val="44"/>
          <w:szCs w:val="44"/>
          <w:lang w:val="en-US" w:eastAsia="zh-CN"/>
        </w:rPr>
        <w:t>2</w:t>
      </w:r>
      <w:r>
        <w:rPr>
          <w:rFonts w:hint="eastAsia" w:eastAsia="方正小标宋_GBK" w:cs="方正小标宋_GBK"/>
          <w:sz w:val="44"/>
          <w:szCs w:val="44"/>
        </w:rPr>
        <w:t>年度</w:t>
      </w:r>
      <w:r>
        <w:rPr>
          <w:rFonts w:hint="eastAsia" w:eastAsia="方正小标宋_GBK"/>
          <w:sz w:val="44"/>
          <w:szCs w:val="44"/>
          <w:lang w:eastAsia="zh-CN"/>
        </w:rPr>
        <w:t>桃源县农业农村</w:t>
      </w:r>
      <w:r>
        <w:rPr>
          <w:rFonts w:hint="eastAsia" w:eastAsia="方正小标宋_GBK" w:cs="方正小标宋_GBK"/>
          <w:sz w:val="44"/>
          <w:szCs w:val="44"/>
        </w:rPr>
        <w:t>局整体支出</w:t>
      </w:r>
    </w:p>
    <w:p w14:paraId="154D3BD1">
      <w:pPr>
        <w:keepNext w:val="0"/>
        <w:keepLines w:val="0"/>
        <w:pageBreakBefore w:val="0"/>
        <w:kinsoku/>
        <w:wordWrap/>
        <w:overflowPunct/>
        <w:topLinePunct w:val="0"/>
        <w:autoSpaceDE/>
        <w:autoSpaceDN/>
        <w:bidi w:val="0"/>
        <w:adjustRightInd/>
        <w:snapToGrid/>
        <w:spacing w:line="560" w:lineRule="exact"/>
        <w:jc w:val="center"/>
        <w:rPr>
          <w:rFonts w:eastAsia="方正小标宋_GBK"/>
          <w:sz w:val="44"/>
          <w:szCs w:val="44"/>
        </w:rPr>
      </w:pPr>
      <w:r>
        <w:rPr>
          <w:rFonts w:hint="eastAsia" w:eastAsia="方正小标宋_GBK" w:cs="方正小标宋_GBK"/>
          <w:sz w:val="44"/>
          <w:szCs w:val="44"/>
        </w:rPr>
        <w:t>绩效自评报告</w:t>
      </w:r>
    </w:p>
    <w:p w14:paraId="7E6169A3">
      <w:pPr>
        <w:keepNext w:val="0"/>
        <w:keepLines w:val="0"/>
        <w:pageBreakBefore w:val="0"/>
        <w:kinsoku/>
        <w:wordWrap/>
        <w:overflowPunct/>
        <w:topLinePunct w:val="0"/>
        <w:autoSpaceDE/>
        <w:autoSpaceDN/>
        <w:bidi w:val="0"/>
        <w:adjustRightInd/>
        <w:snapToGrid/>
        <w:spacing w:line="560" w:lineRule="exact"/>
        <w:rPr>
          <w:rFonts w:eastAsia="黑体"/>
          <w:sz w:val="32"/>
          <w:szCs w:val="32"/>
        </w:rPr>
      </w:pPr>
    </w:p>
    <w:p w14:paraId="4059319F">
      <w:pPr>
        <w:keepNext w:val="0"/>
        <w:keepLines w:val="0"/>
        <w:pageBreakBefore w:val="0"/>
        <w:kinsoku/>
        <w:wordWrap/>
        <w:overflowPunct/>
        <w:topLinePunct w:val="0"/>
        <w:autoSpaceDE/>
        <w:autoSpaceDN/>
        <w:bidi w:val="0"/>
        <w:adjustRightInd/>
        <w:snapToGrid/>
        <w:spacing w:line="560" w:lineRule="exact"/>
        <w:ind w:firstLine="640" w:firstLineChars="200"/>
        <w:rPr>
          <w:rFonts w:eastAsia="黑体"/>
          <w:sz w:val="32"/>
          <w:szCs w:val="32"/>
        </w:rPr>
      </w:pPr>
      <w:r>
        <w:rPr>
          <w:rFonts w:hint="eastAsia" w:eastAsia="黑体" w:cs="黑体"/>
          <w:sz w:val="32"/>
          <w:szCs w:val="32"/>
        </w:rPr>
        <w:t>一、部门（单位）基本情况</w:t>
      </w:r>
    </w:p>
    <w:p w14:paraId="64CA2812">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eastAsia="楷体_GB2312"/>
          <w:sz w:val="32"/>
          <w:szCs w:val="32"/>
        </w:rPr>
      </w:pPr>
      <w:r>
        <w:rPr>
          <w:rFonts w:hint="eastAsia" w:eastAsia="楷体_GB2312" w:cs="楷体_GB2312"/>
          <w:sz w:val="32"/>
          <w:szCs w:val="32"/>
        </w:rPr>
        <w:t>（一）机构、人员构成</w:t>
      </w:r>
    </w:p>
    <w:p w14:paraId="5B6F4F9E">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Calibri" w:hAnsi="Calibri" w:eastAsia="仿宋_GB2312" w:cs="Times New Roman"/>
          <w:sz w:val="32"/>
          <w:szCs w:val="32"/>
          <w:lang w:val="en-US" w:eastAsia="zh-CN"/>
        </w:rPr>
      </w:pPr>
      <w:r>
        <w:rPr>
          <w:rFonts w:hint="eastAsia" w:ascii="Times New Roman" w:hAnsi="Times New Roman" w:eastAsia="仿宋_GB2312" w:cs="Times New Roman"/>
          <w:kern w:val="0"/>
          <w:sz w:val="32"/>
          <w:szCs w:val="32"/>
          <w:lang w:val="en-US" w:eastAsia="zh-CN"/>
        </w:rPr>
        <w:t>桃源县农业农村局是县政府工作部门，为正科级单位。</w:t>
      </w:r>
      <w:r>
        <w:rPr>
          <w:rFonts w:hint="eastAsia" w:ascii="Calibri" w:hAnsi="Calibri" w:eastAsia="仿宋_GB2312" w:cs="Times New Roman"/>
          <w:sz w:val="32"/>
          <w:szCs w:val="32"/>
          <w:lang w:val="en-US" w:eastAsia="zh-CN"/>
        </w:rPr>
        <w:t>内设机构包括：县委农办秘书办、办公室、政工人事股、法制股、计划财务股、发展规划股（外事外经办）、乡村产业发展股、农村社会事业促进股、农产品质量安全监管股（市场与信息化股）、畜牧农机经管指导股、产业振兴股。另设</w:t>
      </w:r>
      <w:r>
        <w:rPr>
          <w:rFonts w:hint="eastAsia" w:ascii="Times New Roman" w:hAnsi="Times New Roman" w:eastAsia="仿宋_GB2312" w:cs="仿宋_GB2312"/>
          <w:bCs/>
          <w:kern w:val="0"/>
          <w:sz w:val="32"/>
          <w:szCs w:val="32"/>
          <w:lang w:val="en-US" w:eastAsia="zh-CN"/>
        </w:rPr>
        <w:t>14个</w:t>
      </w:r>
      <w:r>
        <w:rPr>
          <w:rFonts w:hint="eastAsia" w:ascii="Calibri" w:hAnsi="Calibri" w:eastAsia="仿宋_GB2312" w:cs="Times New Roman"/>
          <w:sz w:val="32"/>
          <w:szCs w:val="32"/>
          <w:lang w:val="en-US" w:eastAsia="zh-CN"/>
        </w:rPr>
        <w:t>局直属单位，包括富硒办、农业项目建设服务中心、耕地质量管理</w:t>
      </w:r>
      <w:r>
        <w:rPr>
          <w:rFonts w:hint="eastAsia" w:ascii="Calibri" w:hAnsi="Calibri" w:cs="Times New Roman"/>
          <w:sz w:val="32"/>
          <w:szCs w:val="32"/>
          <w:lang w:val="en-US" w:eastAsia="zh-CN"/>
        </w:rPr>
        <w:t>中心</w:t>
      </w:r>
      <w:r>
        <w:rPr>
          <w:rFonts w:hint="eastAsia" w:ascii="Calibri" w:hAnsi="Calibri" w:eastAsia="仿宋_GB2312" w:cs="Times New Roman"/>
          <w:sz w:val="32"/>
          <w:szCs w:val="32"/>
          <w:lang w:val="en-US" w:eastAsia="zh-CN"/>
        </w:rPr>
        <w:t>、农业</w:t>
      </w:r>
      <w:r>
        <w:rPr>
          <w:rFonts w:hint="eastAsia" w:ascii="Calibri" w:hAnsi="Calibri" w:cs="Times New Roman"/>
          <w:sz w:val="32"/>
          <w:szCs w:val="32"/>
          <w:lang w:val="en-US" w:eastAsia="zh-CN"/>
        </w:rPr>
        <w:t>综合行政</w:t>
      </w:r>
      <w:r>
        <w:rPr>
          <w:rFonts w:hint="eastAsia" w:ascii="Calibri" w:hAnsi="Calibri" w:eastAsia="仿宋_GB2312" w:cs="Times New Roman"/>
          <w:sz w:val="32"/>
          <w:szCs w:val="32"/>
          <w:lang w:val="en-US" w:eastAsia="zh-CN"/>
        </w:rPr>
        <w:t>执法</w:t>
      </w:r>
      <w:r>
        <w:rPr>
          <w:rFonts w:hint="eastAsia" w:ascii="Calibri" w:hAnsi="Calibri" w:cs="Times New Roman"/>
          <w:sz w:val="32"/>
          <w:szCs w:val="32"/>
          <w:lang w:val="en-US" w:eastAsia="zh-CN"/>
        </w:rPr>
        <w:t>局</w:t>
      </w:r>
      <w:r>
        <w:rPr>
          <w:rFonts w:hint="eastAsia" w:ascii="Calibri" w:hAnsi="Calibri" w:eastAsia="仿宋_GB2312" w:cs="Times New Roman"/>
          <w:sz w:val="32"/>
          <w:szCs w:val="32"/>
          <w:lang w:val="en-US" w:eastAsia="zh-CN"/>
        </w:rPr>
        <w:t>、</w:t>
      </w:r>
      <w:r>
        <w:rPr>
          <w:rFonts w:hint="eastAsia" w:ascii="Calibri" w:hAnsi="Calibri" w:cs="Times New Roman"/>
          <w:sz w:val="32"/>
          <w:szCs w:val="32"/>
          <w:lang w:val="en-US" w:eastAsia="zh-CN"/>
        </w:rPr>
        <w:t>农药</w:t>
      </w:r>
      <w:r>
        <w:rPr>
          <w:rFonts w:hint="eastAsia" w:ascii="Calibri" w:hAnsi="Calibri" w:eastAsia="仿宋_GB2312" w:cs="Times New Roman"/>
          <w:sz w:val="32"/>
          <w:szCs w:val="32"/>
          <w:lang w:val="en-US" w:eastAsia="zh-CN"/>
        </w:rPr>
        <w:t>管理站、粮油作物站、经济作物站、植保植检站、农业科技信息管理站、农业资源与环境保护管理站、农产品质量安全监测</w:t>
      </w:r>
      <w:r>
        <w:rPr>
          <w:rFonts w:hint="eastAsia" w:ascii="Calibri" w:hAnsi="Calibri" w:cs="Times New Roman"/>
          <w:sz w:val="32"/>
          <w:szCs w:val="32"/>
          <w:lang w:val="en-US" w:eastAsia="zh-CN"/>
        </w:rPr>
        <w:t>中心</w:t>
      </w:r>
      <w:r>
        <w:rPr>
          <w:rFonts w:hint="eastAsia" w:ascii="Calibri" w:hAnsi="Calibri" w:eastAsia="仿宋_GB2312" w:cs="Times New Roman"/>
          <w:sz w:val="32"/>
          <w:szCs w:val="32"/>
          <w:lang w:val="en-US" w:eastAsia="zh-CN"/>
        </w:rPr>
        <w:t>、农业技术推广中心站、农业科学研究所、绿色食品办公室。</w:t>
      </w:r>
    </w:p>
    <w:p w14:paraId="7EB31888">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截止202</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rPr>
        <w:t>年底，我单位有编制</w:t>
      </w:r>
      <w:r>
        <w:rPr>
          <w:rFonts w:hint="eastAsia" w:ascii="Times New Roman" w:hAnsi="Times New Roman" w:cs="仿宋_GB2312"/>
          <w:bCs/>
          <w:kern w:val="0"/>
          <w:sz w:val="32"/>
          <w:szCs w:val="32"/>
          <w:lang w:val="en-US" w:eastAsia="zh-CN"/>
        </w:rPr>
        <w:t>232</w:t>
      </w:r>
      <w:r>
        <w:rPr>
          <w:rFonts w:hint="eastAsia" w:ascii="Times New Roman" w:hAnsi="Times New Roman" w:eastAsia="仿宋_GB2312" w:cs="仿宋_GB2312"/>
          <w:bCs/>
          <w:kern w:val="0"/>
          <w:sz w:val="32"/>
          <w:szCs w:val="32"/>
        </w:rPr>
        <w:t>个，其中行政编制26名，工勤编制3名，事业编制</w:t>
      </w:r>
      <w:r>
        <w:rPr>
          <w:rFonts w:hint="eastAsia" w:ascii="Times New Roman" w:hAnsi="Times New Roman" w:cs="仿宋_GB2312"/>
          <w:bCs/>
          <w:kern w:val="0"/>
          <w:sz w:val="32"/>
          <w:szCs w:val="32"/>
          <w:lang w:val="en-US" w:eastAsia="zh-CN"/>
        </w:rPr>
        <w:t>203</w:t>
      </w:r>
      <w:r>
        <w:rPr>
          <w:rFonts w:hint="eastAsia" w:ascii="Times New Roman" w:hAnsi="Times New Roman" w:eastAsia="仿宋_GB2312" w:cs="仿宋_GB2312"/>
          <w:bCs/>
          <w:kern w:val="0"/>
          <w:sz w:val="32"/>
          <w:szCs w:val="32"/>
        </w:rPr>
        <w:t>名。在职人员2</w:t>
      </w:r>
      <w:r>
        <w:rPr>
          <w:rFonts w:hint="eastAsia" w:ascii="Times New Roman" w:hAnsi="Times New Roman" w:eastAsia="仿宋_GB2312" w:cs="仿宋_GB2312"/>
          <w:bCs/>
          <w:kern w:val="0"/>
          <w:sz w:val="32"/>
          <w:szCs w:val="32"/>
          <w:lang w:val="en-US" w:eastAsia="zh-CN"/>
        </w:rPr>
        <w:t>07</w:t>
      </w:r>
      <w:r>
        <w:rPr>
          <w:rFonts w:hint="eastAsia" w:ascii="Times New Roman" w:hAnsi="Times New Roman" w:eastAsia="仿宋_GB2312" w:cs="仿宋_GB2312"/>
          <w:bCs/>
          <w:kern w:val="0"/>
          <w:sz w:val="32"/>
          <w:szCs w:val="32"/>
        </w:rPr>
        <w:t>人，</w:t>
      </w:r>
      <w:r>
        <w:rPr>
          <w:rFonts w:hint="eastAsia" w:ascii="仿宋_GB2312" w:eastAsia="仿宋_GB2312"/>
          <w:sz w:val="32"/>
          <w:szCs w:val="32"/>
          <w:lang w:val="en-US" w:eastAsia="zh-CN"/>
        </w:rPr>
        <w:t>其中：行政人员1</w:t>
      </w:r>
      <w:r>
        <w:rPr>
          <w:rFonts w:hint="eastAsia" w:ascii="Times New Roman" w:hAnsi="Times New Roman" w:eastAsia="仿宋_GB2312" w:cs="仿宋_GB2312"/>
          <w:bCs/>
          <w:kern w:val="0"/>
          <w:sz w:val="32"/>
          <w:szCs w:val="32"/>
          <w:lang w:val="en-US" w:eastAsia="zh-CN"/>
        </w:rPr>
        <w:t>6人，工勤人员2人，参照公务员管理人员5人，非参公事业人员184人；另有退休187人，遗嘱17人，临聘人员10人。</w:t>
      </w:r>
    </w:p>
    <w:p w14:paraId="50D09F05">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pPr>
      <w:r>
        <w:rPr>
          <w:rFonts w:hint="eastAsia" w:eastAsia="楷体_GB2312" w:cs="楷体_GB2312"/>
          <w:sz w:val="32"/>
          <w:szCs w:val="32"/>
        </w:rPr>
        <w:t>单位主要职责</w:t>
      </w:r>
    </w:p>
    <w:p w14:paraId="4408762E">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1.统筹研究拟订并组织实施全县“三农”工作的措施办法、中长期规划及年度计划。起草农业农村有关规范性文件，指导农业综合执法。参与涉农的财税、价格、收储、金融保险、进出口等管理办法制定。</w:t>
      </w:r>
    </w:p>
    <w:p w14:paraId="00CE258B">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2.统筹推动发展农村社会事业、农村公共服务、农村文化、农村基础设施和乡村治理。牵头组织改善农村人居环境。指导农村精神文明和优秀农耕文化建设。指导农业行业安全生产工作。</w:t>
      </w:r>
    </w:p>
    <w:p w14:paraId="57EDB9C1">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3.研究提出深化农村经济体制改革和巩固完善农村基本经营制度的政策建议。负责农民承包地、农村宅基地改革和管理有关工作。负责农村集体产权制度改革，指导农村集体经济组织发展和集体资产管理工作。指导农民合作经济组织、农业社会化服务体系、新型农业经营主体建设与发展。</w:t>
      </w:r>
    </w:p>
    <w:p w14:paraId="570FAAD6">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4.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14:paraId="2A4CC996">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5.负责种植业、畜牧业、渔业、农垦、农业机械化等农业各产业的监督管理。指导粮食等农产品生产。组织构建现代农业产业体系、生产体系、经营体系，指导农业标准化生产。负责渔政渔港监督管理。</w:t>
      </w:r>
    </w:p>
    <w:p w14:paraId="54D20096">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6.负责农产品质量安全监督管理。组织开展农产品质量安全监测、追溯、风险评估。贯彻执行农产品质量安全国家标准，参与拟订农产品质量安全工作规范并会同有关部门组织实施。指导农业检验检测体系建设。</w:t>
      </w:r>
    </w:p>
    <w:p w14:paraId="1B1952B8">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7.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产业发展。牵头管理外来物种。</w:t>
      </w:r>
    </w:p>
    <w:p w14:paraId="0BCC24B7">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8.负责有关农业生产资料和农业投入品的监督管理。组织农业生产资料市场体系建设。贯彻执行农业生产资料、兽药质量、兽药残留限量和残留检测方法国家标准并监督实施。组织兽医医政、兽药药政药检工作，负责执行兽医和畜禽屠宰行业管理。</w:t>
      </w:r>
    </w:p>
    <w:p w14:paraId="5A9DE0EB">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9.负责农业防灾减灾、农作物重大病虫害防治工作。指导动植物防疫检疫体系建设，组织、监督动植物防疫检疫工作，及时调查核实上报疫情并组织扑灭。配合有关部门制定血吸虫病防治工作计划并组织实施。</w:t>
      </w:r>
    </w:p>
    <w:p w14:paraId="63B716B3">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10.负责农业投资管理。编制农业投资项目建设规划，提出农业投资规模和方向、扶持农业农村发展财政项目的建议，按规定权限审批农业投资项目，负责农业投资项目资金安排和监督管理。</w:t>
      </w:r>
    </w:p>
    <w:p w14:paraId="4C24CF0D">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11.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2FED4DB0">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12.指导农业农村人才工作，拟订农业农村人才队伍建设规划并组织实施，指导农业教育和农业职业技能开发，指导新型职业农民培育、农业科技人才培养和农村实用人才培训工作。</w:t>
      </w:r>
    </w:p>
    <w:p w14:paraId="4B3C713C">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Calibri" w:hAnsi="Calibri" w:eastAsia="仿宋_GB2312" w:cs="Times New Roman"/>
          <w:sz w:val="32"/>
          <w:szCs w:val="32"/>
          <w:lang w:val="en-US" w:eastAsia="zh-CN"/>
        </w:rPr>
      </w:pPr>
      <w:r>
        <w:rPr>
          <w:rFonts w:hint="eastAsia" w:ascii="Times New Roman" w:hAnsi="Times New Roman" w:cs="Times New Roman"/>
          <w:sz w:val="32"/>
          <w:szCs w:val="32"/>
          <w:lang w:val="en-US" w:eastAsia="zh-CN"/>
        </w:rPr>
        <w:t>13.组</w:t>
      </w:r>
      <w:r>
        <w:rPr>
          <w:rFonts w:hint="eastAsia" w:ascii="Calibri" w:hAnsi="Calibri" w:eastAsia="仿宋_GB2312" w:cs="Times New Roman"/>
          <w:sz w:val="32"/>
          <w:szCs w:val="32"/>
          <w:lang w:val="en-US" w:eastAsia="zh-CN"/>
        </w:rPr>
        <w:t>织参与农业对外合作工作。承办有关农业涉外事务，组织开展农业贸易促进和有关对外交流合作，执行有关农业援外项目。</w:t>
      </w:r>
    </w:p>
    <w:p w14:paraId="7B06B856">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Calibri" w:hAnsi="Calibri" w:eastAsia="仿宋_GB2312" w:cs="Times New Roman"/>
          <w:sz w:val="32"/>
          <w:szCs w:val="32"/>
          <w:lang w:val="en-US" w:eastAsia="zh-CN"/>
        </w:rPr>
      </w:pPr>
      <w:r>
        <w:rPr>
          <w:rFonts w:hint="eastAsia" w:ascii="Times New Roman" w:hAnsi="Times New Roman" w:cs="Times New Roman"/>
          <w:sz w:val="32"/>
          <w:szCs w:val="32"/>
          <w:lang w:val="en-US" w:eastAsia="zh-CN"/>
        </w:rPr>
        <w:t>14.完成县委、县政府和县委农村工作领导小组交办的其他事项</w:t>
      </w:r>
      <w:r>
        <w:rPr>
          <w:rFonts w:hint="eastAsia" w:ascii="Calibri" w:hAnsi="Calibri" w:eastAsia="仿宋_GB2312" w:cs="Times New Roman"/>
          <w:sz w:val="32"/>
          <w:szCs w:val="32"/>
          <w:lang w:val="en-US" w:eastAsia="zh-CN"/>
        </w:rPr>
        <w:t>。</w:t>
      </w:r>
    </w:p>
    <w:p w14:paraId="7E9AE764">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eastAsia="楷体_GB2312"/>
          <w:sz w:val="32"/>
          <w:szCs w:val="32"/>
        </w:rPr>
      </w:pPr>
      <w:r>
        <w:rPr>
          <w:rFonts w:hint="eastAsia" w:eastAsia="楷体_GB2312" w:cs="楷体_GB2312"/>
          <w:sz w:val="32"/>
          <w:szCs w:val="32"/>
        </w:rPr>
        <w:t>（三）部门财务情况</w:t>
      </w:r>
    </w:p>
    <w:p w14:paraId="6079E317">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 资产负债及净资产情况</w:t>
      </w:r>
    </w:p>
    <w:p w14:paraId="0E644961">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lang w:val="en-US" w:eastAsia="zh-CN"/>
        </w:rPr>
        <w:t>2022年12月31日单位资产总额</w:t>
      </w:r>
      <w:r>
        <w:rPr>
          <w:rFonts w:hint="eastAsia" w:ascii="Times New Roman" w:hAnsi="Times New Roman" w:cs="Times New Roman"/>
          <w:sz w:val="32"/>
          <w:szCs w:val="32"/>
          <w:highlight w:val="none"/>
          <w:lang w:val="en-US" w:eastAsia="zh-CN"/>
        </w:rPr>
        <w:t>1687.96万元，其中：流动资产959.29万元、非流动资产728.67万元，负债总额1012.05万元，净资产总额675.91万元。</w:t>
      </w:r>
    </w:p>
    <w:p w14:paraId="27F576C0">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 部门整体收支情况</w:t>
      </w:r>
    </w:p>
    <w:p w14:paraId="0DA67CC9">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2022年部门年初预算收入4136.33万元，年内调整预算62994.92万元，全年预算76222.24万元，其中：一般公共预算拨款73707.95万元，纳入专户管理的非税收入拨款14万元，其他资金2500.29万元。上年结转9090.99万元，其中：一般公共预算拨款9090.99万元，纳入专户管理的非税收入拨款0万元。全年可执行预算合计68205.40万元，其中：一般公共预算拨款65691.11万元，纳入专户管理的非税收入拨款14万元，其他资金2500.29万元。</w:t>
      </w:r>
    </w:p>
    <w:p w14:paraId="7FE4B5AF">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2022年部门年初预算支出4136.33万元，其中：基本支出4096.39万元，项目支出39.94万元。部门决算支出68205.40万元，其中：基本支出4255.52万元，项目支出63949.89万元。</w:t>
      </w:r>
    </w:p>
    <w:p w14:paraId="053BF1C0">
      <w:pPr>
        <w:keepNext w:val="0"/>
        <w:keepLines w:val="0"/>
        <w:pageBreakBefore w:val="0"/>
        <w:widowControl/>
        <w:kinsoku/>
        <w:wordWrap/>
        <w:overflowPunct/>
        <w:topLinePunct w:val="0"/>
        <w:autoSpaceDE/>
        <w:autoSpaceDN/>
        <w:bidi w:val="0"/>
        <w:adjustRightInd/>
        <w:snapToGrid/>
        <w:spacing w:line="560" w:lineRule="exact"/>
        <w:ind w:firstLine="320" w:firstLineChars="100"/>
        <w:rPr>
          <w:rFonts w:eastAsia="楷体_GB2312"/>
          <w:sz w:val="32"/>
          <w:szCs w:val="32"/>
        </w:rPr>
      </w:pPr>
      <w:r>
        <w:rPr>
          <w:rFonts w:hint="eastAsia" w:eastAsia="楷体_GB2312" w:cs="楷体_GB2312"/>
          <w:sz w:val="32"/>
          <w:szCs w:val="32"/>
        </w:rPr>
        <w:t>（四）部门绩效目标</w:t>
      </w:r>
    </w:p>
    <w:p w14:paraId="71F88412">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 部门绩效总目标</w:t>
      </w:r>
    </w:p>
    <w:p w14:paraId="33265E03">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（1）实现我县农业经济高质量持续发展，农民收入持续增长；</w:t>
      </w:r>
    </w:p>
    <w:p w14:paraId="21D0EB4B">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（2）稳定我县全年粮食播种面积和粮食总产量；</w:t>
      </w:r>
    </w:p>
    <w:p w14:paraId="6D070B5F">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（3）积极推动农业产业化发展和乡村产业信息化建设；</w:t>
      </w:r>
    </w:p>
    <w:p w14:paraId="36990AF0">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（4）进一步强化农产品质量安全监管；</w:t>
      </w:r>
    </w:p>
    <w:p w14:paraId="042ED808">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（5）继续高要求、严标准抓好农村人居环境5年提质行动；</w:t>
      </w:r>
    </w:p>
    <w:p w14:paraId="3D24AB85">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（6）坚持发展富硒产业；开展特色产业园区、现代农业集聚区、农业产业强镇、“一村一品”示范镇创建；</w:t>
      </w:r>
    </w:p>
    <w:p w14:paraId="25D6678D">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（7）巩固提升特色优势农产品生产基地，积极培育特色农产品品牌，促进农民收入持续稳定增长；</w:t>
      </w:r>
    </w:p>
    <w:p w14:paraId="3BB05D46">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（8）加强全县农作物病虫害测报及防预，推广落实专业化统防统治与绿色防控技术；</w:t>
      </w:r>
    </w:p>
    <w:p w14:paraId="40E34CD0">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（9）提高农技推广服务水平，健全农业科技示范服务平台；</w:t>
      </w:r>
    </w:p>
    <w:p w14:paraId="262A3B4B">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（10）完成高素质农民培训工作，大力推广超级稻及农村实用技术培训；</w:t>
      </w:r>
    </w:p>
    <w:p w14:paraId="53A6AF99">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（11）巩固农业污染面治理成果；</w:t>
      </w:r>
    </w:p>
    <w:p w14:paraId="58B5D794">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（12）全面推进和落实党建工作。         </w:t>
      </w:r>
    </w:p>
    <w:p w14:paraId="0ED73EAC">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 部门2021年度绩效目标</w:t>
      </w:r>
    </w:p>
    <w:p w14:paraId="426D3724">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（1）产出指标</w:t>
      </w:r>
    </w:p>
    <w:p w14:paraId="3EAAC35E">
      <w:pPr>
        <w:keepNext w:val="0"/>
        <w:keepLines w:val="0"/>
        <w:pageBreakBefore w:val="0"/>
        <w:widowControl/>
        <w:kinsoku/>
        <w:wordWrap/>
        <w:overflowPunct/>
        <w:topLinePunct w:val="0"/>
        <w:autoSpaceDE/>
        <w:autoSpaceDN/>
        <w:bidi w:val="0"/>
        <w:adjustRightInd/>
        <w:snapToGrid/>
        <w:spacing w:line="560" w:lineRule="exact"/>
        <w:ind w:firstLine="947" w:firstLineChars="2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①数量指标。规划编制数28个。粮食播种面积178万亩以上，粮食产量70万吨。特色产业全产业链打造数1个。企业培育数量3家。茶叶等品牌推介数1次。富硒博览会参与数</w:t>
      </w:r>
      <w:r>
        <w:rPr>
          <w:rFonts w:hint="eastAsia" w:ascii="Times New Roman" w:hAnsi="Times New Roman" w:cs="Times New Roman"/>
          <w:sz w:val="32"/>
          <w:szCs w:val="32"/>
          <w:lang w:val="en-US" w:eastAsia="zh-CN"/>
        </w:rPr>
        <w:tab/>
      </w:r>
      <w:r>
        <w:rPr>
          <w:rFonts w:hint="eastAsia" w:ascii="Times New Roman" w:hAnsi="Times New Roman" w:cs="Times New Roman"/>
          <w:sz w:val="32"/>
          <w:szCs w:val="32"/>
          <w:lang w:val="en-US" w:eastAsia="zh-CN"/>
        </w:rPr>
        <w:t>1次。新增二品一标认证与管理数5个以上。人居环境督导数12次 。党建任务完成率100%。农残检测批次6000批次。</w:t>
      </w:r>
    </w:p>
    <w:p w14:paraId="36410508">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②质量指标。覆盖率100%。通过率100%。农残检测合格率98%以上。病虫害监测准确率90%。机构运转正常率100%。督导验收合格率100%。</w:t>
      </w:r>
      <w:r>
        <w:rPr>
          <w:rFonts w:hint="eastAsia" w:ascii="Times New Roman" w:hAnsi="Times New Roman" w:cs="Times New Roman"/>
          <w:sz w:val="32"/>
          <w:szCs w:val="32"/>
          <w:lang w:val="en-US" w:eastAsia="zh-CN"/>
        </w:rPr>
        <w:tab/>
      </w:r>
    </w:p>
    <w:p w14:paraId="06E991D5">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③时效指标。完成时效2022年内。任务完成及时率100%。</w:t>
      </w:r>
    </w:p>
    <w:p w14:paraId="533EC06B">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④成本指标。成本发生规范合理率100%。</w:t>
      </w:r>
    </w:p>
    <w:p w14:paraId="43750DFB">
      <w:pPr>
        <w:keepNext w:val="0"/>
        <w:keepLines w:val="0"/>
        <w:pageBreakBefore w:val="0"/>
        <w:widowControl/>
        <w:kinsoku/>
        <w:wordWrap/>
        <w:overflowPunct/>
        <w:topLinePunct w:val="0"/>
        <w:autoSpaceDE/>
        <w:autoSpaceDN/>
        <w:bidi w:val="0"/>
        <w:adjustRightInd/>
        <w:snapToGrid/>
        <w:spacing w:line="560" w:lineRule="exact"/>
        <w:ind w:firstLine="320" w:firstLineChars="100"/>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（2）效益指标</w:t>
      </w:r>
    </w:p>
    <w:p w14:paraId="61786E9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①经济效益指标。增长率10%。增产增收率10%。</w:t>
      </w:r>
    </w:p>
    <w:p w14:paraId="5A30523C">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②社会效益指标。粮食生产逐年提升。农产品质量检测，农产品安全得到保障。龙头企业培育显著增加。农民培训，提升农民技术水平。持续推进振兴行动。</w:t>
      </w:r>
    </w:p>
    <w:p w14:paraId="279262D3">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③生态效益指标。农业生态环境更安全。农村环境持续改善。</w:t>
      </w:r>
    </w:p>
    <w:p w14:paraId="65471058">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④可持续性影响指标。提效行动持续推进。</w:t>
      </w:r>
    </w:p>
    <w:p w14:paraId="4713D401">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（3）满意度指标</w:t>
      </w:r>
    </w:p>
    <w:p w14:paraId="09E458F5">
      <w:pPr>
        <w:keepNext w:val="0"/>
        <w:keepLines w:val="0"/>
        <w:pageBreakBefore w:val="0"/>
        <w:widowControl/>
        <w:kinsoku/>
        <w:wordWrap/>
        <w:overflowPunct/>
        <w:topLinePunct w:val="0"/>
        <w:autoSpaceDE/>
        <w:autoSpaceDN/>
        <w:bidi w:val="0"/>
        <w:adjustRightInd/>
        <w:snapToGrid/>
        <w:spacing w:line="560" w:lineRule="exact"/>
        <w:ind w:firstLine="947" w:firstLineChars="2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①满意度。社会公众满意度90%以上，服务对象满意度90%以上。</w:t>
      </w:r>
    </w:p>
    <w:p w14:paraId="13EC408B">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二、一般公共预算支出情况</w:t>
      </w:r>
    </w:p>
    <w:p w14:paraId="30025413">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桃源县农业农村局本级2022年度一般公共预算财政拨款年初结转和结余9090.99万元，本年收入56600.12万元，本年支出65691.11万元，年末结转和结余0万元。</w:t>
      </w:r>
    </w:p>
    <w:p w14:paraId="71E87679">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（一）基本支出情况</w:t>
      </w:r>
    </w:p>
    <w:p w14:paraId="4C043DBF">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桃源县农业农村局本级2022年度一般公共预算财政拨款基本支出年初结转和结余0万元，本年收入4189.46万元，本年支出4189.46万元，年末结转和结余0万元。</w:t>
      </w:r>
    </w:p>
    <w:p w14:paraId="1AF3E613">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（二）项目支出情况</w:t>
      </w:r>
    </w:p>
    <w:p w14:paraId="732B0FD4">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桃源县农业农村局本级2022年度一般公共预算财政拨款项目支出年初结转和结余9090.99万元，本年收入52410.6</w:t>
      </w:r>
      <w:r>
        <w:rPr>
          <w:rFonts w:hint="eastAsia" w:cs="Times New Roman"/>
          <w:sz w:val="32"/>
          <w:szCs w:val="32"/>
          <w:lang w:val="en-US" w:eastAsia="zh-CN"/>
        </w:rPr>
        <w:t>7</w:t>
      </w:r>
      <w:r>
        <w:rPr>
          <w:rFonts w:hint="eastAsia" w:ascii="Times New Roman" w:hAnsi="Times New Roman" w:cs="Times New Roman"/>
          <w:sz w:val="32"/>
          <w:szCs w:val="32"/>
          <w:lang w:val="en-US" w:eastAsia="zh-CN"/>
        </w:rPr>
        <w:t>万元，本年支出61501.6</w:t>
      </w:r>
      <w:r>
        <w:rPr>
          <w:rFonts w:hint="eastAsia" w:cs="Times New Roman"/>
          <w:sz w:val="32"/>
          <w:szCs w:val="32"/>
          <w:lang w:val="en-US" w:eastAsia="zh-CN"/>
        </w:rPr>
        <w:t>6</w:t>
      </w:r>
      <w:r>
        <w:rPr>
          <w:rFonts w:hint="eastAsia" w:ascii="Times New Roman" w:hAnsi="Times New Roman" w:cs="Times New Roman"/>
          <w:sz w:val="32"/>
          <w:szCs w:val="32"/>
          <w:lang w:val="en-US" w:eastAsia="zh-CN"/>
        </w:rPr>
        <w:t>万元，年末结转和结余0万元。</w:t>
      </w:r>
    </w:p>
    <w:p w14:paraId="2C2813F5">
      <w:pPr>
        <w:pStyle w:val="12"/>
        <w:keepNext w:val="0"/>
        <w:keepLines w:val="0"/>
        <w:pageBreakBefore w:val="0"/>
        <w:widowControl/>
        <w:kinsoku/>
        <w:wordWrap/>
        <w:overflowPunct/>
        <w:topLinePunct w:val="0"/>
        <w:autoSpaceDE/>
        <w:autoSpaceDN/>
        <w:bidi w:val="0"/>
        <w:adjustRightInd/>
        <w:snapToGrid/>
        <w:spacing w:line="560" w:lineRule="exact"/>
        <w:ind w:firstLine="31680"/>
        <w:jc w:val="left"/>
        <w:rPr>
          <w:rFonts w:ascii="Times New Roman" w:hAnsi="Times New Roman" w:eastAsia="黑体" w:cs="Times New Roman"/>
          <w:sz w:val="32"/>
          <w:szCs w:val="32"/>
        </w:rPr>
      </w:pPr>
      <w:r>
        <w:rPr>
          <w:rFonts w:hint="eastAsia" w:ascii="Times New Roman" w:hAnsi="Times New Roman" w:eastAsia="黑体" w:cs="黑体"/>
          <w:sz w:val="32"/>
          <w:szCs w:val="32"/>
        </w:rPr>
        <w:t>三、政府性基金预算支出情况</w:t>
      </w:r>
    </w:p>
    <w:p w14:paraId="3191F2F5">
      <w:pPr>
        <w:pStyle w:val="12"/>
        <w:keepNext w:val="0"/>
        <w:keepLines w:val="0"/>
        <w:pageBreakBefore w:val="0"/>
        <w:widowControl/>
        <w:kinsoku/>
        <w:wordWrap/>
        <w:overflowPunct/>
        <w:topLinePunct w:val="0"/>
        <w:autoSpaceDE/>
        <w:autoSpaceDN/>
        <w:bidi w:val="0"/>
        <w:adjustRightInd/>
        <w:snapToGrid/>
        <w:spacing w:line="560" w:lineRule="exact"/>
        <w:ind w:firstLine="31680"/>
        <w:jc w:val="left"/>
        <w:rPr>
          <w:rFonts w:ascii="Times New Roman" w:hAnsi="Times New Roman" w:cs="Times New Roman"/>
          <w:sz w:val="30"/>
          <w:szCs w:val="30"/>
        </w:rPr>
      </w:pPr>
      <w:r>
        <w:rPr>
          <w:rFonts w:ascii="Times New Roman" w:hAnsi="Times New Roman" w:eastAsia="黑体" w:cs="Times New Roman"/>
          <w:sz w:val="32"/>
          <w:szCs w:val="32"/>
        </w:rPr>
        <w:t xml:space="preserve">    </w:t>
      </w:r>
      <w:r>
        <w:rPr>
          <w:rFonts w:hint="eastAsia" w:ascii="Times New Roman" w:hAnsi="Times New Roman" w:cs="仿宋_GB2312"/>
          <w:sz w:val="30"/>
          <w:szCs w:val="30"/>
        </w:rPr>
        <w:t>无</w:t>
      </w:r>
    </w:p>
    <w:p w14:paraId="35E2DBF4">
      <w:pPr>
        <w:pStyle w:val="12"/>
        <w:keepNext w:val="0"/>
        <w:keepLines w:val="0"/>
        <w:pageBreakBefore w:val="0"/>
        <w:widowControl/>
        <w:numPr>
          <w:ilvl w:val="0"/>
          <w:numId w:val="2"/>
        </w:numPr>
        <w:kinsoku/>
        <w:wordWrap/>
        <w:overflowPunct/>
        <w:topLinePunct w:val="0"/>
        <w:autoSpaceDE/>
        <w:autoSpaceDN/>
        <w:bidi w:val="0"/>
        <w:adjustRightInd/>
        <w:snapToGrid/>
        <w:spacing w:line="560" w:lineRule="exact"/>
        <w:ind w:firstLine="31680"/>
        <w:jc w:val="left"/>
        <w:rPr>
          <w:rFonts w:ascii="Times New Roman" w:hAnsi="Times New Roman" w:eastAsia="黑体" w:cs="Times New Roman"/>
          <w:sz w:val="32"/>
          <w:szCs w:val="32"/>
        </w:rPr>
      </w:pPr>
      <w:r>
        <w:rPr>
          <w:rFonts w:hint="eastAsia" w:ascii="Times New Roman" w:hAnsi="Times New Roman" w:eastAsia="黑体" w:cs="黑体"/>
          <w:sz w:val="32"/>
          <w:szCs w:val="32"/>
        </w:rPr>
        <w:t>国有资本经营预算支出情况</w:t>
      </w:r>
    </w:p>
    <w:p w14:paraId="3839B011">
      <w:pPr>
        <w:pStyle w:val="12"/>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Times New Roman" w:hAnsi="Times New Roman" w:cs="Times New Roman"/>
          <w:sz w:val="30"/>
          <w:szCs w:val="30"/>
        </w:rPr>
      </w:pPr>
      <w:r>
        <w:rPr>
          <w:rFonts w:ascii="Times New Roman" w:hAnsi="Times New Roman" w:eastAsia="黑体" w:cs="Times New Roman"/>
          <w:sz w:val="32"/>
          <w:szCs w:val="32"/>
        </w:rPr>
        <w:t xml:space="preserve">        </w:t>
      </w:r>
      <w:r>
        <w:rPr>
          <w:rFonts w:hint="eastAsia" w:ascii="Times New Roman" w:hAnsi="Times New Roman" w:cs="仿宋_GB2312"/>
          <w:sz w:val="30"/>
          <w:szCs w:val="30"/>
        </w:rPr>
        <w:t>无</w:t>
      </w:r>
    </w:p>
    <w:p w14:paraId="168E0487">
      <w:pPr>
        <w:pStyle w:val="12"/>
        <w:keepNext w:val="0"/>
        <w:keepLines w:val="0"/>
        <w:pageBreakBefore w:val="0"/>
        <w:widowControl/>
        <w:numPr>
          <w:ilvl w:val="0"/>
          <w:numId w:val="2"/>
        </w:numPr>
        <w:kinsoku/>
        <w:wordWrap/>
        <w:overflowPunct/>
        <w:topLinePunct w:val="0"/>
        <w:autoSpaceDE/>
        <w:autoSpaceDN/>
        <w:bidi w:val="0"/>
        <w:adjustRightInd/>
        <w:snapToGrid/>
        <w:spacing w:line="560" w:lineRule="exact"/>
        <w:ind w:firstLine="31680"/>
        <w:jc w:val="left"/>
        <w:rPr>
          <w:rFonts w:ascii="Times New Roman" w:hAnsi="Times New Roman" w:eastAsia="黑体" w:cs="Times New Roman"/>
          <w:sz w:val="32"/>
          <w:szCs w:val="32"/>
        </w:rPr>
      </w:pPr>
      <w:r>
        <w:rPr>
          <w:rFonts w:hint="eastAsia" w:ascii="Times New Roman" w:hAnsi="Times New Roman" w:eastAsia="黑体" w:cs="黑体"/>
          <w:sz w:val="32"/>
          <w:szCs w:val="32"/>
        </w:rPr>
        <w:t>社会保险基金预算支出情况</w:t>
      </w:r>
    </w:p>
    <w:p w14:paraId="7EBFD131">
      <w:pPr>
        <w:pStyle w:val="12"/>
        <w:keepNext w:val="0"/>
        <w:keepLines w:val="0"/>
        <w:pageBreakBefore w:val="0"/>
        <w:widowControl/>
        <w:kinsoku/>
        <w:wordWrap/>
        <w:overflowPunct/>
        <w:topLinePunct w:val="0"/>
        <w:autoSpaceDE/>
        <w:autoSpaceDN/>
        <w:bidi w:val="0"/>
        <w:adjustRightInd/>
        <w:snapToGrid/>
        <w:spacing w:line="560" w:lineRule="exact"/>
        <w:ind w:left="560" w:leftChars="200" w:firstLine="0" w:firstLineChars="0"/>
        <w:jc w:val="left"/>
        <w:rPr>
          <w:rFonts w:ascii="Times New Roman" w:hAnsi="Times New Roman" w:cs="Times New Roman"/>
          <w:sz w:val="30"/>
          <w:szCs w:val="30"/>
        </w:rPr>
      </w:pPr>
      <w:r>
        <w:rPr>
          <w:rFonts w:ascii="Times New Roman" w:hAnsi="Times New Roman" w:eastAsia="黑体" w:cs="Times New Roman"/>
          <w:sz w:val="32"/>
          <w:szCs w:val="32"/>
        </w:rPr>
        <w:t xml:space="preserve">     </w:t>
      </w:r>
      <w:r>
        <w:rPr>
          <w:rFonts w:hint="eastAsia" w:ascii="Times New Roman" w:hAnsi="Times New Roman" w:cs="仿宋_GB2312"/>
          <w:sz w:val="30"/>
          <w:szCs w:val="30"/>
        </w:rPr>
        <w:t>无</w:t>
      </w:r>
    </w:p>
    <w:p w14:paraId="40C944BE">
      <w:pPr>
        <w:keepNext w:val="0"/>
        <w:keepLines w:val="0"/>
        <w:pageBreakBefore w:val="0"/>
        <w:widowControl/>
        <w:kinsoku/>
        <w:wordWrap/>
        <w:overflowPunct/>
        <w:topLinePunct w:val="0"/>
        <w:autoSpaceDE/>
        <w:autoSpaceDN/>
        <w:bidi w:val="0"/>
        <w:adjustRightInd/>
        <w:snapToGrid/>
        <w:spacing w:line="560" w:lineRule="exact"/>
        <w:ind w:firstLine="645"/>
        <w:jc w:val="left"/>
        <w:rPr>
          <w:rFonts w:eastAsia="黑体"/>
          <w:sz w:val="32"/>
          <w:szCs w:val="32"/>
        </w:rPr>
      </w:pPr>
      <w:r>
        <w:rPr>
          <w:rFonts w:hint="eastAsia" w:eastAsia="黑体" w:cs="黑体"/>
          <w:sz w:val="32"/>
          <w:szCs w:val="32"/>
        </w:rPr>
        <w:t>六、部门整体支出绩效情况</w:t>
      </w:r>
    </w:p>
    <w:p w14:paraId="04E49F98">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eastAsia="楷体_GB2312"/>
          <w:sz w:val="32"/>
          <w:szCs w:val="32"/>
        </w:rPr>
      </w:pPr>
      <w:r>
        <w:rPr>
          <w:rFonts w:hint="eastAsia" w:eastAsia="楷体_GB2312" w:cs="楷体_GB2312"/>
          <w:sz w:val="32"/>
          <w:szCs w:val="32"/>
        </w:rPr>
        <w:t>（一）部门产出指标完成情况</w:t>
      </w:r>
    </w:p>
    <w:p w14:paraId="65320CC5">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1.数量指标。规划编制数28个。粮食播种面积178万亩以上，粮食产量70万吨。特色产业全产业链打造数2个。企业培育数量7家。茶叶等品牌推介数1次。富硒博览会参与数</w:t>
      </w:r>
      <w:r>
        <w:rPr>
          <w:rFonts w:hint="eastAsia" w:ascii="Times New Roman" w:hAnsi="Times New Roman" w:cs="Times New Roman"/>
          <w:sz w:val="32"/>
          <w:szCs w:val="32"/>
          <w:lang w:val="en-US" w:eastAsia="zh-CN"/>
        </w:rPr>
        <w:tab/>
      </w:r>
      <w:r>
        <w:rPr>
          <w:rFonts w:hint="eastAsia" w:ascii="Times New Roman" w:hAnsi="Times New Roman" w:cs="Times New Roman"/>
          <w:sz w:val="32"/>
          <w:szCs w:val="32"/>
          <w:lang w:val="en-US" w:eastAsia="zh-CN"/>
        </w:rPr>
        <w:t>1次。新增二品一标认证与管理数5个以上。人居环境督导数12次。党建任务完成率100%。农残检测批次6013批次。</w:t>
      </w:r>
    </w:p>
    <w:p w14:paraId="48DCAAF9">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2.质量指标。覆盖率100%</w:t>
      </w:r>
      <w:r>
        <w:rPr>
          <w:rFonts w:hint="eastAsia" w:ascii="Times New Roman" w:hAnsi="Times New Roman" w:cs="Times New Roman"/>
          <w:sz w:val="32"/>
          <w:szCs w:val="32"/>
          <w:lang w:val="en-US" w:eastAsia="zh-CN"/>
        </w:rPr>
        <w:tab/>
      </w:r>
      <w:r>
        <w:rPr>
          <w:rFonts w:hint="eastAsia" w:ascii="Times New Roman" w:hAnsi="Times New Roman" w:cs="Times New Roman"/>
          <w:sz w:val="32"/>
          <w:szCs w:val="32"/>
          <w:lang w:val="en-US" w:eastAsia="zh-CN"/>
        </w:rPr>
        <w:t>。通过率100%</w:t>
      </w:r>
      <w:r>
        <w:rPr>
          <w:rFonts w:hint="eastAsia" w:ascii="Times New Roman" w:hAnsi="Times New Roman" w:cs="Times New Roman"/>
          <w:sz w:val="32"/>
          <w:szCs w:val="32"/>
          <w:lang w:val="en-US" w:eastAsia="zh-CN"/>
        </w:rPr>
        <w:tab/>
      </w:r>
      <w:r>
        <w:rPr>
          <w:rFonts w:hint="eastAsia" w:ascii="Times New Roman" w:hAnsi="Times New Roman" w:cs="Times New Roman"/>
          <w:sz w:val="32"/>
          <w:szCs w:val="32"/>
          <w:lang w:val="en-US" w:eastAsia="zh-CN"/>
        </w:rPr>
        <w:t>。农残检测合格率98%以上。病虫害监测准确率90%。机构运转正常率100%。督导验收合格率100%。</w:t>
      </w:r>
    </w:p>
    <w:p w14:paraId="7F86AFBD">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3.时效指标。任务完成及时率100%。</w:t>
      </w:r>
    </w:p>
    <w:p w14:paraId="6317A037">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4.成本指标。成本发生规范合理率100%。</w:t>
      </w:r>
    </w:p>
    <w:p w14:paraId="2814BBA7">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（二）部门效益指标完成情况</w:t>
      </w:r>
    </w:p>
    <w:p w14:paraId="181C0D5F">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1.粮食生产逐年提升。粮食计划面积顺利完成，早稻收获面积58万亩，平均亩产410.5公斤，较上年增产0.95%。</w:t>
      </w:r>
    </w:p>
    <w:p w14:paraId="53D63970">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农产品质量检测，农产品安全得到保障。在县域显要位置制作大型广告牌3块，展示我县农安县金字招牌，百度百科增设“2019年10月29日，入选第二批国家农产品质量安全县名单”词条。完成县本级农产品监测6013批次，合格率99.95%。</w:t>
      </w:r>
    </w:p>
    <w:p w14:paraId="652FFBCB">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3.龙头企业培育显著增加。积极申报国家级龙头企业1家、省级龙头企业3家、市级龙头企业2家以及全国一村一品专业村镇1个。</w:t>
      </w:r>
    </w:p>
    <w:p w14:paraId="687EB7A3">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4.农民培训，提升农民技术水平。聘请农业专家对2021年已培训的200名高素质农民开展上门跟踪服务，开展技术培训4次，上门上户跟踪服务250人次。</w:t>
      </w:r>
    </w:p>
    <w:p w14:paraId="624C556F">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5.持续推进振兴行动。共实施产业帮扶项目93个，其中巩固拓展产业扶贫成果中央提前批资金分配及项目30个，中央第二批和省级第一、二批专项衔接资金项目58个，省巩固拓展产业扶贫成果重点项目5个。</w:t>
      </w:r>
    </w:p>
    <w:p w14:paraId="2B403C42">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6.农业生态环境更安全。积极引导农户开展种植结构调整，目前严格管控区已全部退出水稻种植。在安全利用区落实好水稻全生育期淹水灌溉技术，目前已落实安全利用类任务65600亩，其中中稻区落实任务12000亩，晚稻区落实任务53600亩。</w:t>
      </w:r>
    </w:p>
    <w:p w14:paraId="2D708813">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7.农村环境持续改善。全面持续开展村庄清洁行动，清理农村生活垃圾48.8万吨。乡镇中转设施覆盖率达100%，垃圾分类和资源化比例达83%以上。非正规垃圾堆放点整治达标率100%。</w:t>
      </w:r>
    </w:p>
    <w:p w14:paraId="5ADC8019">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8.提效行动持续推进。积极争项引资。成功引进商品粮大省奖励、产业融合、油料大县奖励、人居环境整治中央预算、中央农田建设补助、推进乡村振兴衔接、耕地轮作休耕试点、绿色种养循环农业试点、受污染耕地安全利用、三一工程等40个项目资金4.04亿元。壮大县域经济。前三季度，全县农林牧渔业增加值同比增长3.8%，粮食生产基本稳定，蔬菜产量及生猪生产保持增长。全县规模工业增加值增长10.1%，增速全市第2。规模以上服务业企业营业收入达到25.7亿元，增长20.8%。</w:t>
      </w:r>
    </w:p>
    <w:p w14:paraId="74780223">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9.满意度。社会公众满意度90%以上，服务对象满意度90%以上。</w:t>
      </w:r>
    </w:p>
    <w:p w14:paraId="7D8943E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eastAsia="黑体"/>
          <w:sz w:val="32"/>
          <w:szCs w:val="32"/>
        </w:rPr>
      </w:pPr>
      <w:r>
        <w:rPr>
          <w:rFonts w:hint="eastAsia" w:eastAsia="黑体" w:cs="黑体"/>
          <w:sz w:val="32"/>
          <w:szCs w:val="32"/>
        </w:rPr>
        <w:t>七、存在的问题及原因分析</w:t>
      </w:r>
    </w:p>
    <w:p w14:paraId="360FCB93">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eastAsia="楷体_GB2312"/>
          <w:sz w:val="32"/>
          <w:szCs w:val="32"/>
        </w:rPr>
      </w:pPr>
      <w:r>
        <w:rPr>
          <w:rFonts w:hint="eastAsia" w:eastAsia="楷体_GB2312" w:cs="楷体_GB2312"/>
          <w:sz w:val="32"/>
          <w:szCs w:val="32"/>
        </w:rPr>
        <w:t>（一）存在的问题</w:t>
      </w:r>
    </w:p>
    <w:p w14:paraId="66026377">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1.部门预算调整大。2022年全年预算调整62994.92万元，调整率1509%。</w:t>
      </w:r>
    </w:p>
    <w:p w14:paraId="1C7AD8FE">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2.绩效目标欠完整。单位部分专项资金绩效目标未纳入整体绩效目标中来。</w:t>
      </w:r>
    </w:p>
    <w:p w14:paraId="7E3AA4A7">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3.部分项目资金支付手续办理不及时、资金无法及时不到位，影响项目实施进度。</w:t>
      </w:r>
    </w:p>
    <w:p w14:paraId="2B6FF86F">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cs="Times New Roman"/>
          <w:sz w:val="32"/>
          <w:szCs w:val="32"/>
          <w:lang w:val="en-US" w:eastAsia="zh-CN"/>
        </w:rPr>
      </w:pPr>
      <w:r>
        <w:rPr>
          <w:rFonts w:hint="eastAsia"/>
          <w:lang w:val="en-US" w:eastAsia="zh-CN"/>
        </w:rPr>
        <w:t xml:space="preserve"> 4</w:t>
      </w:r>
      <w:r>
        <w:rPr>
          <w:rFonts w:hint="eastAsia" w:ascii="Times New Roman" w:hAnsi="Times New Roman" w:cs="Times New Roman"/>
          <w:sz w:val="32"/>
          <w:szCs w:val="32"/>
          <w:lang w:val="en-US" w:eastAsia="zh-CN"/>
        </w:rPr>
        <w:t>.项目存在从多个预算指标口径支付的情况。如：项目差旅费通过预算指标“行政运行”、“其他支出”</w:t>
      </w:r>
      <w:r>
        <w:rPr>
          <w:rFonts w:hint="eastAsia" w:cs="Times New Roman"/>
          <w:sz w:val="32"/>
          <w:szCs w:val="32"/>
          <w:lang w:val="en-US" w:eastAsia="zh-CN"/>
        </w:rPr>
        <w:t>。</w:t>
      </w:r>
    </w:p>
    <w:p w14:paraId="31A0FE6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cs="Times New Roman"/>
          <w:sz w:val="32"/>
          <w:szCs w:val="32"/>
          <w:lang w:val="en-US" w:eastAsia="zh-CN"/>
        </w:rPr>
      </w:pPr>
      <w:r>
        <w:rPr>
          <w:rFonts w:hint="eastAsia" w:cs="Times New Roman"/>
          <w:sz w:val="32"/>
          <w:szCs w:val="32"/>
          <w:lang w:val="en-US" w:eastAsia="zh-CN"/>
        </w:rPr>
        <w:t>5.项目验收资料归档不完整。存在项目验收资料不完整，某些需要村委签字盖章的资料，仅盖章无相关人员签字。</w:t>
      </w:r>
    </w:p>
    <w:p w14:paraId="3966D2A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cs="Times New Roman"/>
          <w:sz w:val="32"/>
          <w:szCs w:val="32"/>
          <w:lang w:val="en-US" w:eastAsia="zh-CN"/>
        </w:rPr>
      </w:pPr>
      <w:r>
        <w:rPr>
          <w:rFonts w:hint="eastAsia" w:cs="Times New Roman"/>
          <w:sz w:val="32"/>
          <w:szCs w:val="32"/>
          <w:lang w:val="en-US" w:eastAsia="zh-CN"/>
        </w:rPr>
        <w:t>6.货物采购未严格按照采购合同执行。存在项目资金采购的货物支付款项的时间迟于合同要求日期，首次付款比例低于合同签订的比例。</w:t>
      </w:r>
    </w:p>
    <w:p w14:paraId="569B2940">
      <w:pPr>
        <w:pStyle w:val="10"/>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rPr>
          <w:rFonts w:eastAsia="楷体_GB2312"/>
        </w:rPr>
      </w:pPr>
      <w:r>
        <w:rPr>
          <w:rFonts w:hint="eastAsia" w:eastAsia="楷体_GB2312" w:cs="楷体_GB2312"/>
        </w:rPr>
        <w:t>原因分析</w:t>
      </w:r>
    </w:p>
    <w:p w14:paraId="795CFDF5">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1.部门预算调整大的主要原因为上级专项资金不在部门年初预算编制范围内。</w:t>
      </w:r>
    </w:p>
    <w:p w14:paraId="2747573F">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2.部分专项资金年度工作计划确定较迟，指标下达时间较晚。</w:t>
      </w:r>
    </w:p>
    <w:p w14:paraId="6CEF40AB">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3.部分人员对项目资金管理流程制度不熟悉，导致找领导审批不及时，资金拨</w:t>
      </w:r>
      <w:bookmarkStart w:id="0" w:name="_GoBack"/>
      <w:bookmarkEnd w:id="0"/>
      <w:r>
        <w:rPr>
          <w:rFonts w:hint="eastAsia" w:ascii="Times New Roman" w:hAnsi="Times New Roman" w:cs="Times New Roman"/>
          <w:sz w:val="32"/>
          <w:szCs w:val="32"/>
          <w:lang w:val="en-US" w:eastAsia="zh-CN"/>
        </w:rPr>
        <w:t>付不及时。</w:t>
      </w:r>
    </w:p>
    <w:p w14:paraId="11B93F34">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4.主要原因为项目资金下达前，统计数据监测等工作需要下乡且属于全年开展，下达前用行政经费垫支支出。</w:t>
      </w:r>
    </w:p>
    <w:p w14:paraId="43A995D6">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cs="Times New Roman"/>
          <w:sz w:val="32"/>
          <w:szCs w:val="32"/>
          <w:lang w:val="en-US" w:eastAsia="zh-CN"/>
        </w:rPr>
      </w:pPr>
      <w:r>
        <w:rPr>
          <w:rFonts w:hint="eastAsia" w:cs="Times New Roman"/>
          <w:sz w:val="32"/>
          <w:szCs w:val="32"/>
          <w:lang w:val="en-US" w:eastAsia="zh-CN"/>
        </w:rPr>
        <w:t>5.项目验收时间较为集中，验收人员对验收标准理解不一，导致出现疏漏。</w:t>
      </w:r>
    </w:p>
    <w:p w14:paraId="1DE0F005">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default" w:cs="Times New Roman"/>
          <w:sz w:val="32"/>
          <w:szCs w:val="32"/>
          <w:lang w:val="en-US" w:eastAsia="zh-CN"/>
        </w:rPr>
      </w:pPr>
      <w:r>
        <w:rPr>
          <w:rFonts w:hint="eastAsia" w:cs="Times New Roman"/>
          <w:sz w:val="32"/>
          <w:szCs w:val="32"/>
          <w:lang w:val="en-US" w:eastAsia="zh-CN"/>
        </w:rPr>
        <w:t>6.项目资金未及时下达，货物又需要及时购买，例如种子采购具有时限性，合同签订后一直未付款，超过合同签订的付款期限。合同要求供应商支付履约保证金，业务人员直接就将首次付款比例降低，降低部分抵扣履约保证金。</w:t>
      </w:r>
    </w:p>
    <w:p w14:paraId="7ED1791E">
      <w:pPr>
        <w:keepNext w:val="0"/>
        <w:keepLines w:val="0"/>
        <w:pageBreakBefore w:val="0"/>
        <w:widowControl/>
        <w:kinsoku/>
        <w:wordWrap/>
        <w:overflowPunct/>
        <w:topLinePunct w:val="0"/>
        <w:autoSpaceDE/>
        <w:autoSpaceDN/>
        <w:bidi w:val="0"/>
        <w:adjustRightInd/>
        <w:snapToGrid/>
        <w:spacing w:line="560" w:lineRule="exact"/>
        <w:jc w:val="left"/>
        <w:rPr>
          <w:rFonts w:eastAsia="黑体"/>
          <w:sz w:val="32"/>
          <w:szCs w:val="32"/>
        </w:rPr>
      </w:pPr>
      <w:r>
        <w:rPr>
          <w:rFonts w:hint="eastAsia" w:eastAsia="黑体" w:cs="黑体"/>
          <w:sz w:val="32"/>
          <w:szCs w:val="32"/>
        </w:rPr>
        <w:t>八、下一步改进措施</w:t>
      </w:r>
    </w:p>
    <w:p w14:paraId="1346439F">
      <w:pPr>
        <w:keepNext w:val="0"/>
        <w:keepLines w:val="0"/>
        <w:pageBreakBefore w:val="0"/>
        <w:kinsoku/>
        <w:wordWrap/>
        <w:overflowPunct/>
        <w:topLinePunct w:val="0"/>
        <w:autoSpaceDE/>
        <w:autoSpaceDN/>
        <w:bidi w:val="0"/>
        <w:adjustRightInd/>
        <w:snapToGrid/>
        <w:spacing w:line="560" w:lineRule="exact"/>
        <w:ind w:firstLine="640" w:firstLineChars="200"/>
        <w:rPr>
          <w:rFonts w:eastAsia="楷体_GB2312"/>
          <w:sz w:val="32"/>
          <w:szCs w:val="32"/>
        </w:rPr>
      </w:pPr>
      <w:r>
        <w:rPr>
          <w:rFonts w:hint="eastAsia" w:eastAsia="楷体_GB2312" w:cs="楷体_GB2312"/>
          <w:sz w:val="32"/>
          <w:szCs w:val="32"/>
        </w:rPr>
        <w:t>（一）加强预算管理</w:t>
      </w:r>
    </w:p>
    <w:p w14:paraId="5CB537D6">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科学合理编制预算，严格执行预算。进一步提高预算编制准确率，做准做全基本支出预算，做全项目预算，加强预算支出的审核、跟踪及预算执行情况的分析评价，提高预算编制的严谨性和可控性。</w:t>
      </w:r>
    </w:p>
    <w:p w14:paraId="3B7F9ECD">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（二）完整申报绩效目标</w:t>
      </w:r>
    </w:p>
    <w:p w14:paraId="4C08542E">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来年单位将根据当年工作计划科学、完整的申报绩效目标。</w:t>
      </w:r>
    </w:p>
    <w:p w14:paraId="020A5A0B">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（三）加强项目资金管理</w:t>
      </w:r>
    </w:p>
    <w:p w14:paraId="16BCB036">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严格实行项目管理程序化，实现项目计划、申报、实施、</w:t>
      </w:r>
      <w:r>
        <w:rPr>
          <w:rFonts w:hint="eastAsia" w:ascii="Calibri" w:hAnsi="Calibri" w:cs="Times New Roman"/>
          <w:sz w:val="32"/>
          <w:szCs w:val="32"/>
          <w:lang w:val="en-US" w:eastAsia="zh-CN"/>
        </w:rPr>
        <w:t>拨付</w:t>
      </w:r>
      <w:r>
        <w:rPr>
          <w:rFonts w:hint="eastAsia" w:ascii="Calibri" w:hAnsi="Calibri" w:eastAsia="仿宋_GB2312" w:cs="Times New Roman"/>
          <w:sz w:val="32"/>
          <w:szCs w:val="32"/>
          <w:lang w:val="en-US" w:eastAsia="zh-CN"/>
        </w:rPr>
        <w:t>、验收、评价全流程监督与控制，规范专项资金管理，提高专项资金的使用效益。</w:t>
      </w:r>
    </w:p>
    <w:p w14:paraId="11BCA137">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Times New Roman" w:hAnsi="Times New Roman" w:eastAsia="楷体_GB2312" w:cs="楷体_GB2312"/>
          <w:sz w:val="32"/>
          <w:szCs w:val="32"/>
          <w:lang w:val="en-US" w:eastAsia="zh-CN"/>
        </w:rPr>
      </w:pPr>
      <w:r>
        <w:rPr>
          <w:rFonts w:hint="eastAsia" w:eastAsia="楷体_GB2312" w:cs="楷体_GB2312"/>
          <w:sz w:val="32"/>
          <w:szCs w:val="32"/>
          <w:lang w:val="en-US" w:eastAsia="zh-CN"/>
        </w:rPr>
        <w:t>（四）</w:t>
      </w:r>
      <w:r>
        <w:rPr>
          <w:rFonts w:hint="eastAsia" w:ascii="Times New Roman" w:hAnsi="Times New Roman" w:eastAsia="楷体_GB2312" w:cs="楷体_GB2312"/>
          <w:sz w:val="32"/>
          <w:szCs w:val="32"/>
          <w:lang w:val="en-US" w:eastAsia="zh-CN"/>
        </w:rPr>
        <w:t>加强预算指标支出的管理</w:t>
      </w:r>
    </w:p>
    <w:p w14:paraId="03F2D124">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严格按照指标用途对口支出，杜绝多预算指标口径支出。资金下达后按照预算指标支出。</w:t>
      </w:r>
    </w:p>
    <w:p w14:paraId="000A36F1">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rPr>
          <w:rFonts w:hint="eastAsia" w:eastAsia="楷体_GB2312" w:cs="楷体_GB2312"/>
          <w:sz w:val="32"/>
          <w:szCs w:val="32"/>
          <w:lang w:val="en-US" w:eastAsia="zh-CN"/>
        </w:rPr>
      </w:pPr>
      <w:r>
        <w:rPr>
          <w:rFonts w:hint="eastAsia" w:eastAsia="楷体_GB2312" w:cs="楷体_GB2312"/>
          <w:sz w:val="32"/>
          <w:szCs w:val="32"/>
          <w:lang w:val="en-US" w:eastAsia="zh-CN"/>
        </w:rPr>
        <w:t>加强对项目验收的管理</w:t>
      </w:r>
    </w:p>
    <w:p w14:paraId="4A28394E">
      <w:pPr>
        <w:keepNext w:val="0"/>
        <w:keepLines w:val="0"/>
        <w:pageBreakBefore w:val="0"/>
        <w:widowControl/>
        <w:numPr>
          <w:ilvl w:val="0"/>
          <w:numId w:val="0"/>
        </w:numPr>
        <w:kinsoku/>
        <w:wordWrap/>
        <w:overflowPunct/>
        <w:topLinePunct w:val="0"/>
        <w:autoSpaceDE/>
        <w:autoSpaceDN/>
        <w:bidi w:val="0"/>
        <w:adjustRightInd/>
        <w:snapToGrid/>
        <w:spacing w:line="560" w:lineRule="exact"/>
        <w:rPr>
          <w:rFonts w:hint="eastAsia" w:ascii="Calibri" w:hAnsi="Calibri" w:cs="Times New Roman"/>
          <w:sz w:val="32"/>
          <w:szCs w:val="32"/>
          <w:lang w:val="en-US" w:eastAsia="zh-CN"/>
        </w:rPr>
      </w:pPr>
      <w:r>
        <w:rPr>
          <w:rFonts w:hint="eastAsia" w:eastAsia="楷体_GB2312" w:cs="楷体_GB2312"/>
          <w:sz w:val="32"/>
          <w:szCs w:val="32"/>
          <w:lang w:val="en-US" w:eastAsia="zh-CN"/>
        </w:rPr>
        <w:t xml:space="preserve">   </w:t>
      </w:r>
      <w:r>
        <w:rPr>
          <w:rFonts w:hint="eastAsia" w:ascii="Calibri" w:hAnsi="Calibri" w:eastAsia="仿宋_GB2312" w:cs="Times New Roman"/>
          <w:sz w:val="32"/>
          <w:szCs w:val="32"/>
          <w:lang w:val="en-US" w:eastAsia="zh-CN"/>
        </w:rPr>
        <w:t>合理安排项目验收的时间，对参与验收人员进行统一培训，强调统一的验收标准</w:t>
      </w:r>
      <w:r>
        <w:rPr>
          <w:rFonts w:hint="eastAsia" w:ascii="Calibri" w:hAnsi="Calibri" w:cs="Times New Roman"/>
          <w:sz w:val="32"/>
          <w:szCs w:val="32"/>
          <w:lang w:val="en-US" w:eastAsia="zh-CN"/>
        </w:rPr>
        <w:t>。</w:t>
      </w:r>
    </w:p>
    <w:p w14:paraId="3D3C04F6">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rPr>
          <w:rFonts w:hint="eastAsia" w:eastAsia="楷体_GB2312" w:cs="楷体_GB2312"/>
          <w:sz w:val="32"/>
          <w:szCs w:val="32"/>
          <w:lang w:val="en-US" w:eastAsia="zh-CN"/>
        </w:rPr>
      </w:pPr>
      <w:r>
        <w:rPr>
          <w:rFonts w:hint="eastAsia" w:eastAsia="楷体_GB2312" w:cs="楷体_GB2312"/>
          <w:sz w:val="32"/>
          <w:szCs w:val="32"/>
          <w:lang w:val="en-US" w:eastAsia="zh-CN"/>
        </w:rPr>
        <w:t>严控合同管理</w:t>
      </w:r>
    </w:p>
    <w:p w14:paraId="2B87991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default"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资金有保证的情况下，及时按照签订合同履约，收支两条线分开，应收取履约保证金都预收，应支付的货款比例按照合同要求支付。</w:t>
      </w:r>
    </w:p>
    <w:p w14:paraId="2B6849E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九、部门整体支出绩效自评结果拟应用和公开情况</w:t>
      </w:r>
    </w:p>
    <w:p w14:paraId="6C54BA8C">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根据县财政相关部门统一部署，我单位2022年部门整体支出绩效自评情况将在单位门户网站公开，接受社会监督。对绩效自评工作中发现的问题及时整改，解决好绩效评价管理中存在的问题，提高工作效能。根据部门整体支出绩效评价指标评分标准，2022年我单位部门整体绩效评价自评分为95.95分。</w:t>
      </w:r>
    </w:p>
    <w:p w14:paraId="1C089F3C">
      <w:pPr>
        <w:keepNext w:val="0"/>
        <w:keepLines w:val="0"/>
        <w:pageBreakBefore w:val="0"/>
        <w:widowControl/>
        <w:kinsoku/>
        <w:wordWrap/>
        <w:overflowPunct/>
        <w:topLinePunct w:val="0"/>
        <w:autoSpaceDE/>
        <w:autoSpaceDN/>
        <w:bidi w:val="0"/>
        <w:adjustRightInd/>
        <w:snapToGrid/>
        <w:spacing w:line="560" w:lineRule="exact"/>
        <w:ind w:firstLine="645"/>
        <w:jc w:val="left"/>
        <w:rPr>
          <w:rFonts w:eastAsia="黑体"/>
          <w:sz w:val="32"/>
          <w:szCs w:val="32"/>
        </w:rPr>
      </w:pPr>
      <w:r>
        <w:rPr>
          <w:rFonts w:hint="eastAsia" w:eastAsia="黑体" w:cs="黑体"/>
          <w:sz w:val="32"/>
          <w:szCs w:val="32"/>
        </w:rPr>
        <w:t>十、其他需要说明的情况</w:t>
      </w:r>
    </w:p>
    <w:p w14:paraId="6248B581">
      <w:pPr>
        <w:pStyle w:val="10"/>
        <w:keepNext w:val="0"/>
        <w:keepLines w:val="0"/>
        <w:pageBreakBefore w:val="0"/>
        <w:kinsoku/>
        <w:wordWrap/>
        <w:overflowPunct/>
        <w:topLinePunct w:val="0"/>
        <w:autoSpaceDE/>
        <w:autoSpaceDN/>
        <w:bidi w:val="0"/>
        <w:adjustRightInd/>
        <w:snapToGrid/>
        <w:spacing w:line="560" w:lineRule="exact"/>
        <w:ind w:firstLine="1200" w:firstLineChars="400"/>
        <w:rPr>
          <w:rFonts w:hint="eastAsia" w:cs="仿宋_GB2312"/>
          <w:sz w:val="30"/>
          <w:szCs w:val="30"/>
          <w:lang w:eastAsia="zh-CN"/>
        </w:rPr>
      </w:pPr>
      <w:r>
        <w:rPr>
          <w:rFonts w:hint="eastAsia" w:cs="仿宋_GB2312"/>
          <w:sz w:val="30"/>
          <w:szCs w:val="30"/>
          <w:lang w:eastAsia="zh-CN"/>
        </w:rPr>
        <w:t>无</w:t>
      </w:r>
    </w:p>
    <w:p w14:paraId="32F654AC">
      <w:pPr>
        <w:pStyle w:val="10"/>
        <w:keepNext w:val="0"/>
        <w:keepLines w:val="0"/>
        <w:pageBreakBefore w:val="0"/>
        <w:kinsoku/>
        <w:wordWrap/>
        <w:overflowPunct/>
        <w:topLinePunct w:val="0"/>
        <w:autoSpaceDE/>
        <w:autoSpaceDN/>
        <w:bidi w:val="0"/>
        <w:adjustRightInd/>
        <w:snapToGrid/>
        <w:spacing w:line="560" w:lineRule="exact"/>
        <w:ind w:firstLine="1200" w:firstLineChars="400"/>
        <w:rPr>
          <w:rFonts w:hint="eastAsia" w:cs="仿宋_GB2312"/>
          <w:sz w:val="30"/>
          <w:szCs w:val="30"/>
          <w:lang w:eastAsia="zh-CN"/>
        </w:rPr>
      </w:pPr>
    </w:p>
    <w:p w14:paraId="7336A228">
      <w:pPr>
        <w:pStyle w:val="10"/>
        <w:keepNext w:val="0"/>
        <w:keepLines w:val="0"/>
        <w:pageBreakBefore w:val="0"/>
        <w:kinsoku/>
        <w:wordWrap/>
        <w:overflowPunct/>
        <w:topLinePunct w:val="0"/>
        <w:autoSpaceDE/>
        <w:autoSpaceDN/>
        <w:bidi w:val="0"/>
        <w:adjustRightInd/>
        <w:snapToGrid/>
        <w:spacing w:line="560" w:lineRule="exact"/>
        <w:ind w:firstLine="1200" w:firstLineChars="400"/>
        <w:rPr>
          <w:rFonts w:hint="eastAsia" w:cs="仿宋_GB2312"/>
          <w:sz w:val="30"/>
          <w:szCs w:val="30"/>
          <w:lang w:eastAsia="zh-CN"/>
        </w:rPr>
      </w:pPr>
    </w:p>
    <w:p w14:paraId="1ADFEAD4">
      <w:pPr>
        <w:pStyle w:val="10"/>
        <w:keepNext w:val="0"/>
        <w:keepLines w:val="0"/>
        <w:pageBreakBefore w:val="0"/>
        <w:kinsoku/>
        <w:wordWrap/>
        <w:overflowPunct/>
        <w:topLinePunct w:val="0"/>
        <w:autoSpaceDE/>
        <w:autoSpaceDN/>
        <w:bidi w:val="0"/>
        <w:adjustRightInd/>
        <w:snapToGrid/>
        <w:spacing w:line="560" w:lineRule="exact"/>
        <w:rPr>
          <w:rFonts w:hint="eastAsia" w:cs="仿宋_GB2312"/>
          <w:sz w:val="30"/>
          <w:szCs w:val="30"/>
          <w:lang w:eastAsia="zh-CN"/>
        </w:rPr>
      </w:pPr>
    </w:p>
    <w:p w14:paraId="6870B97B">
      <w:pPr>
        <w:keepNext w:val="0"/>
        <w:keepLines w:val="0"/>
        <w:pageBreakBefore w:val="0"/>
        <w:widowControl/>
        <w:kinsoku/>
        <w:wordWrap/>
        <w:overflowPunct/>
        <w:topLinePunct w:val="0"/>
        <w:autoSpaceDE/>
        <w:autoSpaceDN/>
        <w:bidi w:val="0"/>
        <w:adjustRightInd/>
        <w:snapToGrid/>
        <w:spacing w:line="560" w:lineRule="exact"/>
        <w:ind w:firstLine="645"/>
        <w:jc w:val="left"/>
        <w:rPr>
          <w:sz w:val="30"/>
          <w:szCs w:val="30"/>
        </w:rPr>
      </w:pPr>
      <w:r>
        <w:rPr>
          <w:rFonts w:hint="eastAsia" w:cs="仿宋_GB2312"/>
          <w:sz w:val="30"/>
          <w:szCs w:val="30"/>
        </w:rPr>
        <w:t>附件：</w:t>
      </w:r>
    </w:p>
    <w:p w14:paraId="6F0E1DE8">
      <w:pPr>
        <w:keepNext w:val="0"/>
        <w:keepLines w:val="0"/>
        <w:pageBreakBefore w:val="0"/>
        <w:widowControl/>
        <w:kinsoku/>
        <w:wordWrap/>
        <w:overflowPunct/>
        <w:topLinePunct w:val="0"/>
        <w:autoSpaceDE/>
        <w:autoSpaceDN/>
        <w:bidi w:val="0"/>
        <w:adjustRightInd/>
        <w:snapToGrid/>
        <w:spacing w:line="560" w:lineRule="exact"/>
        <w:ind w:firstLine="645"/>
        <w:jc w:val="left"/>
        <w:rPr>
          <w:sz w:val="30"/>
          <w:szCs w:val="30"/>
        </w:rPr>
      </w:pPr>
      <w:r>
        <w:rPr>
          <w:sz w:val="30"/>
          <w:szCs w:val="30"/>
        </w:rPr>
        <w:t>1.</w:t>
      </w:r>
      <w:r>
        <w:rPr>
          <w:rFonts w:hint="eastAsia" w:cs="仿宋_GB2312"/>
          <w:sz w:val="30"/>
          <w:szCs w:val="30"/>
        </w:rPr>
        <w:t>部门整体支出绩效评价基础数据表</w:t>
      </w:r>
    </w:p>
    <w:p w14:paraId="27BF0529">
      <w:pPr>
        <w:keepNext w:val="0"/>
        <w:keepLines w:val="0"/>
        <w:pageBreakBefore w:val="0"/>
        <w:widowControl/>
        <w:kinsoku/>
        <w:wordWrap/>
        <w:overflowPunct/>
        <w:topLinePunct w:val="0"/>
        <w:autoSpaceDE/>
        <w:autoSpaceDN/>
        <w:bidi w:val="0"/>
        <w:adjustRightInd/>
        <w:snapToGrid/>
        <w:spacing w:line="560" w:lineRule="exact"/>
        <w:ind w:firstLine="645"/>
        <w:jc w:val="left"/>
        <w:rPr>
          <w:sz w:val="30"/>
          <w:szCs w:val="30"/>
        </w:rPr>
      </w:pPr>
      <w:r>
        <w:rPr>
          <w:sz w:val="30"/>
          <w:szCs w:val="30"/>
        </w:rPr>
        <w:t>2.</w:t>
      </w:r>
      <w:r>
        <w:rPr>
          <w:rFonts w:hint="eastAsia" w:cs="仿宋_GB2312"/>
          <w:sz w:val="30"/>
          <w:szCs w:val="30"/>
        </w:rPr>
        <w:t>部门整体支出绩效自评表</w:t>
      </w:r>
    </w:p>
    <w:p w14:paraId="232B5FE9">
      <w:pPr>
        <w:keepNext w:val="0"/>
        <w:keepLines w:val="0"/>
        <w:pageBreakBefore w:val="0"/>
        <w:widowControl/>
        <w:kinsoku/>
        <w:wordWrap/>
        <w:overflowPunct/>
        <w:topLinePunct w:val="0"/>
        <w:autoSpaceDE/>
        <w:autoSpaceDN/>
        <w:bidi w:val="0"/>
        <w:adjustRightInd/>
        <w:snapToGrid/>
        <w:spacing w:line="560" w:lineRule="exact"/>
        <w:ind w:firstLine="645"/>
        <w:jc w:val="left"/>
        <w:rPr>
          <w:rFonts w:eastAsia="仿宋"/>
          <w:color w:val="000000"/>
          <w:sz w:val="32"/>
          <w:szCs w:val="32"/>
        </w:rPr>
      </w:pPr>
      <w:r>
        <w:rPr>
          <w:sz w:val="30"/>
          <w:szCs w:val="30"/>
        </w:rPr>
        <w:t>3.</w:t>
      </w:r>
      <w:r>
        <w:rPr>
          <w:rFonts w:hint="eastAsia" w:cs="仿宋_GB2312"/>
          <w:sz w:val="30"/>
          <w:szCs w:val="30"/>
        </w:rPr>
        <w:t>项目支出绩效自评表</w:t>
      </w:r>
    </w:p>
    <w:p w14:paraId="7E57332C">
      <w:pPr>
        <w:keepNext w:val="0"/>
        <w:keepLines w:val="0"/>
        <w:pageBreakBefore w:val="0"/>
        <w:kinsoku/>
        <w:wordWrap/>
        <w:overflowPunct/>
        <w:topLinePunct w:val="0"/>
        <w:autoSpaceDE/>
        <w:autoSpaceDN/>
        <w:bidi w:val="0"/>
        <w:adjustRightInd/>
        <w:snapToGrid/>
        <w:spacing w:line="560" w:lineRule="exact"/>
      </w:pPr>
    </w:p>
    <w:p w14:paraId="6087770C">
      <w:pPr>
        <w:keepNext w:val="0"/>
        <w:keepLines w:val="0"/>
        <w:pageBreakBefore w:val="0"/>
        <w:kinsoku/>
        <w:wordWrap/>
        <w:overflowPunct/>
        <w:topLinePunct w:val="0"/>
        <w:autoSpaceDE/>
        <w:autoSpaceDN/>
        <w:bidi w:val="0"/>
        <w:adjustRightInd/>
        <w:snapToGrid/>
        <w:spacing w:line="560" w:lineRule="exact"/>
      </w:pPr>
      <w:r>
        <w:t xml:space="preserve">    </w:t>
      </w:r>
    </w:p>
    <w:p w14:paraId="53001977">
      <w:pPr>
        <w:keepNext w:val="0"/>
        <w:keepLines w:val="0"/>
        <w:pageBreakBefore w:val="0"/>
        <w:widowControl/>
        <w:kinsoku/>
        <w:wordWrap/>
        <w:overflowPunct/>
        <w:topLinePunct w:val="0"/>
        <w:autoSpaceDE/>
        <w:autoSpaceDN/>
        <w:bidi w:val="0"/>
        <w:adjustRightInd/>
        <w:snapToGrid/>
        <w:spacing w:line="560" w:lineRule="exact"/>
        <w:ind w:firstLine="645"/>
        <w:jc w:val="left"/>
        <w:rPr>
          <w:sz w:val="30"/>
          <w:szCs w:val="30"/>
        </w:rPr>
      </w:pPr>
    </w:p>
    <w:p w14:paraId="46B483AF">
      <w:pPr>
        <w:pStyle w:val="10"/>
        <w:keepNext w:val="0"/>
        <w:keepLines w:val="0"/>
        <w:pageBreakBefore w:val="0"/>
        <w:kinsoku/>
        <w:wordWrap/>
        <w:overflowPunct/>
        <w:topLinePunct w:val="0"/>
        <w:autoSpaceDE/>
        <w:autoSpaceDN/>
        <w:bidi w:val="0"/>
        <w:adjustRightInd/>
        <w:snapToGrid/>
        <w:spacing w:line="560" w:lineRule="exact"/>
        <w:rPr>
          <w:rFonts w:eastAsia="仿宋_GB2312"/>
          <w:sz w:val="30"/>
          <w:szCs w:val="30"/>
        </w:rPr>
      </w:pPr>
    </w:p>
    <w:p w14:paraId="38A007BE">
      <w:pPr>
        <w:pStyle w:val="10"/>
        <w:keepNext w:val="0"/>
        <w:keepLines w:val="0"/>
        <w:pageBreakBefore w:val="0"/>
        <w:kinsoku/>
        <w:wordWrap/>
        <w:overflowPunct/>
        <w:topLinePunct w:val="0"/>
        <w:autoSpaceDE/>
        <w:autoSpaceDN/>
        <w:bidi w:val="0"/>
        <w:adjustRightInd/>
        <w:snapToGrid/>
        <w:spacing w:line="560" w:lineRule="exact"/>
        <w:rPr>
          <w:rFonts w:eastAsia="仿宋_GB2312"/>
          <w:sz w:val="30"/>
          <w:szCs w:val="30"/>
        </w:rPr>
      </w:pPr>
    </w:p>
    <w:p w14:paraId="5F179A07">
      <w:pPr>
        <w:keepNext w:val="0"/>
        <w:keepLines w:val="0"/>
        <w:pageBreakBefore w:val="0"/>
        <w:widowControl/>
        <w:kinsoku/>
        <w:wordWrap/>
        <w:overflowPunct/>
        <w:topLinePunct w:val="0"/>
        <w:autoSpaceDE/>
        <w:autoSpaceDN/>
        <w:bidi w:val="0"/>
        <w:adjustRightInd/>
        <w:snapToGrid/>
        <w:spacing w:line="560" w:lineRule="exact"/>
        <w:ind w:firstLine="645"/>
        <w:jc w:val="right"/>
        <w:rPr>
          <w:sz w:val="32"/>
          <w:szCs w:val="32"/>
        </w:rPr>
      </w:pPr>
      <w:r>
        <w:rPr>
          <w:rFonts w:hint="eastAsia"/>
          <w:sz w:val="32"/>
          <w:szCs w:val="32"/>
          <w:lang w:eastAsia="zh-CN"/>
        </w:rPr>
        <w:t>桃源县农业农村</w:t>
      </w:r>
      <w:r>
        <w:rPr>
          <w:rFonts w:hint="eastAsia" w:cs="仿宋_GB2312"/>
          <w:sz w:val="32"/>
          <w:szCs w:val="32"/>
        </w:rPr>
        <w:t>局</w:t>
      </w:r>
    </w:p>
    <w:p w14:paraId="1DC9D2D7">
      <w:pPr>
        <w:keepNext w:val="0"/>
        <w:keepLines w:val="0"/>
        <w:pageBreakBefore w:val="0"/>
        <w:widowControl/>
        <w:kinsoku/>
        <w:wordWrap/>
        <w:overflowPunct/>
        <w:topLinePunct w:val="0"/>
        <w:autoSpaceDE/>
        <w:autoSpaceDN/>
        <w:bidi w:val="0"/>
        <w:adjustRightInd/>
        <w:snapToGrid/>
        <w:spacing w:line="560" w:lineRule="exact"/>
        <w:ind w:firstLine="645"/>
        <w:jc w:val="right"/>
        <w:rPr>
          <w:sz w:val="32"/>
          <w:szCs w:val="32"/>
        </w:rPr>
      </w:pPr>
      <w:r>
        <w:rPr>
          <w:sz w:val="32"/>
          <w:szCs w:val="32"/>
        </w:rPr>
        <w:t>202</w:t>
      </w:r>
      <w:r>
        <w:rPr>
          <w:rFonts w:hint="eastAsia"/>
          <w:sz w:val="32"/>
          <w:szCs w:val="32"/>
          <w:lang w:val="en-US" w:eastAsia="zh-CN"/>
        </w:rPr>
        <w:t>3</w:t>
      </w:r>
      <w:r>
        <w:rPr>
          <w:rFonts w:hint="eastAsia" w:cs="仿宋_GB2312"/>
          <w:sz w:val="32"/>
          <w:szCs w:val="32"/>
        </w:rPr>
        <w:t>年</w:t>
      </w:r>
      <w:r>
        <w:rPr>
          <w:rFonts w:hint="eastAsia" w:cs="仿宋_GB2312"/>
          <w:sz w:val="32"/>
          <w:szCs w:val="32"/>
          <w:lang w:val="en-US" w:eastAsia="zh-CN"/>
        </w:rPr>
        <w:t>7</w:t>
      </w:r>
      <w:r>
        <w:rPr>
          <w:rFonts w:hint="eastAsia" w:cs="仿宋_GB2312"/>
          <w:sz w:val="32"/>
          <w:szCs w:val="32"/>
        </w:rPr>
        <w:t>月</w:t>
      </w:r>
      <w:r>
        <w:rPr>
          <w:rFonts w:hint="eastAsia"/>
          <w:sz w:val="32"/>
          <w:szCs w:val="32"/>
          <w:lang w:val="en-US" w:eastAsia="zh-CN"/>
        </w:rPr>
        <w:t>19</w:t>
      </w:r>
      <w:r>
        <w:rPr>
          <w:rFonts w:hint="eastAsia" w:cs="仿宋_GB2312"/>
          <w:sz w:val="32"/>
          <w:szCs w:val="32"/>
        </w:rPr>
        <w:t>日</w:t>
      </w:r>
    </w:p>
    <w:p w14:paraId="6A511163">
      <w:pPr>
        <w:keepNext w:val="0"/>
        <w:keepLines w:val="0"/>
        <w:pageBreakBefore w:val="0"/>
        <w:kinsoku/>
        <w:wordWrap/>
        <w:overflowPunct/>
        <w:topLinePunct w:val="0"/>
        <w:autoSpaceDE/>
        <w:autoSpaceDN/>
        <w:bidi w:val="0"/>
        <w:adjustRightInd/>
        <w:snapToGrid/>
        <w:spacing w:line="560" w:lineRule="exact"/>
      </w:pPr>
    </w:p>
    <w:sectPr>
      <w:footerReference r:id="rId3" w:type="default"/>
      <w:pgSz w:w="11906" w:h="16838"/>
      <w:pgMar w:top="2098" w:right="1474" w:bottom="1984" w:left="1587" w:header="851" w:footer="15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D3F2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678A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A678A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2DD9B"/>
    <w:multiLevelType w:val="singleLevel"/>
    <w:tmpl w:val="D382DD9B"/>
    <w:lvl w:ilvl="0" w:tentative="0">
      <w:start w:val="2"/>
      <w:numFmt w:val="chineseCounting"/>
      <w:suff w:val="nothing"/>
      <w:lvlText w:val="（%1）"/>
      <w:lvlJc w:val="left"/>
      <w:rPr>
        <w:rFonts w:hint="eastAsia"/>
      </w:rPr>
    </w:lvl>
  </w:abstractNum>
  <w:abstractNum w:abstractNumId="1">
    <w:nsid w:val="E77E36D8"/>
    <w:multiLevelType w:val="singleLevel"/>
    <w:tmpl w:val="E77E36D8"/>
    <w:lvl w:ilvl="0" w:tentative="0">
      <w:start w:val="4"/>
      <w:numFmt w:val="chineseCounting"/>
      <w:suff w:val="nothing"/>
      <w:lvlText w:val="%1、"/>
      <w:lvlJc w:val="left"/>
      <w:rPr>
        <w:rFonts w:hint="eastAsia"/>
      </w:rPr>
    </w:lvl>
  </w:abstractNum>
  <w:abstractNum w:abstractNumId="2">
    <w:nsid w:val="1C33E43A"/>
    <w:multiLevelType w:val="singleLevel"/>
    <w:tmpl w:val="1C33E43A"/>
    <w:lvl w:ilvl="0" w:tentative="0">
      <w:start w:val="2"/>
      <w:numFmt w:val="chineseCounting"/>
      <w:suff w:val="nothing"/>
      <w:lvlText w:val="（%1）"/>
      <w:lvlJc w:val="left"/>
      <w:rPr>
        <w:rFonts w:hint="eastAsia"/>
      </w:rPr>
    </w:lvl>
  </w:abstractNum>
  <w:abstractNum w:abstractNumId="3">
    <w:nsid w:val="232C4128"/>
    <w:multiLevelType w:val="singleLevel"/>
    <w:tmpl w:val="232C4128"/>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ZDA4YzE0MzQxMDg4Yzg4NjZhZTVhNDk4NDA1NWEifQ=="/>
  </w:docVars>
  <w:rsids>
    <w:rsidRoot w:val="D7F5C6E8"/>
    <w:rsid w:val="001415C9"/>
    <w:rsid w:val="001B55C7"/>
    <w:rsid w:val="005E0FC8"/>
    <w:rsid w:val="0067612B"/>
    <w:rsid w:val="0098274A"/>
    <w:rsid w:val="00AF68E9"/>
    <w:rsid w:val="00D8462A"/>
    <w:rsid w:val="00F9223E"/>
    <w:rsid w:val="00FE30B0"/>
    <w:rsid w:val="06C905A4"/>
    <w:rsid w:val="0B5404DC"/>
    <w:rsid w:val="0DD90D3A"/>
    <w:rsid w:val="120921D2"/>
    <w:rsid w:val="1D8A7671"/>
    <w:rsid w:val="1E6672BE"/>
    <w:rsid w:val="1EF714FC"/>
    <w:rsid w:val="1EFD53CA"/>
    <w:rsid w:val="22DD2D2C"/>
    <w:rsid w:val="235C1499"/>
    <w:rsid w:val="27703055"/>
    <w:rsid w:val="2F8A283E"/>
    <w:rsid w:val="321E2D8E"/>
    <w:rsid w:val="35973B40"/>
    <w:rsid w:val="37E58B0E"/>
    <w:rsid w:val="38104D2C"/>
    <w:rsid w:val="3ABE1FBB"/>
    <w:rsid w:val="3FBD33B7"/>
    <w:rsid w:val="3FFD445E"/>
    <w:rsid w:val="428A15B0"/>
    <w:rsid w:val="4A2762B8"/>
    <w:rsid w:val="4C895FE0"/>
    <w:rsid w:val="53C6520D"/>
    <w:rsid w:val="571F71D5"/>
    <w:rsid w:val="57BDA83F"/>
    <w:rsid w:val="62391B1E"/>
    <w:rsid w:val="62A53661"/>
    <w:rsid w:val="666E5614"/>
    <w:rsid w:val="677FA283"/>
    <w:rsid w:val="6BD8207B"/>
    <w:rsid w:val="6DE433D5"/>
    <w:rsid w:val="6FD150C3"/>
    <w:rsid w:val="6FD5185C"/>
    <w:rsid w:val="6FFB3938"/>
    <w:rsid w:val="733D355C"/>
    <w:rsid w:val="73BB10EE"/>
    <w:rsid w:val="73EFEEE1"/>
    <w:rsid w:val="73FF14E9"/>
    <w:rsid w:val="75EFACF8"/>
    <w:rsid w:val="766E0C8E"/>
    <w:rsid w:val="76FFF031"/>
    <w:rsid w:val="77DFCB2B"/>
    <w:rsid w:val="79EFB67C"/>
    <w:rsid w:val="7B9FD535"/>
    <w:rsid w:val="7CFF7E7A"/>
    <w:rsid w:val="7EC33A42"/>
    <w:rsid w:val="7EFF463A"/>
    <w:rsid w:val="7FDB96EE"/>
    <w:rsid w:val="7FF883F1"/>
    <w:rsid w:val="7FFBAC53"/>
    <w:rsid w:val="AFE7C9D5"/>
    <w:rsid w:val="B3EBCEAB"/>
    <w:rsid w:val="BADC89D7"/>
    <w:rsid w:val="BB8A37A5"/>
    <w:rsid w:val="BEFBB108"/>
    <w:rsid w:val="BEFFD95C"/>
    <w:rsid w:val="C7BDD227"/>
    <w:rsid w:val="CFBFD52F"/>
    <w:rsid w:val="D77F75A2"/>
    <w:rsid w:val="D7F5C6E8"/>
    <w:rsid w:val="E7CB99EC"/>
    <w:rsid w:val="EA7DE20A"/>
    <w:rsid w:val="ECDFDB4D"/>
    <w:rsid w:val="F79133C9"/>
    <w:rsid w:val="F7BBB70C"/>
    <w:rsid w:val="FE6F07B6"/>
    <w:rsid w:val="FFAD7386"/>
    <w:rsid w:val="FFC33333"/>
    <w:rsid w:val="FFEF4B48"/>
    <w:rsid w:val="FFFB31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unhideWhenUsed/>
    <w:qFormat/>
    <w:uiPriority w:val="99"/>
    <w:pPr>
      <w:spacing w:after="120"/>
      <w:ind w:left="420" w:leftChars="2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pPr>
  </w:style>
  <w:style w:type="character" w:styleId="9">
    <w:name w:val="page number"/>
    <w:basedOn w:val="8"/>
    <w:qFormat/>
    <w:uiPriority w:val="99"/>
  </w:style>
  <w:style w:type="paragraph" w:customStyle="1" w:styleId="10">
    <w:name w:val="BodyText"/>
    <w:basedOn w:val="1"/>
    <w:qFormat/>
    <w:uiPriority w:val="99"/>
    <w:pPr>
      <w:spacing w:after="120"/>
      <w:textAlignment w:val="baseline"/>
    </w:pPr>
    <w:rPr>
      <w:rFonts w:eastAsia="宋体"/>
      <w:sz w:val="32"/>
      <w:szCs w:val="32"/>
    </w:rPr>
  </w:style>
  <w:style w:type="character" w:customStyle="1" w:styleId="11">
    <w:name w:val="Footer Char"/>
    <w:basedOn w:val="8"/>
    <w:link w:val="4"/>
    <w:semiHidden/>
    <w:qFormat/>
    <w:uiPriority w:val="99"/>
    <w:rPr>
      <w:rFonts w:eastAsia="仿宋_GB2312"/>
      <w:sz w:val="18"/>
      <w:szCs w:val="18"/>
    </w:rPr>
  </w:style>
  <w:style w:type="paragraph" w:styleId="12">
    <w:name w:val="List Paragraph"/>
    <w:basedOn w:val="1"/>
    <w:qFormat/>
    <w:uiPriority w:val="99"/>
    <w:pPr>
      <w:ind w:firstLine="420" w:firstLineChars="200"/>
    </w:pPr>
    <w:rPr>
      <w:rFonts w:ascii="Calibri" w:hAnsi="Calibri" w:cs="Calibri"/>
    </w:rPr>
  </w:style>
  <w:style w:type="character" w:customStyle="1" w:styleId="13">
    <w:name w:val="Header Char"/>
    <w:basedOn w:val="8"/>
    <w:link w:val="5"/>
    <w:qFormat/>
    <w:locked/>
    <w:uiPriority w:val="99"/>
    <w:rPr>
      <w:rFonts w:eastAsia="仿宋_GB2312"/>
      <w:kern w:val="2"/>
      <w:sz w:val="18"/>
      <w:szCs w:val="18"/>
    </w:rPr>
  </w:style>
  <w:style w:type="character" w:customStyle="1" w:styleId="14">
    <w:name w:val="font21"/>
    <w:basedOn w:val="8"/>
    <w:qFormat/>
    <w:uiPriority w:val="0"/>
    <w:rPr>
      <w:rFonts w:hint="eastAsia" w:ascii="仿宋" w:hAnsi="仿宋" w:eastAsia="仿宋" w:cs="仿宋"/>
      <w:color w:val="000000"/>
      <w:sz w:val="22"/>
      <w:szCs w:val="22"/>
      <w:u w:val="none"/>
    </w:rPr>
  </w:style>
  <w:style w:type="character" w:customStyle="1" w:styleId="15">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天晟网络</Company>
  <Pages>14</Pages>
  <Words>5239</Words>
  <Characters>5708</Characters>
  <Lines>0</Lines>
  <Paragraphs>0</Paragraphs>
  <TotalTime>23</TotalTime>
  <ScaleCrop>false</ScaleCrop>
  <LinksUpToDate>false</LinksUpToDate>
  <CharactersWithSpaces>5761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2022-08-30T10:28:00Z</dcterms:created>
  <dc:creator>greatwall</dc:creator>
  <cp:lastModifiedBy>楒晴</cp:lastModifiedBy>
  <cp:lastPrinted>2022-09-05T08:06:00Z</cp:lastPrinted>
  <dcterms:modified xsi:type="dcterms:W3CDTF">2025-09-19T02:45:51Z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C82DC608CBDF4800ACEABB64B2B09C9E_13</vt:lpwstr>
  </property>
  <property fmtid="{D5CDD505-2E9C-101B-9397-08002B2CF9AE}" pid="4" name="KSOTemplateDocerSaveRecord">
    <vt:lpwstr>eyJoZGlkIjoiM2NlYjJkODYwZTg4ZTBkMGFhYmU1MWUzY2M1ZTkzZmYiLCJ1c2VySWQiOiIyNTAyNTg3MTIifQ==</vt:lpwstr>
  </property>
</Properties>
</file>