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91AA">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781F7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E781F7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5924AED">
      <w:pPr>
        <w:pStyle w:val="13"/>
        <w:jc w:val="center"/>
        <w:rPr>
          <w:sz w:val="56"/>
          <w:szCs w:val="56"/>
        </w:rPr>
      </w:pPr>
    </w:p>
    <w:p w14:paraId="42F26E75">
      <w:pPr>
        <w:pStyle w:val="13"/>
        <w:jc w:val="center"/>
        <w:rPr>
          <w:sz w:val="84"/>
          <w:szCs w:val="84"/>
        </w:rPr>
      </w:pPr>
    </w:p>
    <w:p w14:paraId="29BE95BE">
      <w:pPr>
        <w:pStyle w:val="13"/>
        <w:jc w:val="center"/>
        <w:rPr>
          <w:sz w:val="84"/>
          <w:szCs w:val="84"/>
        </w:rPr>
      </w:pPr>
    </w:p>
    <w:p w14:paraId="7B6994B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12CA06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桃源县应急管理局</w:t>
      </w:r>
      <w:r>
        <w:rPr>
          <w:rFonts w:hint="eastAsia" w:ascii="方正小标宋_GBK" w:hAnsi="方正小标宋_GBK" w:eastAsia="方正小标宋_GBK" w:cs="方正小标宋_GBK"/>
          <w:sz w:val="84"/>
          <w:szCs w:val="84"/>
        </w:rPr>
        <w:t>部门决算</w:t>
      </w:r>
    </w:p>
    <w:p w14:paraId="06FC9BB0">
      <w:pPr>
        <w:pStyle w:val="13"/>
        <w:jc w:val="center"/>
        <w:rPr>
          <w:rFonts w:hint="eastAsia" w:ascii="方正小标宋_GBK" w:hAnsi="方正小标宋_GBK" w:eastAsia="方正小标宋_GBK" w:cs="方正小标宋_GBK"/>
          <w:sz w:val="56"/>
          <w:szCs w:val="56"/>
        </w:rPr>
      </w:pPr>
    </w:p>
    <w:p w14:paraId="37A71663">
      <w:pPr>
        <w:pStyle w:val="13"/>
        <w:jc w:val="center"/>
        <w:rPr>
          <w:sz w:val="56"/>
          <w:szCs w:val="56"/>
        </w:rPr>
      </w:pPr>
    </w:p>
    <w:p w14:paraId="0F6987E2">
      <w:pPr>
        <w:pStyle w:val="13"/>
        <w:jc w:val="center"/>
        <w:rPr>
          <w:sz w:val="56"/>
          <w:szCs w:val="56"/>
        </w:rPr>
      </w:pPr>
    </w:p>
    <w:p w14:paraId="2E0687F0">
      <w:pPr>
        <w:pStyle w:val="13"/>
        <w:jc w:val="center"/>
        <w:rPr>
          <w:sz w:val="56"/>
          <w:szCs w:val="56"/>
        </w:rPr>
      </w:pPr>
    </w:p>
    <w:p w14:paraId="1F1C6EB4">
      <w:pPr>
        <w:pStyle w:val="13"/>
        <w:jc w:val="center"/>
        <w:rPr>
          <w:sz w:val="32"/>
          <w:szCs w:val="32"/>
        </w:rPr>
      </w:pPr>
    </w:p>
    <w:p w14:paraId="487A2BF3">
      <w:pPr>
        <w:pStyle w:val="13"/>
        <w:jc w:val="center"/>
        <w:rPr>
          <w:sz w:val="32"/>
          <w:szCs w:val="32"/>
        </w:rPr>
      </w:pPr>
    </w:p>
    <w:p w14:paraId="54275192">
      <w:pPr>
        <w:pStyle w:val="13"/>
        <w:jc w:val="center"/>
        <w:rPr>
          <w:sz w:val="32"/>
          <w:szCs w:val="32"/>
        </w:rPr>
      </w:pPr>
    </w:p>
    <w:p w14:paraId="392FE479">
      <w:pPr>
        <w:pStyle w:val="13"/>
        <w:jc w:val="center"/>
        <w:rPr>
          <w:sz w:val="32"/>
          <w:szCs w:val="32"/>
        </w:rPr>
      </w:pPr>
    </w:p>
    <w:p w14:paraId="37C9EFF2">
      <w:pPr>
        <w:pStyle w:val="13"/>
        <w:jc w:val="center"/>
        <w:rPr>
          <w:sz w:val="32"/>
          <w:szCs w:val="32"/>
        </w:rPr>
      </w:pPr>
    </w:p>
    <w:p w14:paraId="65346344">
      <w:pPr>
        <w:pStyle w:val="13"/>
        <w:spacing w:line="540" w:lineRule="exact"/>
        <w:jc w:val="center"/>
        <w:rPr>
          <w:sz w:val="56"/>
          <w:szCs w:val="56"/>
        </w:rPr>
      </w:pPr>
    </w:p>
    <w:p w14:paraId="48B1E98B">
      <w:pPr>
        <w:pStyle w:val="13"/>
        <w:spacing w:line="500" w:lineRule="exact"/>
        <w:jc w:val="both"/>
        <w:rPr>
          <w:b/>
          <w:sz w:val="36"/>
          <w:szCs w:val="28"/>
        </w:rPr>
      </w:pPr>
    </w:p>
    <w:p w14:paraId="6097F499">
      <w:pPr>
        <w:pStyle w:val="13"/>
        <w:spacing w:line="500" w:lineRule="exact"/>
        <w:jc w:val="center"/>
        <w:rPr>
          <w:b/>
          <w:sz w:val="36"/>
          <w:szCs w:val="28"/>
        </w:rPr>
      </w:pPr>
      <w:r>
        <w:rPr>
          <w:rFonts w:hint="eastAsia"/>
          <w:b/>
          <w:sz w:val="36"/>
          <w:szCs w:val="28"/>
        </w:rPr>
        <w:t>目录</w:t>
      </w:r>
    </w:p>
    <w:p w14:paraId="0B98879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桃源县应急管理局</w:t>
      </w:r>
      <w:r>
        <w:rPr>
          <w:rFonts w:hint="eastAsia" w:ascii="黑体" w:hAnsi="黑体" w:eastAsia="黑体" w:cs="黑体"/>
          <w:b w:val="0"/>
          <w:bCs/>
          <w:sz w:val="28"/>
          <w:szCs w:val="28"/>
        </w:rPr>
        <w:t>概况</w:t>
      </w:r>
    </w:p>
    <w:p w14:paraId="221FFC7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C896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8F1DA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69DF3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0D3C8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4549EB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1A4442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17D49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055E7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bookmarkStart w:id="3" w:name="_GoBack"/>
      <w:bookmarkEnd w:id="3"/>
    </w:p>
    <w:p w14:paraId="17F9FEC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color w:val="auto"/>
          <w:sz w:val="28"/>
          <w:szCs w:val="28"/>
        </w:rPr>
        <w:t>政府性基金预算财政拨款收入支出决算表</w:t>
      </w:r>
    </w:p>
    <w:p w14:paraId="0FC23B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E2DC5D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8B57D5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453274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3F9A6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A62BD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F6F4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4F45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602B6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95D27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5A85C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07B9C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464A8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77CDFE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5EBF05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FC39A7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02A221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4BFF9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138CAAA">
      <w:pPr>
        <w:pStyle w:val="13"/>
        <w:spacing w:line="500" w:lineRule="exact"/>
        <w:rPr>
          <w:rFonts w:hint="eastAsia" w:ascii="黑体" w:hAnsi="黑体" w:eastAsia="黑体" w:cs="黑体"/>
          <w:b w:val="0"/>
          <w:bCs/>
          <w:sz w:val="28"/>
          <w:szCs w:val="28"/>
        </w:rPr>
      </w:pPr>
    </w:p>
    <w:p w14:paraId="503CB84E">
      <w:pPr>
        <w:jc w:val="center"/>
        <w:rPr>
          <w:sz w:val="72"/>
          <w:szCs w:val="72"/>
        </w:rPr>
      </w:pPr>
    </w:p>
    <w:p w14:paraId="0EC798EA">
      <w:pPr>
        <w:jc w:val="center"/>
        <w:rPr>
          <w:sz w:val="72"/>
          <w:szCs w:val="72"/>
        </w:rPr>
      </w:pPr>
    </w:p>
    <w:p w14:paraId="7DF9804A">
      <w:pPr>
        <w:jc w:val="center"/>
        <w:rPr>
          <w:sz w:val="72"/>
          <w:szCs w:val="72"/>
        </w:rPr>
      </w:pPr>
    </w:p>
    <w:p w14:paraId="231BDA14">
      <w:pPr>
        <w:jc w:val="center"/>
        <w:rPr>
          <w:sz w:val="72"/>
          <w:szCs w:val="72"/>
        </w:rPr>
      </w:pPr>
    </w:p>
    <w:p w14:paraId="6E6CCC0C">
      <w:pPr>
        <w:rPr>
          <w:rFonts w:hint="eastAsia" w:ascii="方正小标宋_GBK" w:hAnsi="方正小标宋_GBK" w:eastAsia="方正小标宋_GBK" w:cs="方正小标宋_GBK"/>
          <w:sz w:val="72"/>
          <w:szCs w:val="72"/>
        </w:rPr>
      </w:pPr>
    </w:p>
    <w:p w14:paraId="51C3AC5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E57198">
      <w:pPr>
        <w:pStyle w:val="13"/>
        <w:jc w:val="center"/>
        <w:rPr>
          <w:rFonts w:hint="eastAsia" w:ascii="方正小标宋_GBK" w:hAnsi="方正小标宋_GBK" w:eastAsia="方正小标宋_GBK" w:cs="方正小标宋_GBK"/>
          <w:sz w:val="84"/>
          <w:szCs w:val="84"/>
        </w:rPr>
      </w:pPr>
    </w:p>
    <w:p w14:paraId="35E212E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桃源县应急局</w:t>
      </w:r>
      <w:r>
        <w:rPr>
          <w:rFonts w:hint="eastAsia" w:ascii="方正小标宋_GBK" w:hAnsi="方正小标宋_GBK" w:eastAsia="方正小标宋_GBK" w:cs="方正小标宋_GBK"/>
          <w:sz w:val="84"/>
          <w:szCs w:val="84"/>
        </w:rPr>
        <w:t>概况</w:t>
      </w:r>
    </w:p>
    <w:p w14:paraId="4E93CAD2">
      <w:pPr>
        <w:jc w:val="center"/>
        <w:rPr>
          <w:rFonts w:hint="eastAsia" w:ascii="方正小标宋_GBK" w:hAnsi="方正小标宋_GBK" w:eastAsia="方正小标宋_GBK" w:cs="方正小标宋_GBK"/>
          <w:sz w:val="72"/>
          <w:szCs w:val="72"/>
        </w:rPr>
      </w:pPr>
    </w:p>
    <w:p w14:paraId="1905ABE0">
      <w:pPr>
        <w:jc w:val="center"/>
        <w:rPr>
          <w:rFonts w:hint="eastAsia" w:ascii="方正小标宋_GBK" w:hAnsi="方正小标宋_GBK" w:eastAsia="方正小标宋_GBK" w:cs="方正小标宋_GBK"/>
          <w:sz w:val="72"/>
          <w:szCs w:val="72"/>
        </w:rPr>
      </w:pPr>
    </w:p>
    <w:p w14:paraId="0F868277">
      <w:pPr>
        <w:jc w:val="center"/>
        <w:rPr>
          <w:sz w:val="72"/>
          <w:szCs w:val="72"/>
        </w:rPr>
      </w:pPr>
    </w:p>
    <w:p w14:paraId="6DF024F4">
      <w:pPr>
        <w:jc w:val="center"/>
        <w:rPr>
          <w:sz w:val="72"/>
          <w:szCs w:val="72"/>
        </w:rPr>
      </w:pPr>
    </w:p>
    <w:p w14:paraId="15B5165D">
      <w:pPr>
        <w:jc w:val="center"/>
        <w:rPr>
          <w:sz w:val="72"/>
          <w:szCs w:val="72"/>
        </w:rPr>
      </w:pPr>
    </w:p>
    <w:p w14:paraId="2672304A">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2442821">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（一）负责安全生产法律法规的宣传，协调指导各有关部门、乡镇（街道）安全生产监管工作；指导城镇、农村消防监督、火灾预防、火灾扑救工作。</w:t>
      </w:r>
    </w:p>
    <w:p w14:paraId="6C6385D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（二）组织指导协调全县水旱、地震地质自然灾害类等突发事件应急救援，负责灾情核查、损失评估、救灾捐赠等自然灾害救灾工作。</w:t>
      </w:r>
    </w:p>
    <w:p w14:paraId="6C400D15">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（三）负责监督管理工矿商贸行业县属企业安全生产工作。依法组织和指导监督实施安全生产准入制度。</w:t>
      </w:r>
    </w:p>
    <w:p w14:paraId="2EB0BD0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（四）负责危险化学品安全监管综合工作和烟花爆竹安全生产监督管理工作。</w:t>
      </w:r>
    </w:p>
    <w:p w14:paraId="77DF3492">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（五）负责应急管理、安全生产宣传教育和培训工作，组织指导应急管理、安全生产的科学技术研究、推广应用和信息化建设工作。</w:t>
      </w:r>
    </w:p>
    <w:p w14:paraId="793D6DEF">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（六）承担县安委办的工作职责，负责完成县委县政府交办的其它中心工作。</w:t>
      </w:r>
    </w:p>
    <w:p w14:paraId="4DFC173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6A9DBA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000000"/>
          <w:kern w:val="0"/>
          <w:sz w:val="32"/>
          <w:szCs w:val="32"/>
          <w:lang w:val="en-US" w:eastAsia="zh-CN" w:bidi="ar-SA"/>
        </w:rPr>
        <w:t>桃源县应急管理局是县人民政府新成立部门，根据县编委办核定，内设股室10个，所属单位2个，分别是县安全生产监察大队13名，应急救援指挥中心16名，应急管理局15名，实有编制人数44名。局机关内设机构包括：办公室、法制股、综合协调股、火灾防治管理股、救灾物资保障股、防汛抗旱股、救援协调和预算管理股、危险化学品和烟花爆竹安全监督管理股、非煤矿山和工贸行业安全监督管理股、地震地质灾害防治股10个股室。</w:t>
      </w:r>
    </w:p>
    <w:p w14:paraId="56DE1DEB">
      <w:pPr>
        <w:widowControl/>
        <w:spacing w:line="600" w:lineRule="exact"/>
        <w:ind w:firstLine="320" w:firstLineChars="1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000000"/>
          <w:kern w:val="0"/>
          <w:sz w:val="32"/>
          <w:szCs w:val="32"/>
          <w:lang w:val="en-US" w:eastAsia="zh-CN" w:bidi="ar-SA"/>
        </w:rPr>
        <w:t>桃源县应急管理局只有本级，没有其他二级预算单位。</w:t>
      </w:r>
    </w:p>
    <w:p w14:paraId="6ADB138B">
      <w:pPr>
        <w:jc w:val="left"/>
        <w:rPr>
          <w:rFonts w:ascii="仿宋_GB2312" w:eastAsia="仿宋_GB2312" w:hAnsiTheme="minorEastAsia"/>
          <w:sz w:val="28"/>
          <w:szCs w:val="32"/>
        </w:rPr>
      </w:pPr>
    </w:p>
    <w:p w14:paraId="015D90DA">
      <w:pPr>
        <w:jc w:val="center"/>
        <w:rPr>
          <w:rFonts w:ascii="黑体" w:hAnsi="黑体" w:eastAsia="黑体"/>
          <w:sz w:val="28"/>
          <w:szCs w:val="28"/>
        </w:rPr>
      </w:pPr>
    </w:p>
    <w:p w14:paraId="67070839">
      <w:pPr>
        <w:jc w:val="center"/>
        <w:rPr>
          <w:rFonts w:ascii="黑体" w:hAnsi="黑体" w:eastAsia="黑体"/>
          <w:sz w:val="28"/>
          <w:szCs w:val="28"/>
        </w:rPr>
      </w:pPr>
    </w:p>
    <w:p w14:paraId="3433F180">
      <w:pPr>
        <w:jc w:val="center"/>
        <w:rPr>
          <w:rFonts w:ascii="黑体" w:hAnsi="黑体" w:eastAsia="黑体"/>
          <w:sz w:val="28"/>
          <w:szCs w:val="28"/>
        </w:rPr>
      </w:pPr>
    </w:p>
    <w:p w14:paraId="1F14109F">
      <w:pPr>
        <w:jc w:val="center"/>
        <w:rPr>
          <w:rFonts w:ascii="黑体" w:hAnsi="黑体" w:eastAsia="黑体"/>
          <w:sz w:val="28"/>
          <w:szCs w:val="28"/>
        </w:rPr>
      </w:pPr>
    </w:p>
    <w:p w14:paraId="534DCBFF">
      <w:pPr>
        <w:jc w:val="center"/>
        <w:rPr>
          <w:rFonts w:ascii="黑体" w:hAnsi="黑体" w:eastAsia="黑体"/>
          <w:sz w:val="28"/>
          <w:szCs w:val="28"/>
        </w:rPr>
      </w:pPr>
    </w:p>
    <w:p w14:paraId="4608DC11">
      <w:pPr>
        <w:jc w:val="center"/>
        <w:rPr>
          <w:rFonts w:ascii="黑体" w:hAnsi="黑体" w:eastAsia="黑体"/>
          <w:sz w:val="28"/>
          <w:szCs w:val="28"/>
        </w:rPr>
      </w:pPr>
    </w:p>
    <w:p w14:paraId="526CD1CC">
      <w:pPr>
        <w:jc w:val="center"/>
        <w:rPr>
          <w:rFonts w:ascii="黑体" w:hAnsi="黑体" w:eastAsia="黑体"/>
          <w:sz w:val="28"/>
          <w:szCs w:val="28"/>
        </w:rPr>
      </w:pPr>
    </w:p>
    <w:p w14:paraId="091AD43A">
      <w:pPr>
        <w:jc w:val="center"/>
        <w:rPr>
          <w:rFonts w:ascii="黑体" w:hAnsi="黑体" w:eastAsia="黑体"/>
          <w:sz w:val="28"/>
          <w:szCs w:val="28"/>
        </w:rPr>
      </w:pPr>
    </w:p>
    <w:p w14:paraId="781E197C">
      <w:pPr>
        <w:jc w:val="center"/>
        <w:rPr>
          <w:rFonts w:ascii="黑体" w:hAnsi="黑体" w:eastAsia="黑体"/>
          <w:sz w:val="28"/>
          <w:szCs w:val="28"/>
        </w:rPr>
      </w:pPr>
    </w:p>
    <w:p w14:paraId="76EA2C41">
      <w:pPr>
        <w:pStyle w:val="13"/>
        <w:jc w:val="both"/>
        <w:rPr>
          <w:rFonts w:hint="eastAsia" w:ascii="方正小标宋_GBK" w:hAnsi="方正小标宋_GBK" w:eastAsia="方正小标宋_GBK" w:cs="方正小标宋_GBK"/>
          <w:sz w:val="84"/>
          <w:szCs w:val="84"/>
        </w:rPr>
      </w:pPr>
    </w:p>
    <w:p w14:paraId="13F08F85">
      <w:pPr>
        <w:pStyle w:val="13"/>
        <w:jc w:val="both"/>
        <w:rPr>
          <w:rFonts w:hint="eastAsia" w:ascii="方正小标宋_GBK" w:hAnsi="方正小标宋_GBK" w:eastAsia="方正小标宋_GBK" w:cs="方正小标宋_GBK"/>
          <w:sz w:val="84"/>
          <w:szCs w:val="84"/>
        </w:rPr>
      </w:pPr>
    </w:p>
    <w:p w14:paraId="6426201C">
      <w:pPr>
        <w:pStyle w:val="13"/>
        <w:jc w:val="both"/>
        <w:rPr>
          <w:rFonts w:hint="eastAsia" w:ascii="方正小标宋_GBK" w:hAnsi="方正小标宋_GBK" w:eastAsia="方正小标宋_GBK" w:cs="方正小标宋_GBK"/>
          <w:sz w:val="84"/>
          <w:szCs w:val="84"/>
        </w:rPr>
      </w:pPr>
    </w:p>
    <w:p w14:paraId="25C32867">
      <w:pPr>
        <w:pStyle w:val="13"/>
        <w:jc w:val="both"/>
        <w:rPr>
          <w:rFonts w:hint="eastAsia" w:ascii="方正小标宋_GBK" w:hAnsi="方正小标宋_GBK" w:eastAsia="方正小标宋_GBK" w:cs="方正小标宋_GBK"/>
          <w:sz w:val="84"/>
          <w:szCs w:val="84"/>
        </w:rPr>
      </w:pPr>
    </w:p>
    <w:p w14:paraId="2EDEEFE4">
      <w:pPr>
        <w:pStyle w:val="13"/>
        <w:jc w:val="both"/>
        <w:rPr>
          <w:rFonts w:hint="eastAsia" w:ascii="方正小标宋_GBK" w:hAnsi="方正小标宋_GBK" w:eastAsia="方正小标宋_GBK" w:cs="方正小标宋_GBK"/>
          <w:sz w:val="84"/>
          <w:szCs w:val="84"/>
        </w:rPr>
      </w:pPr>
    </w:p>
    <w:p w14:paraId="214E482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BBE2D87">
      <w:pPr>
        <w:pStyle w:val="13"/>
        <w:jc w:val="center"/>
        <w:rPr>
          <w:rFonts w:hint="eastAsia" w:ascii="方正小标宋_GBK" w:hAnsi="方正小标宋_GBK" w:eastAsia="方正小标宋_GBK" w:cs="方正小标宋_GBK"/>
          <w:sz w:val="84"/>
          <w:szCs w:val="84"/>
        </w:rPr>
      </w:pPr>
    </w:p>
    <w:p w14:paraId="2DC0022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EF18346">
      <w:pPr>
        <w:jc w:val="center"/>
        <w:rPr>
          <w:sz w:val="72"/>
          <w:szCs w:val="72"/>
        </w:rPr>
      </w:pPr>
    </w:p>
    <w:p w14:paraId="492D9699">
      <w:pPr>
        <w:jc w:val="center"/>
        <w:rPr>
          <w:sz w:val="72"/>
          <w:szCs w:val="72"/>
        </w:rPr>
      </w:pPr>
    </w:p>
    <w:p w14:paraId="3DF1A14A">
      <w:pPr>
        <w:jc w:val="center"/>
        <w:rPr>
          <w:sz w:val="72"/>
          <w:szCs w:val="72"/>
        </w:rPr>
      </w:pPr>
    </w:p>
    <w:p w14:paraId="477F02A0">
      <w:pPr>
        <w:jc w:val="center"/>
        <w:rPr>
          <w:sz w:val="72"/>
          <w:szCs w:val="72"/>
        </w:rPr>
      </w:pPr>
    </w:p>
    <w:p w14:paraId="25D884E7">
      <w:pPr>
        <w:jc w:val="center"/>
        <w:rPr>
          <w:sz w:val="72"/>
          <w:szCs w:val="72"/>
        </w:rPr>
      </w:pPr>
    </w:p>
    <w:p w14:paraId="7DCA832D">
      <w:pPr>
        <w:jc w:val="center"/>
        <w:rPr>
          <w:sz w:val="72"/>
          <w:szCs w:val="72"/>
        </w:rPr>
      </w:pPr>
    </w:p>
    <w:p w14:paraId="6C80B72E">
      <w:pPr>
        <w:jc w:val="left"/>
        <w:rPr>
          <w:sz w:val="32"/>
          <w:szCs w:val="32"/>
        </w:rPr>
      </w:pPr>
    </w:p>
    <w:p w14:paraId="1208582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3900" w:type="dxa"/>
        <w:tblInd w:w="0" w:type="dxa"/>
        <w:tblLayout w:type="autofit"/>
        <w:tblCellMar>
          <w:top w:w="0" w:type="dxa"/>
          <w:left w:w="0" w:type="dxa"/>
          <w:bottom w:w="0" w:type="dxa"/>
          <w:right w:w="0" w:type="dxa"/>
        </w:tblCellMar>
      </w:tblPr>
      <w:tblGrid>
        <w:gridCol w:w="297"/>
        <w:gridCol w:w="297"/>
        <w:gridCol w:w="1474"/>
        <w:gridCol w:w="1801"/>
        <w:gridCol w:w="1801"/>
        <w:gridCol w:w="1801"/>
        <w:gridCol w:w="1801"/>
        <w:gridCol w:w="1801"/>
        <w:gridCol w:w="1801"/>
        <w:gridCol w:w="2554"/>
      </w:tblGrid>
      <w:tr w14:paraId="3D1CB6CE">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7371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13254874">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5B698535">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4D6D1742">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A4CEB27">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3588D0AE">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7781A1D">
                  <w:pPr>
                    <w:jc w:val="right"/>
                    <w:rPr>
                      <w:rFonts w:hint="eastAsia" w:ascii="黑体" w:hAnsi="宋体" w:eastAsia="黑体" w:cs="黑体"/>
                      <w:i w:val="0"/>
                      <w:color w:val="000000"/>
                      <w:sz w:val="24"/>
                      <w:szCs w:val="24"/>
                      <w:u w:val="none"/>
                    </w:rPr>
                  </w:pPr>
                </w:p>
              </w:tc>
            </w:tr>
            <w:tr w14:paraId="65EB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22778E0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7D1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3E9AB49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3426E3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75CAEC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2EEA6C0">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17EA2B45">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1EF9E5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465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0B4371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6518CF5F">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027543B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ED766F6">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35B3499">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29C1EF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9A7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9D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4F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71F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C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3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A8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0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00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71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86B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68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6049">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3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E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013D">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F3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ECA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A1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73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41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B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9F1B">
                  <w:pPr>
                    <w:jc w:val="right"/>
                    <w:rPr>
                      <w:rFonts w:hint="eastAsia" w:ascii="宋体" w:hAnsi="宋体" w:eastAsia="宋体" w:cs="宋体"/>
                      <w:i w:val="0"/>
                      <w:color w:val="000000"/>
                      <w:sz w:val="22"/>
                      <w:szCs w:val="22"/>
                      <w:u w:val="none"/>
                    </w:rPr>
                  </w:pPr>
                </w:p>
              </w:tc>
            </w:tr>
            <w:tr w14:paraId="63A7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7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A7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F3E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A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9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CF2">
                  <w:pPr>
                    <w:jc w:val="right"/>
                    <w:rPr>
                      <w:rFonts w:hint="eastAsia" w:ascii="宋体" w:hAnsi="宋体" w:eastAsia="宋体" w:cs="宋体"/>
                      <w:i w:val="0"/>
                      <w:color w:val="000000"/>
                      <w:sz w:val="22"/>
                      <w:szCs w:val="22"/>
                      <w:u w:val="none"/>
                    </w:rPr>
                  </w:pPr>
                </w:p>
              </w:tc>
            </w:tr>
            <w:tr w14:paraId="10EE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C5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27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C8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903F">
                  <w:pPr>
                    <w:jc w:val="right"/>
                    <w:rPr>
                      <w:rFonts w:hint="eastAsia" w:ascii="宋体" w:hAnsi="宋体" w:eastAsia="宋体" w:cs="宋体"/>
                      <w:i w:val="0"/>
                      <w:color w:val="000000"/>
                      <w:sz w:val="22"/>
                      <w:szCs w:val="22"/>
                      <w:u w:val="none"/>
                    </w:rPr>
                  </w:pPr>
                </w:p>
              </w:tc>
            </w:tr>
            <w:tr w14:paraId="3342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F6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B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32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F6B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2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3D36">
                  <w:pPr>
                    <w:jc w:val="right"/>
                    <w:rPr>
                      <w:rFonts w:hint="eastAsia" w:ascii="宋体" w:hAnsi="宋体" w:eastAsia="宋体" w:cs="宋体"/>
                      <w:i w:val="0"/>
                      <w:color w:val="000000"/>
                      <w:sz w:val="22"/>
                      <w:szCs w:val="22"/>
                      <w:u w:val="none"/>
                    </w:rPr>
                  </w:pPr>
                </w:p>
              </w:tc>
            </w:tr>
            <w:tr w14:paraId="7C82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8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7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9D9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C2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4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CFA9">
                  <w:pPr>
                    <w:jc w:val="right"/>
                    <w:rPr>
                      <w:rFonts w:hint="eastAsia" w:ascii="宋体" w:hAnsi="宋体" w:eastAsia="宋体" w:cs="宋体"/>
                      <w:i w:val="0"/>
                      <w:color w:val="000000"/>
                      <w:sz w:val="22"/>
                      <w:szCs w:val="22"/>
                      <w:u w:val="none"/>
                    </w:rPr>
                  </w:pPr>
                </w:p>
              </w:tc>
            </w:tr>
            <w:tr w14:paraId="3BD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6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61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E8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71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B4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FB7">
                  <w:pPr>
                    <w:jc w:val="right"/>
                    <w:rPr>
                      <w:rFonts w:hint="eastAsia" w:ascii="宋体" w:hAnsi="宋体" w:eastAsia="宋体" w:cs="宋体"/>
                      <w:i w:val="0"/>
                      <w:color w:val="000000"/>
                      <w:sz w:val="22"/>
                      <w:szCs w:val="22"/>
                      <w:u w:val="none"/>
                    </w:rPr>
                  </w:pPr>
                </w:p>
              </w:tc>
            </w:tr>
            <w:tr w14:paraId="7FC4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F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6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CE5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A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2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106B">
                  <w:pPr>
                    <w:jc w:val="right"/>
                    <w:rPr>
                      <w:rFonts w:hint="eastAsia" w:ascii="宋体" w:hAnsi="宋体" w:eastAsia="宋体" w:cs="宋体"/>
                      <w:i w:val="0"/>
                      <w:color w:val="000000"/>
                      <w:sz w:val="22"/>
                      <w:szCs w:val="22"/>
                      <w:u w:val="none"/>
                    </w:rPr>
                  </w:pPr>
                </w:p>
              </w:tc>
            </w:tr>
            <w:tr w14:paraId="37EC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1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9E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B05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FBD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0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A04A">
                  <w:pPr>
                    <w:jc w:val="center"/>
                    <w:rPr>
                      <w:rFonts w:hint="eastAsia" w:ascii="宋体" w:hAnsi="宋体" w:eastAsia="宋体" w:cs="宋体"/>
                      <w:i w:val="0"/>
                      <w:color w:val="000000"/>
                      <w:sz w:val="22"/>
                      <w:szCs w:val="22"/>
                      <w:u w:val="none"/>
                    </w:rPr>
                  </w:pPr>
                </w:p>
              </w:tc>
            </w:tr>
            <w:tr w14:paraId="1F96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FFC">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7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93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0B1">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4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08B">
                  <w:pPr>
                    <w:rPr>
                      <w:rFonts w:hint="eastAsia" w:ascii="宋体" w:hAnsi="宋体" w:eastAsia="宋体" w:cs="宋体"/>
                      <w:b/>
                      <w:i w:val="0"/>
                      <w:color w:val="000000"/>
                      <w:sz w:val="22"/>
                      <w:szCs w:val="22"/>
                      <w:u w:val="none"/>
                    </w:rPr>
                  </w:pPr>
                </w:p>
              </w:tc>
            </w:tr>
            <w:tr w14:paraId="6BDA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E2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E4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B7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C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D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57FC">
                  <w:pPr>
                    <w:rPr>
                      <w:rFonts w:hint="eastAsia" w:ascii="宋体" w:hAnsi="宋体" w:eastAsia="宋体" w:cs="宋体"/>
                      <w:i w:val="0"/>
                      <w:color w:val="000000"/>
                      <w:sz w:val="22"/>
                      <w:szCs w:val="22"/>
                      <w:u w:val="none"/>
                    </w:rPr>
                  </w:pPr>
                </w:p>
              </w:tc>
            </w:tr>
            <w:tr w14:paraId="5D6B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FC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033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2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5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D6B">
                  <w:pPr>
                    <w:rPr>
                      <w:rFonts w:hint="eastAsia" w:ascii="宋体" w:hAnsi="宋体" w:eastAsia="宋体" w:cs="宋体"/>
                      <w:i w:val="0"/>
                      <w:color w:val="000000"/>
                      <w:sz w:val="22"/>
                      <w:szCs w:val="22"/>
                      <w:u w:val="none"/>
                    </w:rPr>
                  </w:pPr>
                </w:p>
              </w:tc>
            </w:tr>
            <w:tr w14:paraId="3E0D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D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68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352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6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D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1F2">
                  <w:pPr>
                    <w:rPr>
                      <w:rFonts w:hint="eastAsia" w:ascii="宋体" w:hAnsi="宋体" w:eastAsia="宋体" w:cs="宋体"/>
                      <w:i w:val="0"/>
                      <w:color w:val="000000"/>
                      <w:sz w:val="22"/>
                      <w:szCs w:val="22"/>
                      <w:u w:val="none"/>
                    </w:rPr>
                  </w:pPr>
                </w:p>
              </w:tc>
            </w:tr>
            <w:tr w14:paraId="7060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C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B2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C0C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93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7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C0F">
                  <w:pPr>
                    <w:rPr>
                      <w:rFonts w:hint="eastAsia" w:ascii="宋体" w:hAnsi="宋体" w:eastAsia="宋体" w:cs="宋体"/>
                      <w:b/>
                      <w:i w:val="0"/>
                      <w:color w:val="000000"/>
                      <w:sz w:val="22"/>
                      <w:szCs w:val="22"/>
                      <w:u w:val="none"/>
                    </w:rPr>
                  </w:pPr>
                </w:p>
              </w:tc>
            </w:tr>
            <w:tr w14:paraId="2437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7A8E5C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7F6DFD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7A886C0">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8D0BD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A2F066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FDECC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003086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E18BA9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407453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FCA7B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906FA7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A45D55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6385DB4">
            <w:pPr>
              <w:jc w:val="right"/>
              <w:rPr>
                <w:rFonts w:ascii="宋体" w:hAnsi="宋体" w:eastAsia="宋体" w:cs="宋体"/>
                <w:color w:val="000000"/>
                <w:sz w:val="20"/>
                <w:szCs w:val="20"/>
              </w:rPr>
            </w:pPr>
            <w:r>
              <w:rPr>
                <w:rFonts w:hint="eastAsia"/>
                <w:color w:val="000000"/>
                <w:sz w:val="20"/>
                <w:szCs w:val="20"/>
              </w:rPr>
              <w:t>公开02表</w:t>
            </w:r>
          </w:p>
        </w:tc>
      </w:tr>
      <w:tr w14:paraId="0B79C1F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A69CDAB">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ED6E77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4FD1F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28CF93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878758">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86B9D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12A6F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07895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9423127">
            <w:pPr>
              <w:jc w:val="right"/>
              <w:rPr>
                <w:rFonts w:ascii="宋体" w:hAnsi="宋体" w:eastAsia="宋体" w:cs="宋体"/>
                <w:color w:val="000000"/>
                <w:sz w:val="20"/>
                <w:szCs w:val="20"/>
              </w:rPr>
            </w:pPr>
            <w:r>
              <w:rPr>
                <w:rFonts w:hint="eastAsia"/>
                <w:color w:val="000000"/>
                <w:sz w:val="20"/>
                <w:szCs w:val="20"/>
              </w:rPr>
              <w:t>单位：万元</w:t>
            </w:r>
          </w:p>
        </w:tc>
      </w:tr>
      <w:tr w14:paraId="7F3F7928">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8A8DB1">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7FFC7">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76A42C">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77BAE1">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05CE94">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007846">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C86F3C">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6B303E">
            <w:pPr>
              <w:jc w:val="center"/>
              <w:rPr>
                <w:rFonts w:ascii="宋体" w:hAnsi="宋体" w:eastAsia="宋体" w:cs="宋体"/>
                <w:sz w:val="24"/>
                <w:szCs w:val="24"/>
              </w:rPr>
            </w:pPr>
            <w:r>
              <w:rPr>
                <w:rFonts w:hint="eastAsia"/>
              </w:rPr>
              <w:t>其他收入</w:t>
            </w:r>
          </w:p>
        </w:tc>
      </w:tr>
      <w:tr w14:paraId="2946F3CA">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16EC6">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8A2743">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33C73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CDA31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8900C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CE59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3DE0C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C19EE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D16A01">
            <w:pPr>
              <w:rPr>
                <w:rFonts w:ascii="宋体" w:hAnsi="宋体" w:eastAsia="宋体" w:cs="宋体"/>
                <w:sz w:val="24"/>
                <w:szCs w:val="24"/>
              </w:rPr>
            </w:pPr>
          </w:p>
        </w:tc>
      </w:tr>
      <w:tr w14:paraId="3590F1DF">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CD590C7">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587C84B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A0DF4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019ED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E5637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3ADF1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6AEB4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50AE1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8C3149">
            <w:pPr>
              <w:rPr>
                <w:rFonts w:ascii="宋体" w:hAnsi="宋体" w:eastAsia="宋体" w:cs="宋体"/>
                <w:sz w:val="24"/>
                <w:szCs w:val="24"/>
              </w:rPr>
            </w:pPr>
          </w:p>
        </w:tc>
      </w:tr>
      <w:tr w14:paraId="61D88096">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2A3D7">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8E2AA">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5F95">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E0EE6">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B51700">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9E850">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91875">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98221">
            <w:pPr>
              <w:jc w:val="center"/>
              <w:rPr>
                <w:rFonts w:ascii="宋体" w:hAnsi="宋体" w:eastAsia="宋体" w:cs="宋体"/>
                <w:sz w:val="24"/>
                <w:szCs w:val="24"/>
              </w:rPr>
            </w:pPr>
            <w:r>
              <w:rPr>
                <w:rFonts w:hint="eastAsia"/>
              </w:rPr>
              <w:t>7</w:t>
            </w:r>
          </w:p>
        </w:tc>
      </w:tr>
      <w:tr w14:paraId="2D82972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7ADD2">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C658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D2AF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B1BA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4B82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6C9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8F16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E988C">
            <w:pPr>
              <w:jc w:val="right"/>
              <w:rPr>
                <w:rFonts w:ascii="宋体" w:hAnsi="宋体" w:eastAsia="宋体" w:cs="宋体"/>
                <w:sz w:val="24"/>
                <w:szCs w:val="24"/>
              </w:rPr>
            </w:pPr>
            <w:r>
              <w:rPr>
                <w:rFonts w:hint="eastAsia"/>
              </w:rPr>
              <w:t>　</w:t>
            </w:r>
          </w:p>
        </w:tc>
      </w:tr>
      <w:tr w14:paraId="1724691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D6A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84C4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37A1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60DA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6AAA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8185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5B0A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E82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02374">
            <w:pPr>
              <w:jc w:val="right"/>
              <w:rPr>
                <w:rFonts w:ascii="宋体" w:hAnsi="宋体" w:eastAsia="宋体" w:cs="宋体"/>
                <w:sz w:val="24"/>
                <w:szCs w:val="24"/>
              </w:rPr>
            </w:pPr>
            <w:r>
              <w:rPr>
                <w:rFonts w:hint="eastAsia"/>
              </w:rPr>
              <w:t>　</w:t>
            </w:r>
          </w:p>
        </w:tc>
      </w:tr>
      <w:tr w14:paraId="289B0C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29D76">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F5D7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AFCD">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9B44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D2B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C89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5094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E341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AC854">
            <w:pPr>
              <w:jc w:val="right"/>
              <w:rPr>
                <w:rFonts w:ascii="宋体" w:hAnsi="宋体" w:eastAsia="宋体" w:cs="宋体"/>
                <w:sz w:val="24"/>
                <w:szCs w:val="24"/>
              </w:rPr>
            </w:pPr>
            <w:r>
              <w:rPr>
                <w:rFonts w:hint="eastAsia"/>
              </w:rPr>
              <w:t>　</w:t>
            </w:r>
          </w:p>
        </w:tc>
      </w:tr>
      <w:tr w14:paraId="4F30BFB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BEE5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5C65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A29F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8DAB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90D0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B6A3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1DBD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47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ADA32">
            <w:pPr>
              <w:jc w:val="right"/>
              <w:rPr>
                <w:rFonts w:ascii="宋体" w:hAnsi="宋体" w:eastAsia="宋体" w:cs="宋体"/>
                <w:sz w:val="24"/>
                <w:szCs w:val="24"/>
              </w:rPr>
            </w:pPr>
            <w:r>
              <w:rPr>
                <w:rFonts w:hint="eastAsia"/>
              </w:rPr>
              <w:t>　</w:t>
            </w:r>
          </w:p>
        </w:tc>
      </w:tr>
      <w:tr w14:paraId="29C8A95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4D97A">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62F23">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2C8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5492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C49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4149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8081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2E0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4576C">
            <w:pPr>
              <w:jc w:val="right"/>
              <w:rPr>
                <w:rFonts w:ascii="宋体" w:hAnsi="宋体" w:eastAsia="宋体" w:cs="宋体"/>
                <w:sz w:val="24"/>
                <w:szCs w:val="24"/>
              </w:rPr>
            </w:pPr>
            <w:r>
              <w:rPr>
                <w:rFonts w:hint="eastAsia"/>
              </w:rPr>
              <w:t>　</w:t>
            </w:r>
          </w:p>
        </w:tc>
      </w:tr>
      <w:tr w14:paraId="51FD88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17F21">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8A67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52B4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F596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53E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BF91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D090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371E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4125D">
            <w:pPr>
              <w:jc w:val="right"/>
              <w:rPr>
                <w:rFonts w:ascii="宋体" w:hAnsi="宋体" w:eastAsia="宋体" w:cs="宋体"/>
                <w:sz w:val="24"/>
                <w:szCs w:val="24"/>
              </w:rPr>
            </w:pPr>
            <w:r>
              <w:rPr>
                <w:rFonts w:hint="eastAsia"/>
              </w:rPr>
              <w:t>　</w:t>
            </w:r>
          </w:p>
        </w:tc>
      </w:tr>
      <w:tr w14:paraId="7DFECF9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C57D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B5CD9">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551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E76E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6FDE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036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B30F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E267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EBEB9">
            <w:pPr>
              <w:jc w:val="right"/>
              <w:rPr>
                <w:rFonts w:ascii="宋体" w:hAnsi="宋体" w:eastAsia="宋体" w:cs="宋体"/>
                <w:sz w:val="24"/>
                <w:szCs w:val="24"/>
              </w:rPr>
            </w:pPr>
            <w:r>
              <w:rPr>
                <w:rFonts w:hint="eastAsia"/>
              </w:rPr>
              <w:t>　</w:t>
            </w:r>
          </w:p>
        </w:tc>
      </w:tr>
      <w:tr w14:paraId="38BAD2C2">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60AA1AB5">
            <w:pPr>
              <w:rPr>
                <w:rFonts w:ascii="宋体" w:hAnsi="宋体" w:eastAsia="宋体" w:cs="宋体"/>
                <w:sz w:val="24"/>
                <w:szCs w:val="24"/>
              </w:rPr>
            </w:pPr>
            <w:r>
              <w:rPr>
                <w:rFonts w:hint="eastAsia"/>
              </w:rPr>
              <w:t>注：本表反映部门本年度取得的各项收入情况。</w:t>
            </w:r>
          </w:p>
        </w:tc>
      </w:tr>
    </w:tbl>
    <w:p w14:paraId="0EB6C8A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4B92502">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4BA7E461">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9D01D7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4883DB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37344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C5EDB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750AA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9333A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586C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F4CD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4A1A3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CD788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80D36F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A16BE1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04D36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5C12D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DEEF9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E19E6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86483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02004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14995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3D483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09967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053CF8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C044B8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9417F6">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A8B87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E6554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87EA8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199E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072C9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8E3E94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F5F00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572C28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A9B61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FC45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AF1A8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6B3B71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B3309B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902593C">
            <w:pPr>
              <w:widowControl/>
              <w:jc w:val="left"/>
              <w:rPr>
                <w:rFonts w:ascii="宋体" w:hAnsi="宋体" w:eastAsia="宋体" w:cs="宋体"/>
                <w:kern w:val="0"/>
                <w:sz w:val="24"/>
                <w:szCs w:val="24"/>
              </w:rPr>
            </w:pPr>
          </w:p>
        </w:tc>
      </w:tr>
      <w:tr w14:paraId="690B62C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EBC065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64D8915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C57E7F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345C4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0DD5F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C9DED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97826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F5F72F2">
            <w:pPr>
              <w:widowControl/>
              <w:jc w:val="left"/>
              <w:rPr>
                <w:rFonts w:ascii="宋体" w:hAnsi="宋体" w:eastAsia="宋体" w:cs="宋体"/>
                <w:kern w:val="0"/>
                <w:sz w:val="24"/>
                <w:szCs w:val="24"/>
              </w:rPr>
            </w:pPr>
          </w:p>
        </w:tc>
      </w:tr>
      <w:tr w14:paraId="4852C92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24D0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C728D9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0769B9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894E9E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9F45F4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409B06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7CE963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464FC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8A993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677A4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1128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C780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CBB6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B26F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36E81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C63C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946B3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223FAA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B226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8AAC0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09CFD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8D9B1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45DC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CD15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03BD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D7052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48521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FD03D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7962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DAD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DF69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1232B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EC2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2A26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387B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607A09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63285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87DB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20F3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2EA7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88AD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B290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0093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CCFE7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2B0DAD1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83392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8A58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B4810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5A3C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6902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D631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E68D8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8207A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0D72C7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18B4B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A3CE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6C5D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0C8D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B14EA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915E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B76A1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C4216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1CD146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55175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8E9D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2961A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15E0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334A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DE70C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647F9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E1BEB1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754612E">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24D34EF">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A006135">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1BAA695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736787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FA370F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32D9C2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79876FF">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103968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DED126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24F9F7E">
            <w:pPr>
              <w:widowControl/>
              <w:jc w:val="right"/>
              <w:rPr>
                <w:rFonts w:ascii="宋体" w:hAnsi="宋体" w:eastAsia="宋体" w:cs="宋体"/>
                <w:kern w:val="0"/>
                <w:sz w:val="24"/>
                <w:szCs w:val="24"/>
              </w:rPr>
            </w:pPr>
          </w:p>
        </w:tc>
      </w:tr>
      <w:tr w14:paraId="0EBE054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AEF29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247402C">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4A8DE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38972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5BDDF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DEBBC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FEE89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E29F5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5A5DC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D65C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3337F2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AD911C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6CB8F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2C8341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35EA0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4B170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370FB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B502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C78AB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291E0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9F721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A8221A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BA7317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929316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5086026">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069A1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5336AFB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714770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06B379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05AE033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59D66C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5C242A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A60675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509773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97C54A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E41FF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F9B50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34A777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40C0D66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E38A0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5D14A4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2D20BC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FE811F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A76CBA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C18D86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FFCAB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A1A339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195E33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6FB1D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02D82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CB2D3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8F31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E3E5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C78745">
            <w:pPr>
              <w:widowControl/>
              <w:jc w:val="right"/>
              <w:rPr>
                <w:rFonts w:ascii="宋体" w:hAnsi="宋体" w:eastAsia="宋体" w:cs="宋体"/>
                <w:kern w:val="0"/>
                <w:sz w:val="22"/>
              </w:rPr>
            </w:pPr>
            <w:r>
              <w:rPr>
                <w:rFonts w:hint="eastAsia" w:ascii="宋体" w:hAnsi="宋体" w:eastAsia="宋体" w:cs="宋体"/>
                <w:kern w:val="0"/>
                <w:sz w:val="22"/>
              </w:rPr>
              <w:t>　</w:t>
            </w:r>
          </w:p>
        </w:tc>
      </w:tr>
      <w:tr w14:paraId="063766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C5777D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C77171F">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7DAEEB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0A2F5A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5AE3F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F5D55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8A6B2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6449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65D727">
            <w:pPr>
              <w:widowControl/>
              <w:jc w:val="right"/>
              <w:rPr>
                <w:rFonts w:ascii="宋体" w:hAnsi="宋体" w:eastAsia="宋体" w:cs="宋体"/>
                <w:kern w:val="0"/>
                <w:sz w:val="22"/>
              </w:rPr>
            </w:pPr>
            <w:r>
              <w:rPr>
                <w:rFonts w:hint="eastAsia" w:ascii="宋体" w:hAnsi="宋体" w:eastAsia="宋体" w:cs="宋体"/>
                <w:kern w:val="0"/>
                <w:sz w:val="22"/>
              </w:rPr>
              <w:t>　</w:t>
            </w:r>
          </w:p>
        </w:tc>
      </w:tr>
      <w:tr w14:paraId="7DA81F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B2B73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ECAEC0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3B3D36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5D8B8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7E1E4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E430C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C62C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91142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81DE4F">
            <w:pPr>
              <w:widowControl/>
              <w:jc w:val="right"/>
              <w:rPr>
                <w:rFonts w:ascii="宋体" w:hAnsi="宋体" w:eastAsia="宋体" w:cs="宋体"/>
                <w:kern w:val="0"/>
                <w:sz w:val="22"/>
              </w:rPr>
            </w:pPr>
            <w:r>
              <w:rPr>
                <w:rFonts w:hint="eastAsia" w:ascii="宋体" w:hAnsi="宋体" w:eastAsia="宋体" w:cs="宋体"/>
                <w:kern w:val="0"/>
                <w:sz w:val="22"/>
              </w:rPr>
              <w:t>　</w:t>
            </w:r>
          </w:p>
        </w:tc>
      </w:tr>
      <w:tr w14:paraId="2E90A5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E3534A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BE77AC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214790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60DA0D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EFBF4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89799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3C3F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B7FC3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B5BCF6">
            <w:pPr>
              <w:widowControl/>
              <w:jc w:val="right"/>
              <w:rPr>
                <w:rFonts w:ascii="宋体" w:hAnsi="宋体" w:eastAsia="宋体" w:cs="宋体"/>
                <w:kern w:val="0"/>
                <w:sz w:val="22"/>
              </w:rPr>
            </w:pPr>
            <w:r>
              <w:rPr>
                <w:rFonts w:hint="eastAsia" w:ascii="宋体" w:hAnsi="宋体" w:eastAsia="宋体" w:cs="宋体"/>
                <w:kern w:val="0"/>
                <w:sz w:val="22"/>
              </w:rPr>
              <w:t>　</w:t>
            </w:r>
          </w:p>
        </w:tc>
      </w:tr>
      <w:tr w14:paraId="3014E6B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1A86A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D96452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5547BF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8BF69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78046C">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DC82D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BAA7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0269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A738DB">
            <w:pPr>
              <w:widowControl/>
              <w:jc w:val="right"/>
              <w:rPr>
                <w:rFonts w:ascii="宋体" w:hAnsi="宋体" w:eastAsia="宋体" w:cs="宋体"/>
                <w:kern w:val="0"/>
                <w:sz w:val="22"/>
              </w:rPr>
            </w:pPr>
            <w:r>
              <w:rPr>
                <w:rFonts w:hint="eastAsia" w:ascii="宋体" w:hAnsi="宋体" w:eastAsia="宋体" w:cs="宋体"/>
                <w:kern w:val="0"/>
                <w:sz w:val="22"/>
              </w:rPr>
              <w:t>　</w:t>
            </w:r>
          </w:p>
        </w:tc>
      </w:tr>
      <w:tr w14:paraId="21399E0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B4E3D3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1DEEC8F">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3A02E8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93171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D4114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3EB3D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A92A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53A5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7ACE0C">
            <w:pPr>
              <w:widowControl/>
              <w:jc w:val="right"/>
              <w:rPr>
                <w:rFonts w:ascii="宋体" w:hAnsi="宋体" w:eastAsia="宋体" w:cs="宋体"/>
                <w:kern w:val="0"/>
                <w:sz w:val="22"/>
              </w:rPr>
            </w:pPr>
            <w:r>
              <w:rPr>
                <w:rFonts w:hint="eastAsia" w:ascii="宋体" w:hAnsi="宋体" w:eastAsia="宋体" w:cs="宋体"/>
                <w:kern w:val="0"/>
                <w:sz w:val="22"/>
              </w:rPr>
              <w:t>　</w:t>
            </w:r>
          </w:p>
        </w:tc>
      </w:tr>
      <w:tr w14:paraId="543F4CC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F532CF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BC282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BFB86A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FC186D">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24B93EE8">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66624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471B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65021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2322AD">
            <w:pPr>
              <w:widowControl/>
              <w:jc w:val="right"/>
              <w:rPr>
                <w:rFonts w:ascii="宋体" w:hAnsi="宋体" w:eastAsia="宋体" w:cs="宋体"/>
                <w:kern w:val="0"/>
                <w:sz w:val="22"/>
              </w:rPr>
            </w:pPr>
            <w:r>
              <w:rPr>
                <w:rFonts w:hint="eastAsia" w:ascii="宋体" w:hAnsi="宋体" w:eastAsia="宋体" w:cs="宋体"/>
                <w:kern w:val="0"/>
                <w:sz w:val="22"/>
              </w:rPr>
              <w:t>　</w:t>
            </w:r>
          </w:p>
        </w:tc>
      </w:tr>
      <w:tr w14:paraId="14F6D43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86035A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284E97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E7ED61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976A7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2742D4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1B673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4905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415D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A98F8B">
            <w:pPr>
              <w:widowControl/>
              <w:jc w:val="center"/>
              <w:rPr>
                <w:rFonts w:ascii="宋体" w:hAnsi="宋体" w:eastAsia="宋体" w:cs="宋体"/>
                <w:kern w:val="0"/>
                <w:sz w:val="22"/>
              </w:rPr>
            </w:pPr>
            <w:r>
              <w:rPr>
                <w:rFonts w:hint="eastAsia" w:ascii="宋体" w:hAnsi="宋体" w:eastAsia="宋体" w:cs="宋体"/>
                <w:kern w:val="0"/>
                <w:sz w:val="22"/>
              </w:rPr>
              <w:t>　</w:t>
            </w:r>
          </w:p>
        </w:tc>
      </w:tr>
      <w:tr w14:paraId="2939D18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52DF5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2EAE6F18">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71AEE4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81588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1B8E07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5B65E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7D9F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D440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436C2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E0A21B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8BDFB6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0126E0A2">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5E2891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6A843A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8D344F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1C1BCE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9FCA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BCC3B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58DE62">
            <w:pPr>
              <w:widowControl/>
              <w:jc w:val="left"/>
              <w:rPr>
                <w:rFonts w:ascii="宋体" w:hAnsi="宋体" w:eastAsia="宋体" w:cs="宋体"/>
                <w:kern w:val="0"/>
                <w:sz w:val="22"/>
              </w:rPr>
            </w:pPr>
            <w:r>
              <w:rPr>
                <w:rFonts w:hint="eastAsia" w:ascii="宋体" w:hAnsi="宋体" w:eastAsia="宋体" w:cs="宋体"/>
                <w:kern w:val="0"/>
                <w:sz w:val="22"/>
              </w:rPr>
              <w:t>　</w:t>
            </w:r>
          </w:p>
        </w:tc>
      </w:tr>
      <w:tr w14:paraId="2921E6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F0B79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D335352">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E68DFC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D3230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5C6E45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70F6B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53E1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8ECF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543148">
            <w:pPr>
              <w:widowControl/>
              <w:jc w:val="left"/>
              <w:rPr>
                <w:rFonts w:ascii="宋体" w:hAnsi="宋体" w:eastAsia="宋体" w:cs="宋体"/>
                <w:kern w:val="0"/>
                <w:sz w:val="22"/>
              </w:rPr>
            </w:pPr>
            <w:r>
              <w:rPr>
                <w:rFonts w:hint="eastAsia" w:ascii="宋体" w:hAnsi="宋体" w:eastAsia="宋体" w:cs="宋体"/>
                <w:kern w:val="0"/>
                <w:sz w:val="22"/>
              </w:rPr>
              <w:t>　</w:t>
            </w:r>
          </w:p>
        </w:tc>
      </w:tr>
      <w:tr w14:paraId="0904906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4919EB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45E86A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1095F5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7F0C4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65FB3AB">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1A0E68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F5D1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4CDB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AC8BCD">
            <w:pPr>
              <w:widowControl/>
              <w:jc w:val="left"/>
              <w:rPr>
                <w:rFonts w:ascii="宋体" w:hAnsi="宋体" w:eastAsia="宋体" w:cs="宋体"/>
                <w:kern w:val="0"/>
                <w:sz w:val="22"/>
              </w:rPr>
            </w:pPr>
            <w:r>
              <w:rPr>
                <w:rFonts w:hint="eastAsia" w:ascii="宋体" w:hAnsi="宋体" w:eastAsia="宋体" w:cs="宋体"/>
                <w:kern w:val="0"/>
                <w:sz w:val="22"/>
              </w:rPr>
              <w:t>　</w:t>
            </w:r>
          </w:p>
        </w:tc>
      </w:tr>
      <w:tr w14:paraId="6D9634D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F67326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AD262E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820DC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0AD9C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5B228A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7E779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8714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8029C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4A022B">
            <w:pPr>
              <w:widowControl/>
              <w:jc w:val="left"/>
              <w:rPr>
                <w:rFonts w:ascii="宋体" w:hAnsi="宋体" w:eastAsia="宋体" w:cs="宋体"/>
                <w:kern w:val="0"/>
                <w:sz w:val="22"/>
              </w:rPr>
            </w:pPr>
            <w:r>
              <w:rPr>
                <w:rFonts w:hint="eastAsia" w:ascii="宋体" w:hAnsi="宋体" w:eastAsia="宋体" w:cs="宋体"/>
                <w:kern w:val="0"/>
                <w:sz w:val="22"/>
              </w:rPr>
              <w:t>　</w:t>
            </w:r>
          </w:p>
        </w:tc>
      </w:tr>
      <w:tr w14:paraId="5101DD0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AF967E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FCEF2D6">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749EEE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2649A1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008FCC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5B95BD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14478B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3F935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76DAF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4422AF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7E2D41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CAB942F">
      <w:pPr>
        <w:widowControl/>
        <w:jc w:val="center"/>
        <w:rPr>
          <w:rFonts w:ascii="Times New Roman" w:hAnsi="Times New Roman" w:eastAsia="方正小标宋_GBK" w:cs="Times New Roman"/>
          <w:kern w:val="0"/>
          <w:sz w:val="36"/>
          <w:szCs w:val="36"/>
        </w:rPr>
      </w:pPr>
    </w:p>
    <w:p w14:paraId="420016A9">
      <w:pPr>
        <w:widowControl/>
        <w:jc w:val="center"/>
        <w:rPr>
          <w:rFonts w:ascii="Times New Roman" w:hAnsi="Times New Roman" w:eastAsia="方正小标宋_GBK" w:cs="Times New Roman"/>
          <w:kern w:val="0"/>
          <w:sz w:val="36"/>
          <w:szCs w:val="36"/>
        </w:rPr>
      </w:pPr>
    </w:p>
    <w:p w14:paraId="6F218BD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0B325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38439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89C13EE">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CE4FC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BF329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BFA21B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013E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9CEAE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5D014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2867C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7DC6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225DDC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0FA93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714EE9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FD92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0E65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E89B39">
            <w:pPr>
              <w:widowControl/>
              <w:jc w:val="left"/>
              <w:rPr>
                <w:rFonts w:ascii="Times New Roman" w:hAnsi="Times New Roman" w:eastAsia="仿宋_GB2312" w:cs="Times New Roman"/>
                <w:kern w:val="0"/>
                <w:szCs w:val="21"/>
              </w:rPr>
            </w:pPr>
          </w:p>
        </w:tc>
      </w:tr>
      <w:tr w14:paraId="314B0EB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44B42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F4B99A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C59075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79146D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237150">
            <w:pPr>
              <w:widowControl/>
              <w:jc w:val="left"/>
              <w:rPr>
                <w:rFonts w:ascii="Times New Roman" w:hAnsi="Times New Roman" w:eastAsia="仿宋_GB2312" w:cs="Times New Roman"/>
                <w:kern w:val="0"/>
                <w:szCs w:val="21"/>
              </w:rPr>
            </w:pPr>
          </w:p>
        </w:tc>
      </w:tr>
      <w:tr w14:paraId="63EE23E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3397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0F667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D99A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C9CF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8DE801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0D0F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624D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14BC2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B7D45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40EE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8E39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CF337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D6DFD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5A8CC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25E0B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D6C1E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52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592E6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FF4A0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E35CA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B4E2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E274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3F46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12F31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37AEE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3707A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B71636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67CD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DCAB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B95D1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6BD5A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D49FF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923AD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C220E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DBA6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E4533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4C46F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54AA5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962F3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20D1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8195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3E9AD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2EB34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ACEE9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613D8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7CCB6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7DC42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EE4DA40">
      <w:pPr>
        <w:widowControl/>
        <w:jc w:val="left"/>
        <w:rPr>
          <w:rFonts w:ascii="Times New Roman" w:hAnsi="Times New Roman" w:eastAsia="仿宋_GB2312" w:cs="Times New Roman"/>
          <w:bCs/>
          <w:kern w:val="0"/>
          <w:szCs w:val="21"/>
        </w:rPr>
      </w:pPr>
    </w:p>
    <w:p w14:paraId="1CA218B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003"/>
        <w:gridCol w:w="240"/>
        <w:gridCol w:w="95"/>
        <w:gridCol w:w="1307"/>
        <w:gridCol w:w="2059"/>
        <w:gridCol w:w="60"/>
        <w:gridCol w:w="587"/>
        <w:gridCol w:w="1222"/>
        <w:gridCol w:w="310"/>
        <w:gridCol w:w="2006"/>
        <w:gridCol w:w="113"/>
        <w:gridCol w:w="535"/>
        <w:gridCol w:w="1223"/>
        <w:gridCol w:w="361"/>
        <w:gridCol w:w="2119"/>
        <w:gridCol w:w="1726"/>
        <w:gridCol w:w="394"/>
        <w:gridCol w:w="254"/>
      </w:tblGrid>
      <w:tr w14:paraId="79B3B222">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0217A1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4F940A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410C18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CF3C8AB">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AD076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5F37AF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1A7351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10B5D6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6063F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76213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5764A2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35421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4D64FD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D2A6C2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E2D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63199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FC1E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FBCB7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12BF37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9FD4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23CE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9A3B3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11C1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15E59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3CF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65562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4E524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6F37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2CA5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30EFC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7162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1464E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4C4BF8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99458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FA568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06C6B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7BBE4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D4E1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F203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211F50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65D6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4924C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7B437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316A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3B12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7E3589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7C0E40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3470F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94DE6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67F90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61F0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05BA4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4177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30C8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41A1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8788F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6FF7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DE13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23C28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53CE30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1DDB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3ED60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08447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92437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E05B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A93F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BB67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42B6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560EFA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E3F45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64B5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2B022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E25E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63E21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5367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1CE83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8090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8CBFF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603C49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52D07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0D72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62D7A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C890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4F47E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06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4BB4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6240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A210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F2EF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15558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762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20A0A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76D70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847E1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CDBF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389185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3E10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3D9E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62D98C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5BEC3D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14C62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0B5815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3D160C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980D1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06E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B019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3209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8A36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7CEE1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771507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3BAC0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34552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1823D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F1366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996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0772AC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96CB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085E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7963C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1B232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6DD6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213B7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4E6C9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3C61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248B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1CABEC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07C0B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F61B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1D51F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18C21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63843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5CD30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7A19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93407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99A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5E214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785F9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050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4330F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62ACE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5EB4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5B26C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367F3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6D520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AD2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D516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1CD7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8BD8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0E5D4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F2A6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12B3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C082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D674F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310F7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BD4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56495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1F9D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7F59C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7ED5E5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26B5C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2AEB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61005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955C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FC95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CC40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F389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3A10A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0459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4A1AB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874C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0B58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5C424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414D9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699CE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324A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320BC5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0164F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65D3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4F49C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7A132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0CFF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761BE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631B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FFD46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90B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769C6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62FAB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B7C1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257A9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4262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21B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0EBF6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3A74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92AD0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98C9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76EB6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07010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7FD8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2CDB3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2D973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1988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1F31D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C065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C7B15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ACF2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2400B3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E009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BDAF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6E31C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08F45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FA51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20973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0639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F0881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714D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7A07F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4AFB5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3F39C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2DE24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BB16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DA7BB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5B868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0289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139F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923C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5286E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0229C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D47F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590B8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D067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CA4025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1942258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A442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0456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D91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1E6FD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CFBC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95D5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ABE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457D7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B7BA07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15B2BD4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55E63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6F9A8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4C6E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00CA3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4348D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8A8F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7AD01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6428F7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D929A8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0CFF3C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8DBF6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E43A0D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A7D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C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3DA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85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A269174">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6F6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E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FEB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79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EB0E27B">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059E4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55AC1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5994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4DC81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5F1E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8902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0F32E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284C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841AF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73540C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287576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305A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FE2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6865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0D150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B44F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09192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07DD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AB5E10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37E081C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E7A2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2CF12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B2C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40921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7BC2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FB18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4DD54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3312F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4A409B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6FE05C6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69937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3F6CE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8F4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038AC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2964A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0535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2AB11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22D2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79E9D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2577EC8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0C07C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C1413C">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1FA6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69F55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4DB34B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78B639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003A94B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937C8F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AC1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ABCBF9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01C9EF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CCA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EB47BE3">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3C7A7A7">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1B960B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271D20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9EC863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BCBD45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88F7CA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5C7F90A">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235A5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C24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1F7756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3742D5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F95C884">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36C03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7E3528D">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9D1A51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A47ACC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68D188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76A38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4B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8DD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1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B0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3F4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037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CDC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8DB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DC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972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EECF">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9C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C4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3D6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6EDF">
            <w:pPr>
              <w:jc w:val="center"/>
              <w:rPr>
                <w:rFonts w:hint="eastAsia" w:ascii="宋体" w:hAnsi="宋体" w:eastAsia="宋体" w:cs="宋体"/>
                <w:i w:val="0"/>
                <w:color w:val="000000"/>
                <w:sz w:val="24"/>
                <w:szCs w:val="24"/>
                <w:u w:val="none"/>
              </w:rPr>
            </w:pPr>
          </w:p>
        </w:tc>
      </w:tr>
      <w:tr w14:paraId="0F47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9703">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7BD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2C2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259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D4B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0F9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AB7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B89C">
            <w:pPr>
              <w:jc w:val="center"/>
              <w:rPr>
                <w:rFonts w:hint="eastAsia" w:ascii="宋体" w:hAnsi="宋体" w:eastAsia="宋体" w:cs="宋体"/>
                <w:i w:val="0"/>
                <w:color w:val="000000"/>
                <w:sz w:val="24"/>
                <w:szCs w:val="24"/>
                <w:u w:val="none"/>
              </w:rPr>
            </w:pPr>
          </w:p>
        </w:tc>
      </w:tr>
      <w:tr w14:paraId="1919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96BC">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880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364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A15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185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692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E17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1974">
            <w:pPr>
              <w:jc w:val="center"/>
              <w:rPr>
                <w:rFonts w:hint="eastAsia" w:ascii="宋体" w:hAnsi="宋体" w:eastAsia="宋体" w:cs="宋体"/>
                <w:i w:val="0"/>
                <w:color w:val="000000"/>
                <w:sz w:val="24"/>
                <w:szCs w:val="24"/>
                <w:u w:val="none"/>
              </w:rPr>
            </w:pPr>
          </w:p>
        </w:tc>
      </w:tr>
      <w:tr w14:paraId="3F5B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AC6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2D9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343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49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9A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BA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745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8CE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0A2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3347">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3B744">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6781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E9D94">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558">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BF9A3">
            <w:pPr>
              <w:jc w:val="center"/>
              <w:rPr>
                <w:rFonts w:hint="eastAsia" w:ascii="宋体" w:hAnsi="宋体" w:eastAsia="宋体" w:cs="宋体"/>
                <w:i w:val="0"/>
                <w:color w:val="000000"/>
                <w:sz w:val="24"/>
                <w:szCs w:val="24"/>
                <w:u w:val="none"/>
              </w:rPr>
            </w:pPr>
          </w:p>
        </w:tc>
      </w:tr>
      <w:tr w14:paraId="28C0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A2F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6D5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6F29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8028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D60C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15DB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16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5C58">
            <w:pPr>
              <w:rPr>
                <w:rFonts w:hint="eastAsia" w:ascii="宋体" w:hAnsi="宋体" w:eastAsia="宋体" w:cs="宋体"/>
                <w:i w:val="0"/>
                <w:color w:val="000000"/>
                <w:sz w:val="24"/>
                <w:szCs w:val="24"/>
                <w:u w:val="none"/>
              </w:rPr>
            </w:pPr>
          </w:p>
        </w:tc>
      </w:tr>
      <w:tr w14:paraId="048C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5A9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1A53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FDC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3F9F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B47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624A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127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1F01C">
            <w:pPr>
              <w:rPr>
                <w:rFonts w:hint="eastAsia" w:ascii="宋体" w:hAnsi="宋体" w:eastAsia="宋体" w:cs="宋体"/>
                <w:i w:val="0"/>
                <w:color w:val="000000"/>
                <w:sz w:val="24"/>
                <w:szCs w:val="24"/>
                <w:u w:val="none"/>
              </w:rPr>
            </w:pPr>
          </w:p>
        </w:tc>
      </w:tr>
      <w:tr w14:paraId="2798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0818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96A1">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59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926E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44A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E78A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ED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F875">
            <w:pPr>
              <w:rPr>
                <w:rFonts w:hint="eastAsia" w:ascii="宋体" w:hAnsi="宋体" w:eastAsia="宋体" w:cs="宋体"/>
                <w:i w:val="0"/>
                <w:color w:val="000000"/>
                <w:sz w:val="24"/>
                <w:szCs w:val="24"/>
                <w:u w:val="none"/>
              </w:rPr>
            </w:pPr>
          </w:p>
        </w:tc>
      </w:tr>
      <w:tr w14:paraId="51D3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3FA6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7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43A4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DE8C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FB32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F590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12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E25A">
            <w:pPr>
              <w:rPr>
                <w:rFonts w:hint="eastAsia" w:ascii="宋体" w:hAnsi="宋体" w:eastAsia="宋体" w:cs="宋体"/>
                <w:i w:val="0"/>
                <w:color w:val="000000"/>
                <w:sz w:val="24"/>
                <w:szCs w:val="24"/>
                <w:u w:val="none"/>
              </w:rPr>
            </w:pPr>
          </w:p>
        </w:tc>
      </w:tr>
      <w:tr w14:paraId="707D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C267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A24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8389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263D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087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3E8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C0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43D69">
            <w:pPr>
              <w:rPr>
                <w:rFonts w:hint="eastAsia" w:ascii="宋体" w:hAnsi="宋体" w:eastAsia="宋体" w:cs="宋体"/>
                <w:i w:val="0"/>
                <w:color w:val="000000"/>
                <w:sz w:val="24"/>
                <w:szCs w:val="24"/>
                <w:u w:val="none"/>
              </w:rPr>
            </w:pPr>
          </w:p>
        </w:tc>
      </w:tr>
      <w:tr w14:paraId="04BF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DA6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E0B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043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59F9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F56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B361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C6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A15A5">
            <w:pPr>
              <w:rPr>
                <w:rFonts w:hint="eastAsia" w:ascii="宋体" w:hAnsi="宋体" w:eastAsia="宋体" w:cs="宋体"/>
                <w:i w:val="0"/>
                <w:color w:val="000000"/>
                <w:sz w:val="24"/>
                <w:szCs w:val="24"/>
                <w:u w:val="none"/>
              </w:rPr>
            </w:pPr>
          </w:p>
        </w:tc>
      </w:tr>
      <w:tr w14:paraId="4CFE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6CB0B4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8D302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DDC62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58F84F8">
      <w:pPr>
        <w:widowControl/>
        <w:jc w:val="center"/>
        <w:rPr>
          <w:rFonts w:hint="eastAsia" w:ascii="Times New Roman" w:hAnsi="Times New Roman" w:eastAsia="方正小标宋_GBK" w:cs="Times New Roman"/>
          <w:color w:val="000000"/>
          <w:kern w:val="0"/>
          <w:sz w:val="36"/>
          <w:szCs w:val="36"/>
        </w:rPr>
      </w:pPr>
    </w:p>
    <w:p w14:paraId="6B65169A">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54C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684F42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40E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9BDE2C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C879B0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4D6D49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392B0D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87022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00E00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808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BDF4C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F0B648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4824A5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35A6DE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8FD33C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F364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C21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58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48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0B9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760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16D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4E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0D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7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BAE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1AB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C80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8D3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45C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ECE2">
            <w:pPr>
              <w:jc w:val="center"/>
              <w:rPr>
                <w:rFonts w:hint="eastAsia" w:ascii="宋体" w:hAnsi="宋体" w:eastAsia="宋体" w:cs="宋体"/>
                <w:i w:val="0"/>
                <w:color w:val="000000"/>
                <w:sz w:val="24"/>
                <w:szCs w:val="24"/>
                <w:u w:val="none"/>
              </w:rPr>
            </w:pPr>
          </w:p>
        </w:tc>
      </w:tr>
      <w:tr w14:paraId="053C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20C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610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2B8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3B7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DABE">
            <w:pPr>
              <w:jc w:val="center"/>
              <w:rPr>
                <w:rFonts w:hint="eastAsia" w:ascii="宋体" w:hAnsi="宋体" w:eastAsia="宋体" w:cs="宋体"/>
                <w:i w:val="0"/>
                <w:color w:val="000000"/>
                <w:sz w:val="24"/>
                <w:szCs w:val="24"/>
                <w:u w:val="none"/>
              </w:rPr>
            </w:pPr>
          </w:p>
        </w:tc>
      </w:tr>
      <w:tr w14:paraId="7A42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6B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0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2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B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70E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12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6DA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61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2F9B">
            <w:pPr>
              <w:jc w:val="center"/>
              <w:rPr>
                <w:rFonts w:hint="eastAsia" w:ascii="宋体" w:hAnsi="宋体" w:eastAsia="宋体" w:cs="宋体"/>
                <w:i w:val="0"/>
                <w:color w:val="000000"/>
                <w:sz w:val="24"/>
                <w:szCs w:val="24"/>
                <w:u w:val="none"/>
              </w:rPr>
            </w:pPr>
          </w:p>
        </w:tc>
      </w:tr>
      <w:tr w14:paraId="552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67DA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0B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2E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FD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98E">
            <w:pPr>
              <w:rPr>
                <w:rFonts w:hint="eastAsia" w:ascii="宋体" w:hAnsi="宋体" w:eastAsia="宋体" w:cs="宋体"/>
                <w:i w:val="0"/>
                <w:color w:val="000000"/>
                <w:sz w:val="24"/>
                <w:szCs w:val="24"/>
                <w:u w:val="none"/>
              </w:rPr>
            </w:pPr>
          </w:p>
        </w:tc>
      </w:tr>
      <w:tr w14:paraId="5B6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C28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A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5C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F2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5D5">
            <w:pPr>
              <w:rPr>
                <w:rFonts w:hint="eastAsia" w:ascii="宋体" w:hAnsi="宋体" w:eastAsia="宋体" w:cs="宋体"/>
                <w:i w:val="0"/>
                <w:color w:val="000000"/>
                <w:sz w:val="24"/>
                <w:szCs w:val="24"/>
                <w:u w:val="none"/>
              </w:rPr>
            </w:pPr>
          </w:p>
        </w:tc>
      </w:tr>
      <w:tr w14:paraId="0ADA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C6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D2A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1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D4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699D">
            <w:pPr>
              <w:rPr>
                <w:rFonts w:hint="eastAsia" w:ascii="宋体" w:hAnsi="宋体" w:eastAsia="宋体" w:cs="宋体"/>
                <w:i w:val="0"/>
                <w:color w:val="000000"/>
                <w:sz w:val="24"/>
                <w:szCs w:val="24"/>
                <w:u w:val="none"/>
              </w:rPr>
            </w:pPr>
          </w:p>
        </w:tc>
      </w:tr>
      <w:tr w14:paraId="5BD5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38A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9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D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7D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4D84">
            <w:pPr>
              <w:rPr>
                <w:rFonts w:hint="eastAsia" w:ascii="宋体" w:hAnsi="宋体" w:eastAsia="宋体" w:cs="宋体"/>
                <w:i w:val="0"/>
                <w:color w:val="000000"/>
                <w:sz w:val="24"/>
                <w:szCs w:val="24"/>
                <w:u w:val="none"/>
              </w:rPr>
            </w:pPr>
          </w:p>
        </w:tc>
      </w:tr>
      <w:tr w14:paraId="0DA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A42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BB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F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AF9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9CE">
            <w:pPr>
              <w:rPr>
                <w:rFonts w:hint="eastAsia" w:ascii="宋体" w:hAnsi="宋体" w:eastAsia="宋体" w:cs="宋体"/>
                <w:i w:val="0"/>
                <w:color w:val="000000"/>
                <w:sz w:val="24"/>
                <w:szCs w:val="24"/>
                <w:u w:val="none"/>
              </w:rPr>
            </w:pPr>
          </w:p>
        </w:tc>
      </w:tr>
      <w:tr w14:paraId="1E27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F01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9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5C7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24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0C1">
            <w:pPr>
              <w:rPr>
                <w:rFonts w:hint="eastAsia" w:ascii="宋体" w:hAnsi="宋体" w:eastAsia="宋体" w:cs="宋体"/>
                <w:i w:val="0"/>
                <w:color w:val="000000"/>
                <w:sz w:val="24"/>
                <w:szCs w:val="24"/>
                <w:u w:val="none"/>
              </w:rPr>
            </w:pPr>
          </w:p>
        </w:tc>
      </w:tr>
      <w:tr w14:paraId="256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E2A59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A03CD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60FFE7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A1823AE">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7A9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28D57A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3CD0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0FF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C1E03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8598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7063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388A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650A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1517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86E5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F505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411A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198F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D2ED2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5D987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ED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2AB9D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6F819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5C29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0DD6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2F3D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00E3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6A3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5A45B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A5A0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28A8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9230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1B2F0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3DC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7F8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E31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043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03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F7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53A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17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5A5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7E2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23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45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C70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616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A0C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C39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4EE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548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7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F371">
            <w:pPr>
              <w:jc w:val="center"/>
              <w:rPr>
                <w:rFonts w:hint="eastAsia" w:ascii="宋体" w:hAnsi="宋体" w:eastAsia="宋体" w:cs="宋体"/>
                <w:i w:val="0"/>
                <w:color w:val="000000"/>
                <w:sz w:val="22"/>
                <w:szCs w:val="22"/>
                <w:u w:val="none"/>
              </w:rPr>
            </w:pPr>
          </w:p>
        </w:tc>
      </w:tr>
      <w:tr w14:paraId="50D5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BE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C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4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5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3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913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7F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D4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EE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55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F02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60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A0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2D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E1F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4DF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8A1">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DF8">
            <w:pPr>
              <w:rPr>
                <w:rFonts w:hint="eastAsia" w:ascii="宋体" w:hAnsi="宋体" w:eastAsia="宋体" w:cs="宋体"/>
                <w:i w:val="0"/>
                <w:color w:val="000000"/>
                <w:sz w:val="22"/>
                <w:szCs w:val="22"/>
                <w:u w:val="none"/>
              </w:rPr>
            </w:pPr>
          </w:p>
        </w:tc>
      </w:tr>
      <w:tr w14:paraId="2F18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F49C6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69F563A">
      <w:pPr>
        <w:autoSpaceDE w:val="0"/>
        <w:autoSpaceDN w:val="0"/>
        <w:adjustRightInd w:val="0"/>
        <w:ind w:left="315" w:leftChars="150"/>
        <w:jc w:val="left"/>
        <w:rPr>
          <w:rFonts w:ascii="宋体" w:eastAsia="宋体" w:cs="宋体"/>
          <w:kern w:val="0"/>
          <w:sz w:val="24"/>
          <w:szCs w:val="24"/>
        </w:rPr>
      </w:pPr>
    </w:p>
    <w:p w14:paraId="66586925">
      <w:pPr>
        <w:autoSpaceDE w:val="0"/>
        <w:autoSpaceDN w:val="0"/>
        <w:adjustRightInd w:val="0"/>
        <w:ind w:left="315" w:leftChars="150"/>
        <w:jc w:val="left"/>
        <w:rPr>
          <w:rFonts w:ascii="宋体" w:eastAsia="宋体" w:cs="宋体"/>
          <w:kern w:val="0"/>
          <w:sz w:val="24"/>
          <w:szCs w:val="24"/>
        </w:rPr>
      </w:pPr>
    </w:p>
    <w:p w14:paraId="4DE457AC">
      <w:pPr>
        <w:autoSpaceDE w:val="0"/>
        <w:autoSpaceDN w:val="0"/>
        <w:adjustRightInd w:val="0"/>
        <w:ind w:left="315" w:leftChars="150"/>
        <w:jc w:val="left"/>
        <w:rPr>
          <w:rFonts w:ascii="宋体" w:eastAsia="宋体" w:cs="宋体"/>
          <w:kern w:val="0"/>
          <w:sz w:val="24"/>
          <w:szCs w:val="24"/>
        </w:rPr>
      </w:pPr>
    </w:p>
    <w:p w14:paraId="4D91A403">
      <w:pPr>
        <w:autoSpaceDE w:val="0"/>
        <w:autoSpaceDN w:val="0"/>
        <w:adjustRightInd w:val="0"/>
        <w:ind w:left="315" w:leftChars="150"/>
        <w:jc w:val="left"/>
        <w:rPr>
          <w:rFonts w:ascii="宋体" w:eastAsia="宋体" w:cs="宋体"/>
          <w:kern w:val="0"/>
          <w:sz w:val="24"/>
          <w:szCs w:val="24"/>
        </w:rPr>
      </w:pPr>
    </w:p>
    <w:p w14:paraId="1315E41F">
      <w:pPr>
        <w:autoSpaceDE w:val="0"/>
        <w:autoSpaceDN w:val="0"/>
        <w:adjustRightInd w:val="0"/>
        <w:ind w:left="315" w:leftChars="150"/>
        <w:jc w:val="left"/>
        <w:rPr>
          <w:rFonts w:ascii="宋体" w:eastAsia="宋体" w:cs="宋体"/>
          <w:kern w:val="0"/>
          <w:sz w:val="24"/>
          <w:szCs w:val="24"/>
        </w:rPr>
      </w:pPr>
    </w:p>
    <w:p w14:paraId="6252502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F676945">
      <w:pPr>
        <w:pStyle w:val="13"/>
        <w:jc w:val="both"/>
        <w:rPr>
          <w:sz w:val="72"/>
          <w:szCs w:val="72"/>
        </w:rPr>
      </w:pPr>
    </w:p>
    <w:p w14:paraId="2BABADD9">
      <w:pPr>
        <w:pStyle w:val="13"/>
        <w:jc w:val="both"/>
        <w:rPr>
          <w:sz w:val="72"/>
          <w:szCs w:val="72"/>
        </w:rPr>
      </w:pPr>
    </w:p>
    <w:p w14:paraId="76C52806">
      <w:pPr>
        <w:pStyle w:val="13"/>
        <w:jc w:val="both"/>
        <w:rPr>
          <w:sz w:val="72"/>
          <w:szCs w:val="72"/>
        </w:rPr>
      </w:pPr>
    </w:p>
    <w:p w14:paraId="7BE6E930">
      <w:pPr>
        <w:pStyle w:val="13"/>
        <w:jc w:val="both"/>
        <w:rPr>
          <w:sz w:val="72"/>
          <w:szCs w:val="72"/>
        </w:rPr>
      </w:pPr>
    </w:p>
    <w:p w14:paraId="5C91236C">
      <w:pPr>
        <w:pStyle w:val="13"/>
        <w:jc w:val="both"/>
        <w:rPr>
          <w:sz w:val="72"/>
          <w:szCs w:val="72"/>
        </w:rPr>
      </w:pPr>
    </w:p>
    <w:p w14:paraId="0AF0D3FC">
      <w:pPr>
        <w:pStyle w:val="13"/>
        <w:jc w:val="both"/>
        <w:rPr>
          <w:sz w:val="72"/>
          <w:szCs w:val="72"/>
        </w:rPr>
      </w:pPr>
    </w:p>
    <w:p w14:paraId="76328692">
      <w:pPr>
        <w:pStyle w:val="13"/>
        <w:jc w:val="both"/>
        <w:rPr>
          <w:sz w:val="72"/>
          <w:szCs w:val="72"/>
        </w:rPr>
      </w:pPr>
    </w:p>
    <w:p w14:paraId="32FE0C90">
      <w:pPr>
        <w:pStyle w:val="13"/>
        <w:jc w:val="both"/>
        <w:rPr>
          <w:sz w:val="72"/>
          <w:szCs w:val="72"/>
        </w:rPr>
      </w:pPr>
    </w:p>
    <w:p w14:paraId="3C9CB41A">
      <w:pPr>
        <w:pStyle w:val="13"/>
        <w:jc w:val="both"/>
        <w:rPr>
          <w:sz w:val="72"/>
          <w:szCs w:val="72"/>
        </w:rPr>
      </w:pPr>
    </w:p>
    <w:p w14:paraId="2A4DD648">
      <w:pPr>
        <w:pStyle w:val="13"/>
        <w:jc w:val="center"/>
        <w:rPr>
          <w:rFonts w:hint="eastAsia" w:ascii="方正小标宋_GBK" w:hAnsi="方正小标宋_GBK" w:eastAsia="方正小标宋_GBK" w:cs="方正小标宋_GBK"/>
          <w:sz w:val="72"/>
          <w:szCs w:val="72"/>
        </w:rPr>
      </w:pPr>
    </w:p>
    <w:p w14:paraId="48915CB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E146FB5">
      <w:pPr>
        <w:pStyle w:val="13"/>
        <w:jc w:val="center"/>
        <w:rPr>
          <w:rFonts w:hint="eastAsia" w:ascii="方正小标宋_GBK" w:hAnsi="方正小标宋_GBK" w:eastAsia="方正小标宋_GBK" w:cs="方正小标宋_GBK"/>
          <w:sz w:val="70"/>
          <w:szCs w:val="70"/>
        </w:rPr>
      </w:pPr>
    </w:p>
    <w:p w14:paraId="7DF7EEE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C0CAED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77F18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6063E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8281.34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3095.44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59.7</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64CC39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77754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4140.67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4140.67万</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BD1BC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AC383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4140.67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696.81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16.83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3443.86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83.17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BDEDB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AC682CA">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8281.34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3105.74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216818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3DAB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856F0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4140.67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1552.87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7AD3DD2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ED023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4140.67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52.67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23.63万元，占0.57%；住房保障（类）支出32.71万元，占0.79%；灾害防治及应急管理（类）支出4031.66万元，占97.37%。</w:t>
      </w:r>
    </w:p>
    <w:p w14:paraId="07A8F9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33981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1453.17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4140.67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284.94</w:t>
      </w:r>
      <w:r>
        <w:rPr>
          <w:rFonts w:hint="eastAsia" w:ascii="Times New Roman" w:hAnsi="Times New Roman" w:eastAsia="仿宋_GB2312"/>
          <w:sz w:val="32"/>
          <w:szCs w:val="32"/>
        </w:rPr>
        <w:t>%，其中：</w:t>
      </w:r>
    </w:p>
    <w:p w14:paraId="59341E08">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1、社会保障和就业支出（类）行政事业单位养老支出（款）机关事业单位基本养老保险缴费支出（项）</w:t>
      </w:r>
    </w:p>
    <w:p w14:paraId="5DAF456D">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52.67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p>
    <w:p w14:paraId="4B77CC9F">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决算数等于年初预算数的主要原因是预算是按人员实际开支编制，预算数与决算数一致。</w:t>
      </w:r>
    </w:p>
    <w:p w14:paraId="00BAAC4E">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2、卫生健康支出（类）行政事业单位医疗（款）行政单位医疗（项）</w:t>
      </w:r>
    </w:p>
    <w:p w14:paraId="413562EA">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p>
    <w:p w14:paraId="0DB1307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决算数等于年初预算数的主要原因是预算是按人员实际开支编制，预算数与决算数一致。</w:t>
      </w:r>
    </w:p>
    <w:p w14:paraId="7EE092A4">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住房保障支出（类）住房改革支出（款）住房公积金（项）</w:t>
      </w:r>
      <w:r>
        <w:rPr>
          <w:rFonts w:hint="eastAsia" w:ascii="Times New Roman" w:hAnsi="Times New Roman" w:eastAsia="仿宋_GB2312"/>
          <w:sz w:val="32"/>
          <w:szCs w:val="32"/>
        </w:rPr>
        <w:t>。</w:t>
      </w:r>
    </w:p>
    <w:p w14:paraId="58EB8675">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决算数等于年初预算数的主要原因是预算是按人员实际开支编制，预算数与决算数一致。</w:t>
      </w:r>
    </w:p>
    <w:p w14:paraId="37E36369">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灾害防治及应急管理支出（类）应急管理事务（款）行政运行（项）</w:t>
      </w:r>
      <w:r>
        <w:rPr>
          <w:rFonts w:hint="eastAsia" w:ascii="Times New Roman" w:hAnsi="Times New Roman" w:eastAsia="仿宋_GB2312"/>
          <w:sz w:val="32"/>
          <w:szCs w:val="32"/>
        </w:rPr>
        <w:t>。</w:t>
      </w:r>
    </w:p>
    <w:p w14:paraId="649D0F95">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1027.16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587.8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57.23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本年度指标数减少，实际开支减少。</w:t>
      </w:r>
    </w:p>
    <w:p w14:paraId="59DD2708">
      <w:pPr>
        <w:pStyle w:val="13"/>
        <w:keepNext w:val="0"/>
        <w:keepLines w:val="0"/>
        <w:pageBreakBefore w:val="0"/>
        <w:widowControl w:val="0"/>
        <w:numPr>
          <w:ilvl w:val="0"/>
          <w:numId w:val="0"/>
        </w:numPr>
        <w:kinsoku/>
        <w:wordWrap/>
        <w:overflowPunct/>
        <w:topLinePunct w:val="0"/>
        <w:bidi w:val="0"/>
        <w:snapToGrid/>
        <w:spacing w:line="600" w:lineRule="exact"/>
        <w:ind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5、灾害防治及应急管理支出（类）应急管理事务（款）安全监管（项）。</w:t>
      </w:r>
    </w:p>
    <w:p w14:paraId="47B789F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304%，决算数大于年初预算数的主要原因是：本年度指标数增加，实际开支增加。</w:t>
      </w:r>
    </w:p>
    <w:p w14:paraId="4D48159A">
      <w:pPr>
        <w:pStyle w:val="13"/>
        <w:keepNext w:val="0"/>
        <w:keepLines w:val="0"/>
        <w:pageBreakBefore w:val="0"/>
        <w:widowControl w:val="0"/>
        <w:numPr>
          <w:ilvl w:val="0"/>
          <w:numId w:val="0"/>
        </w:numPr>
        <w:kinsoku/>
        <w:wordWrap/>
        <w:overflowPunct/>
        <w:topLinePunct w:val="0"/>
        <w:bidi w:val="0"/>
        <w:snapToGrid/>
        <w:spacing w:line="600" w:lineRule="exact"/>
        <w:ind w:left="640" w:left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6、灾害防治及应急管理支出（类）应急管理事务（款）应急管理（项）。</w:t>
      </w:r>
    </w:p>
    <w:p w14:paraId="195F042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决算数为零的主要原因是：本年度无应急管理开支，均为其他应急管理支出。</w:t>
      </w:r>
    </w:p>
    <w:p w14:paraId="103E64F0">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7、灾害防治及应急管理支出（类）应急管理事务（款）其他应急管理（项）。</w:t>
      </w:r>
    </w:p>
    <w:p w14:paraId="5200324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1155.86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577.93%，决算数大于年初预算数的主要原因是：为国债项目开支。</w:t>
      </w:r>
    </w:p>
    <w:p w14:paraId="4661D3E5">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8、灾害防治及应急管理支出（类）自然灾害防治（款）森林草原防灾减灾（项）。</w:t>
      </w:r>
    </w:p>
    <w:p w14:paraId="0E20A90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（因预算金额为0，无法计算超预算百分比），</w:t>
      </w:r>
      <w:r>
        <w:rPr>
          <w:rFonts w:hint="eastAsia" w:ascii="Times New Roman" w:hAnsi="Times New Roman" w:eastAsia="仿宋_GB2312"/>
          <w:sz w:val="32"/>
          <w:szCs w:val="32"/>
          <w:lang w:val="en-US" w:eastAsia="zh-CN"/>
        </w:rPr>
        <w:t>决算数大于年初预算数的主要原因是中央自然灾害防治支出年初没有预算，年中追加开支。</w:t>
      </w:r>
    </w:p>
    <w:p w14:paraId="6FB502B4">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9、灾害防治及应急管理支出（类）自然灾害救灾及恢复重建支出（款）</w:t>
      </w:r>
    </w:p>
    <w:p w14:paraId="5F6B505C">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自然灾害救灾补助（项）。</w:t>
      </w:r>
    </w:p>
    <w:p w14:paraId="31D58C7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2078</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5516.22%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决算数大于年初预算数的主要原因是中央自然灾害救灾生活补贴支出年中追加开支。</w:t>
      </w:r>
    </w:p>
    <w:p w14:paraId="066DFD6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10、灾害防治及应急管理支出（类）其他灾害防治及应急管理支出（款）</w:t>
      </w:r>
    </w:p>
    <w:p w14:paraId="2EAD635F">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其他灾害防治及应急管理支出</w:t>
      </w:r>
      <w:r>
        <w:rPr>
          <w:rFonts w:hint="eastAsia" w:ascii="Times New Roman" w:hAnsi="Times New Roman" w:eastAsia="仿宋_GB2312"/>
          <w:sz w:val="32"/>
          <w:szCs w:val="32"/>
          <w:lang w:val="en-US" w:eastAsia="zh-CN"/>
        </w:rPr>
        <w:t>（项）。</w:t>
      </w:r>
    </w:p>
    <w:p w14:paraId="2352432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81.67%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决算数小于年初预算数的主要原因是本年度指标数减少，实际开支减少。</w:t>
      </w:r>
    </w:p>
    <w:p w14:paraId="245345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3D39D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696.81</w:t>
      </w:r>
      <w:r>
        <w:rPr>
          <w:rFonts w:hint="eastAsia" w:ascii="Times New Roman" w:hAnsi="Times New Roman" w:eastAsia="仿宋_GB2312"/>
          <w:sz w:val="32"/>
          <w:szCs w:val="32"/>
        </w:rPr>
        <w:t>万元，其中：</w:t>
      </w:r>
    </w:p>
    <w:p w14:paraId="6B579A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550.81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79.05</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工资福利支出</w:t>
      </w:r>
      <w:r>
        <w:rPr>
          <w:rFonts w:hint="eastAsia" w:ascii="Times New Roman" w:hAnsi="Times New Roman" w:eastAsia="仿宋_GB2312"/>
          <w:sz w:val="32"/>
          <w:szCs w:val="32"/>
          <w:lang w:val="en-US" w:eastAsia="zh-CN"/>
        </w:rPr>
        <w:t>545.01万元，其中</w:t>
      </w:r>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188万元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157万元、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40万元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1万元、机关事业单位基本养老保险缴费52.67万元、医疗保险缴费23.63万元、其他社会保障缴费30万元、住房公积金52.71万元；对个人和家庭的补助支出（生活补助）5.8万元</w:t>
      </w:r>
      <w:r>
        <w:rPr>
          <w:rFonts w:hint="eastAsia" w:ascii="Times New Roman" w:hAnsi="Times New Roman" w:eastAsia="仿宋_GB2312"/>
          <w:sz w:val="32"/>
          <w:szCs w:val="32"/>
          <w:lang w:eastAsia="zh-CN"/>
        </w:rPr>
        <w:t>。</w:t>
      </w:r>
    </w:p>
    <w:p w14:paraId="730C99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20.95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29.5万元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11万元</w:t>
      </w:r>
      <w:r>
        <w:rPr>
          <w:rFonts w:hint="eastAsia" w:ascii="Times New Roman" w:hAnsi="Times New Roman" w:eastAsia="仿宋_GB2312"/>
          <w:sz w:val="32"/>
          <w:szCs w:val="32"/>
        </w:rPr>
        <w:t>、咨询费</w:t>
      </w:r>
      <w:r>
        <w:rPr>
          <w:rFonts w:hint="eastAsia" w:ascii="Times New Roman" w:hAnsi="Times New Roman" w:eastAsia="仿宋_GB2312"/>
          <w:sz w:val="32"/>
          <w:szCs w:val="32"/>
          <w:lang w:val="en-US" w:eastAsia="zh-CN"/>
        </w:rPr>
        <w:t>0.4万元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手续费</w:t>
      </w:r>
      <w:r>
        <w:rPr>
          <w:rFonts w:hint="eastAsia" w:ascii="Times New Roman" w:hAnsi="Times New Roman" w:eastAsia="仿宋_GB2312"/>
          <w:sz w:val="32"/>
          <w:szCs w:val="32"/>
          <w:lang w:val="en-US" w:eastAsia="zh-CN"/>
        </w:rPr>
        <w:t>0.5万元、水电费10.9万元、取暖费0.7万元、物业管理费20万元、差旅费2.1万元、维修（护）费5.9万元、会议费2.5万元、培训费2万元、公务接待费19.2万元、专用材料费0.08万元、劳务费8.82万元、委托业务费12万元、工会经费10万元、福利费0.4万元、其他交通费用10万元。</w:t>
      </w:r>
    </w:p>
    <w:p w14:paraId="6DD47F2D">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050AA6B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E88E8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22.15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86.68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预算数。其中：</w:t>
      </w:r>
    </w:p>
    <w:p w14:paraId="2B7D4587">
      <w:pPr>
        <w:ind w:firstLine="640" w:firstLineChars="200"/>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1、因公出国（境）费支出预算为0万元，支出决算为0万元（因预算金额为0，无法计算超预算百分比），决算数等于预算数的主要原因是日常工作无出国出境需求。与上年相比无变化，主要原因是日常工作无出国出境需求。</w:t>
      </w:r>
    </w:p>
    <w:p w14:paraId="060BA5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22.15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86.68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的主要原因是严格控制公务接待</w:t>
      </w:r>
      <w:r>
        <w:rPr>
          <w:rFonts w:hint="eastAsia" w:ascii="Times New Roman" w:hAnsi="Times New Roman" w:eastAsia="仿宋_GB2312"/>
          <w:sz w:val="32"/>
          <w:szCs w:val="32"/>
        </w:rPr>
        <w:t>。</w:t>
      </w:r>
    </w:p>
    <w:p w14:paraId="0C532D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w:t>
      </w:r>
      <w:r>
        <w:rPr>
          <w:rFonts w:hint="eastAsia" w:ascii="Times New Roman" w:hAnsi="Times New Roman" w:eastAsia="仿宋_GB2312"/>
          <w:sz w:val="32"/>
          <w:szCs w:val="32"/>
          <w:lang w:eastAsia="zh-CN"/>
        </w:rPr>
        <w:t>原因是</w:t>
      </w:r>
      <w:r>
        <w:rPr>
          <w:rFonts w:hint="eastAsia" w:ascii="Times New Roman" w:hAnsi="Times New Roman" w:eastAsia="仿宋_GB2312"/>
          <w:sz w:val="32"/>
          <w:szCs w:val="32"/>
        </w:rPr>
        <w:t>车辆改革，单位用车统一由机关事务中心派车，费用直接由财政划拨，与上年相比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车辆改革去年已实施</w:t>
      </w:r>
      <w:r>
        <w:rPr>
          <w:rFonts w:hint="eastAsia" w:ascii="Times New Roman" w:hAnsi="Times New Roman" w:eastAsia="仿宋_GB2312"/>
          <w:sz w:val="32"/>
          <w:szCs w:val="32"/>
        </w:rPr>
        <w:t>。</w:t>
      </w:r>
    </w:p>
    <w:p w14:paraId="3D6B1E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w:t>
      </w:r>
      <w:r>
        <w:rPr>
          <w:rFonts w:hint="eastAsia" w:ascii="Times New Roman" w:hAnsi="Times New Roman" w:eastAsia="仿宋_GB2312"/>
          <w:sz w:val="32"/>
          <w:szCs w:val="32"/>
          <w:lang w:eastAsia="zh-CN"/>
        </w:rPr>
        <w:t>原因是</w:t>
      </w:r>
      <w:r>
        <w:rPr>
          <w:rFonts w:hint="eastAsia" w:ascii="Times New Roman" w:hAnsi="Times New Roman" w:eastAsia="仿宋_GB2312"/>
          <w:sz w:val="32"/>
          <w:szCs w:val="32"/>
        </w:rPr>
        <w:t>车辆改革，单位用车统一由机关事务中心派车，费用直接由财政划拨，与上年相比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车辆改革去年已实施</w:t>
      </w:r>
      <w:r>
        <w:rPr>
          <w:rFonts w:hint="eastAsia" w:ascii="Times New Roman" w:hAnsi="Times New Roman" w:eastAsia="仿宋_GB2312"/>
          <w:sz w:val="32"/>
          <w:szCs w:val="32"/>
        </w:rPr>
        <w:t>。</w:t>
      </w:r>
    </w:p>
    <w:p w14:paraId="423E1C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24C2E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861E3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43172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633</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主要是乡镇、外县及省市来客发生的接待支出。</w:t>
      </w:r>
    </w:p>
    <w:p w14:paraId="71196D7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08201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B0014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heme="minorBidi"/>
          <w:color w:val="auto"/>
          <w:kern w:val="2"/>
          <w:sz w:val="32"/>
          <w:szCs w:val="32"/>
          <w:lang w:val="en-US" w:eastAsia="zh-CN" w:bidi="ar-SA"/>
        </w:rPr>
        <w:t>本单位本年度无政府行基金收支。</w:t>
      </w:r>
    </w:p>
    <w:p w14:paraId="4B351B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F3A2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比年初预算数减少</w:t>
      </w:r>
      <w:r>
        <w:rPr>
          <w:rFonts w:hint="eastAsia" w:ascii="Times New Roman" w:hAnsi="Times New Roman" w:eastAsia="仿宋_GB2312"/>
          <w:sz w:val="32"/>
          <w:szCs w:val="32"/>
          <w:lang w:val="en-US" w:eastAsia="zh-CN"/>
        </w:rPr>
        <w:t>27.27万元，减少15.74%，主要原因是</w:t>
      </w:r>
      <w:r>
        <w:rPr>
          <w:rFonts w:hint="eastAsia" w:ascii="Times New Roman" w:hAnsi="Times New Roman" w:eastAsia="仿宋_GB2312"/>
          <w:sz w:val="32"/>
          <w:szCs w:val="32"/>
          <w:lang w:eastAsia="zh-CN"/>
        </w:rPr>
        <w:t>严格控制公用经费的开支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18.38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公用经费指标数增加，实际开支增加。</w:t>
      </w:r>
    </w:p>
    <w:p w14:paraId="39B05C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DC567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0070C0"/>
          <w:kern w:val="0"/>
          <w:sz w:val="32"/>
          <w:szCs w:val="32"/>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森林防火</w:t>
      </w:r>
      <w:r>
        <w:rPr>
          <w:rFonts w:hint="eastAsia" w:ascii="Times New Roman" w:hAnsi="Times New Roman" w:eastAsia="仿宋_GB2312"/>
          <w:sz w:val="32"/>
          <w:szCs w:val="32"/>
          <w:lang w:val="en-US" w:eastAsia="zh-CN"/>
        </w:rPr>
        <w:t>、防汛抗旱等安全生产方面的</w:t>
      </w:r>
      <w:r>
        <w:rPr>
          <w:rFonts w:hint="eastAsia" w:ascii="Times New Roman" w:hAnsi="Times New Roman" w:eastAsia="仿宋_GB2312"/>
          <w:sz w:val="32"/>
          <w:szCs w:val="32"/>
        </w:rPr>
        <w:t>会议，</w:t>
      </w:r>
      <w:r>
        <w:rPr>
          <w:rFonts w:hint="eastAsia" w:ascii="Times New Roman" w:hAnsi="Times New Roman" w:eastAsia="仿宋_GB2312"/>
          <w:sz w:val="32"/>
          <w:szCs w:val="32"/>
          <w:lang w:val="en-US" w:eastAsia="zh-CN"/>
        </w:rPr>
        <w:t>人数600人，内容为组织乡镇及兄弟科局关于森林防火、防汛抗旱等方面的线上线下会议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危险化学品及烟花爆竹安全知识培训、生产企业消防培训、处理应急突发事件等相关</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人；举办</w:t>
      </w:r>
      <w:r>
        <w:rPr>
          <w:rFonts w:hint="eastAsia" w:ascii="Times New Roman" w:hAnsi="Times New Roman" w:eastAsia="仿宋_GB2312"/>
          <w:sz w:val="32"/>
          <w:szCs w:val="32"/>
          <w:lang w:eastAsia="zh-CN"/>
        </w:rPr>
        <w:t>各种大型</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540B4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9E016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A1A07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1900216">
      <w:pPr>
        <w:ind w:firstLine="640" w:firstLineChars="200"/>
        <w:rPr>
          <w:rFonts w:ascii="Times New Roman" w:hAnsi="Times New Roman" w:eastAsia="仿宋_GB2312"/>
          <w:color w:val="auto"/>
          <w:sz w:val="32"/>
          <w:szCs w:val="32"/>
        </w:rPr>
      </w:pPr>
      <w:r>
        <w:rPr>
          <w:rFonts w:hint="eastAsia" w:ascii="Times New Roman" w:hAnsi="Times New Roman" w:eastAsia="仿宋_GB2312" w:cs="黑体"/>
          <w:color w:val="000000"/>
          <w:kern w:val="0"/>
          <w:sz w:val="32"/>
          <w:szCs w:val="32"/>
          <w:lang w:val="en-US" w:eastAsia="zh-CN" w:bidi="ar-SA"/>
        </w:rPr>
        <w:t>截至2024年12月31日，本单位共有车辆0辆，其中，主要领导干部用车0辆，机要通信用车0辆、应急保障用车0辆、执法执勤用车0辆、特种专业技术用车0辆、其他用车0辆，其他用车0辆；单位价值50万元以上通用设备0台（套）；单位价值100万元以上专用设备0台（套）。</w:t>
      </w:r>
    </w:p>
    <w:p w14:paraId="48E1AEC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F0EB9D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41D3CE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组织对“安全生产专项经费”项目开展了专项评价，涉及一般公共预算支出70万元，政府性基金预算支出0万元，国有资本经营预算支出0万元。从评价情况来看，评价结果为优秀。</w:t>
      </w:r>
    </w:p>
    <w:p w14:paraId="1F37AD7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组织对本单位开展整体支出绩效评价，涉及一般公共预算支出4140.67万元，政府性基金预算支出0万元。从评价情况来看，整体绩效评价结果为优秀。</w:t>
      </w:r>
    </w:p>
    <w:p w14:paraId="046385F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我县未发生较大及以上安全生产事故，在全市范围内事故防控情况较好，较好地完成了年度工作目标。得到社全的一致好评，服务对象满意度达到90%以上，社会公众满意度达到90%以上，整体年度目标基本实现。</w:t>
      </w:r>
    </w:p>
    <w:p w14:paraId="752FB13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部门</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rPr>
        <w:t>整体支出绩效情况</w:t>
      </w:r>
    </w:p>
    <w:p w14:paraId="4C48B19F">
      <w:pPr>
        <w:widowControl/>
        <w:spacing w:line="500" w:lineRule="exact"/>
        <w:ind w:firstLine="640" w:firstLineChars="200"/>
        <w:rPr>
          <w:rFonts w:hint="eastAsia" w:eastAsia="楷体_GB2312" w:cs="楷体_GB2312"/>
          <w:sz w:val="32"/>
          <w:szCs w:val="32"/>
        </w:rPr>
      </w:pPr>
      <w:r>
        <w:rPr>
          <w:rFonts w:hint="eastAsia" w:eastAsia="楷体_GB2312" w:cs="楷体_GB2312"/>
          <w:sz w:val="32"/>
          <w:szCs w:val="32"/>
          <w:lang w:val="en-US" w:eastAsia="zh-CN"/>
        </w:rPr>
        <w:t>1、</w:t>
      </w:r>
      <w:r>
        <w:rPr>
          <w:rFonts w:hint="eastAsia" w:eastAsia="楷体_GB2312" w:cs="楷体_GB2312"/>
          <w:sz w:val="32"/>
          <w:szCs w:val="32"/>
        </w:rPr>
        <w:t>部门产出指标完成情况</w:t>
      </w:r>
    </w:p>
    <w:p w14:paraId="10FEEAC3">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354A684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37家次；专项应急演练2次；打非治违及专项整治≥5次；教育培训≥3次；教育培训600人；人员经费保障44人；投稿宣传稿件12篇；罚没收入收缴100万元；党建任务完成率100%。</w:t>
      </w:r>
    </w:p>
    <w:p w14:paraId="6190D156">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27F97A04">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328220FC">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④成本指标。支出规范合理率100%；基本支出控制额681.17万元；项目支出控制额772万元。</w:t>
      </w:r>
    </w:p>
    <w:p w14:paraId="7009CB3F">
      <w:pPr>
        <w:widowControl/>
        <w:numPr>
          <w:ilvl w:val="0"/>
          <w:numId w:val="0"/>
        </w:numPr>
        <w:spacing w:line="500" w:lineRule="exact"/>
        <w:ind w:firstLine="640" w:firstLineChars="200"/>
        <w:rPr>
          <w:rFonts w:hint="eastAsia" w:eastAsia="楷体_GB2312" w:cs="楷体_GB2312"/>
          <w:sz w:val="32"/>
          <w:szCs w:val="32"/>
        </w:rPr>
      </w:pPr>
      <w:r>
        <w:rPr>
          <w:rFonts w:hint="eastAsia" w:eastAsia="楷体_GB2312" w:cs="楷体_GB2312"/>
          <w:sz w:val="32"/>
          <w:szCs w:val="32"/>
          <w:lang w:val="en-US" w:eastAsia="zh-CN"/>
        </w:rPr>
        <w:t>2、</w:t>
      </w:r>
      <w:r>
        <w:rPr>
          <w:rFonts w:hint="eastAsia" w:eastAsia="楷体_GB2312" w:cs="楷体_GB2312"/>
          <w:sz w:val="32"/>
          <w:szCs w:val="32"/>
        </w:rPr>
        <w:t>部门效益指标完成情况</w:t>
      </w:r>
    </w:p>
    <w:p w14:paraId="3CABB552">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截至目前，我县未发生较大及以上安全生产事故，在全市范围内事故防控情况较好，减少了群众的经济损失，增强了企业的安全生产责任意识和管理水平，确保了桃源县安全生产的长期稳定。</w:t>
      </w:r>
    </w:p>
    <w:p w14:paraId="44C7FB84">
      <w:pPr>
        <w:widowControl/>
        <w:spacing w:line="50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lang w:val="en-US" w:eastAsia="zh-CN"/>
        </w:rPr>
        <w:t>3、</w:t>
      </w:r>
      <w:r>
        <w:rPr>
          <w:rFonts w:hint="eastAsia" w:eastAsia="楷体_GB2312" w:cs="楷体_GB2312"/>
          <w:sz w:val="32"/>
          <w:szCs w:val="32"/>
        </w:rPr>
        <w:t>部门效益指标完成情况</w:t>
      </w:r>
    </w:p>
    <w:p w14:paraId="397135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社会公众满意度90%；服务对象满意度90%。</w:t>
      </w:r>
    </w:p>
    <w:p w14:paraId="17B73A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41CFC9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预算编制和预算管理还有差距。预算编制金额与实际执行存在差异，没有达到执行率100%，部分预算科目编制与实际执行有出入。新增项目较多，未做到提前编制安排。</w:t>
      </w:r>
    </w:p>
    <w:p w14:paraId="28FED76C">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资产信息更新不及时。资产管理意识有待提高，自查时发现个别资产责任人对所负责的资产情况掌握不清，未能及时上报资产信息变更情况，导致资产管理系统中的资产信息与实际资产使用状况存在</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时差</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w:t>
      </w:r>
    </w:p>
    <w:p w14:paraId="61FAA35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3、部分企业安全生产意识不足。部分企业安全生产意识薄弱，在生产过程中忽视了对人员的安全生产培训及安全生产隐患的排查，增加了安全生产事故发生的概率。</w:t>
      </w:r>
    </w:p>
    <w:p w14:paraId="7516B9EA">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4、群众安全意识不足。</w:t>
      </w:r>
    </w:p>
    <w:p w14:paraId="23BB3F56">
      <w:pPr>
        <w:pStyle w:val="13"/>
        <w:jc w:val="both"/>
        <w:rPr>
          <w:sz w:val="72"/>
          <w:szCs w:val="72"/>
        </w:rPr>
      </w:pPr>
    </w:p>
    <w:p w14:paraId="1F6FB035">
      <w:pPr>
        <w:pStyle w:val="13"/>
        <w:jc w:val="center"/>
        <w:rPr>
          <w:sz w:val="72"/>
          <w:szCs w:val="72"/>
        </w:rPr>
      </w:pPr>
    </w:p>
    <w:p w14:paraId="387C0E3A">
      <w:pPr>
        <w:pStyle w:val="13"/>
        <w:jc w:val="center"/>
        <w:rPr>
          <w:sz w:val="72"/>
          <w:szCs w:val="72"/>
        </w:rPr>
      </w:pPr>
    </w:p>
    <w:p w14:paraId="5434D781">
      <w:pPr>
        <w:pStyle w:val="13"/>
        <w:jc w:val="both"/>
        <w:rPr>
          <w:rFonts w:hint="eastAsia" w:ascii="方正小标宋_GBK" w:hAnsi="方正小标宋_GBK" w:eastAsia="方正小标宋_GBK" w:cs="方正小标宋_GBK"/>
          <w:sz w:val="72"/>
          <w:szCs w:val="72"/>
        </w:rPr>
      </w:pPr>
    </w:p>
    <w:p w14:paraId="1800E382">
      <w:pPr>
        <w:pStyle w:val="13"/>
        <w:jc w:val="center"/>
        <w:rPr>
          <w:rFonts w:hint="eastAsia" w:ascii="方正小标宋_GBK" w:hAnsi="方正小标宋_GBK" w:eastAsia="方正小标宋_GBK" w:cs="方正小标宋_GBK"/>
          <w:sz w:val="72"/>
          <w:szCs w:val="72"/>
        </w:rPr>
      </w:pPr>
    </w:p>
    <w:p w14:paraId="1596BF7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3FC186E">
      <w:pPr>
        <w:jc w:val="center"/>
        <w:rPr>
          <w:rFonts w:hint="eastAsia" w:ascii="方正小标宋_GBK" w:hAnsi="方正小标宋_GBK" w:eastAsia="方正小标宋_GBK" w:cs="方正小标宋_GBK"/>
          <w:color w:val="000000"/>
          <w:kern w:val="0"/>
          <w:sz w:val="70"/>
          <w:szCs w:val="70"/>
        </w:rPr>
      </w:pPr>
    </w:p>
    <w:p w14:paraId="7F4E66A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8B9922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6731FC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机关运行经费：是指各部门的公用经费，包括办公及印刷费、邮电费、差旅费、会议费、福利费、日常维修费、专用资料及一般设备购置费、办公用房水电费、办公用房取暖费、办公用房物业管理费、公务用车运行维护费以及其它费用。</w:t>
      </w:r>
    </w:p>
    <w:p w14:paraId="5249687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75C299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3、财政拨款收入：指单位从同级财政部门取得的财政预算资金。</w:t>
      </w:r>
    </w:p>
    <w:p w14:paraId="7F113CB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4、事业收入：指事业单位开展专业业务活动及辅助活动取得的收入。</w:t>
      </w:r>
    </w:p>
    <w:p w14:paraId="509118F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5、经营收入：指事业单位在专业业务活动及其辅助活动之外开展非独立核算经营活动取得的收入。</w:t>
      </w:r>
    </w:p>
    <w:p w14:paraId="5819E7A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6、其他收入：指单位取得的除上述收入以外的各项收入。</w:t>
      </w:r>
    </w:p>
    <w:p w14:paraId="71C486F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3B7AAF0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8、年初结转和结余：指单位以前年度尚未完成、结转到本年按有关规定继续使用的资金。</w:t>
      </w:r>
    </w:p>
    <w:p w14:paraId="75D1C17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9、基本支出：指为保障机构正常运转、完成日常工作任务而发生的人员支出和公用支出。</w:t>
      </w:r>
    </w:p>
    <w:p w14:paraId="2F406E1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10、项目支出：指在基本支出之外为完成特定行政任务和事业发展目标所发生的支出。</w:t>
      </w:r>
    </w:p>
    <w:p w14:paraId="3853EBF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11、政府性基金预算</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62B3C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10BA505E">
      <w:pPr>
        <w:pStyle w:val="13"/>
        <w:jc w:val="center"/>
        <w:rPr>
          <w:sz w:val="72"/>
          <w:szCs w:val="72"/>
        </w:rPr>
      </w:pPr>
    </w:p>
    <w:p w14:paraId="45E10383">
      <w:pPr>
        <w:pStyle w:val="13"/>
        <w:jc w:val="center"/>
        <w:rPr>
          <w:sz w:val="72"/>
          <w:szCs w:val="72"/>
        </w:rPr>
      </w:pPr>
    </w:p>
    <w:p w14:paraId="12999BD3">
      <w:pPr>
        <w:pStyle w:val="13"/>
        <w:jc w:val="center"/>
        <w:rPr>
          <w:sz w:val="72"/>
          <w:szCs w:val="72"/>
        </w:rPr>
      </w:pPr>
    </w:p>
    <w:p w14:paraId="0943B8C8">
      <w:pPr>
        <w:pStyle w:val="13"/>
        <w:jc w:val="center"/>
        <w:rPr>
          <w:sz w:val="72"/>
          <w:szCs w:val="72"/>
        </w:rPr>
      </w:pPr>
    </w:p>
    <w:p w14:paraId="3DBEB49D">
      <w:pPr>
        <w:pStyle w:val="13"/>
        <w:jc w:val="center"/>
        <w:rPr>
          <w:sz w:val="72"/>
          <w:szCs w:val="72"/>
        </w:rPr>
      </w:pPr>
    </w:p>
    <w:p w14:paraId="127E6D47">
      <w:pPr>
        <w:pStyle w:val="13"/>
        <w:jc w:val="center"/>
        <w:rPr>
          <w:sz w:val="72"/>
          <w:szCs w:val="72"/>
        </w:rPr>
      </w:pPr>
    </w:p>
    <w:p w14:paraId="7999E523">
      <w:pPr>
        <w:pStyle w:val="13"/>
        <w:jc w:val="center"/>
        <w:rPr>
          <w:sz w:val="72"/>
          <w:szCs w:val="72"/>
        </w:rPr>
      </w:pPr>
    </w:p>
    <w:p w14:paraId="7D3F863E">
      <w:pPr>
        <w:pStyle w:val="13"/>
        <w:jc w:val="center"/>
        <w:rPr>
          <w:sz w:val="72"/>
          <w:szCs w:val="72"/>
        </w:rPr>
      </w:pPr>
    </w:p>
    <w:p w14:paraId="31B2C6D5">
      <w:pPr>
        <w:rPr>
          <w:sz w:val="72"/>
          <w:szCs w:val="72"/>
        </w:rPr>
      </w:pPr>
      <w:r>
        <w:rPr>
          <w:sz w:val="72"/>
          <w:szCs w:val="72"/>
        </w:rPr>
        <w:br w:type="page"/>
      </w:r>
    </w:p>
    <w:p w14:paraId="4B519788">
      <w:pPr>
        <w:pStyle w:val="13"/>
        <w:jc w:val="center"/>
        <w:rPr>
          <w:rFonts w:hint="eastAsia" w:ascii="方正小标宋_GBK" w:hAnsi="方正小标宋_GBK" w:eastAsia="方正小标宋_GBK" w:cs="方正小标宋_GBK"/>
          <w:sz w:val="72"/>
          <w:szCs w:val="72"/>
        </w:rPr>
      </w:pPr>
    </w:p>
    <w:p w14:paraId="0C29D3FD">
      <w:pPr>
        <w:pStyle w:val="13"/>
        <w:jc w:val="center"/>
        <w:rPr>
          <w:rFonts w:hint="eastAsia" w:ascii="方正小标宋_GBK" w:hAnsi="方正小标宋_GBK" w:eastAsia="方正小标宋_GBK" w:cs="方正小标宋_GBK"/>
          <w:sz w:val="72"/>
          <w:szCs w:val="72"/>
        </w:rPr>
      </w:pPr>
    </w:p>
    <w:p w14:paraId="380361E5">
      <w:pPr>
        <w:pStyle w:val="13"/>
        <w:jc w:val="center"/>
        <w:rPr>
          <w:rFonts w:hint="eastAsia" w:ascii="方正小标宋_GBK" w:hAnsi="方正小标宋_GBK" w:eastAsia="方正小标宋_GBK" w:cs="方正小标宋_GBK"/>
          <w:sz w:val="72"/>
          <w:szCs w:val="72"/>
        </w:rPr>
      </w:pPr>
    </w:p>
    <w:p w14:paraId="29412319">
      <w:pPr>
        <w:pStyle w:val="13"/>
        <w:jc w:val="center"/>
        <w:rPr>
          <w:rFonts w:hint="eastAsia" w:ascii="方正小标宋_GBK" w:hAnsi="方正小标宋_GBK" w:eastAsia="方正小标宋_GBK" w:cs="方正小标宋_GBK"/>
          <w:sz w:val="72"/>
          <w:szCs w:val="72"/>
        </w:rPr>
      </w:pPr>
    </w:p>
    <w:p w14:paraId="628CF5B0">
      <w:pPr>
        <w:pStyle w:val="13"/>
        <w:jc w:val="center"/>
        <w:rPr>
          <w:rFonts w:hint="eastAsia" w:ascii="方正小标宋_GBK" w:hAnsi="方正小标宋_GBK" w:eastAsia="方正小标宋_GBK" w:cs="方正小标宋_GBK"/>
          <w:sz w:val="72"/>
          <w:szCs w:val="72"/>
        </w:rPr>
      </w:pPr>
    </w:p>
    <w:p w14:paraId="10B1593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89251F8">
      <w:pPr>
        <w:pStyle w:val="13"/>
        <w:jc w:val="center"/>
        <w:rPr>
          <w:rFonts w:hint="eastAsia" w:ascii="方正小标宋_GBK" w:hAnsi="方正小标宋_GBK" w:eastAsia="方正小标宋_GBK" w:cs="方正小标宋_GBK"/>
          <w:sz w:val="70"/>
          <w:szCs w:val="70"/>
        </w:rPr>
      </w:pPr>
    </w:p>
    <w:p w14:paraId="3F62E690">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53995D">
      <w:pPr>
        <w:rPr>
          <w:sz w:val="72"/>
          <w:szCs w:val="72"/>
        </w:rPr>
      </w:pPr>
      <w:r>
        <w:rPr>
          <w:sz w:val="72"/>
          <w:szCs w:val="72"/>
        </w:rPr>
        <w:br w:type="page"/>
      </w:r>
    </w:p>
    <w:p w14:paraId="3E9FCAB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80C3C0A">
      <w:pPr>
        <w:widowControl/>
        <w:spacing w:line="400" w:lineRule="exact"/>
        <w:rPr>
          <w:rFonts w:ascii="Times New Roman" w:hAnsi="Times New Roman" w:eastAsia="仿宋_GB2312" w:cs="Times New Roman"/>
          <w:kern w:val="0"/>
          <w:sz w:val="32"/>
          <w:szCs w:val="32"/>
        </w:rPr>
      </w:pPr>
    </w:p>
    <w:p w14:paraId="66894EB1">
      <w:pPr>
        <w:spacing w:line="560" w:lineRule="exact"/>
        <w:jc w:val="center"/>
        <w:rPr>
          <w:rFonts w:hint="eastAsia" w:ascii="Times New Roman" w:hAnsi="Times New Roman" w:eastAsia="方正小标宋_GBK" w:cs="Times New Roman"/>
          <w:kern w:val="0"/>
          <w:sz w:val="44"/>
          <w:szCs w:val="44"/>
        </w:rPr>
      </w:pPr>
    </w:p>
    <w:p w14:paraId="2BCEFF43">
      <w:pPr>
        <w:spacing w:line="560" w:lineRule="exact"/>
        <w:jc w:val="center"/>
        <w:rPr>
          <w:rFonts w:hint="eastAsia" w:ascii="Times New Roman" w:hAnsi="Times New Roman" w:eastAsia="方正小标宋_GBK" w:cs="Times New Roman"/>
          <w:kern w:val="0"/>
          <w:sz w:val="44"/>
          <w:szCs w:val="44"/>
          <w:lang w:eastAsia="zh-CN"/>
        </w:rPr>
      </w:pPr>
      <w:r>
        <w:rPr>
          <w:rFonts w:hint="eastAsia" w:ascii="Times New Roman" w:hAnsi="Times New Roman" w:eastAsia="方正小标宋_GBK" w:cs="Times New Roman"/>
          <w:kern w:val="0"/>
          <w:sz w:val="44"/>
          <w:szCs w:val="44"/>
          <w:lang w:val="en-US" w:eastAsia="zh-CN"/>
        </w:rPr>
        <w:t>2024</w:t>
      </w:r>
      <w:r>
        <w:rPr>
          <w:rFonts w:ascii="Times New Roman" w:hAnsi="Times New Roman" w:eastAsia="方正小标宋_GBK" w:cs="Times New Roman"/>
          <w:kern w:val="0"/>
          <w:sz w:val="44"/>
          <w:szCs w:val="44"/>
        </w:rPr>
        <w:t>年度</w:t>
      </w:r>
      <w:r>
        <w:rPr>
          <w:rFonts w:hint="eastAsia" w:ascii="Times New Roman" w:hAnsi="Times New Roman" w:eastAsia="方正小标宋_GBK" w:cs="Times New Roman"/>
          <w:kern w:val="0"/>
          <w:sz w:val="44"/>
          <w:szCs w:val="44"/>
          <w:lang w:eastAsia="zh-CN"/>
        </w:rPr>
        <w:t>桃源县应急管理局</w:t>
      </w:r>
    </w:p>
    <w:p w14:paraId="0850BD33">
      <w:pPr>
        <w:spacing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整体支出绩效</w:t>
      </w:r>
      <w:r>
        <w:rPr>
          <w:rFonts w:hint="eastAsia" w:ascii="Times New Roman" w:hAnsi="Times New Roman" w:eastAsia="方正小标宋_GBK" w:cs="Times New Roman"/>
          <w:kern w:val="0"/>
          <w:sz w:val="44"/>
          <w:szCs w:val="44"/>
        </w:rPr>
        <w:t>自评</w:t>
      </w:r>
      <w:r>
        <w:rPr>
          <w:rFonts w:ascii="Times New Roman" w:hAnsi="Times New Roman" w:eastAsia="方正小标宋_GBK" w:cs="Times New Roman"/>
          <w:kern w:val="0"/>
          <w:sz w:val="44"/>
          <w:szCs w:val="44"/>
        </w:rPr>
        <w:t>报告</w:t>
      </w:r>
    </w:p>
    <w:p w14:paraId="05D8BB34">
      <w:pPr>
        <w:widowControl/>
        <w:spacing w:line="500" w:lineRule="exact"/>
        <w:ind w:firstLine="641"/>
        <w:rPr>
          <w:rFonts w:ascii="Times New Roman" w:hAnsi="Times New Roman" w:eastAsia="仿宋_GB2312" w:cs="Times New Roman"/>
          <w:kern w:val="0"/>
          <w:sz w:val="32"/>
          <w:szCs w:val="32"/>
        </w:rPr>
      </w:pPr>
    </w:p>
    <w:p w14:paraId="1E218B3F">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一、部门概况</w:t>
      </w:r>
    </w:p>
    <w:p w14:paraId="5C34B7AA">
      <w:pPr>
        <w:widowControl/>
        <w:numPr>
          <w:ilvl w:val="0"/>
          <w:numId w:val="0"/>
        </w:numPr>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（一）机构、人员构成</w:t>
      </w:r>
    </w:p>
    <w:p w14:paraId="2DD531B8">
      <w:pPr>
        <w:widowControl/>
        <w:numPr>
          <w:ilvl w:val="0"/>
          <w:numId w:val="0"/>
        </w:numPr>
        <w:spacing w:line="640" w:lineRule="exact"/>
        <w:ind w:firstLine="960" w:firstLineChars="3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部门内设办公室、法制股、综合协调股、火灾防治管理股、防汛抗旱和救灾和物资保障股（地震地质灾害防治股）、危险化学品和烟花爆竹安全监督管理股（行政审批服务办公室）、非煤矿山和工贸行业安全监督管理股等7个内设股室及桃源县应急管理综合行政执法大队（事故调查统计股）、桃源县安全生产应急救援指挥中心（救援协调和预案管理股）2个直属单位。我局共核定全额编制48名，其中，行政编制13名，参公事业编制17名，全额拨款事业编制18名，实有在职工作人员44人。车辆编制0台，实有车辆0台。</w:t>
      </w:r>
    </w:p>
    <w:p w14:paraId="7FED4B9C">
      <w:pPr>
        <w:widowControl/>
        <w:numPr>
          <w:ilvl w:val="0"/>
          <w:numId w:val="3"/>
        </w:numPr>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单位主要职责</w:t>
      </w:r>
    </w:p>
    <w:p w14:paraId="255A6EF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1、负责安全生产法律法规的宣传，协调指导各有关部门、乡镇（街道）安全生产监管工作；指导城镇、农村消防监督、火灾预防、火灾扑救工作。</w:t>
      </w:r>
    </w:p>
    <w:p w14:paraId="4C42F68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2、组织指导协调全县水旱、地震地质自然灾害类等突发事件应急救援，负责灾情核查、损失评估、救灾捐赠等自然灾害救灾工作。</w:t>
      </w:r>
    </w:p>
    <w:p w14:paraId="18A2248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3、负责监督管理工矿商贸行业县属企业安全生产工作。依法组织和指导监督实施安全生产准入制度。</w:t>
      </w:r>
    </w:p>
    <w:p w14:paraId="71A9B2A5">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4、负责危险化学品安全监管综合工作和烟花爆竹安全生产监督管理工作。</w:t>
      </w:r>
    </w:p>
    <w:p w14:paraId="09F7ED2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5、负责应急管理、安全生产宣传教育和培训工作，组织指导应急管理、安全生产的科学技术研究、推广应用和信息化建设工作。</w:t>
      </w:r>
    </w:p>
    <w:p w14:paraId="576361EF">
      <w:pPr>
        <w:widowControl/>
        <w:numPr>
          <w:ilvl w:val="0"/>
          <w:numId w:val="0"/>
        </w:numPr>
        <w:spacing w:line="640" w:lineRule="exact"/>
        <w:ind w:firstLine="640" w:firstLineChars="200"/>
        <w:rPr>
          <w:rFonts w:hint="default" w:ascii="Times New Roman" w:hAnsi="Times New Roman" w:eastAsia="仿宋_GB2312" w:cs="Times New Roman"/>
          <w:kern w:val="0"/>
          <w:sz w:val="32"/>
          <w:szCs w:val="32"/>
          <w:lang w:val="en-US" w:eastAsia="zh-CN"/>
        </w:rPr>
      </w:pPr>
      <w:r>
        <w:rPr>
          <w:rFonts w:hint="eastAsia" w:ascii="仿宋" w:hAnsi="仿宋" w:eastAsia="仿宋" w:cs="仿宋"/>
          <w:sz w:val="32"/>
          <w:szCs w:val="32"/>
          <w:lang w:val="en-US" w:eastAsia="zh-CN"/>
        </w:rPr>
        <w:t>6、承担县安委办的工作职责，负责完成县委县政府交办的其它中心工作。</w:t>
      </w:r>
    </w:p>
    <w:p w14:paraId="5CDC9051">
      <w:pPr>
        <w:widowControl/>
        <w:spacing w:line="640" w:lineRule="exact"/>
        <w:ind w:firstLine="640" w:firstLineChars="200"/>
        <w:rPr>
          <w:rFonts w:ascii="黑体" w:hAnsi="黑体" w:eastAsia="黑体" w:cs="Times New Roman"/>
          <w:color w:val="auto"/>
          <w:kern w:val="0"/>
          <w:sz w:val="32"/>
          <w:szCs w:val="32"/>
        </w:rPr>
      </w:pPr>
      <w:r>
        <w:rPr>
          <w:rFonts w:ascii="黑体" w:hAnsi="黑体" w:eastAsia="黑体" w:cs="Times New Roman"/>
          <w:color w:val="auto"/>
          <w:kern w:val="0"/>
          <w:sz w:val="32"/>
          <w:szCs w:val="32"/>
        </w:rPr>
        <w:t>二、部门财务情况</w:t>
      </w:r>
    </w:p>
    <w:p w14:paraId="5737D29A">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1、资产负债及净资产情况</w:t>
      </w:r>
    </w:p>
    <w:p w14:paraId="54B0BD75">
      <w:pPr>
        <w:widowControl/>
        <w:spacing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2024年12月31日单位资产总额（不含所属二级预算单位）1691.32万元，其中：流动资产107.7万元、非流动资产1583.62万元，负债总额575.42万元，净资产总额1115.9万元。</w:t>
      </w:r>
    </w:p>
    <w:p w14:paraId="08949EAE">
      <w:pPr>
        <w:widowControl/>
        <w:numPr>
          <w:ilvl w:val="0"/>
          <w:numId w:val="0"/>
        </w:numPr>
        <w:spacing w:line="640" w:lineRule="exact"/>
        <w:ind w:leftChars="200" w:firstLine="320" w:firstLineChars="100"/>
        <w:rPr>
          <w:rFonts w:ascii="Times New Roman" w:hAnsi="Times New Roman" w:eastAsia="仿宋_GB2312" w:cs="Times New Roman"/>
          <w:color w:val="auto"/>
          <w:kern w:val="0"/>
          <w:sz w:val="32"/>
          <w:szCs w:val="32"/>
        </w:rPr>
      </w:pPr>
      <w:r>
        <w:rPr>
          <w:rFonts w:hint="eastAsia" w:ascii="仿宋" w:hAnsi="仿宋" w:eastAsia="仿宋" w:cs="仿宋"/>
          <w:color w:val="auto"/>
          <w:sz w:val="32"/>
          <w:szCs w:val="32"/>
          <w:lang w:val="en-US" w:eastAsia="zh-CN"/>
        </w:rPr>
        <w:t>2、</w:t>
      </w:r>
      <w:r>
        <w:rPr>
          <w:rFonts w:ascii="Times New Roman" w:hAnsi="Times New Roman" w:eastAsia="仿宋_GB2312" w:cs="Times New Roman"/>
          <w:color w:val="auto"/>
          <w:kern w:val="0"/>
          <w:sz w:val="32"/>
          <w:szCs w:val="32"/>
        </w:rPr>
        <w:t>部门预算收支决算情况</w:t>
      </w:r>
    </w:p>
    <w:p w14:paraId="31A69069">
      <w:pPr>
        <w:widowControl/>
        <w:spacing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2024年部门年初预算收入1453.17万元，其中，一般公共预算拨款1453.17万元。</w:t>
      </w:r>
    </w:p>
    <w:p w14:paraId="00556DE8">
      <w:pPr>
        <w:widowControl/>
        <w:spacing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2024年部门年初预算支出1453.17万元，其中，基本支出681.17万元，项目支出772万元。部门决算支出4140.67万元，其中，基本支出696.81万元，项目支出3443.86万元。</w:t>
      </w:r>
    </w:p>
    <w:p w14:paraId="0B1E54E2">
      <w:pPr>
        <w:widowControl/>
        <w:spacing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年末结转结余0万元。</w:t>
      </w:r>
    </w:p>
    <w:p w14:paraId="02D8E0D3">
      <w:pPr>
        <w:widowControl/>
        <w:numPr>
          <w:ilvl w:val="0"/>
          <w:numId w:val="0"/>
        </w:numPr>
        <w:spacing w:line="64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“三公经费”支出使用和管理情况</w:t>
      </w:r>
    </w:p>
    <w:p w14:paraId="6DF112DD">
      <w:pPr>
        <w:pStyle w:val="13"/>
        <w:widowControl/>
        <w:spacing w:line="440" w:lineRule="exact"/>
        <w:ind w:firstLine="640" w:firstLineChars="200"/>
        <w:jc w:val="both"/>
        <w:rPr>
          <w:rFonts w:hint="eastAsia" w:ascii="仿宋" w:hAnsi="仿宋" w:eastAsia="仿宋" w:cs="仿宋"/>
          <w:color w:val="FF0000"/>
          <w:kern w:val="0"/>
          <w:sz w:val="32"/>
          <w:szCs w:val="32"/>
          <w:lang w:val="en-US" w:eastAsia="zh-CN"/>
        </w:rPr>
      </w:pP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年本部门机关本级“三公”经费预算数为</w:t>
      </w:r>
      <w:r>
        <w:rPr>
          <w:rFonts w:hint="eastAsia" w:ascii="仿宋" w:hAnsi="仿宋" w:eastAsia="仿宋" w:cs="仿宋"/>
          <w:color w:val="auto"/>
          <w:kern w:val="2"/>
          <w:sz w:val="32"/>
          <w:szCs w:val="32"/>
          <w:lang w:val="en-US" w:eastAsia="zh-CN"/>
        </w:rPr>
        <w:t>22.15</w:t>
      </w:r>
      <w:r>
        <w:rPr>
          <w:rFonts w:hint="eastAsia" w:ascii="仿宋" w:hAnsi="仿宋" w:eastAsia="仿宋" w:cs="仿宋"/>
          <w:color w:val="auto"/>
          <w:kern w:val="2"/>
          <w:sz w:val="32"/>
          <w:szCs w:val="32"/>
        </w:rPr>
        <w:t>万元，其中，公务接待费</w:t>
      </w:r>
      <w:r>
        <w:rPr>
          <w:rFonts w:hint="eastAsia" w:ascii="仿宋" w:hAnsi="仿宋" w:eastAsia="仿宋" w:cs="仿宋"/>
          <w:color w:val="auto"/>
          <w:kern w:val="2"/>
          <w:sz w:val="32"/>
          <w:szCs w:val="32"/>
          <w:lang w:val="en-US" w:eastAsia="zh-CN"/>
        </w:rPr>
        <w:t>22.15</w:t>
      </w:r>
      <w:r>
        <w:rPr>
          <w:rFonts w:hint="eastAsia" w:ascii="仿宋" w:hAnsi="仿宋" w:eastAsia="仿宋" w:cs="仿宋"/>
          <w:color w:val="auto"/>
          <w:kern w:val="2"/>
          <w:sz w:val="32"/>
          <w:szCs w:val="32"/>
        </w:rPr>
        <w:t>万元，公务用车购置及运行费0万元（其中，公务用车购置费0万元，公务用车运行费0万元），因公出国（境）费0万元。主要</w:t>
      </w:r>
      <w:r>
        <w:rPr>
          <w:rFonts w:hint="eastAsia" w:ascii="仿宋" w:hAnsi="仿宋" w:eastAsia="仿宋" w:cs="仿宋"/>
          <w:color w:val="auto"/>
          <w:kern w:val="2"/>
          <w:sz w:val="32"/>
          <w:szCs w:val="32"/>
          <w:lang w:eastAsia="zh-CN"/>
        </w:rPr>
        <w:t>原因是</w:t>
      </w:r>
      <w:r>
        <w:rPr>
          <w:rFonts w:hint="eastAsia" w:ascii="仿宋" w:hAnsi="仿宋" w:eastAsia="仿宋" w:cs="仿宋"/>
          <w:color w:val="auto"/>
          <w:kern w:val="2"/>
          <w:sz w:val="32"/>
          <w:szCs w:val="32"/>
        </w:rPr>
        <w:t>车辆改革，单位用车统一由机关事务中心派车，公务用车运行费直接由财政划拨；202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年本单位“三公”经费预算较202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eastAsia="zh-CN"/>
        </w:rPr>
        <w:t>增加</w:t>
      </w:r>
      <w:r>
        <w:rPr>
          <w:rFonts w:hint="eastAsia" w:ascii="仿宋" w:hAnsi="仿宋" w:eastAsia="仿宋" w:cs="仿宋"/>
          <w:color w:val="auto"/>
          <w:kern w:val="2"/>
          <w:sz w:val="32"/>
          <w:szCs w:val="32"/>
          <w:lang w:val="en-US" w:eastAsia="zh-CN"/>
        </w:rPr>
        <w:t>8.15</w:t>
      </w:r>
      <w:r>
        <w:rPr>
          <w:rFonts w:hint="eastAsia" w:ascii="仿宋" w:hAnsi="仿宋" w:eastAsia="仿宋" w:cs="仿宋"/>
          <w:color w:val="auto"/>
          <w:kern w:val="2"/>
          <w:sz w:val="32"/>
          <w:szCs w:val="32"/>
        </w:rPr>
        <w:t>万元，</w:t>
      </w:r>
      <w:r>
        <w:rPr>
          <w:rFonts w:hint="eastAsia" w:ascii="仿宋" w:hAnsi="仿宋" w:eastAsia="仿宋" w:cs="仿宋"/>
          <w:color w:val="auto"/>
          <w:kern w:val="2"/>
          <w:sz w:val="32"/>
          <w:szCs w:val="32"/>
          <w:lang w:eastAsia="zh-CN"/>
        </w:rPr>
        <w:t>增加</w:t>
      </w:r>
      <w:r>
        <w:rPr>
          <w:rFonts w:hint="eastAsia" w:ascii="仿宋" w:hAnsi="仿宋" w:eastAsia="仿宋" w:cs="仿宋"/>
          <w:color w:val="auto"/>
          <w:kern w:val="2"/>
          <w:sz w:val="32"/>
          <w:szCs w:val="32"/>
        </w:rPr>
        <w:t>的主要原因是根据202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eastAsia="zh-CN"/>
        </w:rPr>
        <w:t>公务接待</w:t>
      </w:r>
      <w:r>
        <w:rPr>
          <w:rFonts w:hint="eastAsia" w:ascii="仿宋" w:hAnsi="仿宋" w:eastAsia="仿宋" w:cs="仿宋"/>
          <w:color w:val="auto"/>
          <w:kern w:val="2"/>
          <w:sz w:val="32"/>
          <w:szCs w:val="32"/>
        </w:rPr>
        <w:t>支出</w:t>
      </w:r>
      <w:r>
        <w:rPr>
          <w:rFonts w:hint="eastAsia" w:ascii="仿宋" w:hAnsi="仿宋" w:eastAsia="仿宋" w:cs="仿宋"/>
          <w:color w:val="auto"/>
          <w:kern w:val="2"/>
          <w:sz w:val="32"/>
          <w:szCs w:val="32"/>
          <w:lang w:eastAsia="zh-CN"/>
        </w:rPr>
        <w:t>情况</w:t>
      </w:r>
      <w:r>
        <w:rPr>
          <w:rFonts w:hint="eastAsia" w:ascii="仿宋" w:hAnsi="仿宋" w:eastAsia="仿宋" w:cs="仿宋"/>
          <w:color w:val="auto"/>
          <w:kern w:val="2"/>
          <w:sz w:val="32"/>
          <w:szCs w:val="32"/>
        </w:rPr>
        <w:t>确定公务接待费</w:t>
      </w:r>
      <w:r>
        <w:rPr>
          <w:rFonts w:hint="eastAsia" w:ascii="仿宋" w:hAnsi="仿宋" w:eastAsia="仿宋" w:cs="仿宋"/>
          <w:color w:val="auto"/>
          <w:kern w:val="2"/>
          <w:sz w:val="32"/>
          <w:szCs w:val="32"/>
          <w:lang w:eastAsia="zh-CN"/>
        </w:rPr>
        <w:t>增加</w:t>
      </w:r>
      <w:r>
        <w:rPr>
          <w:rFonts w:hint="eastAsia" w:ascii="仿宋" w:hAnsi="仿宋" w:eastAsia="仿宋" w:cs="仿宋"/>
          <w:color w:val="auto"/>
          <w:kern w:val="2"/>
          <w:sz w:val="32"/>
          <w:szCs w:val="32"/>
        </w:rPr>
        <w:t>。</w:t>
      </w:r>
    </w:p>
    <w:p w14:paraId="033025CC">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三、部门绩效目标</w:t>
      </w:r>
    </w:p>
    <w:p w14:paraId="15E3BF16">
      <w:pPr>
        <w:widowControl/>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（一）部门绩效总目标</w:t>
      </w:r>
    </w:p>
    <w:p w14:paraId="2C2BEE0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（1）增强企业安全生产责任意识，提高全县非煤矿山、烟花爆竹、危险化学品和一般工贸行业领域生产经营单位安全生产管理水平、减少一般事故，杜绝较大以上事故发生。                                                             </w:t>
      </w:r>
    </w:p>
    <w:p w14:paraId="06BD199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（2）提高综合监管，全面落实各项工作任务，防范化解事故风险，确保不发生较大以上安全生产责任事故，确保事故指标不突破，确保长期稳定安全生产局面。</w:t>
      </w:r>
    </w:p>
    <w:p w14:paraId="2C9F0BAD">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应急值守，严格执行领导带班、关键岗位24小时值班和事故报送及时、准确。加强演练备战，不断提高应急能力和水平，确保一旦发生险情，第一时间启动响应、有力有序处置到位，高度戒备、严防死守、坚决防止较大以上事故发生。</w:t>
      </w:r>
    </w:p>
    <w:p w14:paraId="0C9C22AA">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（4）加强应急管理干部队伍建设，把思想政治建设放在干部队伍建设的首要位置，抓实理论学习、深入调查研究、深入检视问题、认真落实整改。</w:t>
      </w:r>
    </w:p>
    <w:p w14:paraId="1DD6404B">
      <w:pPr>
        <w:widowControl/>
        <w:spacing w:line="50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lang w:val="en-US" w:eastAsia="zh-CN"/>
        </w:rPr>
        <w:t>（5）加强安全常识普及及宣传和全县安全生产综合信息平台建设，及时调查处理安全生产责任事故，严厉打击非法生产和经营、狠抓监管责任进一步落实到位，培育一批安全管理先进单位等工作，控制一般事故，杜绝较大以上事故。</w:t>
      </w:r>
    </w:p>
    <w:p w14:paraId="183B0BEC">
      <w:pPr>
        <w:widowControl/>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val="en-US" w:eastAsia="zh-CN"/>
        </w:rPr>
        <w:t>2024</w:t>
      </w:r>
      <w:r>
        <w:rPr>
          <w:rFonts w:ascii="Times New Roman" w:hAnsi="Times New Roman" w:eastAsia="仿宋_GB2312" w:cs="Times New Roman"/>
          <w:kern w:val="0"/>
          <w:sz w:val="32"/>
          <w:szCs w:val="32"/>
        </w:rPr>
        <w:t>年度部门绩效目标</w:t>
      </w:r>
    </w:p>
    <w:p w14:paraId="6285426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2FD92F49">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37家次；专项应急演练2次；打非治违及专项整治≥5次；教育培训≥3次；教育培训600人；人员经费保障44人；投稿宣传稿件≥12篇；罚没收入收缴100万元；党建任务完成率100%。</w:t>
      </w:r>
    </w:p>
    <w:p w14:paraId="42FBEDD5">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711F6F7B">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784498C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④成本指标。支出规范合理率100%；基本支出控制额681.17万元；项目支出控制额772万元。</w:t>
      </w:r>
    </w:p>
    <w:p w14:paraId="43B02CEB">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w:t>
      </w:r>
    </w:p>
    <w:p w14:paraId="619F9E24">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①减少经济损失。</w:t>
      </w:r>
    </w:p>
    <w:p w14:paraId="1CB52E1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②增强安全生产责任意识。</w:t>
      </w:r>
    </w:p>
    <w:p w14:paraId="1887EC5D">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③提高安全生产管理水平。</w:t>
      </w:r>
    </w:p>
    <w:p w14:paraId="05F1E94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④减少安全生产事故。</w:t>
      </w:r>
    </w:p>
    <w:p w14:paraId="77693D0E">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⑤确保长期稳定安全生产。</w:t>
      </w:r>
    </w:p>
    <w:p w14:paraId="1B87F13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⑥增强群众安全意识。</w:t>
      </w:r>
    </w:p>
    <w:p w14:paraId="35AFD6E4">
      <w:pPr>
        <w:widowControl/>
        <w:spacing w:line="50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lang w:val="en-US" w:eastAsia="zh-CN"/>
        </w:rPr>
        <w:t>（3）满意度指标：社会公众满意度≥90%；服务对象满意度≥90%</w:t>
      </w:r>
    </w:p>
    <w:p w14:paraId="3AA7AEBE">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四、绩效评价工作情况</w:t>
      </w:r>
    </w:p>
    <w:p w14:paraId="567B711A">
      <w:pPr>
        <w:widowControl/>
        <w:spacing w:line="500" w:lineRule="exact"/>
        <w:ind w:firstLine="640" w:firstLineChars="200"/>
        <w:rPr>
          <w:rFonts w:ascii="黑体" w:hAnsi="黑体" w:eastAsia="黑体" w:cs="Times New Roman"/>
          <w:kern w:val="0"/>
          <w:sz w:val="32"/>
          <w:szCs w:val="32"/>
        </w:rPr>
      </w:pPr>
      <w:r>
        <w:rPr>
          <w:rFonts w:hint="eastAsia" w:ascii="仿宋" w:hAnsi="仿宋" w:eastAsia="仿宋" w:cs="仿宋"/>
          <w:sz w:val="32"/>
          <w:szCs w:val="32"/>
          <w:lang w:val="en-US" w:eastAsia="zh-CN"/>
        </w:rPr>
        <w:t>根据财政相关部门统一部署，我单位2024年部门整体支出绩效自评情况将在单位门户网站公开，接受社会监督。对绩效自评工作中发现的问题及时整改，解决好绩效评价管理中存在的问题，提高工作效能。</w:t>
      </w:r>
    </w:p>
    <w:p w14:paraId="59FC5ECF">
      <w:pPr>
        <w:widowControl/>
        <w:numPr>
          <w:ilvl w:val="0"/>
          <w:numId w:val="4"/>
        </w:numPr>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综合评价结果</w:t>
      </w:r>
    </w:p>
    <w:p w14:paraId="748BDD75">
      <w:pPr>
        <w:widowControl/>
        <w:numPr>
          <w:ilvl w:val="0"/>
          <w:numId w:val="0"/>
        </w:numPr>
        <w:spacing w:line="640" w:lineRule="exact"/>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lang w:val="en-US" w:eastAsia="zh-CN"/>
        </w:rPr>
        <w:t xml:space="preserve">    </w:t>
      </w:r>
      <w:r>
        <w:rPr>
          <w:rFonts w:hint="eastAsia" w:ascii="仿宋" w:hAnsi="仿宋" w:eastAsia="仿宋" w:cs="仿宋"/>
          <w:sz w:val="32"/>
          <w:szCs w:val="32"/>
          <w:lang w:val="en-US" w:eastAsia="zh-CN"/>
        </w:rPr>
        <w:t>根据部门整体支出绩效评价指标评分标准，2024年我单位部门整体绩效评价自评分为97分。</w:t>
      </w:r>
    </w:p>
    <w:p w14:paraId="0E7F2A64">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六、部门整体支出绩效情况</w:t>
      </w:r>
    </w:p>
    <w:p w14:paraId="6B47152E">
      <w:pPr>
        <w:widowControl/>
        <w:spacing w:line="500" w:lineRule="exact"/>
        <w:ind w:firstLine="640" w:firstLineChars="200"/>
        <w:rPr>
          <w:rFonts w:hint="eastAsia" w:eastAsia="楷体_GB2312" w:cs="楷体_GB2312"/>
          <w:sz w:val="32"/>
          <w:szCs w:val="32"/>
        </w:rPr>
      </w:pPr>
      <w:r>
        <w:rPr>
          <w:rFonts w:hint="eastAsia" w:eastAsia="楷体_GB2312" w:cs="楷体_GB2312"/>
          <w:sz w:val="32"/>
          <w:szCs w:val="32"/>
        </w:rPr>
        <w:t>（一）部门产出指标完成情况</w:t>
      </w:r>
    </w:p>
    <w:p w14:paraId="754BDAE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08E248BE">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37家次；专项应急演练2次；打非治违及专项整治≥5次；教育培训≥3次；教育培训600人；人员经费保障44人；投稿宣传稿件≥12篇；罚没收入收缴100万元；党建任务完成率100%。</w:t>
      </w:r>
    </w:p>
    <w:p w14:paraId="42D48B83">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01D38519">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75320E6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④成本指标。支出规范合理率100%；基本支出控制额681.17万元；项目支出控制额772万元。</w:t>
      </w:r>
    </w:p>
    <w:p w14:paraId="1C6DF3FE">
      <w:pPr>
        <w:widowControl/>
        <w:numPr>
          <w:ilvl w:val="0"/>
          <w:numId w:val="5"/>
        </w:numPr>
        <w:spacing w:line="500" w:lineRule="exact"/>
        <w:ind w:firstLine="640" w:firstLineChars="200"/>
        <w:rPr>
          <w:rFonts w:hint="eastAsia" w:eastAsia="楷体_GB2312" w:cs="楷体_GB2312"/>
          <w:sz w:val="32"/>
          <w:szCs w:val="32"/>
        </w:rPr>
      </w:pPr>
      <w:r>
        <w:rPr>
          <w:rFonts w:hint="eastAsia" w:eastAsia="楷体_GB2312" w:cs="楷体_GB2312"/>
          <w:sz w:val="32"/>
          <w:szCs w:val="32"/>
        </w:rPr>
        <w:t>部门效益指标完成情况</w:t>
      </w:r>
    </w:p>
    <w:p w14:paraId="2F9B7E9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截至目前，我县未发生较大及以上安全生产事故，在全市范围内事故防控情况较好，减少了群众的经济损失，增强了企业的安全生产责任意识和管理水平，确保了桃源县安全生产的长期稳定。</w:t>
      </w:r>
    </w:p>
    <w:p w14:paraId="6AF26B69">
      <w:pPr>
        <w:widowControl/>
        <w:spacing w:line="50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rPr>
        <w:t>（</w:t>
      </w:r>
      <w:r>
        <w:rPr>
          <w:rFonts w:hint="eastAsia" w:eastAsia="楷体_GB2312" w:cs="楷体_GB2312"/>
          <w:sz w:val="32"/>
          <w:szCs w:val="32"/>
          <w:lang w:eastAsia="zh-CN"/>
        </w:rPr>
        <w:t>三</w:t>
      </w:r>
      <w:r>
        <w:rPr>
          <w:rFonts w:hint="eastAsia" w:eastAsia="楷体_GB2312" w:cs="楷体_GB2312"/>
          <w:sz w:val="32"/>
          <w:szCs w:val="32"/>
        </w:rPr>
        <w:t>）部门效益指标完成情况</w:t>
      </w:r>
    </w:p>
    <w:p w14:paraId="038B684D">
      <w:pPr>
        <w:widowControl/>
        <w:spacing w:line="500" w:lineRule="exact"/>
        <w:ind w:firstLine="640" w:firstLineChars="200"/>
        <w:rPr>
          <w:rFonts w:ascii="黑体" w:hAnsi="黑体" w:eastAsia="黑体" w:cs="Times New Roman"/>
          <w:kern w:val="0"/>
          <w:sz w:val="32"/>
          <w:szCs w:val="32"/>
        </w:rPr>
      </w:pPr>
      <w:r>
        <w:rPr>
          <w:rFonts w:hint="eastAsia" w:ascii="仿宋" w:hAnsi="仿宋" w:eastAsia="仿宋" w:cs="仿宋"/>
          <w:sz w:val="32"/>
          <w:szCs w:val="32"/>
          <w:lang w:val="en-US" w:eastAsia="zh-CN"/>
        </w:rPr>
        <w:t>社会公众满意度90%；服务对象满意度90%。</w:t>
      </w:r>
    </w:p>
    <w:p w14:paraId="6370AE9F">
      <w:pPr>
        <w:widowControl/>
        <w:numPr>
          <w:ilvl w:val="0"/>
          <w:numId w:val="6"/>
        </w:numPr>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存在的主要问题及原因分析</w:t>
      </w:r>
    </w:p>
    <w:p w14:paraId="71FA0BB7">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预算编制和预算管理还有差距。预算编制金额与实际执行存在差异，没有达到执行率100%，部分预算科目编制与实际执行有出入。新增项目较多，未做到提前编制安排。</w:t>
      </w:r>
    </w:p>
    <w:p w14:paraId="0FA51963">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资产信息更新不及时。资产管理意识有待提高，自查时发现个别资产责任人对所负责的资产情况掌握不清，未能及时上报资产信息变更情况，导致资产管理系统中的资产信息与实际资产使用状况存在</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时差</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w:t>
      </w:r>
    </w:p>
    <w:p w14:paraId="70F8B630">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3、部分企业安全生产意识不足。部分企业安全生产意识薄弱，在生产过程中忽视了对人员的安全生产培训及安全生产隐患的排查，增加了安全生产事故发生的概率。</w:t>
      </w:r>
    </w:p>
    <w:p w14:paraId="2BAD6D6F">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4、群众安全意识不足。</w:t>
      </w:r>
    </w:p>
    <w:p w14:paraId="0DA9E5A0">
      <w:pPr>
        <w:widowControl/>
        <w:spacing w:line="640" w:lineRule="exact"/>
        <w:ind w:firstLine="640" w:firstLineChars="200"/>
        <w:rPr>
          <w:rFonts w:ascii="Times New Roman" w:hAnsi="Times New Roman" w:eastAsia="仿宋_GB2312" w:cs="Times New Roman"/>
          <w:sz w:val="32"/>
          <w:szCs w:val="32"/>
        </w:rPr>
      </w:pPr>
      <w:r>
        <w:rPr>
          <w:rFonts w:ascii="黑体" w:hAnsi="黑体" w:eastAsia="黑体" w:cs="Times New Roman"/>
          <w:kern w:val="0"/>
          <w:sz w:val="32"/>
          <w:szCs w:val="32"/>
        </w:rPr>
        <w:t>八、有关建议</w:t>
      </w:r>
    </w:p>
    <w:p w14:paraId="3D3A7ABE">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加强与业务科室沟通。根据重点任务、工作计划和重大政策做好项目资金安排，进一步控制个别项目的支出金额。</w:t>
      </w:r>
    </w:p>
    <w:p w14:paraId="1C2FD085">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2、细化预算编制，增强部门预算编制完整性和科学性。进一步明确规范细化资金的使用范围,界定清楚财政资金使用边界，提高资金使用效益，压减年末结余资金规模，提高预算完成率。</w:t>
      </w:r>
    </w:p>
    <w:p w14:paraId="3E5B9041">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进一步提高资产内部管理的效能。根据资产管理过程中发现的问题，认真分析原因，研究切实可行的措施和办法，完善资产管理制度。明确分工，责任到人，资产申购、审批、调剂和处置进一步实现动态化、规范化管理。落实固定资产清查盘点工作，定期盘点，摸清资产的使用情况，盘点发现应报废、已毁损等情况，及时进行处理。</w:t>
      </w:r>
    </w:p>
    <w:p w14:paraId="7420D9D0">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4、提升安全生产意识。定期对企业进行安全生产检查和监督，定期举报企业安全员的培训班，通过线上线下的方式，不断提升企业安全生产的意识，推动企业规范化建设，避免安全生产事故的产生。</w:t>
      </w:r>
    </w:p>
    <w:p w14:paraId="6C36AB20">
      <w:pPr>
        <w:widowControl/>
        <w:spacing w:line="500" w:lineRule="exact"/>
        <w:rPr>
          <w:rFonts w:hint="eastAsia" w:ascii="仿宋" w:hAnsi="仿宋" w:eastAsia="仿宋" w:cs="仿宋"/>
          <w:sz w:val="32"/>
          <w:szCs w:val="32"/>
          <w:lang w:val="en-US" w:eastAsia="zh-CN"/>
        </w:rPr>
      </w:pPr>
    </w:p>
    <w:p w14:paraId="7E1F7109">
      <w:pPr>
        <w:widowControl/>
        <w:spacing w:line="50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桃源县应急管理局</w:t>
      </w:r>
    </w:p>
    <w:p w14:paraId="49984D2F">
      <w:pPr>
        <w:widowControl/>
        <w:spacing w:line="500" w:lineRule="exact"/>
        <w:ind w:firstLine="640" w:firstLineChars="200"/>
        <w:jc w:val="right"/>
        <w:rPr>
          <w:rFonts w:cs="黑体" w:asciiTheme="minorEastAsia" w:hAnsiTheme="minorEastAsia"/>
          <w:color w:val="000000"/>
          <w:kern w:val="0"/>
          <w:sz w:val="32"/>
          <w:szCs w:val="32"/>
        </w:rPr>
      </w:pPr>
      <w:r>
        <w:rPr>
          <w:rFonts w:hint="eastAsia" w:ascii="仿宋" w:hAnsi="仿宋" w:eastAsia="仿宋" w:cs="仿宋"/>
          <w:sz w:val="32"/>
          <w:szCs w:val="32"/>
          <w:lang w:val="en-US" w:eastAsia="zh-CN"/>
        </w:rPr>
        <w:t xml:space="preserve">              2025年9月10日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895C9"/>
    <w:multiLevelType w:val="singleLevel"/>
    <w:tmpl w:val="C9F895C9"/>
    <w:lvl w:ilvl="0" w:tentative="0">
      <w:start w:val="5"/>
      <w:numFmt w:val="chineseCounting"/>
      <w:suff w:val="nothing"/>
      <w:lvlText w:val="%1、"/>
      <w:lvlJc w:val="left"/>
      <w:rPr>
        <w:rFonts w:hint="eastAsia"/>
      </w:rPr>
    </w:lvl>
  </w:abstractNum>
  <w:abstractNum w:abstractNumId="1">
    <w:nsid w:val="CEF046CE"/>
    <w:multiLevelType w:val="singleLevel"/>
    <w:tmpl w:val="CEF046CE"/>
    <w:lvl w:ilvl="0" w:tentative="0">
      <w:start w:val="7"/>
      <w:numFmt w:val="chineseCounting"/>
      <w:suff w:val="nothing"/>
      <w:lvlText w:val="%1、"/>
      <w:lvlJc w:val="left"/>
      <w:rPr>
        <w:rFonts w:hint="eastAsia"/>
      </w:rPr>
    </w:lvl>
  </w:abstractNum>
  <w:abstractNum w:abstractNumId="2">
    <w:nsid w:val="159C2930"/>
    <w:multiLevelType w:val="singleLevel"/>
    <w:tmpl w:val="159C2930"/>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CF18FE"/>
    <w:multiLevelType w:val="singleLevel"/>
    <w:tmpl w:val="43CF18FE"/>
    <w:lvl w:ilvl="0" w:tentative="0">
      <w:start w:val="7"/>
      <w:numFmt w:val="chineseCounting"/>
      <w:suff w:val="nothing"/>
      <w:lvlText w:val="%1、"/>
      <w:lvlJc w:val="left"/>
      <w:rPr>
        <w:rFonts w:hint="eastAsia"/>
      </w:rPr>
    </w:lvl>
  </w:abstractNum>
  <w:abstractNum w:abstractNumId="5">
    <w:nsid w:val="7FC31C3E"/>
    <w:multiLevelType w:val="singleLevel"/>
    <w:tmpl w:val="7FC31C3E"/>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ODk3YzVhY2E0ODBlM2JkNTg4MWZjNDU1NjkzYz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870E1"/>
    <w:rsid w:val="0313544C"/>
    <w:rsid w:val="055F7CBB"/>
    <w:rsid w:val="0AD5103A"/>
    <w:rsid w:val="0EFD5674"/>
    <w:rsid w:val="0FC96ECD"/>
    <w:rsid w:val="13537900"/>
    <w:rsid w:val="165E1ABC"/>
    <w:rsid w:val="18F70E99"/>
    <w:rsid w:val="1AE877F7"/>
    <w:rsid w:val="1D97DEFF"/>
    <w:rsid w:val="1DFF72E5"/>
    <w:rsid w:val="1EFC6F07"/>
    <w:rsid w:val="1F8B6E8F"/>
    <w:rsid w:val="27F51721"/>
    <w:rsid w:val="28703273"/>
    <w:rsid w:val="28F063CE"/>
    <w:rsid w:val="29BA1194"/>
    <w:rsid w:val="2A8637D8"/>
    <w:rsid w:val="2B9A6267"/>
    <w:rsid w:val="2C9250B1"/>
    <w:rsid w:val="2FDF85B8"/>
    <w:rsid w:val="2FFFEE04"/>
    <w:rsid w:val="348F77DB"/>
    <w:rsid w:val="34B8182C"/>
    <w:rsid w:val="34DF85B0"/>
    <w:rsid w:val="35DD4186"/>
    <w:rsid w:val="36570C94"/>
    <w:rsid w:val="3B8F36BC"/>
    <w:rsid w:val="3F044ABE"/>
    <w:rsid w:val="3F0F24BB"/>
    <w:rsid w:val="42107EBE"/>
    <w:rsid w:val="455611E0"/>
    <w:rsid w:val="491FF225"/>
    <w:rsid w:val="4ADF2269"/>
    <w:rsid w:val="4B38427D"/>
    <w:rsid w:val="4D8409ED"/>
    <w:rsid w:val="4DE03C66"/>
    <w:rsid w:val="4FFD214C"/>
    <w:rsid w:val="514069D9"/>
    <w:rsid w:val="526D4780"/>
    <w:rsid w:val="52972C28"/>
    <w:rsid w:val="55274476"/>
    <w:rsid w:val="556C5FEF"/>
    <w:rsid w:val="55B74D70"/>
    <w:rsid w:val="5777D4F5"/>
    <w:rsid w:val="59DD8326"/>
    <w:rsid w:val="5CBB60A7"/>
    <w:rsid w:val="5D001E59"/>
    <w:rsid w:val="5D324D37"/>
    <w:rsid w:val="5DEF592A"/>
    <w:rsid w:val="5E53470B"/>
    <w:rsid w:val="5F316BC9"/>
    <w:rsid w:val="5F3F012C"/>
    <w:rsid w:val="5FC6BB1E"/>
    <w:rsid w:val="5FF720F1"/>
    <w:rsid w:val="641E1CEE"/>
    <w:rsid w:val="645A65F4"/>
    <w:rsid w:val="6755655D"/>
    <w:rsid w:val="679F1F3F"/>
    <w:rsid w:val="67FF5C0B"/>
    <w:rsid w:val="6EFC0924"/>
    <w:rsid w:val="6FB74722"/>
    <w:rsid w:val="6FEF8B7E"/>
    <w:rsid w:val="71920663"/>
    <w:rsid w:val="71A6591B"/>
    <w:rsid w:val="72CB4F99"/>
    <w:rsid w:val="737D59BA"/>
    <w:rsid w:val="73B64881"/>
    <w:rsid w:val="76305ACC"/>
    <w:rsid w:val="76363F76"/>
    <w:rsid w:val="769A4895"/>
    <w:rsid w:val="77C37683"/>
    <w:rsid w:val="79FF515B"/>
    <w:rsid w:val="7BF217DF"/>
    <w:rsid w:val="7D56098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1383</Words>
  <Characters>1417</Characters>
  <Lines>63</Lines>
  <Paragraphs>18</Paragraphs>
  <TotalTime>16</TotalTime>
  <ScaleCrop>false</ScaleCrop>
  <LinksUpToDate>false</LinksUpToDate>
  <CharactersWithSpaces>1578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乌克LILI</cp:lastModifiedBy>
  <cp:lastPrinted>2024-08-08T10:20:00Z</cp:lastPrinted>
  <dcterms:modified xsi:type="dcterms:W3CDTF">2025-09-19T03:02:09Z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8E6B833248224FA2BC246BA07C4711FD_13</vt:lpwstr>
  </property>
  <property fmtid="{D5CDD505-2E9C-101B-9397-08002B2CF9AE}" pid="4" name="KSOTemplateDocerSaveRecord">
    <vt:lpwstr>eyJoZGlkIjoiNDA2ODk3YzVhY2E0ODBlM2JkNTg4MWZjNDU1NjkzYzIiLCJ1c2VySWQiOiI1NDc0NDI5NTgifQ==</vt:lpwstr>
  </property>
</Properties>
</file>