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655B5">
      <w:pPr>
        <w:pStyle w:val="2"/>
        <w:spacing w:line="600" w:lineRule="exact"/>
        <w:ind w:firstLine="643" w:firstLineChars="200"/>
        <w:jc w:val="center"/>
        <w:rPr>
          <w:rFonts w:ascii="宋体" w:hAnsi="宋体" w:eastAsia="宋体" w:cs="方正小标宋_GBK"/>
          <w:b/>
          <w:bCs/>
          <w:color w:val="000000" w:themeColor="text1"/>
          <w:sz w:val="32"/>
          <w:szCs w:val="32"/>
          <w14:textFill>
            <w14:solidFill>
              <w14:schemeClr w14:val="tx1"/>
            </w14:solidFill>
          </w14:textFill>
        </w:rPr>
      </w:pPr>
      <w:r>
        <w:rPr>
          <w:rFonts w:hint="eastAsia" w:ascii="宋体" w:hAnsi="宋体" w:eastAsia="宋体" w:cs="方正小标宋_GBK"/>
          <w:b/>
          <w:bCs/>
          <w:color w:val="000000" w:themeColor="text1"/>
          <w:sz w:val="32"/>
          <w:szCs w:val="32"/>
          <w14:textFill>
            <w14:solidFill>
              <w14:schemeClr w14:val="tx1"/>
            </w14:solidFill>
          </w14:textFill>
        </w:rPr>
        <w:t>2022年度桃源县住建局部门决算</w:t>
      </w:r>
    </w:p>
    <w:p w14:paraId="089CBF9D">
      <w:pPr>
        <w:pStyle w:val="2"/>
        <w:spacing w:line="600" w:lineRule="exact"/>
        <w:ind w:firstLine="643" w:firstLineChars="200"/>
        <w:jc w:val="center"/>
        <w:rPr>
          <w:rFonts w:ascii="宋体" w:hAnsi="宋体" w:eastAsia="宋体"/>
          <w:b/>
          <w:bCs/>
          <w:color w:val="000000" w:themeColor="text1"/>
          <w:sz w:val="32"/>
          <w:szCs w:val="32"/>
          <w14:textFill>
            <w14:solidFill>
              <w14:schemeClr w14:val="tx1"/>
            </w14:solidFill>
          </w14:textFill>
        </w:rPr>
      </w:pPr>
      <w:r>
        <w:rPr>
          <w:rFonts w:hint="eastAsia" w:ascii="宋体" w:hAnsi="宋体" w:eastAsia="宋体"/>
          <w:b/>
          <w:bCs/>
          <w:color w:val="000000" w:themeColor="text1"/>
          <w:sz w:val="32"/>
          <w:szCs w:val="32"/>
          <w14:textFill>
            <w14:solidFill>
              <w14:schemeClr w14:val="tx1"/>
            </w14:solidFill>
          </w14:textFill>
        </w:rPr>
        <w:t>目录</w:t>
      </w:r>
    </w:p>
    <w:p w14:paraId="23C21712">
      <w:pPr>
        <w:pStyle w:val="2"/>
        <w:spacing w:line="600" w:lineRule="exact"/>
        <w:ind w:firstLine="643" w:firstLineChars="200"/>
        <w:rPr>
          <w:rFonts w:ascii="宋体" w:hAnsi="宋体" w:eastAsia="宋体"/>
          <w:b/>
          <w:bCs/>
          <w:color w:val="000000" w:themeColor="text1"/>
          <w:sz w:val="32"/>
          <w:szCs w:val="32"/>
          <w14:textFill>
            <w14:solidFill>
              <w14:schemeClr w14:val="tx1"/>
            </w14:solidFill>
          </w14:textFill>
        </w:rPr>
      </w:pPr>
      <w:r>
        <w:rPr>
          <w:rFonts w:hint="eastAsia" w:ascii="宋体" w:hAnsi="宋体" w:eastAsia="宋体"/>
          <w:b/>
          <w:bCs/>
          <w:color w:val="000000" w:themeColor="text1"/>
          <w:sz w:val="32"/>
          <w:szCs w:val="32"/>
          <w14:textFill>
            <w14:solidFill>
              <w14:schemeClr w14:val="tx1"/>
            </w14:solidFill>
          </w14:textFill>
        </w:rPr>
        <w:t>第一部分 部门（单位）概况</w:t>
      </w:r>
    </w:p>
    <w:p w14:paraId="5BC7E8E7">
      <w:pPr>
        <w:pStyle w:val="2"/>
        <w:spacing w:line="600" w:lineRule="exact"/>
        <w:ind w:firstLine="640" w:firstLineChars="200"/>
        <w:rPr>
          <w:rFonts w:ascii="宋体" w:hAnsi="宋体" w:eastAsia="宋体" w:cs="仿宋_GB2312"/>
          <w:color w:val="000000" w:themeColor="text1"/>
          <w:sz w:val="32"/>
          <w:szCs w:val="32"/>
          <w14:textFill>
            <w14:solidFill>
              <w14:schemeClr w14:val="tx1"/>
            </w14:solidFill>
          </w14:textFill>
        </w:rPr>
      </w:pPr>
      <w:r>
        <w:rPr>
          <w:rFonts w:hint="eastAsia" w:ascii="宋体" w:hAnsi="宋体" w:eastAsia="宋体" w:cs="仿宋_GB2312"/>
          <w:color w:val="000000" w:themeColor="text1"/>
          <w:sz w:val="32"/>
          <w:szCs w:val="32"/>
          <w14:textFill>
            <w14:solidFill>
              <w14:schemeClr w14:val="tx1"/>
            </w14:solidFill>
          </w14:textFill>
        </w:rPr>
        <w:t>一、部门职责</w:t>
      </w:r>
    </w:p>
    <w:p w14:paraId="06C89B05">
      <w:pPr>
        <w:pStyle w:val="2"/>
        <w:spacing w:line="600" w:lineRule="exact"/>
        <w:ind w:firstLine="640" w:firstLineChars="200"/>
        <w:rPr>
          <w:rFonts w:ascii="宋体" w:hAnsi="宋体" w:eastAsia="宋体" w:cs="仿宋_GB2312"/>
          <w:color w:val="000000" w:themeColor="text1"/>
          <w:sz w:val="32"/>
          <w:szCs w:val="32"/>
          <w14:textFill>
            <w14:solidFill>
              <w14:schemeClr w14:val="tx1"/>
            </w14:solidFill>
          </w14:textFill>
        </w:rPr>
      </w:pPr>
      <w:r>
        <w:rPr>
          <w:rFonts w:hint="eastAsia" w:ascii="宋体" w:hAnsi="宋体" w:eastAsia="宋体" w:cs="仿宋_GB2312"/>
          <w:color w:val="000000" w:themeColor="text1"/>
          <w:sz w:val="32"/>
          <w:szCs w:val="32"/>
          <w14:textFill>
            <w14:solidFill>
              <w14:schemeClr w14:val="tx1"/>
            </w14:solidFill>
          </w14:textFill>
        </w:rPr>
        <w:t>二、机构设置及决算单位构成</w:t>
      </w:r>
    </w:p>
    <w:p w14:paraId="49B0A020">
      <w:pPr>
        <w:pStyle w:val="2"/>
        <w:spacing w:line="600" w:lineRule="exact"/>
        <w:ind w:firstLine="643" w:firstLineChars="20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第二部分 部门决算表</w:t>
      </w:r>
    </w:p>
    <w:p w14:paraId="658CA61E">
      <w:pPr>
        <w:pStyle w:val="2"/>
        <w:spacing w:line="600" w:lineRule="exact"/>
        <w:ind w:firstLine="640" w:firstLineChars="200"/>
        <w:rPr>
          <w:rFonts w:ascii="宋体" w:hAnsi="宋体" w:eastAsia="宋体" w:cs="仿宋_GB2312"/>
          <w:color w:val="000000" w:themeColor="text1"/>
          <w:sz w:val="32"/>
          <w:szCs w:val="32"/>
          <w14:textFill>
            <w14:solidFill>
              <w14:schemeClr w14:val="tx1"/>
            </w14:solidFill>
          </w14:textFill>
        </w:rPr>
      </w:pPr>
      <w:r>
        <w:rPr>
          <w:rFonts w:hint="eastAsia" w:ascii="宋体" w:hAnsi="宋体" w:eastAsia="宋体" w:cs="仿宋_GB2312"/>
          <w:color w:val="000000" w:themeColor="text1"/>
          <w:sz w:val="32"/>
          <w:szCs w:val="32"/>
          <w14:textFill>
            <w14:solidFill>
              <w14:schemeClr w14:val="tx1"/>
            </w14:solidFill>
          </w14:textFill>
        </w:rPr>
        <w:t>一、收入支出决算总表</w:t>
      </w:r>
    </w:p>
    <w:p w14:paraId="36D1CAA4">
      <w:pPr>
        <w:pStyle w:val="2"/>
        <w:spacing w:line="600" w:lineRule="exact"/>
        <w:ind w:firstLine="640" w:firstLineChars="200"/>
        <w:rPr>
          <w:rFonts w:ascii="宋体" w:hAnsi="宋体" w:eastAsia="宋体" w:cs="仿宋_GB2312"/>
          <w:color w:val="000000" w:themeColor="text1"/>
          <w:sz w:val="32"/>
          <w:szCs w:val="32"/>
          <w14:textFill>
            <w14:solidFill>
              <w14:schemeClr w14:val="tx1"/>
            </w14:solidFill>
          </w14:textFill>
        </w:rPr>
      </w:pPr>
      <w:r>
        <w:rPr>
          <w:rFonts w:hint="eastAsia" w:ascii="宋体" w:hAnsi="宋体" w:eastAsia="宋体" w:cs="仿宋_GB2312"/>
          <w:color w:val="000000" w:themeColor="text1"/>
          <w:sz w:val="32"/>
          <w:szCs w:val="32"/>
          <w14:textFill>
            <w14:solidFill>
              <w14:schemeClr w14:val="tx1"/>
            </w14:solidFill>
          </w14:textFill>
        </w:rPr>
        <w:t>二、收入决算表</w:t>
      </w:r>
    </w:p>
    <w:p w14:paraId="1D92BB11">
      <w:pPr>
        <w:pStyle w:val="2"/>
        <w:spacing w:line="600" w:lineRule="exact"/>
        <w:ind w:firstLine="640" w:firstLineChars="200"/>
        <w:rPr>
          <w:rFonts w:ascii="宋体" w:hAnsi="宋体" w:eastAsia="宋体" w:cs="仿宋_GB2312"/>
          <w:color w:val="000000" w:themeColor="text1"/>
          <w:sz w:val="32"/>
          <w:szCs w:val="32"/>
          <w14:textFill>
            <w14:solidFill>
              <w14:schemeClr w14:val="tx1"/>
            </w14:solidFill>
          </w14:textFill>
        </w:rPr>
      </w:pPr>
      <w:r>
        <w:rPr>
          <w:rFonts w:hint="eastAsia" w:ascii="宋体" w:hAnsi="宋体" w:eastAsia="宋体" w:cs="仿宋_GB2312"/>
          <w:color w:val="000000" w:themeColor="text1"/>
          <w:sz w:val="32"/>
          <w:szCs w:val="32"/>
          <w14:textFill>
            <w14:solidFill>
              <w14:schemeClr w14:val="tx1"/>
            </w14:solidFill>
          </w14:textFill>
        </w:rPr>
        <w:t>三、支出决算表</w:t>
      </w:r>
    </w:p>
    <w:p w14:paraId="5122BA47">
      <w:pPr>
        <w:pStyle w:val="2"/>
        <w:spacing w:line="600" w:lineRule="exact"/>
        <w:ind w:firstLine="640" w:firstLineChars="200"/>
        <w:rPr>
          <w:rFonts w:ascii="宋体" w:hAnsi="宋体" w:eastAsia="宋体" w:cs="仿宋_GB2312"/>
          <w:color w:val="000000" w:themeColor="text1"/>
          <w:sz w:val="32"/>
          <w:szCs w:val="32"/>
          <w14:textFill>
            <w14:solidFill>
              <w14:schemeClr w14:val="tx1"/>
            </w14:solidFill>
          </w14:textFill>
        </w:rPr>
      </w:pPr>
      <w:r>
        <w:rPr>
          <w:rFonts w:hint="eastAsia" w:ascii="宋体" w:hAnsi="宋体" w:eastAsia="宋体" w:cs="仿宋_GB2312"/>
          <w:color w:val="000000" w:themeColor="text1"/>
          <w:sz w:val="32"/>
          <w:szCs w:val="32"/>
          <w14:textFill>
            <w14:solidFill>
              <w14:schemeClr w14:val="tx1"/>
            </w14:solidFill>
          </w14:textFill>
        </w:rPr>
        <w:t>四、财政拨款收入支出决算总表</w:t>
      </w:r>
    </w:p>
    <w:p w14:paraId="7A22DB2B">
      <w:pPr>
        <w:pStyle w:val="2"/>
        <w:spacing w:line="600" w:lineRule="exact"/>
        <w:ind w:firstLine="640" w:firstLineChars="200"/>
        <w:rPr>
          <w:rFonts w:ascii="宋体" w:hAnsi="宋体" w:eastAsia="宋体" w:cs="仿宋_GB2312"/>
          <w:color w:val="000000" w:themeColor="text1"/>
          <w:sz w:val="32"/>
          <w:szCs w:val="32"/>
          <w14:textFill>
            <w14:solidFill>
              <w14:schemeClr w14:val="tx1"/>
            </w14:solidFill>
          </w14:textFill>
        </w:rPr>
      </w:pPr>
      <w:r>
        <w:rPr>
          <w:rFonts w:hint="eastAsia" w:ascii="宋体" w:hAnsi="宋体" w:eastAsia="宋体" w:cs="仿宋_GB2312"/>
          <w:color w:val="000000" w:themeColor="text1"/>
          <w:sz w:val="32"/>
          <w:szCs w:val="32"/>
          <w14:textFill>
            <w14:solidFill>
              <w14:schemeClr w14:val="tx1"/>
            </w14:solidFill>
          </w14:textFill>
        </w:rPr>
        <w:t>五、一般公共预算财政拨款支出决算表</w:t>
      </w:r>
    </w:p>
    <w:p w14:paraId="15F38208">
      <w:pPr>
        <w:pStyle w:val="2"/>
        <w:spacing w:line="600" w:lineRule="exact"/>
        <w:ind w:firstLine="640" w:firstLineChars="200"/>
        <w:rPr>
          <w:rFonts w:ascii="宋体" w:hAnsi="宋体" w:eastAsia="宋体" w:cs="仿宋_GB2312"/>
          <w:color w:val="000000" w:themeColor="text1"/>
          <w:sz w:val="32"/>
          <w:szCs w:val="32"/>
          <w14:textFill>
            <w14:solidFill>
              <w14:schemeClr w14:val="tx1"/>
            </w14:solidFill>
          </w14:textFill>
        </w:rPr>
      </w:pPr>
      <w:r>
        <w:rPr>
          <w:rFonts w:hint="eastAsia" w:ascii="宋体" w:hAnsi="宋体" w:eastAsia="宋体" w:cs="仿宋_GB2312"/>
          <w:color w:val="000000" w:themeColor="text1"/>
          <w:sz w:val="32"/>
          <w:szCs w:val="32"/>
          <w14:textFill>
            <w14:solidFill>
              <w14:schemeClr w14:val="tx1"/>
            </w14:solidFill>
          </w14:textFill>
        </w:rPr>
        <w:t>六、一般公共预算财政拨款基本支出决算明细表</w:t>
      </w:r>
    </w:p>
    <w:p w14:paraId="767D1F13">
      <w:pPr>
        <w:pStyle w:val="2"/>
        <w:spacing w:line="600" w:lineRule="exact"/>
        <w:ind w:firstLine="640" w:firstLineChars="200"/>
        <w:rPr>
          <w:rFonts w:ascii="宋体" w:hAnsi="宋体" w:eastAsia="宋体" w:cs="仿宋_GB2312"/>
          <w:color w:val="000000" w:themeColor="text1"/>
          <w:sz w:val="32"/>
          <w:szCs w:val="32"/>
          <w14:textFill>
            <w14:solidFill>
              <w14:schemeClr w14:val="tx1"/>
            </w14:solidFill>
          </w14:textFill>
        </w:rPr>
      </w:pPr>
      <w:r>
        <w:rPr>
          <w:rFonts w:hint="eastAsia" w:ascii="宋体" w:hAnsi="宋体" w:eastAsia="宋体" w:cs="仿宋_GB2312"/>
          <w:color w:val="000000" w:themeColor="text1"/>
          <w:sz w:val="32"/>
          <w:szCs w:val="32"/>
          <w14:textFill>
            <w14:solidFill>
              <w14:schemeClr w14:val="tx1"/>
            </w14:solidFill>
          </w14:textFill>
        </w:rPr>
        <w:t>七、政府性基金预算财政拨款收入支出决算表</w:t>
      </w:r>
    </w:p>
    <w:p w14:paraId="7823940B">
      <w:pPr>
        <w:pStyle w:val="2"/>
        <w:spacing w:line="600" w:lineRule="exact"/>
        <w:ind w:firstLine="640" w:firstLineChars="200"/>
        <w:rPr>
          <w:rFonts w:ascii="宋体" w:hAnsi="宋体" w:eastAsia="宋体" w:cs="仿宋_GB2312"/>
          <w:color w:val="000000" w:themeColor="text1"/>
          <w:sz w:val="32"/>
          <w:szCs w:val="32"/>
          <w14:textFill>
            <w14:solidFill>
              <w14:schemeClr w14:val="tx1"/>
            </w14:solidFill>
          </w14:textFill>
        </w:rPr>
      </w:pPr>
      <w:r>
        <w:rPr>
          <w:rFonts w:hint="eastAsia" w:ascii="宋体" w:hAnsi="宋体" w:eastAsia="宋体" w:cs="仿宋_GB2312"/>
          <w:color w:val="000000" w:themeColor="text1"/>
          <w:sz w:val="32"/>
          <w:szCs w:val="32"/>
          <w14:textFill>
            <w14:solidFill>
              <w14:schemeClr w14:val="tx1"/>
            </w14:solidFill>
          </w14:textFill>
        </w:rPr>
        <w:t>八、国有资本经营预算财政拨款支出决算表</w:t>
      </w:r>
    </w:p>
    <w:p w14:paraId="718971FF">
      <w:pPr>
        <w:pStyle w:val="2"/>
        <w:spacing w:line="600" w:lineRule="exact"/>
        <w:ind w:firstLine="640" w:firstLineChars="200"/>
        <w:rPr>
          <w:rFonts w:ascii="宋体" w:hAnsi="宋体" w:eastAsia="宋体" w:cs="仿宋_GB2312"/>
          <w:color w:val="000000" w:themeColor="text1"/>
          <w:sz w:val="32"/>
          <w:szCs w:val="32"/>
          <w14:textFill>
            <w14:solidFill>
              <w14:schemeClr w14:val="tx1"/>
            </w14:solidFill>
          </w14:textFill>
        </w:rPr>
      </w:pPr>
      <w:r>
        <w:rPr>
          <w:rFonts w:hint="eastAsia" w:ascii="宋体" w:hAnsi="宋体" w:eastAsia="宋体" w:cs="仿宋_GB2312"/>
          <w:color w:val="000000" w:themeColor="text1"/>
          <w:sz w:val="32"/>
          <w:szCs w:val="32"/>
          <w14:textFill>
            <w14:solidFill>
              <w14:schemeClr w14:val="tx1"/>
            </w14:solidFill>
          </w14:textFill>
        </w:rPr>
        <w:t>九、财政拨款“三公”经费支出决算表</w:t>
      </w:r>
    </w:p>
    <w:p w14:paraId="3518F272">
      <w:pPr>
        <w:pStyle w:val="2"/>
        <w:spacing w:line="600" w:lineRule="exact"/>
        <w:ind w:firstLine="643" w:firstLineChars="20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第三部分 部门决算情况说明</w:t>
      </w:r>
    </w:p>
    <w:p w14:paraId="56979416">
      <w:pPr>
        <w:pStyle w:val="2"/>
        <w:spacing w:line="600" w:lineRule="exact"/>
        <w:ind w:firstLine="640" w:firstLineChars="200"/>
        <w:rPr>
          <w:rFonts w:ascii="宋体" w:hAnsi="宋体" w:eastAsia="宋体" w:cs="仿宋_GB2312"/>
          <w:color w:val="000000" w:themeColor="text1"/>
          <w:sz w:val="32"/>
          <w:szCs w:val="32"/>
          <w14:textFill>
            <w14:solidFill>
              <w14:schemeClr w14:val="tx1"/>
            </w14:solidFill>
          </w14:textFill>
        </w:rPr>
      </w:pPr>
      <w:r>
        <w:rPr>
          <w:rFonts w:hint="eastAsia" w:ascii="宋体" w:hAnsi="宋体" w:eastAsia="宋体" w:cs="仿宋_GB2312"/>
          <w:color w:val="000000" w:themeColor="text1"/>
          <w:sz w:val="32"/>
          <w:szCs w:val="32"/>
          <w14:textFill>
            <w14:solidFill>
              <w14:schemeClr w14:val="tx1"/>
            </w14:solidFill>
          </w14:textFill>
        </w:rPr>
        <w:t>一、收入支出决算总体情况说明</w:t>
      </w:r>
    </w:p>
    <w:p w14:paraId="004914F6">
      <w:pPr>
        <w:spacing w:line="600" w:lineRule="exact"/>
        <w:ind w:firstLine="640" w:firstLineChars="200"/>
        <w:jc w:val="left"/>
        <w:rPr>
          <w:rFonts w:ascii="宋体" w:hAnsi="宋体" w:eastAsia="宋体" w:cs="仿宋_GB2312"/>
          <w:color w:val="000000" w:themeColor="text1"/>
          <w:sz w:val="32"/>
          <w:szCs w:val="32"/>
          <w14:textFill>
            <w14:solidFill>
              <w14:schemeClr w14:val="tx1"/>
            </w14:solidFill>
          </w14:textFill>
        </w:rPr>
      </w:pPr>
      <w:r>
        <w:rPr>
          <w:rFonts w:hint="eastAsia" w:ascii="宋体" w:hAnsi="宋体" w:eastAsia="宋体" w:cs="仿宋_GB2312"/>
          <w:color w:val="000000" w:themeColor="text1"/>
          <w:sz w:val="32"/>
          <w:szCs w:val="32"/>
          <w14:textFill>
            <w14:solidFill>
              <w14:schemeClr w14:val="tx1"/>
            </w14:solidFill>
          </w14:textFill>
        </w:rPr>
        <w:t>二、收入决算情况说明</w:t>
      </w:r>
    </w:p>
    <w:p w14:paraId="76779863">
      <w:pPr>
        <w:autoSpaceDE w:val="0"/>
        <w:autoSpaceDN w:val="0"/>
        <w:adjustRightInd w:val="0"/>
        <w:spacing w:line="600" w:lineRule="exact"/>
        <w:ind w:firstLine="640" w:firstLineChars="200"/>
        <w:jc w:val="left"/>
        <w:rPr>
          <w:rFonts w:ascii="宋体" w:hAnsi="宋体" w:eastAsia="宋体" w:cs="仿宋_GB2312"/>
          <w:color w:val="000000" w:themeColor="text1"/>
          <w:kern w:val="0"/>
          <w:sz w:val="32"/>
          <w:szCs w:val="32"/>
          <w14:textFill>
            <w14:solidFill>
              <w14:schemeClr w14:val="tx1"/>
            </w14:solidFill>
          </w14:textFill>
        </w:rPr>
      </w:pPr>
      <w:r>
        <w:rPr>
          <w:rFonts w:hint="eastAsia" w:ascii="宋体" w:hAnsi="宋体" w:eastAsia="宋体" w:cs="仿宋_GB2312"/>
          <w:color w:val="000000" w:themeColor="text1"/>
          <w:kern w:val="0"/>
          <w:sz w:val="32"/>
          <w:szCs w:val="32"/>
          <w14:textFill>
            <w14:solidFill>
              <w14:schemeClr w14:val="tx1"/>
            </w14:solidFill>
          </w14:textFill>
        </w:rPr>
        <w:t>三、支出决算情况说明</w:t>
      </w:r>
    </w:p>
    <w:p w14:paraId="7C5F850B">
      <w:pPr>
        <w:autoSpaceDE w:val="0"/>
        <w:autoSpaceDN w:val="0"/>
        <w:adjustRightInd w:val="0"/>
        <w:spacing w:line="600" w:lineRule="exact"/>
        <w:ind w:firstLine="640" w:firstLineChars="200"/>
        <w:jc w:val="left"/>
        <w:rPr>
          <w:rFonts w:ascii="宋体" w:hAnsi="宋体" w:eastAsia="宋体" w:cs="仿宋_GB2312"/>
          <w:color w:val="000000" w:themeColor="text1"/>
          <w:kern w:val="0"/>
          <w:sz w:val="32"/>
          <w:szCs w:val="32"/>
          <w14:textFill>
            <w14:solidFill>
              <w14:schemeClr w14:val="tx1"/>
            </w14:solidFill>
          </w14:textFill>
        </w:rPr>
      </w:pPr>
      <w:r>
        <w:rPr>
          <w:rFonts w:hint="eastAsia" w:ascii="宋体" w:hAnsi="宋体" w:eastAsia="宋体" w:cs="仿宋_GB2312"/>
          <w:color w:val="000000" w:themeColor="text1"/>
          <w:kern w:val="0"/>
          <w:sz w:val="32"/>
          <w:szCs w:val="32"/>
          <w14:textFill>
            <w14:solidFill>
              <w14:schemeClr w14:val="tx1"/>
            </w14:solidFill>
          </w14:textFill>
        </w:rPr>
        <w:t>四、财政拨款收入支出决算总体情况说明</w:t>
      </w:r>
    </w:p>
    <w:p w14:paraId="0751FE02">
      <w:pPr>
        <w:autoSpaceDE w:val="0"/>
        <w:autoSpaceDN w:val="0"/>
        <w:adjustRightInd w:val="0"/>
        <w:spacing w:line="600" w:lineRule="exact"/>
        <w:ind w:firstLine="640" w:firstLineChars="200"/>
        <w:jc w:val="left"/>
        <w:rPr>
          <w:rFonts w:ascii="宋体" w:hAnsi="宋体" w:eastAsia="宋体" w:cs="仿宋_GB2312"/>
          <w:color w:val="000000" w:themeColor="text1"/>
          <w:kern w:val="0"/>
          <w:sz w:val="32"/>
          <w:szCs w:val="32"/>
          <w14:textFill>
            <w14:solidFill>
              <w14:schemeClr w14:val="tx1"/>
            </w14:solidFill>
          </w14:textFill>
        </w:rPr>
      </w:pPr>
      <w:r>
        <w:rPr>
          <w:rFonts w:hint="eastAsia" w:ascii="宋体" w:hAnsi="宋体" w:eastAsia="宋体" w:cs="仿宋_GB2312"/>
          <w:color w:val="000000" w:themeColor="text1"/>
          <w:kern w:val="0"/>
          <w:sz w:val="32"/>
          <w:szCs w:val="32"/>
          <w14:textFill>
            <w14:solidFill>
              <w14:schemeClr w14:val="tx1"/>
            </w14:solidFill>
          </w14:textFill>
        </w:rPr>
        <w:t>五、一般公共预算财政拨款支出决算情况说明</w:t>
      </w:r>
    </w:p>
    <w:p w14:paraId="3D7D1BB1">
      <w:pPr>
        <w:autoSpaceDE w:val="0"/>
        <w:autoSpaceDN w:val="0"/>
        <w:adjustRightInd w:val="0"/>
        <w:spacing w:line="600" w:lineRule="exact"/>
        <w:ind w:firstLine="640" w:firstLineChars="200"/>
        <w:jc w:val="left"/>
        <w:rPr>
          <w:rFonts w:ascii="宋体" w:hAnsi="宋体" w:eastAsia="宋体" w:cs="仿宋_GB2312"/>
          <w:color w:val="000000" w:themeColor="text1"/>
          <w:kern w:val="0"/>
          <w:sz w:val="32"/>
          <w:szCs w:val="32"/>
          <w14:textFill>
            <w14:solidFill>
              <w14:schemeClr w14:val="tx1"/>
            </w14:solidFill>
          </w14:textFill>
        </w:rPr>
      </w:pPr>
      <w:r>
        <w:rPr>
          <w:rFonts w:hint="eastAsia" w:ascii="宋体" w:hAnsi="宋体" w:eastAsia="宋体" w:cs="仿宋_GB2312"/>
          <w:color w:val="000000" w:themeColor="text1"/>
          <w:kern w:val="0"/>
          <w:sz w:val="32"/>
          <w:szCs w:val="32"/>
          <w14:textFill>
            <w14:solidFill>
              <w14:schemeClr w14:val="tx1"/>
            </w14:solidFill>
          </w14:textFill>
        </w:rPr>
        <w:t>六、一般公共预算财政拨款基本支出决算情况说明</w:t>
      </w:r>
    </w:p>
    <w:p w14:paraId="258E42B5">
      <w:pPr>
        <w:autoSpaceDE w:val="0"/>
        <w:autoSpaceDN w:val="0"/>
        <w:adjustRightInd w:val="0"/>
        <w:spacing w:line="600" w:lineRule="exact"/>
        <w:ind w:firstLine="640" w:firstLineChars="200"/>
        <w:jc w:val="left"/>
        <w:rPr>
          <w:rFonts w:ascii="宋体" w:hAnsi="宋体" w:eastAsia="宋体" w:cs="仿宋_GB2312"/>
          <w:color w:val="000000" w:themeColor="text1"/>
          <w:kern w:val="0"/>
          <w:sz w:val="32"/>
          <w:szCs w:val="32"/>
          <w14:textFill>
            <w14:solidFill>
              <w14:schemeClr w14:val="tx1"/>
            </w14:solidFill>
          </w14:textFill>
        </w:rPr>
      </w:pPr>
      <w:r>
        <w:rPr>
          <w:rFonts w:hint="eastAsia" w:ascii="宋体" w:hAnsi="宋体" w:eastAsia="宋体" w:cs="仿宋_GB2312"/>
          <w:color w:val="000000" w:themeColor="text1"/>
          <w:kern w:val="0"/>
          <w:sz w:val="32"/>
          <w:szCs w:val="32"/>
          <w14:textFill>
            <w14:solidFill>
              <w14:schemeClr w14:val="tx1"/>
            </w14:solidFill>
          </w14:textFill>
        </w:rPr>
        <w:t>七、一般公共预算财政拨款三公经费支出决算情况说明</w:t>
      </w:r>
    </w:p>
    <w:p w14:paraId="04855C58">
      <w:pPr>
        <w:autoSpaceDE w:val="0"/>
        <w:autoSpaceDN w:val="0"/>
        <w:adjustRightInd w:val="0"/>
        <w:spacing w:line="600" w:lineRule="exact"/>
        <w:ind w:firstLine="640" w:firstLineChars="200"/>
        <w:jc w:val="left"/>
        <w:rPr>
          <w:rFonts w:ascii="宋体" w:hAnsi="宋体" w:eastAsia="宋体" w:cs="仿宋_GB2312"/>
          <w:color w:val="000000" w:themeColor="text1"/>
          <w:kern w:val="0"/>
          <w:sz w:val="32"/>
          <w:szCs w:val="32"/>
          <w14:textFill>
            <w14:solidFill>
              <w14:schemeClr w14:val="tx1"/>
            </w14:solidFill>
          </w14:textFill>
        </w:rPr>
      </w:pPr>
      <w:r>
        <w:rPr>
          <w:rFonts w:hint="eastAsia" w:ascii="宋体" w:hAnsi="宋体" w:eastAsia="宋体" w:cs="仿宋_GB2312"/>
          <w:color w:val="000000" w:themeColor="text1"/>
          <w:kern w:val="0"/>
          <w:sz w:val="32"/>
          <w:szCs w:val="32"/>
          <w14:textFill>
            <w14:solidFill>
              <w14:schemeClr w14:val="tx1"/>
            </w14:solidFill>
          </w14:textFill>
        </w:rPr>
        <w:t>八、政府性基金预算收入支出决算情况</w:t>
      </w:r>
    </w:p>
    <w:p w14:paraId="46A24DE7">
      <w:pPr>
        <w:autoSpaceDE w:val="0"/>
        <w:autoSpaceDN w:val="0"/>
        <w:adjustRightInd w:val="0"/>
        <w:spacing w:line="600" w:lineRule="exact"/>
        <w:ind w:firstLine="640" w:firstLineChars="200"/>
        <w:jc w:val="left"/>
        <w:rPr>
          <w:rFonts w:ascii="宋体" w:hAnsi="宋体" w:eastAsia="宋体" w:cs="仿宋_GB2312"/>
          <w:color w:val="000000" w:themeColor="text1"/>
          <w:kern w:val="0"/>
          <w:sz w:val="32"/>
          <w:szCs w:val="32"/>
          <w14:textFill>
            <w14:solidFill>
              <w14:schemeClr w14:val="tx1"/>
            </w14:solidFill>
          </w14:textFill>
        </w:rPr>
      </w:pPr>
      <w:r>
        <w:rPr>
          <w:rFonts w:hint="eastAsia" w:ascii="宋体" w:hAnsi="宋体" w:eastAsia="宋体" w:cs="仿宋_GB2312"/>
          <w:color w:val="000000" w:themeColor="text1"/>
          <w:kern w:val="0"/>
          <w:sz w:val="32"/>
          <w:szCs w:val="32"/>
          <w14:textFill>
            <w14:solidFill>
              <w14:schemeClr w14:val="tx1"/>
            </w14:solidFill>
          </w14:textFill>
        </w:rPr>
        <w:t>九、关于机关运行经费支出说明</w:t>
      </w:r>
    </w:p>
    <w:p w14:paraId="3B9EA570">
      <w:pPr>
        <w:autoSpaceDE w:val="0"/>
        <w:autoSpaceDN w:val="0"/>
        <w:adjustRightInd w:val="0"/>
        <w:spacing w:line="600" w:lineRule="exact"/>
        <w:ind w:firstLine="640" w:firstLineChars="200"/>
        <w:jc w:val="left"/>
        <w:rPr>
          <w:rFonts w:ascii="宋体" w:hAnsi="宋体" w:eastAsia="宋体" w:cs="仿宋_GB2312"/>
          <w:color w:val="000000" w:themeColor="text1"/>
          <w:kern w:val="0"/>
          <w:sz w:val="32"/>
          <w:szCs w:val="32"/>
          <w14:textFill>
            <w14:solidFill>
              <w14:schemeClr w14:val="tx1"/>
            </w14:solidFill>
          </w14:textFill>
        </w:rPr>
      </w:pPr>
      <w:r>
        <w:rPr>
          <w:rFonts w:hint="eastAsia" w:ascii="宋体" w:hAnsi="宋体" w:eastAsia="宋体" w:cs="仿宋_GB2312"/>
          <w:color w:val="000000" w:themeColor="text1"/>
          <w:kern w:val="0"/>
          <w:sz w:val="32"/>
          <w:szCs w:val="32"/>
          <w14:textFill>
            <w14:solidFill>
              <w14:schemeClr w14:val="tx1"/>
            </w14:solidFill>
          </w14:textFill>
        </w:rPr>
        <w:t>十、一般性支出情况说明</w:t>
      </w:r>
    </w:p>
    <w:p w14:paraId="268EE2F1">
      <w:pPr>
        <w:autoSpaceDE w:val="0"/>
        <w:autoSpaceDN w:val="0"/>
        <w:adjustRightInd w:val="0"/>
        <w:spacing w:line="600" w:lineRule="exact"/>
        <w:ind w:firstLine="640" w:firstLineChars="200"/>
        <w:jc w:val="left"/>
        <w:rPr>
          <w:rFonts w:ascii="宋体" w:hAnsi="宋体" w:eastAsia="宋体" w:cs="仿宋_GB2312"/>
          <w:color w:val="000000" w:themeColor="text1"/>
          <w:kern w:val="0"/>
          <w:sz w:val="32"/>
          <w:szCs w:val="32"/>
          <w14:textFill>
            <w14:solidFill>
              <w14:schemeClr w14:val="tx1"/>
            </w14:solidFill>
          </w14:textFill>
        </w:rPr>
      </w:pPr>
      <w:r>
        <w:rPr>
          <w:rFonts w:hint="eastAsia" w:ascii="宋体" w:hAnsi="宋体" w:eastAsia="宋体" w:cs="仿宋_GB2312"/>
          <w:color w:val="000000" w:themeColor="text1"/>
          <w:kern w:val="0"/>
          <w:sz w:val="32"/>
          <w:szCs w:val="32"/>
          <w14:textFill>
            <w14:solidFill>
              <w14:schemeClr w14:val="tx1"/>
            </w14:solidFill>
          </w14:textFill>
        </w:rPr>
        <w:t>十一、关于政府采购支出说明</w:t>
      </w:r>
    </w:p>
    <w:p w14:paraId="72EC0E94">
      <w:pPr>
        <w:pStyle w:val="2"/>
        <w:spacing w:line="600" w:lineRule="exact"/>
        <w:ind w:firstLine="640" w:firstLineChars="200"/>
        <w:rPr>
          <w:rFonts w:ascii="宋体" w:hAnsi="宋体" w:eastAsia="宋体" w:cs="仿宋_GB2312"/>
          <w:color w:val="000000" w:themeColor="text1"/>
          <w:sz w:val="32"/>
          <w:szCs w:val="32"/>
          <w14:textFill>
            <w14:solidFill>
              <w14:schemeClr w14:val="tx1"/>
            </w14:solidFill>
          </w14:textFill>
        </w:rPr>
      </w:pPr>
      <w:r>
        <w:rPr>
          <w:rFonts w:hint="eastAsia" w:ascii="宋体" w:hAnsi="宋体" w:eastAsia="宋体" w:cs="仿宋_GB2312"/>
          <w:color w:val="000000" w:themeColor="text1"/>
          <w:sz w:val="32"/>
          <w:szCs w:val="32"/>
          <w14:textFill>
            <w14:solidFill>
              <w14:schemeClr w14:val="tx1"/>
            </w14:solidFill>
          </w14:textFill>
        </w:rPr>
        <w:t>十二、关于国有资产占用情况说明</w:t>
      </w:r>
    </w:p>
    <w:p w14:paraId="05DCFBEA">
      <w:pPr>
        <w:pStyle w:val="2"/>
        <w:spacing w:line="600" w:lineRule="exact"/>
        <w:ind w:firstLine="640" w:firstLineChars="200"/>
        <w:rPr>
          <w:rFonts w:ascii="宋体" w:hAnsi="宋体" w:eastAsia="宋体" w:cs="仿宋_GB2312"/>
          <w:color w:val="000000" w:themeColor="text1"/>
          <w:sz w:val="32"/>
          <w:szCs w:val="32"/>
          <w14:textFill>
            <w14:solidFill>
              <w14:schemeClr w14:val="tx1"/>
            </w14:solidFill>
          </w14:textFill>
        </w:rPr>
      </w:pPr>
      <w:r>
        <w:rPr>
          <w:rFonts w:hint="eastAsia" w:ascii="宋体" w:hAnsi="宋体" w:eastAsia="宋体" w:cs="仿宋_GB2312"/>
          <w:color w:val="000000" w:themeColor="text1"/>
          <w:sz w:val="32"/>
          <w:szCs w:val="32"/>
          <w14:textFill>
            <w14:solidFill>
              <w14:schemeClr w14:val="tx1"/>
            </w14:solidFill>
          </w14:textFill>
        </w:rPr>
        <w:t>十三、关于预算绩效情况的说明</w:t>
      </w:r>
    </w:p>
    <w:p w14:paraId="1DDCD284">
      <w:pPr>
        <w:pStyle w:val="2"/>
        <w:spacing w:line="600" w:lineRule="exact"/>
        <w:ind w:firstLine="643" w:firstLineChars="20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第四部分 名词解释</w:t>
      </w:r>
    </w:p>
    <w:p w14:paraId="1E324078">
      <w:pPr>
        <w:widowControl/>
        <w:jc w:val="left"/>
        <w:rPr>
          <w:rFonts w:ascii="宋体" w:hAnsi="宋体" w:eastAsia="宋体" w:cs="方正小标宋_GBK"/>
          <w:color w:val="000000" w:themeColor="text1"/>
          <w:kern w:val="0"/>
          <w:sz w:val="32"/>
          <w:szCs w:val="32"/>
          <w14:textFill>
            <w14:solidFill>
              <w14:schemeClr w14:val="tx1"/>
            </w14:solidFill>
          </w14:textFill>
        </w:rPr>
      </w:pPr>
      <w:r>
        <w:rPr>
          <w:rFonts w:ascii="宋体" w:hAnsi="宋体" w:eastAsia="宋体" w:cs="方正小标宋_GBK"/>
          <w:color w:val="000000" w:themeColor="text1"/>
          <w:sz w:val="32"/>
          <w:szCs w:val="32"/>
          <w14:textFill>
            <w14:solidFill>
              <w14:schemeClr w14:val="tx1"/>
            </w14:solidFill>
          </w14:textFill>
        </w:rPr>
        <w:br w:type="page"/>
      </w:r>
    </w:p>
    <w:p w14:paraId="56B65B3A">
      <w:pPr>
        <w:pStyle w:val="2"/>
        <w:spacing w:line="600" w:lineRule="exact"/>
        <w:ind w:firstLine="643" w:firstLineChars="200"/>
        <w:jc w:val="center"/>
        <w:rPr>
          <w:rFonts w:ascii="宋体" w:hAnsi="宋体" w:eastAsia="宋体" w:cs="方正小标宋_GBK"/>
          <w:b/>
          <w:bCs/>
          <w:color w:val="000000" w:themeColor="text1"/>
          <w:sz w:val="32"/>
          <w:szCs w:val="32"/>
          <w14:textFill>
            <w14:solidFill>
              <w14:schemeClr w14:val="tx1"/>
            </w14:solidFill>
          </w14:textFill>
        </w:rPr>
      </w:pPr>
      <w:r>
        <w:rPr>
          <w:rFonts w:hint="eastAsia" w:ascii="宋体" w:hAnsi="宋体" w:eastAsia="宋体" w:cs="方正小标宋_GBK"/>
          <w:b/>
          <w:bCs/>
          <w:color w:val="000000" w:themeColor="text1"/>
          <w:sz w:val="32"/>
          <w:szCs w:val="32"/>
          <w14:textFill>
            <w14:solidFill>
              <w14:schemeClr w14:val="tx1"/>
            </w14:solidFill>
          </w14:textFill>
        </w:rPr>
        <w:t>第一部分 桃源县住房和城乡建设局概况</w:t>
      </w:r>
    </w:p>
    <w:p w14:paraId="24AFDBFF">
      <w:pPr>
        <w:pStyle w:val="16"/>
        <w:numPr>
          <w:ilvl w:val="0"/>
          <w:numId w:val="1"/>
        </w:numPr>
        <w:spacing w:line="600" w:lineRule="exact"/>
        <w:ind w:left="0" w:firstLine="643"/>
        <w:jc w:val="left"/>
        <w:rPr>
          <w:rFonts w:ascii="宋体" w:hAnsi="宋体" w:eastAsia="宋体" w:cs="黑体"/>
          <w:b/>
          <w:bCs/>
          <w:color w:val="000000" w:themeColor="text1"/>
          <w:sz w:val="32"/>
          <w:szCs w:val="32"/>
          <w14:textFill>
            <w14:solidFill>
              <w14:schemeClr w14:val="tx1"/>
            </w14:solidFill>
          </w14:textFill>
        </w:rPr>
      </w:pPr>
      <w:r>
        <w:rPr>
          <w:rFonts w:hint="eastAsia" w:ascii="宋体" w:hAnsi="宋体" w:eastAsia="宋体" w:cs="黑体"/>
          <w:b/>
          <w:bCs/>
          <w:color w:val="000000" w:themeColor="text1"/>
          <w:sz w:val="32"/>
          <w:szCs w:val="32"/>
          <w14:textFill>
            <w14:solidFill>
              <w14:schemeClr w14:val="tx1"/>
            </w14:solidFill>
          </w14:textFill>
        </w:rPr>
        <w:t>部门职责</w:t>
      </w:r>
    </w:p>
    <w:p w14:paraId="3D937EDC">
      <w:pPr>
        <w:pStyle w:val="21"/>
        <w:spacing w:line="600" w:lineRule="exact"/>
        <w:ind w:firstLine="640" w:firstLineChars="200"/>
        <w:jc w:val="both"/>
        <w:rPr>
          <w:rFonts w:eastAsia="宋体"/>
          <w:color w:val="000000" w:themeColor="text1"/>
          <w:sz w:val="32"/>
          <w:szCs w:val="32"/>
          <w:lang w:eastAsia="zh-CN"/>
          <w14:textFill>
            <w14:solidFill>
              <w14:schemeClr w14:val="tx1"/>
            </w14:solidFill>
          </w14:textFill>
        </w:rPr>
      </w:pPr>
      <w:r>
        <w:rPr>
          <w:rFonts w:eastAsia="宋体"/>
          <w:color w:val="000000" w:themeColor="text1"/>
          <w:sz w:val="32"/>
          <w:szCs w:val="32"/>
          <w14:textFill>
            <w14:solidFill>
              <w14:schemeClr w14:val="tx1"/>
            </w14:solidFill>
          </w14:textFill>
        </w:rPr>
        <w:t>桃源县住房和城乡建设局（以下简称县住建局）是县政府工作部门，为正科级。</w:t>
      </w:r>
      <w:r>
        <w:rPr>
          <w:rFonts w:hint="eastAsia" w:eastAsia="宋体"/>
          <w:color w:val="000000" w:themeColor="text1"/>
          <w:sz w:val="32"/>
          <w:szCs w:val="32"/>
          <w:lang w:eastAsia="zh-CN"/>
          <w14:textFill>
            <w14:solidFill>
              <w14:schemeClr w14:val="tx1"/>
            </w14:solidFill>
          </w14:textFill>
        </w:rPr>
        <w:t>其职责为：</w:t>
      </w:r>
    </w:p>
    <w:p w14:paraId="16A4CD4E">
      <w:pPr>
        <w:widowControl/>
        <w:spacing w:line="600" w:lineRule="exact"/>
        <w:ind w:firstLine="640" w:firstLineChars="200"/>
        <w:jc w:val="left"/>
        <w:rPr>
          <w:rFonts w:ascii="宋体" w:hAnsi="宋体" w:eastAsia="宋体"/>
          <w:color w:val="000000" w:themeColor="text1"/>
          <w:sz w:val="32"/>
          <w:szCs w:val="32"/>
          <w14:textFill>
            <w14:solidFill>
              <w14:schemeClr w14:val="tx1"/>
            </w14:solidFill>
          </w14:textFill>
        </w:rPr>
      </w:pPr>
      <w:r>
        <w:rPr>
          <w:rFonts w:ascii="宋体" w:hAnsi="宋体" w:eastAsia="宋体"/>
          <w:color w:val="000000" w:themeColor="text1"/>
          <w:sz w:val="32"/>
          <w:szCs w:val="32"/>
          <w14:textFill>
            <w14:solidFill>
              <w14:schemeClr w14:val="tx1"/>
            </w14:solidFill>
          </w14:textFill>
        </w:rPr>
        <w:t>负责全县建筑业企业资质、建筑工程、市政工程施工 许可、竣工验收备案和城市建设档案管理；牵头组织县城区房屋 建筑和市政基础设施工程项目的联合验收工作；对全县房屋建筑 和市政基础设施工程招标投标进行监督管理</w:t>
      </w:r>
      <w:r>
        <w:rPr>
          <w:rFonts w:hint="eastAsia" w:ascii="宋体" w:hAnsi="宋体" w:eastAsia="宋体"/>
          <w:color w:val="000000" w:themeColor="text1"/>
          <w:sz w:val="32"/>
          <w:szCs w:val="32"/>
          <w14:textFill>
            <w14:solidFill>
              <w14:schemeClr w14:val="tx1"/>
            </w14:solidFill>
          </w14:textFill>
        </w:rPr>
        <w:t>；</w:t>
      </w:r>
      <w:r>
        <w:rPr>
          <w:rFonts w:ascii="宋体" w:hAnsi="宋体" w:eastAsia="宋体"/>
          <w:color w:val="000000" w:themeColor="text1"/>
          <w:sz w:val="32"/>
          <w:szCs w:val="32"/>
          <w14:textFill>
            <w14:solidFill>
              <w14:schemeClr w14:val="tx1"/>
            </w14:solidFill>
          </w14:textFill>
        </w:rPr>
        <w:t>负责全县权限内工程建设造价管理，发布权限内建设工程造价信息</w:t>
      </w:r>
      <w:r>
        <w:rPr>
          <w:rFonts w:hint="eastAsia" w:ascii="宋体" w:hAnsi="宋体" w:eastAsia="宋体"/>
          <w:color w:val="000000" w:themeColor="text1"/>
          <w:sz w:val="32"/>
          <w:szCs w:val="32"/>
          <w14:textFill>
            <w14:solidFill>
              <w14:schemeClr w14:val="tx1"/>
            </w14:solidFill>
          </w14:textFill>
        </w:rPr>
        <w:t>；</w:t>
      </w:r>
      <w:r>
        <w:rPr>
          <w:rFonts w:ascii="宋体" w:hAnsi="宋体" w:eastAsia="宋体"/>
          <w:color w:val="000000" w:themeColor="text1"/>
          <w:sz w:val="32"/>
          <w:szCs w:val="32"/>
          <w14:textFill>
            <w14:solidFill>
              <w14:schemeClr w14:val="tx1"/>
            </w14:solidFill>
          </w14:textFill>
        </w:rPr>
        <w:t>负责县本级建设 工程项目初步设计审批工作；负责县城区房屋建筑、市政基础设 施工程施工图审查及备案；负责全县房屋、建设工程消防、防震的设计审查验收</w:t>
      </w:r>
      <w:r>
        <w:rPr>
          <w:rFonts w:hint="eastAsia" w:ascii="宋体" w:hAnsi="宋体" w:eastAsia="宋体"/>
          <w:color w:val="000000" w:themeColor="text1"/>
          <w:sz w:val="32"/>
          <w:szCs w:val="32"/>
          <w14:textFill>
            <w14:solidFill>
              <w14:schemeClr w14:val="tx1"/>
            </w14:solidFill>
          </w14:textFill>
        </w:rPr>
        <w:t>；</w:t>
      </w:r>
      <w:r>
        <w:rPr>
          <w:rFonts w:ascii="宋体" w:hAnsi="宋体" w:eastAsia="宋体"/>
          <w:color w:val="000000" w:themeColor="text1"/>
          <w:sz w:val="32"/>
          <w:szCs w:val="32"/>
          <w14:textFill>
            <w14:solidFill>
              <w14:schemeClr w14:val="tx1"/>
            </w14:solidFill>
          </w14:textFill>
        </w:rPr>
        <w:t>负责 城市地下空间开发利用兼顾人民防空要求的管理和监督检查；依法对城市和重要经济目标的人民防空建设进行监督检查</w:t>
      </w:r>
      <w:r>
        <w:rPr>
          <w:rFonts w:hint="eastAsia" w:ascii="宋体" w:hAnsi="宋体" w:eastAsia="宋体"/>
          <w:color w:val="000000" w:themeColor="text1"/>
          <w:sz w:val="32"/>
          <w:szCs w:val="32"/>
          <w14:textFill>
            <w14:solidFill>
              <w14:schemeClr w14:val="tx1"/>
            </w14:solidFill>
          </w14:textFill>
        </w:rPr>
        <w:t>；</w:t>
      </w:r>
      <w:r>
        <w:rPr>
          <w:rFonts w:ascii="宋体" w:hAnsi="宋体" w:eastAsia="宋体"/>
          <w:color w:val="000000" w:themeColor="text1"/>
          <w:sz w:val="32"/>
          <w:szCs w:val="32"/>
          <w14:textFill>
            <w14:solidFill>
              <w14:schemeClr w14:val="tx1"/>
            </w14:solidFill>
          </w14:textFill>
        </w:rPr>
        <w:t>负责全县房地产综合开发、房屋租赁的监督管理；负责县城区房 地产开发项目手册备案；负责全县城市商品房预（销）售管理； 负责县城区商品房预售款和存量房交易资金的监督管理；负责房 地产开发企业资质管理；负责全县房地产信息管理。负责全县房屋建筑和市政基础设施工程的质量监督 管理、施工安全监督；负责全县危险房屋管理；承担全县房屋安 全鉴定；负责全县房屋白蚁防治工作的监督管理；会同有关部门 调查处理涉及建设工程质量和安全生产责任事故</w:t>
      </w:r>
      <w:r>
        <w:rPr>
          <w:rFonts w:hint="eastAsia" w:ascii="宋体" w:hAnsi="宋体" w:eastAsia="宋体"/>
          <w:color w:val="000000" w:themeColor="text1"/>
          <w:sz w:val="32"/>
          <w:szCs w:val="32"/>
          <w14:textFill>
            <w14:solidFill>
              <w14:schemeClr w14:val="tx1"/>
            </w14:solidFill>
          </w14:textFill>
        </w:rPr>
        <w:t>；</w:t>
      </w:r>
      <w:r>
        <w:rPr>
          <w:rFonts w:ascii="宋体" w:hAnsi="宋体" w:eastAsia="宋体"/>
          <w:color w:val="000000" w:themeColor="text1"/>
          <w:sz w:val="32"/>
          <w:szCs w:val="32"/>
          <w14:textFill>
            <w14:solidFill>
              <w14:schemeClr w14:val="tx1"/>
            </w14:solidFill>
          </w14:textFill>
        </w:rPr>
        <w:t>组织全县推进新型城镇化工作；拟订全县村镇建设发展规划、措施并组织实施；负责全县村庄、集镇建设管理；指导重点镇、示范镇（村）、中心镇、特色镇、传统村落等品牌村镇的创建和建设；指导规范农村建房和农村危房改造，推进城乡 一体化建设；负责县推进新型城镇化工作领导小组的日常工作</w:t>
      </w:r>
      <w:r>
        <w:rPr>
          <w:rFonts w:hint="eastAsia" w:ascii="宋体" w:hAnsi="宋体" w:eastAsia="宋体"/>
          <w:color w:val="000000" w:themeColor="text1"/>
          <w:sz w:val="32"/>
          <w:szCs w:val="32"/>
          <w14:textFill>
            <w14:solidFill>
              <w14:schemeClr w14:val="tx1"/>
            </w14:solidFill>
          </w14:textFill>
        </w:rPr>
        <w:t>；</w:t>
      </w:r>
      <w:r>
        <w:rPr>
          <w:rFonts w:ascii="宋体" w:hAnsi="宋体" w:eastAsia="宋体"/>
          <w:color w:val="000000" w:themeColor="text1"/>
          <w:sz w:val="32"/>
          <w:szCs w:val="32"/>
          <w14:textFill>
            <w14:solidFill>
              <w14:schemeClr w14:val="tx1"/>
            </w14:solidFill>
          </w14:textFill>
        </w:rPr>
        <w:t>负责全县物业服务行为的监督管理；负责指导全县 范围内物业服务招标投标工作；组织、指导、监督县城区房地产 项目房屋维修资金归集和使用管理</w:t>
      </w:r>
      <w:r>
        <w:rPr>
          <w:rFonts w:hint="eastAsia" w:ascii="宋体" w:hAnsi="宋体" w:eastAsia="宋体"/>
          <w:color w:val="000000" w:themeColor="text1"/>
          <w:sz w:val="32"/>
          <w:szCs w:val="32"/>
          <w14:textFill>
            <w14:solidFill>
              <w14:schemeClr w14:val="tx1"/>
            </w14:solidFill>
          </w14:textFill>
        </w:rPr>
        <w:t>；</w:t>
      </w:r>
      <w:r>
        <w:rPr>
          <w:rFonts w:ascii="宋体" w:hAnsi="宋体" w:eastAsia="宋体"/>
          <w:color w:val="000000" w:themeColor="text1"/>
          <w:sz w:val="32"/>
          <w:szCs w:val="32"/>
          <w14:textFill>
            <w14:solidFill>
              <w14:schemeClr w14:val="tx1"/>
            </w14:solidFill>
          </w14:textFill>
        </w:rPr>
        <w:t>负责县城区城 市道路、市政公用设施及城市桥梁的维护管理，负责城市道路临 时占用、挖掘修复审批和监督管理，负责地下管网建设及运用等 工作；负责城乡燃气热力、节约用水、给排水、污水处理及其附 属设施的规划建设工作</w:t>
      </w:r>
      <w:r>
        <w:rPr>
          <w:rFonts w:hint="eastAsia" w:ascii="宋体" w:hAnsi="宋体" w:eastAsia="宋体"/>
          <w:color w:val="000000" w:themeColor="text1"/>
          <w:sz w:val="32"/>
          <w:szCs w:val="32"/>
          <w14:textFill>
            <w14:solidFill>
              <w14:schemeClr w14:val="tx1"/>
            </w14:solidFill>
          </w14:textFill>
        </w:rPr>
        <w:t>；</w:t>
      </w:r>
      <w:r>
        <w:rPr>
          <w:rFonts w:ascii="宋体" w:hAnsi="宋体" w:eastAsia="宋体"/>
          <w:color w:val="000000" w:themeColor="text1"/>
          <w:sz w:val="32"/>
          <w:szCs w:val="32"/>
          <w14:textFill>
            <w14:solidFill>
              <w14:schemeClr w14:val="tx1"/>
            </w14:solidFill>
          </w14:textFill>
        </w:rPr>
        <w:t>负责房屋建筑和市政基础设施工程、人民防空工程、 保障性安居工程、房地产市场的行政执法工作</w:t>
      </w:r>
      <w:r>
        <w:rPr>
          <w:rFonts w:hint="eastAsia" w:ascii="宋体" w:hAnsi="宋体" w:eastAsia="宋体"/>
          <w:color w:val="000000" w:themeColor="text1"/>
          <w:sz w:val="32"/>
          <w:szCs w:val="32"/>
          <w14:textFill>
            <w14:solidFill>
              <w14:schemeClr w14:val="tx1"/>
            </w14:solidFill>
          </w14:textFill>
        </w:rPr>
        <w:t>；</w:t>
      </w:r>
      <w:r>
        <w:rPr>
          <w:rFonts w:ascii="宋体" w:hAnsi="宋体" w:eastAsia="宋体"/>
          <w:color w:val="000000" w:themeColor="text1"/>
          <w:sz w:val="32"/>
          <w:szCs w:val="32"/>
          <w14:textFill>
            <w14:solidFill>
              <w14:schemeClr w14:val="tx1"/>
            </w14:solidFill>
          </w14:textFill>
        </w:rPr>
        <w:t>负责全县住房和城乡建设</w:t>
      </w:r>
      <w:r>
        <w:rPr>
          <w:rFonts w:hint="eastAsia" w:ascii="宋体" w:hAnsi="宋体" w:eastAsia="宋体"/>
          <w:color w:val="000000" w:themeColor="text1"/>
          <w:sz w:val="32"/>
          <w:szCs w:val="32"/>
          <w14:textFill>
            <w14:solidFill>
              <w14:schemeClr w14:val="tx1"/>
            </w14:solidFill>
          </w14:textFill>
        </w:rPr>
        <w:t>。</w:t>
      </w:r>
    </w:p>
    <w:p w14:paraId="32D3E9A7">
      <w:pPr>
        <w:widowControl/>
        <w:spacing w:line="600" w:lineRule="exact"/>
        <w:ind w:firstLine="643" w:firstLineChars="200"/>
        <w:rPr>
          <w:rFonts w:ascii="宋体" w:hAnsi="宋体" w:eastAsia="宋体" w:cs="黑体"/>
          <w:b/>
          <w:color w:val="000000" w:themeColor="text1"/>
          <w:kern w:val="0"/>
          <w:sz w:val="32"/>
          <w:szCs w:val="32"/>
          <w14:textFill>
            <w14:solidFill>
              <w14:schemeClr w14:val="tx1"/>
            </w14:solidFill>
          </w14:textFill>
        </w:rPr>
      </w:pPr>
      <w:r>
        <w:rPr>
          <w:rFonts w:hint="eastAsia" w:ascii="宋体" w:hAnsi="宋体" w:eastAsia="宋体" w:cs="黑体"/>
          <w:b/>
          <w:color w:val="000000" w:themeColor="text1"/>
          <w:kern w:val="0"/>
          <w:sz w:val="32"/>
          <w:szCs w:val="32"/>
          <w14:textFill>
            <w14:solidFill>
              <w14:schemeClr w14:val="tx1"/>
            </w14:solidFill>
          </w14:textFill>
        </w:rPr>
        <w:t>二、机构设置及决算单位构成</w:t>
      </w:r>
    </w:p>
    <w:p w14:paraId="6C782D7C">
      <w:pPr>
        <w:widowControl/>
        <w:spacing w:line="600" w:lineRule="exact"/>
        <w:ind w:firstLine="643" w:firstLineChars="200"/>
        <w:jc w:val="left"/>
        <w:rPr>
          <w:rFonts w:ascii="宋体" w:hAnsi="宋体" w:eastAsia="宋体" w:cs="仿宋_GB2312"/>
          <w:bCs/>
          <w:color w:val="000000" w:themeColor="text1"/>
          <w:kern w:val="0"/>
          <w:sz w:val="32"/>
          <w:szCs w:val="32"/>
          <w14:textFill>
            <w14:solidFill>
              <w14:schemeClr w14:val="tx1"/>
            </w14:solidFill>
          </w14:textFill>
        </w:rPr>
      </w:pPr>
      <w:r>
        <w:rPr>
          <w:rFonts w:hint="eastAsia" w:ascii="宋体" w:hAnsi="宋体" w:eastAsia="宋体" w:cs="仿宋_GB2312"/>
          <w:b/>
          <w:color w:val="000000" w:themeColor="text1"/>
          <w:kern w:val="0"/>
          <w:sz w:val="32"/>
          <w:szCs w:val="32"/>
          <w14:textFill>
            <w14:solidFill>
              <w14:schemeClr w14:val="tx1"/>
            </w14:solidFill>
          </w14:textFill>
        </w:rPr>
        <w:t>（一）内设机构设置</w:t>
      </w:r>
      <w:r>
        <w:rPr>
          <w:rFonts w:hint="eastAsia" w:ascii="宋体" w:hAnsi="宋体" w:eastAsia="宋体" w:cs="仿宋_GB2312"/>
          <w:bCs/>
          <w:color w:val="000000" w:themeColor="text1"/>
          <w:kern w:val="0"/>
          <w:sz w:val="32"/>
          <w:szCs w:val="32"/>
          <w14:textFill>
            <w14:solidFill>
              <w14:schemeClr w14:val="tx1"/>
            </w14:solidFill>
          </w14:textFill>
        </w:rPr>
        <w:t>。</w:t>
      </w:r>
    </w:p>
    <w:p w14:paraId="09510FC4">
      <w:pPr>
        <w:widowControl/>
        <w:spacing w:line="600" w:lineRule="exact"/>
        <w:ind w:firstLine="640" w:firstLineChars="200"/>
        <w:jc w:val="left"/>
        <w:rPr>
          <w:rFonts w:ascii="宋体" w:hAnsi="宋体" w:eastAsia="宋体" w:cs="Arial"/>
          <w:color w:val="000000" w:themeColor="text1"/>
          <w:sz w:val="32"/>
          <w:szCs w:val="32"/>
          <w:shd w:val="clear" w:color="auto" w:fill="FFFFFF"/>
          <w14:textFill>
            <w14:solidFill>
              <w14:schemeClr w14:val="tx1"/>
            </w14:solidFill>
          </w14:textFill>
        </w:rPr>
      </w:pPr>
      <w:r>
        <w:rPr>
          <w:rFonts w:hint="eastAsia" w:ascii="宋体" w:hAnsi="宋体" w:eastAsia="宋体" w:cs="Arial"/>
          <w:color w:val="000000" w:themeColor="text1"/>
          <w:sz w:val="32"/>
          <w:szCs w:val="32"/>
          <w:shd w:val="clear" w:color="auto" w:fill="FFFFFF"/>
          <w14:textFill>
            <w14:solidFill>
              <w14:schemeClr w14:val="tx1"/>
            </w14:solidFill>
          </w14:textFill>
        </w:rPr>
        <w:t>桃源县住房和城乡建设局是具有行政管理职能的正科级单位，下属有独立核算的一级预算单位桃源县市政公用事业管理处。局机关共设14个股室站队全部纳入2023年部门预算编制范围：办公室（法制股与其合署办公）、组织人事股、财务审计股、行政审批服务办公室、建筑业管理股、城乡建设管理股、安全生产监督管理股、消防工程监督管理股、房地产开发和物业管理股（住房保障管理股合署办公）、建设工程招标投标管理办公室、桃源县建筑工程质量安全监督管理站、建设执法监察大队、城建档案馆、危房改造办公室。</w:t>
      </w:r>
    </w:p>
    <w:p w14:paraId="200860DE">
      <w:pPr>
        <w:widowControl/>
        <w:spacing w:line="600" w:lineRule="exact"/>
        <w:ind w:firstLine="643" w:firstLineChars="200"/>
        <w:rPr>
          <w:rFonts w:ascii="宋体" w:hAnsi="宋体" w:eastAsia="宋体" w:cs="仿宋_GB2312"/>
          <w:b/>
          <w:color w:val="000000" w:themeColor="text1"/>
          <w:kern w:val="0"/>
          <w:sz w:val="32"/>
          <w:szCs w:val="32"/>
          <w14:textFill>
            <w14:solidFill>
              <w14:schemeClr w14:val="tx1"/>
            </w14:solidFill>
          </w14:textFill>
        </w:rPr>
      </w:pPr>
      <w:r>
        <w:rPr>
          <w:rFonts w:hint="eastAsia" w:ascii="宋体" w:hAnsi="宋体" w:eastAsia="宋体" w:cs="仿宋_GB2312"/>
          <w:b/>
          <w:color w:val="000000" w:themeColor="text1"/>
          <w:kern w:val="0"/>
          <w:sz w:val="32"/>
          <w:szCs w:val="32"/>
          <w14:textFill>
            <w14:solidFill>
              <w14:schemeClr w14:val="tx1"/>
            </w14:solidFill>
          </w14:textFill>
        </w:rPr>
        <w:t>（二）决算单位构成。</w:t>
      </w:r>
    </w:p>
    <w:p w14:paraId="3C33A4FF">
      <w:pPr>
        <w:widowControl/>
        <w:spacing w:line="600" w:lineRule="exact"/>
        <w:ind w:firstLine="640" w:firstLineChars="200"/>
        <w:rPr>
          <w:rFonts w:ascii="宋体" w:hAnsi="宋体" w:eastAsia="宋体" w:cs="仿宋_GB2312"/>
          <w:bCs/>
          <w:color w:val="000000" w:themeColor="text1"/>
          <w:kern w:val="0"/>
          <w:sz w:val="32"/>
          <w:szCs w:val="32"/>
          <w14:textFill>
            <w14:solidFill>
              <w14:schemeClr w14:val="tx1"/>
            </w14:solidFill>
          </w14:textFill>
        </w:rPr>
      </w:pPr>
      <w:r>
        <w:rPr>
          <w:rFonts w:hint="eastAsia" w:ascii="宋体" w:hAnsi="宋体" w:eastAsia="宋体" w:cs="Arial"/>
          <w:color w:val="000000" w:themeColor="text1"/>
          <w:sz w:val="32"/>
          <w:szCs w:val="32"/>
          <w:shd w:val="clear" w:color="auto" w:fill="FFFFFF"/>
          <w14:textFill>
            <w14:solidFill>
              <w14:schemeClr w14:val="tx1"/>
            </w14:solidFill>
          </w14:textFill>
        </w:rPr>
        <w:t>桃源县住房和城乡建设局</w:t>
      </w:r>
      <w:r>
        <w:rPr>
          <w:rFonts w:hint="eastAsia" w:ascii="宋体" w:hAnsi="宋体" w:eastAsia="宋体" w:cs="仿宋_GB2312"/>
          <w:bCs/>
          <w:color w:val="000000" w:themeColor="text1"/>
          <w:kern w:val="0"/>
          <w:sz w:val="32"/>
          <w:szCs w:val="32"/>
          <w14:textFill>
            <w14:solidFill>
              <w14:schemeClr w14:val="tx1"/>
            </w14:solidFill>
          </w14:textFill>
        </w:rPr>
        <w:t>2022年部门决算汇总公开单位构成包括：</w:t>
      </w:r>
      <w:r>
        <w:rPr>
          <w:rFonts w:hint="eastAsia" w:ascii="宋体" w:hAnsi="宋体" w:eastAsia="宋体" w:cs="Arial"/>
          <w:color w:val="000000" w:themeColor="text1"/>
          <w:sz w:val="32"/>
          <w:szCs w:val="32"/>
          <w:shd w:val="clear" w:color="auto" w:fill="FFFFFF"/>
          <w14:textFill>
            <w14:solidFill>
              <w14:schemeClr w14:val="tx1"/>
            </w14:solidFill>
          </w14:textFill>
        </w:rPr>
        <w:t>桃源县住房和城乡建设局</w:t>
      </w:r>
      <w:r>
        <w:rPr>
          <w:rFonts w:hint="eastAsia" w:ascii="宋体" w:hAnsi="宋体" w:eastAsia="宋体" w:cs="仿宋_GB2312"/>
          <w:bCs/>
          <w:color w:val="000000" w:themeColor="text1"/>
          <w:kern w:val="0"/>
          <w:sz w:val="32"/>
          <w:szCs w:val="32"/>
          <w14:textFill>
            <w14:solidFill>
              <w14:schemeClr w14:val="tx1"/>
            </w14:solidFill>
          </w14:textFill>
        </w:rPr>
        <w:t>单位本级。</w:t>
      </w:r>
    </w:p>
    <w:p w14:paraId="0FF02D25">
      <w:pPr>
        <w:spacing w:line="600" w:lineRule="exact"/>
        <w:ind w:firstLine="640" w:firstLineChars="200"/>
        <w:jc w:val="left"/>
        <w:rPr>
          <w:rFonts w:ascii="宋体" w:hAnsi="宋体" w:eastAsia="宋体"/>
          <w:color w:val="000000" w:themeColor="text1"/>
          <w:sz w:val="32"/>
          <w:szCs w:val="32"/>
          <w14:textFill>
            <w14:solidFill>
              <w14:schemeClr w14:val="tx1"/>
            </w14:solidFill>
          </w14:textFill>
        </w:rPr>
      </w:pPr>
    </w:p>
    <w:p w14:paraId="0D2289A1">
      <w:pPr>
        <w:widowControl/>
        <w:jc w:val="left"/>
        <w:rPr>
          <w:rFonts w:ascii="宋体" w:hAnsi="宋体" w:eastAsia="宋体" w:cs="方正小标宋_GBK"/>
          <w:color w:val="000000" w:themeColor="text1"/>
          <w:kern w:val="0"/>
          <w:sz w:val="32"/>
          <w:szCs w:val="32"/>
          <w14:textFill>
            <w14:solidFill>
              <w14:schemeClr w14:val="tx1"/>
            </w14:solidFill>
          </w14:textFill>
        </w:rPr>
      </w:pPr>
      <w:r>
        <w:rPr>
          <w:rFonts w:ascii="宋体" w:hAnsi="宋体" w:eastAsia="宋体" w:cs="方正小标宋_GBK"/>
          <w:color w:val="000000" w:themeColor="text1"/>
          <w:sz w:val="32"/>
          <w:szCs w:val="32"/>
          <w14:textFill>
            <w14:solidFill>
              <w14:schemeClr w14:val="tx1"/>
            </w14:solidFill>
          </w14:textFill>
        </w:rPr>
        <w:br w:type="page"/>
      </w:r>
    </w:p>
    <w:p w14:paraId="025B3B52">
      <w:pPr>
        <w:pStyle w:val="2"/>
        <w:spacing w:line="600" w:lineRule="exact"/>
        <w:ind w:firstLine="643" w:firstLineChars="200"/>
        <w:jc w:val="center"/>
        <w:rPr>
          <w:rFonts w:ascii="宋体" w:hAnsi="宋体" w:eastAsia="宋体" w:cs="方正小标宋_GBK"/>
          <w:b/>
          <w:bCs/>
          <w:color w:val="000000" w:themeColor="text1"/>
          <w:sz w:val="32"/>
          <w:szCs w:val="32"/>
          <w14:textFill>
            <w14:solidFill>
              <w14:schemeClr w14:val="tx1"/>
            </w14:solidFill>
          </w14:textFill>
        </w:rPr>
      </w:pPr>
      <w:r>
        <w:rPr>
          <w:rFonts w:hint="eastAsia" w:ascii="宋体" w:hAnsi="宋体" w:eastAsia="宋体" w:cs="方正小标宋_GBK"/>
          <w:b/>
          <w:bCs/>
          <w:color w:val="000000" w:themeColor="text1"/>
          <w:sz w:val="32"/>
          <w:szCs w:val="32"/>
          <w14:textFill>
            <w14:solidFill>
              <w14:schemeClr w14:val="tx1"/>
            </w14:solidFill>
          </w14:textFill>
        </w:rPr>
        <w:t>第二部分 部门决算表</w:t>
      </w:r>
    </w:p>
    <w:p w14:paraId="6E36147A">
      <w:pPr>
        <w:spacing w:line="600" w:lineRule="exact"/>
        <w:ind w:firstLine="562" w:firstLineChars="200"/>
        <w:jc w:val="center"/>
        <w:rPr>
          <w:rFonts w:ascii="宋体" w:hAnsi="宋体" w:eastAsia="宋体"/>
          <w:b/>
          <w:bCs/>
          <w:color w:val="000000" w:themeColor="text1"/>
          <w:sz w:val="28"/>
          <w:szCs w:val="28"/>
          <w14:textFill>
            <w14:solidFill>
              <w14:schemeClr w14:val="tx1"/>
            </w14:solidFill>
          </w14:textFill>
        </w:rPr>
      </w:pPr>
    </w:p>
    <w:p w14:paraId="449C0BEA">
      <w:pPr>
        <w:pStyle w:val="2"/>
        <w:jc w:val="center"/>
        <w:rPr>
          <w:rFonts w:hint="eastAsia" w:ascii="宋体" w:hAnsi="宋体" w:eastAsia="宋体"/>
          <w:b/>
          <w:bCs/>
          <w:sz w:val="28"/>
          <w:szCs w:val="28"/>
        </w:rPr>
        <w:sectPr>
          <w:pgSz w:w="11906" w:h="16838"/>
          <w:pgMar w:top="720" w:right="720" w:bottom="720" w:left="720" w:header="851" w:footer="992" w:gutter="0"/>
          <w:cols w:space="425" w:num="1"/>
          <w:docGrid w:type="lines" w:linePitch="312" w:charSpace="0"/>
        </w:sectPr>
      </w:pPr>
      <w:r>
        <w:rPr>
          <w:rFonts w:hint="eastAsia" w:ascii="宋体" w:hAnsi="宋体" w:eastAsia="宋体"/>
          <w:b/>
          <w:bCs/>
          <w:sz w:val="28"/>
          <w:szCs w:val="28"/>
        </w:rPr>
        <w:t>（见附表）</w:t>
      </w:r>
    </w:p>
    <w:p w14:paraId="713C80B6">
      <w:pPr>
        <w:pStyle w:val="2"/>
        <w:spacing w:line="600" w:lineRule="exact"/>
        <w:ind w:firstLine="640" w:firstLineChars="200"/>
        <w:jc w:val="center"/>
        <w:rPr>
          <w:rFonts w:ascii="宋体" w:hAnsi="宋体" w:eastAsia="宋体" w:cs="方正小标宋_GBK"/>
          <w:b/>
          <w:bCs/>
          <w:color w:val="000000" w:themeColor="text1"/>
          <w:sz w:val="32"/>
          <w:szCs w:val="32"/>
          <w14:textFill>
            <w14:solidFill>
              <w14:schemeClr w14:val="tx1"/>
            </w14:solidFill>
          </w14:textFill>
        </w:rPr>
      </w:pPr>
      <w:r>
        <w:rPr>
          <w:rFonts w:hint="eastAsia" w:ascii="宋体" w:hAnsi="宋体" w:eastAsia="宋体" w:cs="方正小标宋_GBK"/>
          <w:b/>
          <w:bCs/>
          <w:color w:val="000000" w:themeColor="text1"/>
          <w:sz w:val="32"/>
          <w:szCs w:val="32"/>
          <w14:textFill>
            <w14:solidFill>
              <w14:schemeClr w14:val="tx1"/>
            </w14:solidFill>
          </w14:textFill>
        </w:rPr>
        <w:t>第三部分 2022年度部门决算情况说明</w:t>
      </w:r>
    </w:p>
    <w:p w14:paraId="39B12283">
      <w:pPr>
        <w:pStyle w:val="2"/>
        <w:spacing w:line="600" w:lineRule="exact"/>
        <w:ind w:firstLine="640" w:firstLineChars="200"/>
        <w:rPr>
          <w:rFonts w:ascii="宋体" w:hAnsi="宋体" w:eastAsia="宋体" w:cs="方正小标宋_GBK"/>
          <w:b/>
          <w:bCs/>
          <w:color w:val="000000" w:themeColor="text1"/>
          <w:sz w:val="32"/>
          <w:szCs w:val="32"/>
          <w14:textFill>
            <w14:solidFill>
              <w14:schemeClr w14:val="tx1"/>
            </w14:solidFill>
          </w14:textFill>
        </w:rPr>
      </w:pPr>
      <w:r>
        <w:rPr>
          <w:rFonts w:hint="eastAsia" w:ascii="宋体" w:hAnsi="宋体" w:eastAsia="宋体" w:cs="方正小标宋_GBK"/>
          <w:b/>
          <w:bCs/>
          <w:color w:val="000000" w:themeColor="text1"/>
          <w:sz w:val="32"/>
          <w:szCs w:val="32"/>
          <w14:textFill>
            <w14:solidFill>
              <w14:schemeClr w14:val="tx1"/>
            </w14:solidFill>
          </w14:textFill>
        </w:rPr>
        <w:t>一</w:t>
      </w:r>
      <w:r>
        <w:rPr>
          <w:rFonts w:hint="eastAsia" w:ascii="宋体" w:hAnsi="宋体" w:eastAsia="宋体"/>
          <w:b/>
          <w:bCs/>
          <w:color w:val="000000" w:themeColor="text1"/>
          <w:sz w:val="32"/>
          <w:szCs w:val="32"/>
          <w14:textFill>
            <w14:solidFill>
              <w14:schemeClr w14:val="tx1"/>
            </w14:solidFill>
          </w14:textFill>
        </w:rPr>
        <w:t>、收入支出决算总体情况说明</w:t>
      </w:r>
    </w:p>
    <w:p w14:paraId="3B3B478C">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2022年度收、支总计各6499.89万元。与上年相比，增加2325.58万元，增长56%，主要是因为2022年基础设施工程完结付款等。</w:t>
      </w:r>
    </w:p>
    <w:p w14:paraId="2BE4FB9C">
      <w:pPr>
        <w:pStyle w:val="2"/>
        <w:spacing w:line="600" w:lineRule="exact"/>
        <w:ind w:firstLine="640" w:firstLineChars="20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二、收入决算情况说明</w:t>
      </w:r>
    </w:p>
    <w:p w14:paraId="1778A433">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2022年度收入合计5808.44万元，其中：财政拨款收入5808.44万元，占100%；上级补助收入0万元，占0%；事业收入0万元，占0%；经营收入0万元，占0%；附属单位上缴收入0万元，占0%；其他收入0万元，占0%。</w:t>
      </w:r>
    </w:p>
    <w:p w14:paraId="01095DC1">
      <w:pPr>
        <w:pStyle w:val="2"/>
        <w:spacing w:line="600" w:lineRule="exact"/>
        <w:ind w:firstLine="640" w:firstLineChars="20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三、支出决算情况说明</w:t>
      </w:r>
    </w:p>
    <w:p w14:paraId="1C127713">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2022年度支出合计6499.89万元，其中：基本支出1120.29万元，占18%；项目支出5379.6万元，占82%；上缴上级支出0万元，占0%；经营支出0万元，占0%；对附属单位补助支出0万元，占0%。</w:t>
      </w:r>
    </w:p>
    <w:p w14:paraId="452E5619">
      <w:pPr>
        <w:pStyle w:val="2"/>
        <w:spacing w:line="600" w:lineRule="exact"/>
        <w:ind w:firstLine="640" w:firstLineChars="20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四、财政拨款收入支出决算总体情况说明</w:t>
      </w:r>
    </w:p>
    <w:p w14:paraId="02B0362F">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2022年度财政拨款收、支总计各6499.89万元，与上年相比，增加2325.58万元，增长56%，主要是因为2022年基础设施工程完结付款等。</w:t>
      </w:r>
    </w:p>
    <w:p w14:paraId="49AE82AA">
      <w:pPr>
        <w:pStyle w:val="2"/>
        <w:spacing w:line="600" w:lineRule="exact"/>
        <w:ind w:firstLine="640" w:firstLineChars="20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五、一般公共预算财政拨款支出决算情况说明</w:t>
      </w:r>
    </w:p>
    <w:p w14:paraId="720F44E4">
      <w:pPr>
        <w:pStyle w:val="2"/>
        <w:spacing w:line="600" w:lineRule="exact"/>
        <w:ind w:firstLine="640" w:firstLineChars="200"/>
        <w:rPr>
          <w:rFonts w:ascii="宋体" w:hAnsi="宋体" w:eastAsia="宋体" w:cs="楷体"/>
          <w:b/>
          <w:color w:val="000000" w:themeColor="text1"/>
          <w:sz w:val="32"/>
          <w:szCs w:val="32"/>
          <w14:textFill>
            <w14:solidFill>
              <w14:schemeClr w14:val="tx1"/>
            </w14:solidFill>
          </w14:textFill>
        </w:rPr>
      </w:pPr>
      <w:r>
        <w:rPr>
          <w:rFonts w:hint="eastAsia" w:ascii="宋体" w:hAnsi="宋体" w:eastAsia="宋体" w:cs="楷体"/>
          <w:b/>
          <w:color w:val="000000" w:themeColor="text1"/>
          <w:sz w:val="32"/>
          <w:szCs w:val="32"/>
          <w14:textFill>
            <w14:solidFill>
              <w14:schemeClr w14:val="tx1"/>
            </w14:solidFill>
          </w14:textFill>
        </w:rPr>
        <w:t>（一）财政拨款支出决算总体情况</w:t>
      </w:r>
    </w:p>
    <w:p w14:paraId="2E7548ED">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2022年度财政拨款支出</w:t>
      </w:r>
      <w:r>
        <w:rPr>
          <w:rFonts w:ascii="宋体" w:hAnsi="宋体" w:eastAsia="宋体"/>
          <w:color w:val="000000" w:themeColor="text1"/>
          <w:sz w:val="32"/>
          <w:szCs w:val="32"/>
          <w14:textFill>
            <w14:solidFill>
              <w14:schemeClr w14:val="tx1"/>
            </w14:solidFill>
          </w14:textFill>
        </w:rPr>
        <w:t>4802.77</w:t>
      </w:r>
      <w:r>
        <w:rPr>
          <w:rFonts w:hint="eastAsia" w:ascii="宋体" w:hAnsi="宋体" w:eastAsia="宋体"/>
          <w:color w:val="000000" w:themeColor="text1"/>
          <w:sz w:val="32"/>
          <w:szCs w:val="32"/>
          <w14:textFill>
            <w14:solidFill>
              <w14:schemeClr w14:val="tx1"/>
            </w14:solidFill>
          </w14:textFill>
        </w:rPr>
        <w:t>万元，占本年支出合计的</w:t>
      </w:r>
      <w:r>
        <w:rPr>
          <w:rFonts w:ascii="宋体" w:hAnsi="宋体" w:eastAsia="宋体"/>
          <w:color w:val="000000" w:themeColor="text1"/>
          <w:sz w:val="32"/>
          <w:szCs w:val="32"/>
          <w14:textFill>
            <w14:solidFill>
              <w14:schemeClr w14:val="tx1"/>
            </w14:solidFill>
          </w14:textFill>
        </w:rPr>
        <w:t>73.89</w:t>
      </w:r>
      <w:r>
        <w:rPr>
          <w:rFonts w:hint="eastAsia" w:ascii="宋体" w:hAnsi="宋体" w:eastAsia="宋体"/>
          <w:color w:val="000000" w:themeColor="text1"/>
          <w:sz w:val="32"/>
          <w:szCs w:val="32"/>
          <w14:textFill>
            <w14:solidFill>
              <w14:schemeClr w14:val="tx1"/>
            </w14:solidFill>
          </w14:textFill>
        </w:rPr>
        <w:t>%，与上年相比，财政拨款支出增加2325.58万元，增长94%，主要是因为2022年付基础设施工程完结付款、支付农村危房改造补助等。</w:t>
      </w:r>
    </w:p>
    <w:p w14:paraId="6722726F">
      <w:pPr>
        <w:pStyle w:val="2"/>
        <w:spacing w:line="600" w:lineRule="exact"/>
        <w:ind w:firstLine="640" w:firstLineChars="200"/>
        <w:rPr>
          <w:rFonts w:ascii="宋体" w:hAnsi="宋体" w:eastAsia="宋体" w:cs="楷体"/>
          <w:b/>
          <w:color w:val="000000" w:themeColor="text1"/>
          <w:sz w:val="32"/>
          <w:szCs w:val="32"/>
          <w14:textFill>
            <w14:solidFill>
              <w14:schemeClr w14:val="tx1"/>
            </w14:solidFill>
          </w14:textFill>
        </w:rPr>
      </w:pPr>
      <w:r>
        <w:rPr>
          <w:rFonts w:hint="eastAsia" w:ascii="宋体" w:hAnsi="宋体" w:eastAsia="宋体" w:cs="楷体"/>
          <w:b/>
          <w:color w:val="000000" w:themeColor="text1"/>
          <w:sz w:val="32"/>
          <w:szCs w:val="32"/>
          <w14:textFill>
            <w14:solidFill>
              <w14:schemeClr w14:val="tx1"/>
            </w14:solidFill>
          </w14:textFill>
        </w:rPr>
        <w:t>（二）财政拨款支出决算结构情况</w:t>
      </w:r>
    </w:p>
    <w:p w14:paraId="03BD62DA">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2022年度财政拨款支出</w:t>
      </w:r>
      <w:r>
        <w:rPr>
          <w:rFonts w:ascii="宋体" w:hAnsi="宋体" w:eastAsia="宋体"/>
          <w:color w:val="000000" w:themeColor="text1"/>
          <w:sz w:val="32"/>
          <w:szCs w:val="32"/>
          <w14:textFill>
            <w14:solidFill>
              <w14:schemeClr w14:val="tx1"/>
            </w14:solidFill>
          </w14:textFill>
        </w:rPr>
        <w:t>4802.77</w:t>
      </w:r>
      <w:r>
        <w:rPr>
          <w:rFonts w:hint="eastAsia" w:ascii="宋体" w:hAnsi="宋体" w:eastAsia="宋体"/>
          <w:color w:val="000000" w:themeColor="text1"/>
          <w:sz w:val="32"/>
          <w:szCs w:val="32"/>
          <w14:textFill>
            <w14:solidFill>
              <w14:schemeClr w14:val="tx1"/>
            </w14:solidFill>
          </w14:textFill>
        </w:rPr>
        <w:t>万元，主要用于以下方面：一般公共服务（类）支出7.81万元，占0.1</w:t>
      </w:r>
      <w:r>
        <w:rPr>
          <w:rFonts w:ascii="宋体" w:hAnsi="宋体" w:eastAsia="宋体"/>
          <w:color w:val="000000" w:themeColor="text1"/>
          <w:sz w:val="32"/>
          <w:szCs w:val="32"/>
          <w14:textFill>
            <w14:solidFill>
              <w14:schemeClr w14:val="tx1"/>
            </w14:solidFill>
          </w14:textFill>
        </w:rPr>
        <w:t>6</w:t>
      </w:r>
      <w:r>
        <w:rPr>
          <w:rFonts w:hint="eastAsia" w:ascii="宋体" w:hAnsi="宋体" w:eastAsia="宋体"/>
          <w:color w:val="000000" w:themeColor="text1"/>
          <w:sz w:val="32"/>
          <w:szCs w:val="32"/>
          <w14:textFill>
            <w14:solidFill>
              <w14:schemeClr w14:val="tx1"/>
            </w14:solidFill>
          </w14:textFill>
        </w:rPr>
        <w:t>%；国防支出（类）支出81.72万元，占1.</w:t>
      </w:r>
      <w:r>
        <w:rPr>
          <w:rFonts w:ascii="宋体" w:hAnsi="宋体" w:eastAsia="宋体"/>
          <w:color w:val="000000" w:themeColor="text1"/>
          <w:sz w:val="32"/>
          <w:szCs w:val="32"/>
          <w14:textFill>
            <w14:solidFill>
              <w14:schemeClr w14:val="tx1"/>
            </w14:solidFill>
          </w14:textFill>
        </w:rPr>
        <w:t>7</w:t>
      </w:r>
      <w:r>
        <w:rPr>
          <w:rFonts w:hint="eastAsia" w:ascii="宋体" w:hAnsi="宋体" w:eastAsia="宋体"/>
          <w:color w:val="000000" w:themeColor="text1"/>
          <w:sz w:val="32"/>
          <w:szCs w:val="32"/>
          <w14:textFill>
            <w14:solidFill>
              <w14:schemeClr w14:val="tx1"/>
            </w14:solidFill>
          </w14:textFill>
        </w:rPr>
        <w:t>%；社会保障和就业支出（类）支出76.05万元，占1.</w:t>
      </w:r>
      <w:r>
        <w:rPr>
          <w:rFonts w:ascii="宋体" w:hAnsi="宋体" w:eastAsia="宋体"/>
          <w:color w:val="000000" w:themeColor="text1"/>
          <w:sz w:val="32"/>
          <w:szCs w:val="32"/>
          <w14:textFill>
            <w14:solidFill>
              <w14:schemeClr w14:val="tx1"/>
            </w14:solidFill>
          </w14:textFill>
        </w:rPr>
        <w:t>58</w:t>
      </w:r>
      <w:r>
        <w:rPr>
          <w:rFonts w:hint="eastAsia" w:ascii="宋体" w:hAnsi="宋体" w:eastAsia="宋体"/>
          <w:color w:val="000000" w:themeColor="text1"/>
          <w:sz w:val="32"/>
          <w:szCs w:val="32"/>
          <w14:textFill>
            <w14:solidFill>
              <w14:schemeClr w14:val="tx1"/>
            </w14:solidFill>
          </w14:textFill>
        </w:rPr>
        <w:t>%；卫生健康支出（类）支出31.62万元，占0.</w:t>
      </w:r>
      <w:r>
        <w:rPr>
          <w:rFonts w:ascii="宋体" w:hAnsi="宋体" w:eastAsia="宋体"/>
          <w:color w:val="000000" w:themeColor="text1"/>
          <w:sz w:val="32"/>
          <w:szCs w:val="32"/>
          <w14:textFill>
            <w14:solidFill>
              <w14:schemeClr w14:val="tx1"/>
            </w14:solidFill>
          </w14:textFill>
        </w:rPr>
        <w:t>66</w:t>
      </w:r>
      <w:r>
        <w:rPr>
          <w:rFonts w:hint="eastAsia" w:ascii="宋体" w:hAnsi="宋体" w:eastAsia="宋体"/>
          <w:color w:val="000000" w:themeColor="text1"/>
          <w:sz w:val="32"/>
          <w:szCs w:val="32"/>
          <w14:textFill>
            <w14:solidFill>
              <w14:schemeClr w14:val="tx1"/>
            </w14:solidFill>
          </w14:textFill>
        </w:rPr>
        <w:t>%；节能环保支出（类）支出2932.15万元，占</w:t>
      </w:r>
      <w:r>
        <w:rPr>
          <w:rFonts w:ascii="宋体" w:hAnsi="宋体" w:eastAsia="宋体"/>
          <w:color w:val="000000" w:themeColor="text1"/>
          <w:sz w:val="32"/>
          <w:szCs w:val="32"/>
          <w14:textFill>
            <w14:solidFill>
              <w14:schemeClr w14:val="tx1"/>
            </w14:solidFill>
          </w14:textFill>
        </w:rPr>
        <w:t>61.05</w:t>
      </w:r>
      <w:r>
        <w:rPr>
          <w:rFonts w:hint="eastAsia" w:ascii="宋体" w:hAnsi="宋体" w:eastAsia="宋体"/>
          <w:color w:val="000000" w:themeColor="text1"/>
          <w:sz w:val="32"/>
          <w:szCs w:val="32"/>
          <w14:textFill>
            <w14:solidFill>
              <w14:schemeClr w14:val="tx1"/>
            </w14:solidFill>
          </w14:textFill>
        </w:rPr>
        <w:t>%；城乡社区支出（类）支出</w:t>
      </w:r>
      <w:r>
        <w:rPr>
          <w:rFonts w:ascii="宋体" w:hAnsi="宋体" w:eastAsia="宋体"/>
          <w:color w:val="000000" w:themeColor="text1"/>
          <w:sz w:val="32"/>
          <w:szCs w:val="32"/>
          <w14:textFill>
            <w14:solidFill>
              <w14:schemeClr w14:val="tx1"/>
            </w14:solidFill>
          </w14:textFill>
        </w:rPr>
        <w:t>787.18</w:t>
      </w:r>
      <w:r>
        <w:rPr>
          <w:rFonts w:hint="eastAsia" w:ascii="宋体" w:hAnsi="宋体" w:eastAsia="宋体"/>
          <w:color w:val="000000" w:themeColor="text1"/>
          <w:sz w:val="32"/>
          <w:szCs w:val="32"/>
          <w14:textFill>
            <w14:solidFill>
              <w14:schemeClr w14:val="tx1"/>
            </w14:solidFill>
          </w14:textFill>
        </w:rPr>
        <w:t>万元，占</w:t>
      </w:r>
      <w:r>
        <w:rPr>
          <w:rFonts w:ascii="宋体" w:hAnsi="宋体" w:eastAsia="宋体"/>
          <w:color w:val="000000" w:themeColor="text1"/>
          <w:sz w:val="32"/>
          <w:szCs w:val="32"/>
          <w14:textFill>
            <w14:solidFill>
              <w14:schemeClr w14:val="tx1"/>
            </w14:solidFill>
          </w14:textFill>
        </w:rPr>
        <w:t>16.39</w:t>
      </w:r>
      <w:r>
        <w:rPr>
          <w:rFonts w:hint="eastAsia" w:ascii="宋体" w:hAnsi="宋体" w:eastAsia="宋体"/>
          <w:color w:val="000000" w:themeColor="text1"/>
          <w:sz w:val="32"/>
          <w:szCs w:val="32"/>
          <w14:textFill>
            <w14:solidFill>
              <w14:schemeClr w14:val="tx1"/>
            </w14:solidFill>
          </w14:textFill>
        </w:rPr>
        <w:t>%；住房保障支出（类）支出835.5万元，占</w:t>
      </w:r>
      <w:r>
        <w:rPr>
          <w:rFonts w:ascii="宋体" w:hAnsi="宋体" w:eastAsia="宋体"/>
          <w:color w:val="000000" w:themeColor="text1"/>
          <w:sz w:val="32"/>
          <w:szCs w:val="32"/>
          <w14:textFill>
            <w14:solidFill>
              <w14:schemeClr w14:val="tx1"/>
            </w14:solidFill>
          </w14:textFill>
        </w:rPr>
        <w:t>17.4</w:t>
      </w:r>
      <w:r>
        <w:rPr>
          <w:rFonts w:hint="eastAsia" w:ascii="宋体" w:hAnsi="宋体" w:eastAsia="宋体"/>
          <w:color w:val="000000" w:themeColor="text1"/>
          <w:sz w:val="32"/>
          <w:szCs w:val="32"/>
          <w14:textFill>
            <w14:solidFill>
              <w14:schemeClr w14:val="tx1"/>
            </w14:solidFill>
          </w14:textFill>
        </w:rPr>
        <w:t>%；灾害防治及应急管理支出（类）支出50.73万元，占</w:t>
      </w:r>
      <w:r>
        <w:rPr>
          <w:rFonts w:ascii="宋体" w:hAnsi="宋体" w:eastAsia="宋体"/>
          <w:color w:val="000000" w:themeColor="text1"/>
          <w:sz w:val="32"/>
          <w:szCs w:val="32"/>
          <w14:textFill>
            <w14:solidFill>
              <w14:schemeClr w14:val="tx1"/>
            </w14:solidFill>
          </w14:textFill>
        </w:rPr>
        <w:t>1.06</w:t>
      </w:r>
      <w:r>
        <w:rPr>
          <w:rFonts w:hint="eastAsia" w:ascii="宋体" w:hAnsi="宋体" w:eastAsia="宋体"/>
          <w:color w:val="000000" w:themeColor="text1"/>
          <w:sz w:val="32"/>
          <w:szCs w:val="32"/>
          <w14:textFill>
            <w14:solidFill>
              <w14:schemeClr w14:val="tx1"/>
            </w14:solidFill>
          </w14:textFill>
        </w:rPr>
        <w:t>%。</w:t>
      </w:r>
    </w:p>
    <w:p w14:paraId="65967909">
      <w:pPr>
        <w:pStyle w:val="2"/>
        <w:spacing w:line="600" w:lineRule="exact"/>
        <w:ind w:firstLine="640" w:firstLineChars="200"/>
        <w:rPr>
          <w:rFonts w:ascii="宋体" w:hAnsi="宋体" w:eastAsia="宋体" w:cs="楷体"/>
          <w:b/>
          <w:color w:val="000000" w:themeColor="text1"/>
          <w:sz w:val="32"/>
          <w:szCs w:val="32"/>
          <w14:textFill>
            <w14:solidFill>
              <w14:schemeClr w14:val="tx1"/>
            </w14:solidFill>
          </w14:textFill>
        </w:rPr>
      </w:pPr>
      <w:r>
        <w:rPr>
          <w:rFonts w:hint="eastAsia" w:ascii="宋体" w:hAnsi="宋体" w:eastAsia="宋体" w:cs="楷体"/>
          <w:b/>
          <w:color w:val="000000" w:themeColor="text1"/>
          <w:sz w:val="32"/>
          <w:szCs w:val="32"/>
          <w14:textFill>
            <w14:solidFill>
              <w14:schemeClr w14:val="tx1"/>
            </w14:solidFill>
          </w14:textFill>
        </w:rPr>
        <w:t>（三）财政拨款支出决算具体情况</w:t>
      </w:r>
    </w:p>
    <w:p w14:paraId="0B079FDE">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2022年度财政拨款支出年初预算数为7957.97万元，支出决算数为4802.77万元，完成年初预算的60.35%，其中：</w:t>
      </w:r>
    </w:p>
    <w:p w14:paraId="28F69759">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1、一般公共服务支出（类）组织事务（款）一般行政管理事务（项）。</w:t>
      </w:r>
    </w:p>
    <w:p w14:paraId="5F3C6DE7">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年初预算为9.9万元，支出决算为0.9万元，完成年初预算的9.09%，决算数小于年初预算数的主要原因是：预算支出为一般公共服务类年初预算，两者为包含关系。</w:t>
      </w:r>
    </w:p>
    <w:p w14:paraId="21A15E77">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2、一般公共服务支出（类）组织事务（款）公务员事务（项）。</w:t>
      </w:r>
    </w:p>
    <w:p w14:paraId="002110E6">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年初预算为9.9万元，支出决算为0.6万元，完成年初预算的6.06%，决算数小于年初预算数的主要原因是：预算支出为一般公共服务类年初预算，两者为包含关系。</w:t>
      </w:r>
    </w:p>
    <w:p w14:paraId="22A17376">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3、一般公共服务支出（类）组织事务（款）其他组织事务支出（项）。</w:t>
      </w:r>
    </w:p>
    <w:p w14:paraId="52C00836">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年初预算为9.9万元，支出决算为5.76万元，完成年初预算的58.19%，决算数小于年初预算数的主要原因是：预算支出为一般公共服务类年初预算，两者为包含关系。</w:t>
      </w:r>
    </w:p>
    <w:p w14:paraId="70FA59BC">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4、一般公共服务支出（类）其他共产党事务支出（款）其他共产党事务支出（项）。</w:t>
      </w:r>
    </w:p>
    <w:p w14:paraId="512D5D39">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年初预算为9.9万元，支出决算为0.55万元，完成年初预算的5.56%，决算数小于年初预算数的主要原因是：预算支出为一般公共服务类年初预算，两者为包含关系。</w:t>
      </w:r>
    </w:p>
    <w:p w14:paraId="38B8188D">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5、国防支出（类）国防动员（款）人民防空（项）。</w:t>
      </w:r>
    </w:p>
    <w:p w14:paraId="102AFEDC">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年初预算为400万元，支出决算为81.72万元，完成年初预算的20.43%，决算数小于年初预算数的主要原因是：项目未完工，未付款。</w:t>
      </w:r>
    </w:p>
    <w:p w14:paraId="5363A75C">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 xml:space="preserve">6、社会保障和就业支出（类）人力资源和社会保障管理事务（款）事业运行（项）。       </w:t>
      </w:r>
    </w:p>
    <w:p w14:paraId="309AA876">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年初预算为74.27万元，支出决算为1.2万元，完成年初预算的1.62%，决算数小于年初预算数的主要原因是：按预算支出为社会保障和就业支出类年初预算，两者为包含关系。</w:t>
      </w:r>
    </w:p>
    <w:p w14:paraId="50183CD9">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 xml:space="preserve">7、社会保障和就业支出（类）人力资源和社会保障管理事务（款）其他人力资源和社会保障管理事务支出（项）。       </w:t>
      </w:r>
    </w:p>
    <w:p w14:paraId="319A02FB">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年初预算为74.27万元，支出决算为0.83万元，完成年初预算的1.12%，决算数小于年初预算数的主要原因是：按预算支出为社会保障和就业支出类年初预算，两者为包含关系。</w:t>
      </w:r>
    </w:p>
    <w:p w14:paraId="3CA0AE4E">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 xml:space="preserve">8、社会保障和就业支出（类）行政事业单位养老支出（款）机关事业单位基本养老保险缴费支出（项）。       </w:t>
      </w:r>
    </w:p>
    <w:p w14:paraId="6E009931">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年初预算为74.27万元，支出决算为74.02万元，完成年初预算的99.67%，决算数小于年初预算数的主要原因是：按预算支出为社会保障和就业支出年初预算，两者为包含关系。</w:t>
      </w:r>
    </w:p>
    <w:p w14:paraId="76517108">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9、卫生健康支出（类）行政事业单位医疗（款）事业单位医疗（项）。</w:t>
      </w:r>
    </w:p>
    <w:p w14:paraId="6BF5F885">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年初预算为31.96万元，支出决算为31.62万元，完成年初预算的98.94%，决算数小于年初预算数的主要原因是：按照实际支出，人员变动等因素导致。</w:t>
      </w:r>
    </w:p>
    <w:p w14:paraId="1ABAA98D">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 xml:space="preserve">10、节能环保支出（类）污染防治（款）水体（项）。       </w:t>
      </w:r>
    </w:p>
    <w:p w14:paraId="303F658A">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年初预算为0万元，支出决算为2662.15万元（完成年初预算比例因年初预算金额为0，无法计算超预算百分比），决算数大于年初预算数的主要原因是：当年新增项目。</w:t>
      </w:r>
    </w:p>
    <w:p w14:paraId="44E7560A">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 xml:space="preserve">11、节能环保支出（类）其他节能环保支出（款）其他节能环保支出（项）。       </w:t>
      </w:r>
    </w:p>
    <w:p w14:paraId="11753A97">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年初预算为0万元，支出决算为270万元（完成年初预算比例因年初预算金额为0，无法计算超预算百分比），决算数大于年初预算数的主要原因是：当年新增项目。</w:t>
      </w:r>
    </w:p>
    <w:p w14:paraId="5A5A5623">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12、城乡社区支出（类）城乡社区管理事务（款）行政运行（项）。</w:t>
      </w:r>
    </w:p>
    <w:p w14:paraId="33D8132E">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年初预算为2446.82万元，支出决算为691.96万元，完成年初预算的28.28%，决算数小于年初预算数的主要原因是：按预算支出为城乡社区支出类年初预算，两者为包含关系。</w:t>
      </w:r>
    </w:p>
    <w:p w14:paraId="2897E0F8">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13、城乡社区支出（类）城乡社区公共设施（款）其他城乡社区公共设施支出（项）。</w:t>
      </w:r>
    </w:p>
    <w:p w14:paraId="4C705FCA">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年初预算为2446.82万元，支出决算为55万元，完成年初预算的2.25%，决算数小于年初预算数的主要原因是：按预算支出为城乡社区支出类年初预算，两者为包含关系。</w:t>
      </w:r>
    </w:p>
    <w:p w14:paraId="2C67D456">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1</w:t>
      </w:r>
      <w:r>
        <w:rPr>
          <w:rFonts w:ascii="宋体" w:hAnsi="宋体" w:eastAsia="宋体"/>
          <w:color w:val="000000" w:themeColor="text1"/>
          <w:sz w:val="32"/>
          <w:szCs w:val="32"/>
          <w14:textFill>
            <w14:solidFill>
              <w14:schemeClr w14:val="tx1"/>
            </w14:solidFill>
          </w14:textFill>
        </w:rPr>
        <w:t>4</w:t>
      </w:r>
      <w:r>
        <w:rPr>
          <w:rFonts w:hint="eastAsia" w:ascii="宋体" w:hAnsi="宋体" w:eastAsia="宋体"/>
          <w:color w:val="000000" w:themeColor="text1"/>
          <w:sz w:val="32"/>
          <w:szCs w:val="32"/>
          <w14:textFill>
            <w14:solidFill>
              <w14:schemeClr w14:val="tx1"/>
            </w14:solidFill>
          </w14:textFill>
        </w:rPr>
        <w:t>、城乡社区支出（类）其他城乡社区支出（款）其他城乡社区支出（项）。</w:t>
      </w:r>
    </w:p>
    <w:p w14:paraId="09CBEFB7">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年初预算为2446.82万元，支出决算为40.21万元，完成年初预算的1.65%，决算数小于年初预算数的主要原因是：按预算支出为城乡社区支出类年初预算，两者为包含关系。</w:t>
      </w:r>
    </w:p>
    <w:p w14:paraId="3C3777DE">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1</w:t>
      </w:r>
      <w:r>
        <w:rPr>
          <w:rFonts w:ascii="宋体" w:hAnsi="宋体" w:eastAsia="宋体"/>
          <w:color w:val="000000" w:themeColor="text1"/>
          <w:sz w:val="32"/>
          <w:szCs w:val="32"/>
          <w14:textFill>
            <w14:solidFill>
              <w14:schemeClr w14:val="tx1"/>
            </w14:solidFill>
          </w14:textFill>
        </w:rPr>
        <w:t>5</w:t>
      </w:r>
      <w:r>
        <w:rPr>
          <w:rFonts w:hint="eastAsia" w:ascii="宋体" w:hAnsi="宋体" w:eastAsia="宋体"/>
          <w:color w:val="000000" w:themeColor="text1"/>
          <w:sz w:val="32"/>
          <w:szCs w:val="32"/>
          <w14:textFill>
            <w14:solidFill>
              <w14:schemeClr w14:val="tx1"/>
            </w14:solidFill>
          </w14:textFill>
        </w:rPr>
        <w:t>、住房保障支出（类）保障性安居工程支出（款）农村危房改造（项）。</w:t>
      </w:r>
    </w:p>
    <w:p w14:paraId="26F1E975">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年初预算为120.62万元，支出决算为781.3万元，完成年初预算的677.74%，决算数大于年初预算数的主要原因是：预算为本年度住房公积金预算数，农村危房改造为省级补助，当年新增。</w:t>
      </w:r>
    </w:p>
    <w:p w14:paraId="3A5B9513">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1</w:t>
      </w:r>
      <w:r>
        <w:rPr>
          <w:rFonts w:ascii="宋体" w:hAnsi="宋体" w:eastAsia="宋体"/>
          <w:color w:val="000000" w:themeColor="text1"/>
          <w:sz w:val="32"/>
          <w:szCs w:val="32"/>
          <w14:textFill>
            <w14:solidFill>
              <w14:schemeClr w14:val="tx1"/>
            </w14:solidFill>
          </w14:textFill>
        </w:rPr>
        <w:t>6</w:t>
      </w:r>
      <w:r>
        <w:rPr>
          <w:rFonts w:hint="eastAsia" w:ascii="宋体" w:hAnsi="宋体" w:eastAsia="宋体"/>
          <w:color w:val="000000" w:themeColor="text1"/>
          <w:sz w:val="32"/>
          <w:szCs w:val="32"/>
          <w14:textFill>
            <w14:solidFill>
              <w14:schemeClr w14:val="tx1"/>
            </w14:solidFill>
          </w14:textFill>
        </w:rPr>
        <w:t>、住房保障支出（类）住房改革支出（款）住房公积金（项）。</w:t>
      </w:r>
    </w:p>
    <w:p w14:paraId="1F857ACC">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年初预算为120.62万元，支出决算为54.2万元，完成年初预算的44.94%，决算数小于年初预算数的主要原因是：按预算支出为人员变动等因素影响。</w:t>
      </w:r>
    </w:p>
    <w:p w14:paraId="4F27A8CF">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1</w:t>
      </w:r>
      <w:r>
        <w:rPr>
          <w:rFonts w:ascii="宋体" w:hAnsi="宋体" w:eastAsia="宋体"/>
          <w:color w:val="000000" w:themeColor="text1"/>
          <w:sz w:val="32"/>
          <w:szCs w:val="32"/>
          <w14:textFill>
            <w14:solidFill>
              <w14:schemeClr w14:val="tx1"/>
            </w14:solidFill>
          </w14:textFill>
        </w:rPr>
        <w:t>7</w:t>
      </w:r>
      <w:r>
        <w:rPr>
          <w:rFonts w:hint="eastAsia" w:ascii="宋体" w:hAnsi="宋体" w:eastAsia="宋体"/>
          <w:color w:val="000000" w:themeColor="text1"/>
          <w:sz w:val="32"/>
          <w:szCs w:val="32"/>
          <w14:textFill>
            <w14:solidFill>
              <w14:schemeClr w14:val="tx1"/>
            </w14:solidFill>
          </w14:textFill>
        </w:rPr>
        <w:t>、灾害防治及应急管理支出（类）自然灾害防治（款）其他自然灾害防治支出（项）。</w:t>
      </w:r>
    </w:p>
    <w:p w14:paraId="23C9996D">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年初预算为0万元，支出决算为50.73万元（完成年初预算比例因年初预算金额为0，无法计算超预算百分比），决算数大于年初预算数的主要原因是：当年新增项目。</w:t>
      </w:r>
    </w:p>
    <w:p w14:paraId="6D40037E">
      <w:pPr>
        <w:pStyle w:val="2"/>
        <w:spacing w:line="600" w:lineRule="exact"/>
        <w:ind w:firstLine="640" w:firstLineChars="20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六、一般公共预算财政拨款基本支出决算情况说明</w:t>
      </w:r>
    </w:p>
    <w:p w14:paraId="6CD79DDD">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2022年度财政拨款基本支出</w:t>
      </w:r>
      <w:r>
        <w:rPr>
          <w:rFonts w:ascii="宋体" w:hAnsi="宋体" w:eastAsia="宋体"/>
          <w:color w:val="000000" w:themeColor="text1"/>
          <w:sz w:val="32"/>
          <w:szCs w:val="32"/>
          <w14:textFill>
            <w14:solidFill>
              <w14:schemeClr w14:val="tx1"/>
            </w14:solidFill>
          </w14:textFill>
        </w:rPr>
        <w:t>860.78</w:t>
      </w:r>
      <w:r>
        <w:rPr>
          <w:rFonts w:hint="eastAsia" w:ascii="宋体" w:hAnsi="宋体" w:eastAsia="宋体"/>
          <w:color w:val="000000" w:themeColor="text1"/>
          <w:sz w:val="32"/>
          <w:szCs w:val="32"/>
          <w14:textFill>
            <w14:solidFill>
              <w14:schemeClr w14:val="tx1"/>
            </w14:solidFill>
          </w14:textFill>
        </w:rPr>
        <w:t>万元，其中：</w:t>
      </w:r>
      <w:r>
        <w:rPr>
          <w:rFonts w:hint="eastAsia" w:ascii="宋体" w:hAnsi="宋体" w:eastAsia="宋体"/>
          <w:b/>
          <w:bCs/>
          <w:color w:val="000000" w:themeColor="text1"/>
          <w:sz w:val="32"/>
          <w:szCs w:val="32"/>
          <w14:textFill>
            <w14:solidFill>
              <w14:schemeClr w14:val="tx1"/>
            </w14:solidFill>
          </w14:textFill>
        </w:rPr>
        <w:t>人员经费</w:t>
      </w:r>
      <w:r>
        <w:rPr>
          <w:rFonts w:ascii="宋体" w:hAnsi="宋体" w:eastAsia="宋体"/>
          <w:color w:val="000000" w:themeColor="text1"/>
          <w:sz w:val="32"/>
          <w:szCs w:val="32"/>
          <w14:textFill>
            <w14:solidFill>
              <w14:schemeClr w14:val="tx1"/>
            </w14:solidFill>
          </w14:textFill>
        </w:rPr>
        <w:t>799.52</w:t>
      </w:r>
      <w:r>
        <w:rPr>
          <w:rFonts w:hint="eastAsia" w:ascii="宋体" w:hAnsi="宋体" w:eastAsia="宋体"/>
          <w:color w:val="000000" w:themeColor="text1"/>
          <w:sz w:val="32"/>
          <w:szCs w:val="32"/>
          <w14:textFill>
            <w14:solidFill>
              <w14:schemeClr w14:val="tx1"/>
            </w14:solidFill>
          </w14:textFill>
        </w:rPr>
        <w:t>万元，占基本支出的</w:t>
      </w:r>
      <w:r>
        <w:rPr>
          <w:rFonts w:ascii="宋体" w:hAnsi="宋体" w:eastAsia="宋体"/>
          <w:color w:val="000000" w:themeColor="text1"/>
          <w:sz w:val="32"/>
          <w:szCs w:val="32"/>
          <w14:textFill>
            <w14:solidFill>
              <w14:schemeClr w14:val="tx1"/>
            </w14:solidFill>
          </w14:textFill>
        </w:rPr>
        <w:t>92.89</w:t>
      </w:r>
      <w:r>
        <w:rPr>
          <w:rFonts w:hint="eastAsia" w:ascii="宋体" w:hAnsi="宋体" w:eastAsia="宋体"/>
          <w:color w:val="000000" w:themeColor="text1"/>
          <w:sz w:val="32"/>
          <w:szCs w:val="32"/>
          <w14:textFill>
            <w14:solidFill>
              <w14:schemeClr w14:val="tx1"/>
            </w14:solidFill>
          </w14:textFill>
        </w:rPr>
        <w:t>%,主要包括基本工资、津贴补贴、奖金、伙食补助费、机关事业单位基本养老保险缴费、职业年金缴费、职工基本医疗保险缴费、其他社会保障缴费、住房公积金、抚恤金、生活补助及奖励金。</w:t>
      </w:r>
      <w:r>
        <w:rPr>
          <w:rFonts w:hint="eastAsia" w:ascii="宋体" w:hAnsi="宋体" w:eastAsia="宋体"/>
          <w:b/>
          <w:bCs/>
          <w:color w:val="000000" w:themeColor="text1"/>
          <w:sz w:val="32"/>
          <w:szCs w:val="32"/>
          <w14:textFill>
            <w14:solidFill>
              <w14:schemeClr w14:val="tx1"/>
            </w14:solidFill>
          </w14:textFill>
        </w:rPr>
        <w:t>公用经费</w:t>
      </w:r>
      <w:r>
        <w:rPr>
          <w:rFonts w:ascii="宋体" w:hAnsi="宋体" w:eastAsia="宋体"/>
          <w:color w:val="000000" w:themeColor="text1"/>
          <w:sz w:val="32"/>
          <w:szCs w:val="32"/>
          <w14:textFill>
            <w14:solidFill>
              <w14:schemeClr w14:val="tx1"/>
            </w14:solidFill>
          </w14:textFill>
        </w:rPr>
        <w:t>61.26</w:t>
      </w:r>
      <w:r>
        <w:rPr>
          <w:rFonts w:hint="eastAsia" w:ascii="宋体" w:hAnsi="宋体" w:eastAsia="宋体"/>
          <w:color w:val="000000" w:themeColor="text1"/>
          <w:sz w:val="32"/>
          <w:szCs w:val="32"/>
          <w14:textFill>
            <w14:solidFill>
              <w14:schemeClr w14:val="tx1"/>
            </w14:solidFill>
          </w14:textFill>
        </w:rPr>
        <w:t>万元，占基本支出的</w:t>
      </w:r>
      <w:r>
        <w:rPr>
          <w:rFonts w:ascii="宋体" w:hAnsi="宋体" w:eastAsia="宋体"/>
          <w:color w:val="000000" w:themeColor="text1"/>
          <w:sz w:val="32"/>
          <w:szCs w:val="32"/>
          <w14:textFill>
            <w14:solidFill>
              <w14:schemeClr w14:val="tx1"/>
            </w14:solidFill>
          </w14:textFill>
        </w:rPr>
        <w:t>7</w:t>
      </w:r>
      <w:r>
        <w:rPr>
          <w:rFonts w:hint="eastAsia" w:ascii="宋体" w:hAnsi="宋体" w:eastAsia="宋体"/>
          <w:color w:val="000000" w:themeColor="text1"/>
          <w:sz w:val="32"/>
          <w:szCs w:val="32"/>
          <w14:textFill>
            <w14:solidFill>
              <w14:schemeClr w14:val="tx1"/>
            </w14:solidFill>
          </w14:textFill>
        </w:rPr>
        <w:t>.1</w:t>
      </w:r>
      <w:r>
        <w:rPr>
          <w:rFonts w:ascii="宋体" w:hAnsi="宋体" w:eastAsia="宋体"/>
          <w:color w:val="000000" w:themeColor="text1"/>
          <w:sz w:val="32"/>
          <w:szCs w:val="32"/>
          <w14:textFill>
            <w14:solidFill>
              <w14:schemeClr w14:val="tx1"/>
            </w14:solidFill>
          </w14:textFill>
        </w:rPr>
        <w:t>1%</w:t>
      </w:r>
      <w:r>
        <w:rPr>
          <w:rFonts w:hint="eastAsia" w:ascii="宋体" w:hAnsi="宋体" w:eastAsia="宋体"/>
          <w:color w:val="000000" w:themeColor="text1"/>
          <w:sz w:val="32"/>
          <w:szCs w:val="32"/>
          <w14:textFill>
            <w14:solidFill>
              <w14:schemeClr w14:val="tx1"/>
            </w14:solidFill>
          </w14:textFill>
        </w:rPr>
        <w:t>，主要包括办公费、印刷费、水电费、邮电费、物业管理费、差旅费、维修（护）费、培训费、公务接待费、福利费、其他交通费用及其他商品和服务支出。</w:t>
      </w:r>
    </w:p>
    <w:p w14:paraId="7761BA71">
      <w:pPr>
        <w:pStyle w:val="2"/>
        <w:spacing w:line="600" w:lineRule="exact"/>
        <w:ind w:firstLine="640" w:firstLineChars="20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七、财政拨款三公经费支出决算情况说明</w:t>
      </w:r>
    </w:p>
    <w:p w14:paraId="1B686D26">
      <w:pPr>
        <w:pStyle w:val="2"/>
        <w:spacing w:line="600" w:lineRule="exact"/>
        <w:ind w:firstLine="640" w:firstLineChars="200"/>
        <w:rPr>
          <w:rFonts w:ascii="宋体" w:hAnsi="宋体" w:eastAsia="宋体" w:cs="楷体"/>
          <w:b/>
          <w:color w:val="000000" w:themeColor="text1"/>
          <w:sz w:val="32"/>
          <w:szCs w:val="32"/>
          <w14:textFill>
            <w14:solidFill>
              <w14:schemeClr w14:val="tx1"/>
            </w14:solidFill>
          </w14:textFill>
        </w:rPr>
      </w:pPr>
      <w:r>
        <w:rPr>
          <w:rFonts w:hint="eastAsia" w:ascii="宋体" w:hAnsi="宋体" w:eastAsia="宋体" w:cs="楷体"/>
          <w:b/>
          <w:color w:val="000000" w:themeColor="text1"/>
          <w:sz w:val="32"/>
          <w:szCs w:val="32"/>
          <w14:textFill>
            <w14:solidFill>
              <w14:schemeClr w14:val="tx1"/>
            </w14:solidFill>
          </w14:textFill>
        </w:rPr>
        <w:t>（一）“三公”经费财政拨款支出决算总体情况说明</w:t>
      </w:r>
    </w:p>
    <w:p w14:paraId="109D5B3A">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“三公”经费财政拨款支出预算为39万元，支出决算为25.74万元，完成预算的66%，其中：</w:t>
      </w:r>
    </w:p>
    <w:p w14:paraId="5AB67EB6">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1、因公出国（境）费支出预算为0万元，支出决算为0万元（完成年初预算比例因年初预算金额为0，无法计算超预算百分比），决算数等于预算数的主要原因是单位实际情况无因公出国情况，与上年相比持平，持平的主要原因是去年今年均无此项预算和决算。</w:t>
      </w:r>
    </w:p>
    <w:p w14:paraId="450000C0">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2、公务接待费支出预算为30万元，支出决算为25.74万元，完成预算的86%，决算数小于预算数的主要原因是单位严格控制接待费支出，与上年相比减少0.26万元，减少1%,减少的主要原因是本单位厉行节约，严格按标准控制公务接待费。</w:t>
      </w:r>
    </w:p>
    <w:p w14:paraId="46CD6D5B">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3、公务用车购置费及运行维护费支出预算为9.00万元，支出决算为0万元（完成年初预算比例因年初预算金额为0，无法计算超预算百分比），决算数小于预算数的主要原因是本年度年初进行计划，而实际本年度未进行相关支出，与上年相比持平，持平的主要原因是均未进行相关开支。</w:t>
      </w:r>
    </w:p>
    <w:p w14:paraId="3A37C874">
      <w:pPr>
        <w:pStyle w:val="2"/>
        <w:spacing w:line="600" w:lineRule="exact"/>
        <w:ind w:firstLine="640" w:firstLineChars="200"/>
        <w:rPr>
          <w:rFonts w:ascii="宋体" w:hAnsi="宋体" w:eastAsia="宋体" w:cs="楷体"/>
          <w:b/>
          <w:color w:val="000000" w:themeColor="text1"/>
          <w:sz w:val="32"/>
          <w:szCs w:val="32"/>
          <w14:textFill>
            <w14:solidFill>
              <w14:schemeClr w14:val="tx1"/>
            </w14:solidFill>
          </w14:textFill>
        </w:rPr>
      </w:pPr>
      <w:r>
        <w:rPr>
          <w:rFonts w:hint="eastAsia" w:ascii="宋体" w:hAnsi="宋体" w:eastAsia="宋体" w:cs="楷体"/>
          <w:b/>
          <w:color w:val="000000" w:themeColor="text1"/>
          <w:sz w:val="32"/>
          <w:szCs w:val="32"/>
          <w14:textFill>
            <w14:solidFill>
              <w14:schemeClr w14:val="tx1"/>
            </w14:solidFill>
          </w14:textFill>
        </w:rPr>
        <w:t>（二）“三公”经费财政拨款支出决算具体情况说明</w:t>
      </w:r>
    </w:p>
    <w:p w14:paraId="3F4DCB38">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2022年度“三公”经费财政拨款支出决算中，公务接待费支出决算25.74万元，占100%,因公出国（境）费支出决算0万元，占0%,公务用车购置费及运行维护费支出决算0万元，占0%。其中：</w:t>
      </w:r>
    </w:p>
    <w:p w14:paraId="5BC784D9">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1、因公出国（境）费支出决算为0万元，全年安排因公出国（境）团组0个，累计0人次。</w:t>
      </w:r>
    </w:p>
    <w:p w14:paraId="2386EAED">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2、公务接待费支出决算为25.74万元，全年共接待来访团组240个、来宾2331人次，主要是乡镇来本单位办事、开会；上级领导来本单位检查相关事项等发生的接待支出。</w:t>
      </w:r>
    </w:p>
    <w:p w14:paraId="5F09EDE9">
      <w:pPr>
        <w:spacing w:line="600" w:lineRule="exact"/>
        <w:ind w:firstLine="640" w:firstLineChars="200"/>
        <w:rPr>
          <w:rFonts w:ascii="宋体" w:hAnsi="宋体" w:eastAsia="宋体" w:cs="黑体"/>
          <w:color w:val="000000" w:themeColor="text1"/>
          <w:kern w:val="0"/>
          <w:sz w:val="32"/>
          <w:szCs w:val="32"/>
          <w14:textFill>
            <w14:solidFill>
              <w14:schemeClr w14:val="tx1"/>
            </w14:solidFill>
          </w14:textFill>
        </w:rPr>
      </w:pPr>
      <w:r>
        <w:rPr>
          <w:rFonts w:hint="eastAsia" w:ascii="宋体" w:hAnsi="宋体" w:eastAsia="宋体" w:cs="黑体"/>
          <w:color w:val="000000" w:themeColor="text1"/>
          <w:kern w:val="0"/>
          <w:sz w:val="32"/>
          <w:szCs w:val="32"/>
          <w14:textFill>
            <w14:solidFill>
              <w14:schemeClr w14:val="tx1"/>
            </w14:solidFill>
          </w14:textFill>
        </w:rPr>
        <w:t>3、公务用车购置费及运行维护费支出决算为0万元，其中：公务用车购置费0万元，更新公务用车0辆。公务用车运行维护费0万元，截至202</w:t>
      </w:r>
      <w:r>
        <w:rPr>
          <w:rFonts w:ascii="宋体" w:hAnsi="宋体" w:eastAsia="宋体" w:cs="黑体"/>
          <w:color w:val="000000" w:themeColor="text1"/>
          <w:kern w:val="0"/>
          <w:sz w:val="32"/>
          <w:szCs w:val="32"/>
          <w14:textFill>
            <w14:solidFill>
              <w14:schemeClr w14:val="tx1"/>
            </w14:solidFill>
          </w14:textFill>
        </w:rPr>
        <w:t>2</w:t>
      </w:r>
      <w:r>
        <w:rPr>
          <w:rFonts w:hint="eastAsia" w:ascii="宋体" w:hAnsi="宋体" w:eastAsia="宋体" w:cs="黑体"/>
          <w:color w:val="000000" w:themeColor="text1"/>
          <w:kern w:val="0"/>
          <w:sz w:val="32"/>
          <w:szCs w:val="32"/>
          <w14:textFill>
            <w14:solidFill>
              <w14:schemeClr w14:val="tx1"/>
            </w14:solidFill>
          </w14:textFill>
        </w:rPr>
        <w:t>年12月31日，我单位开支财政拨款的公务用车保有量为1辆。</w:t>
      </w:r>
    </w:p>
    <w:p w14:paraId="677AFBD3">
      <w:pPr>
        <w:pStyle w:val="2"/>
        <w:spacing w:line="600" w:lineRule="exact"/>
        <w:ind w:firstLine="640" w:firstLineChars="20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八、政府性基金预算收入支出决算情况</w:t>
      </w:r>
    </w:p>
    <w:p w14:paraId="705147AA">
      <w:pPr>
        <w:pStyle w:val="2"/>
        <w:spacing w:line="600" w:lineRule="exact"/>
        <w:ind w:firstLine="640" w:firstLineChars="200"/>
        <w:rPr>
          <w:rFonts w:ascii="宋体" w:hAnsi="宋体" w:eastAsia="宋体" w:cs="楷体"/>
          <w:b/>
          <w:bCs/>
          <w:i/>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2022年度政府性基金预算财政拨款收入1697.12万元；年初结转和结余0万元；支出1697.12万元，其中基本支出259.5万元，项目支出1437.62万元；年末结转和结余0万元。</w:t>
      </w:r>
    </w:p>
    <w:p w14:paraId="71C8114A">
      <w:pPr>
        <w:pStyle w:val="2"/>
        <w:spacing w:line="600" w:lineRule="exact"/>
        <w:ind w:firstLine="640" w:firstLineChars="20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九、关于机关运行经费支出说明</w:t>
      </w:r>
    </w:p>
    <w:p w14:paraId="2D3DA1A6">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本部门2022年度机关运行经</w:t>
      </w:r>
      <w:bookmarkStart w:id="0" w:name="_GoBack"/>
      <w:bookmarkEnd w:id="0"/>
      <w:r>
        <w:rPr>
          <w:rFonts w:hint="eastAsia" w:ascii="宋体" w:hAnsi="宋体" w:eastAsia="宋体"/>
          <w:color w:val="000000" w:themeColor="text1"/>
          <w:sz w:val="32"/>
          <w:szCs w:val="32"/>
          <w14:textFill>
            <w14:solidFill>
              <w14:schemeClr w14:val="tx1"/>
            </w14:solidFill>
          </w14:textFill>
        </w:rPr>
        <w:t>费支出</w:t>
      </w:r>
      <w:r>
        <w:rPr>
          <w:rFonts w:ascii="宋体" w:hAnsi="宋体" w:eastAsia="宋体"/>
          <w:color w:val="000000" w:themeColor="text1"/>
          <w:sz w:val="32"/>
          <w:szCs w:val="32"/>
          <w14:textFill>
            <w14:solidFill>
              <w14:schemeClr w14:val="tx1"/>
            </w14:solidFill>
          </w14:textFill>
        </w:rPr>
        <w:t>61.26</w:t>
      </w:r>
      <w:r>
        <w:rPr>
          <w:rFonts w:hint="eastAsia" w:ascii="宋体" w:hAnsi="宋体" w:eastAsia="宋体"/>
          <w:color w:val="000000" w:themeColor="text1"/>
          <w:sz w:val="32"/>
          <w:szCs w:val="32"/>
          <w14:textFill>
            <w14:solidFill>
              <w14:schemeClr w14:val="tx1"/>
            </w14:solidFill>
          </w14:textFill>
        </w:rPr>
        <w:t>万元，比年初预算数增加0</w:t>
      </w:r>
      <w:r>
        <w:rPr>
          <w:rFonts w:ascii="宋体" w:hAnsi="宋体" w:eastAsia="宋体"/>
          <w:color w:val="000000" w:themeColor="text1"/>
          <w:sz w:val="32"/>
          <w:szCs w:val="32"/>
          <w14:textFill>
            <w14:solidFill>
              <w14:schemeClr w14:val="tx1"/>
            </w14:solidFill>
          </w14:textFill>
        </w:rPr>
        <w:t>.81</w:t>
      </w:r>
      <w:r>
        <w:rPr>
          <w:rFonts w:hint="eastAsia" w:ascii="宋体" w:hAnsi="宋体" w:eastAsia="宋体"/>
          <w:color w:val="000000" w:themeColor="text1"/>
          <w:sz w:val="32"/>
          <w:szCs w:val="32"/>
          <w14:textFill>
            <w14:solidFill>
              <w14:schemeClr w14:val="tx1"/>
            </w14:solidFill>
          </w14:textFill>
        </w:rPr>
        <w:t>万元，增长1</w:t>
      </w:r>
      <w:r>
        <w:rPr>
          <w:rFonts w:ascii="宋体" w:hAnsi="宋体" w:eastAsia="宋体"/>
          <w:color w:val="000000" w:themeColor="text1"/>
          <w:sz w:val="32"/>
          <w:szCs w:val="32"/>
          <w14:textFill>
            <w14:solidFill>
              <w14:schemeClr w14:val="tx1"/>
            </w14:solidFill>
          </w14:textFill>
        </w:rPr>
        <w:t>.34%</w:t>
      </w:r>
      <w:r>
        <w:rPr>
          <w:rFonts w:hint="eastAsia" w:ascii="宋体" w:hAnsi="宋体" w:eastAsia="宋体"/>
          <w:color w:val="000000" w:themeColor="text1"/>
          <w:sz w:val="32"/>
          <w:szCs w:val="32"/>
          <w14:textFill>
            <w14:solidFill>
              <w14:schemeClr w14:val="tx1"/>
            </w14:solidFill>
          </w14:textFill>
        </w:rPr>
        <w:t>。主要原因是：厉行节约，本单位严格控制各项经费。</w:t>
      </w:r>
    </w:p>
    <w:p w14:paraId="653D7852">
      <w:pPr>
        <w:pStyle w:val="2"/>
        <w:numPr>
          <w:ilvl w:val="0"/>
          <w:numId w:val="2"/>
        </w:numPr>
        <w:spacing w:line="600" w:lineRule="exact"/>
        <w:ind w:firstLine="640" w:firstLineChars="20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一般性支出情况说明</w:t>
      </w:r>
    </w:p>
    <w:p w14:paraId="33D35EEC">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2022年本部门开支培训费1.6万元，用于开展农村自建房安全培训、工程质量安全培训，人数40人，内容为住房安全、工程质量安全检测等，未举办节庆、晚会、论坛、赛事活动。</w:t>
      </w:r>
    </w:p>
    <w:p w14:paraId="41562669">
      <w:pPr>
        <w:pStyle w:val="2"/>
        <w:spacing w:line="600" w:lineRule="exact"/>
        <w:ind w:firstLine="640" w:firstLineChars="20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十一、关于政府采购支出说明</w:t>
      </w:r>
    </w:p>
    <w:p w14:paraId="4BA2178B">
      <w:pPr>
        <w:pStyle w:val="2"/>
        <w:spacing w:line="600" w:lineRule="exact"/>
        <w:ind w:firstLine="640" w:firstLineChars="200"/>
        <w:rPr>
          <w:rFonts w:ascii="宋体" w:hAnsi="宋体" w:eastAsia="宋体" w:cs="楷体"/>
          <w:b/>
          <w:bCs/>
          <w:i/>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本部门2022年度政府采购支出总额1255万元，其中：政府采购货物支出0万元、政府采购工程支出880万元、政府采购服务支出375万元。授予中小企业合同金额375万元，占政府采购支出总额的30%，其中：授予小微企业合同金额0万元，占政府采购支出总额的0%。</w:t>
      </w:r>
    </w:p>
    <w:p w14:paraId="07855BE1">
      <w:pPr>
        <w:pStyle w:val="2"/>
        <w:spacing w:line="600" w:lineRule="exact"/>
        <w:ind w:firstLine="640" w:firstLineChars="20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十二、关于国有资产占用情况说明</w:t>
      </w:r>
    </w:p>
    <w:p w14:paraId="5C342761">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截至2022年12月31日，本单位共有车辆1辆，其中，主要领导干部用车0辆，机要通信用车0辆、应急保障用车0辆、执法执勤用车1辆、特种专业技术用车0辆、其他用车0辆；单位价值50万元以上通用设备0台（套）；单位价值100万元以上专用设备0台（套）。</w:t>
      </w:r>
    </w:p>
    <w:p w14:paraId="476ADB60">
      <w:pPr>
        <w:pStyle w:val="2"/>
        <w:spacing w:line="600" w:lineRule="exact"/>
        <w:ind w:firstLine="640" w:firstLineChars="20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十三、关于2022年度预算绩效情况的说明</w:t>
      </w:r>
    </w:p>
    <w:p w14:paraId="2F133733">
      <w:pPr>
        <w:pStyle w:val="2"/>
        <w:spacing w:line="600" w:lineRule="exact"/>
        <w:ind w:firstLine="640" w:firstLineChars="200"/>
        <w:rPr>
          <w:rFonts w:ascii="宋体" w:hAnsi="宋体" w:eastAsia="宋体" w:cs="楷体"/>
          <w:b/>
          <w:bCs/>
          <w:color w:val="000000" w:themeColor="text1"/>
          <w:sz w:val="32"/>
          <w:szCs w:val="32"/>
          <w14:textFill>
            <w14:solidFill>
              <w14:schemeClr w14:val="tx1"/>
            </w14:solidFill>
          </w14:textFill>
        </w:rPr>
      </w:pPr>
      <w:r>
        <w:rPr>
          <w:rFonts w:hint="eastAsia" w:ascii="宋体" w:hAnsi="宋体" w:eastAsia="宋体" w:cs="楷体"/>
          <w:b/>
          <w:bCs/>
          <w:color w:val="000000" w:themeColor="text1"/>
          <w:sz w:val="32"/>
          <w:szCs w:val="32"/>
          <w14:textFill>
            <w14:solidFill>
              <w14:schemeClr w14:val="tx1"/>
            </w14:solidFill>
          </w14:textFill>
        </w:rPr>
        <w:t>（一）部门整体支出绩效情况</w:t>
      </w:r>
    </w:p>
    <w:p w14:paraId="64F4BAE4">
      <w:pPr>
        <w:spacing w:line="600" w:lineRule="exact"/>
        <w:ind w:firstLine="640" w:firstLineChars="200"/>
        <w:rPr>
          <w:rFonts w:ascii="宋体" w:hAnsi="宋体" w:eastAsia="宋体" w:cs="楷体"/>
          <w:b/>
          <w:bCs/>
          <w:color w:val="000000" w:themeColor="text1"/>
          <w:sz w:val="32"/>
          <w:szCs w:val="32"/>
          <w14:textFill>
            <w14:solidFill>
              <w14:schemeClr w14:val="tx1"/>
            </w14:solidFill>
          </w14:textFill>
        </w:rPr>
      </w:pPr>
      <w:r>
        <w:rPr>
          <w:rFonts w:hint="eastAsia" w:ascii="宋体" w:hAnsi="宋体" w:eastAsia="宋体" w:cs="仿宋_GB2312"/>
          <w:color w:val="000000" w:themeColor="text1"/>
          <w:sz w:val="32"/>
          <w:szCs w:val="32"/>
          <w14:textFill>
            <w14:solidFill>
              <w14:schemeClr w14:val="tx1"/>
            </w14:solidFill>
          </w14:textFill>
        </w:rPr>
        <w:t>2022年我局紧紧围绕三高四新发展战略，</w:t>
      </w:r>
      <w:r>
        <w:rPr>
          <w:rFonts w:hint="eastAsia" w:ascii="宋体" w:hAnsi="宋体" w:eastAsia="宋体"/>
          <w:color w:val="000000" w:themeColor="text1"/>
          <w:sz w:val="32"/>
          <w:szCs w:val="32"/>
          <w14:textFill>
            <w14:solidFill>
              <w14:schemeClr w14:val="tx1"/>
            </w14:solidFill>
          </w14:textFill>
        </w:rPr>
        <w:t>在县委县政府的坚强领导和市住建局的工作指导下，坚决贯彻新发展理念，构建新发展格局，紧紧围绕年度目标任务, 狠抓项目建设、争资争项、安全生产、行政审批、环境保护等重点工作，</w:t>
      </w:r>
      <w:r>
        <w:rPr>
          <w:rFonts w:hint="eastAsia" w:ascii="宋体" w:hAnsi="宋体" w:eastAsia="宋体" w:cs="仿宋_GB2312"/>
          <w:color w:val="000000" w:themeColor="text1"/>
          <w:sz w:val="32"/>
          <w:szCs w:val="32"/>
          <w14:textFill>
            <w14:solidFill>
              <w14:schemeClr w14:val="tx1"/>
            </w14:solidFill>
          </w14:textFill>
        </w:rPr>
        <w:t>始终坚持“桃源工作法”，持续发力“五个住建”，</w:t>
      </w:r>
      <w:r>
        <w:rPr>
          <w:rFonts w:hint="eastAsia" w:ascii="宋体" w:hAnsi="宋体" w:eastAsia="宋体"/>
          <w:color w:val="000000" w:themeColor="text1"/>
          <w:sz w:val="32"/>
          <w:szCs w:val="32"/>
          <w14:textFill>
            <w14:solidFill>
              <w14:schemeClr w14:val="tx1"/>
            </w14:solidFill>
          </w14:textFill>
        </w:rPr>
        <w:t xml:space="preserve">在建设“市域副中心、现代新桃源”中发挥积极作用。  </w:t>
      </w:r>
    </w:p>
    <w:p w14:paraId="0D584471">
      <w:pPr>
        <w:pStyle w:val="2"/>
        <w:spacing w:line="600" w:lineRule="exact"/>
        <w:ind w:firstLine="640" w:firstLineChars="200"/>
        <w:rPr>
          <w:rFonts w:ascii="宋体" w:hAnsi="宋体" w:eastAsia="宋体" w:cs="楷体"/>
          <w:b/>
          <w:bCs/>
          <w:color w:val="000000" w:themeColor="text1"/>
          <w:sz w:val="32"/>
          <w:szCs w:val="32"/>
          <w14:textFill>
            <w14:solidFill>
              <w14:schemeClr w14:val="tx1"/>
            </w14:solidFill>
          </w14:textFill>
        </w:rPr>
      </w:pPr>
      <w:r>
        <w:rPr>
          <w:rFonts w:hint="eastAsia" w:ascii="宋体" w:hAnsi="宋体" w:eastAsia="宋体" w:cs="楷体"/>
          <w:b/>
          <w:bCs/>
          <w:color w:val="000000" w:themeColor="text1"/>
          <w:sz w:val="32"/>
          <w:szCs w:val="32"/>
          <w14:textFill>
            <w14:solidFill>
              <w14:schemeClr w14:val="tx1"/>
            </w14:solidFill>
          </w14:textFill>
        </w:rPr>
        <w:t>（二）存在的问题及原因分析</w:t>
      </w:r>
    </w:p>
    <w:p w14:paraId="5E0AB276">
      <w:pPr>
        <w:pStyle w:val="2"/>
        <w:spacing w:line="600" w:lineRule="exact"/>
        <w:ind w:firstLine="640" w:firstLineChars="200"/>
        <w:rPr>
          <w:rFonts w:ascii="宋体" w:hAnsi="宋体" w:eastAsia="宋体"/>
          <w:color w:val="000000" w:themeColor="text1"/>
          <w:sz w:val="32"/>
          <w:szCs w:val="32"/>
          <w14:textFill>
            <w14:solidFill>
              <w14:schemeClr w14:val="tx1"/>
            </w14:solidFill>
          </w14:textFill>
        </w:rPr>
      </w:pPr>
      <w:r>
        <w:rPr>
          <w:rFonts w:hint="eastAsia" w:ascii="宋体" w:hAnsi="宋体" w:eastAsia="宋体"/>
          <w:color w:val="000000" w:themeColor="text1"/>
          <w:sz w:val="32"/>
          <w:szCs w:val="32"/>
          <w14:textFill>
            <w14:solidFill>
              <w14:schemeClr w14:val="tx1"/>
            </w14:solidFill>
          </w14:textFill>
        </w:rPr>
        <w:t>新增项目未在预算体现，主要原因是未能预计新增的项目，提前准备不足。今后在预算时应考虑全面，决算支出按规定、按预算支出。</w:t>
      </w:r>
    </w:p>
    <w:p w14:paraId="682673B8">
      <w:pPr>
        <w:pStyle w:val="2"/>
        <w:spacing w:line="600" w:lineRule="exact"/>
        <w:ind w:firstLine="640" w:firstLineChars="200"/>
        <w:jc w:val="center"/>
        <w:rPr>
          <w:rFonts w:ascii="宋体" w:hAnsi="宋体" w:eastAsia="宋体"/>
          <w:color w:val="000000" w:themeColor="text1"/>
          <w:sz w:val="32"/>
          <w:szCs w:val="32"/>
          <w14:textFill>
            <w14:solidFill>
              <w14:schemeClr w14:val="tx1"/>
            </w14:solidFill>
          </w14:textFill>
        </w:rPr>
      </w:pPr>
    </w:p>
    <w:p w14:paraId="7A0729DF">
      <w:pPr>
        <w:pStyle w:val="2"/>
        <w:spacing w:line="600" w:lineRule="exact"/>
        <w:ind w:firstLine="640" w:firstLineChars="200"/>
        <w:jc w:val="center"/>
        <w:rPr>
          <w:rFonts w:ascii="宋体" w:hAnsi="宋体" w:eastAsia="宋体"/>
          <w:color w:val="000000" w:themeColor="text1"/>
          <w:sz w:val="32"/>
          <w:szCs w:val="32"/>
          <w14:textFill>
            <w14:solidFill>
              <w14:schemeClr w14:val="tx1"/>
            </w14:solidFill>
          </w14:textFill>
        </w:rPr>
      </w:pPr>
    </w:p>
    <w:p w14:paraId="2445F876">
      <w:pPr>
        <w:pStyle w:val="2"/>
        <w:spacing w:line="600" w:lineRule="exact"/>
        <w:ind w:firstLine="640" w:firstLineChars="200"/>
        <w:jc w:val="center"/>
        <w:rPr>
          <w:rFonts w:ascii="宋体" w:hAnsi="宋体" w:eastAsia="宋体"/>
          <w:color w:val="000000" w:themeColor="text1"/>
          <w:sz w:val="32"/>
          <w:szCs w:val="32"/>
          <w14:textFill>
            <w14:solidFill>
              <w14:schemeClr w14:val="tx1"/>
            </w14:solidFill>
          </w14:textFill>
        </w:rPr>
      </w:pPr>
    </w:p>
    <w:p w14:paraId="0955A6A1">
      <w:pPr>
        <w:pStyle w:val="2"/>
        <w:spacing w:line="600" w:lineRule="exact"/>
        <w:ind w:firstLine="640" w:firstLineChars="200"/>
        <w:jc w:val="center"/>
        <w:rPr>
          <w:rFonts w:ascii="宋体" w:hAnsi="宋体" w:eastAsia="宋体"/>
          <w:color w:val="000000" w:themeColor="text1"/>
          <w:sz w:val="32"/>
          <w:szCs w:val="32"/>
          <w14:textFill>
            <w14:solidFill>
              <w14:schemeClr w14:val="tx1"/>
            </w14:solidFill>
          </w14:textFill>
        </w:rPr>
      </w:pPr>
    </w:p>
    <w:p w14:paraId="3935F021">
      <w:pPr>
        <w:pStyle w:val="2"/>
        <w:spacing w:line="600" w:lineRule="exact"/>
        <w:ind w:firstLine="640" w:firstLineChars="200"/>
        <w:jc w:val="both"/>
        <w:rPr>
          <w:rFonts w:ascii="宋体" w:hAnsi="宋体" w:eastAsia="宋体" w:cs="方正小标宋_GBK"/>
          <w:color w:val="000000" w:themeColor="text1"/>
          <w:sz w:val="32"/>
          <w:szCs w:val="32"/>
          <w14:textFill>
            <w14:solidFill>
              <w14:schemeClr w14:val="tx1"/>
            </w14:solidFill>
          </w14:textFill>
        </w:rPr>
      </w:pPr>
    </w:p>
    <w:p w14:paraId="3869E4C7">
      <w:pPr>
        <w:pStyle w:val="2"/>
        <w:spacing w:line="600" w:lineRule="exact"/>
        <w:ind w:firstLine="640" w:firstLineChars="200"/>
        <w:jc w:val="center"/>
        <w:rPr>
          <w:rFonts w:ascii="宋体" w:hAnsi="宋体" w:eastAsia="宋体" w:cs="方正小标宋_GBK"/>
          <w:color w:val="000000" w:themeColor="text1"/>
          <w:sz w:val="32"/>
          <w:szCs w:val="32"/>
          <w14:textFill>
            <w14:solidFill>
              <w14:schemeClr w14:val="tx1"/>
            </w14:solidFill>
          </w14:textFill>
        </w:rPr>
      </w:pPr>
    </w:p>
    <w:p w14:paraId="5A12F18E">
      <w:pPr>
        <w:pStyle w:val="2"/>
        <w:spacing w:line="600" w:lineRule="exact"/>
        <w:ind w:firstLine="640" w:firstLineChars="200"/>
        <w:jc w:val="center"/>
        <w:rPr>
          <w:rFonts w:ascii="宋体" w:hAnsi="宋体" w:eastAsia="宋体" w:cs="方正小标宋_GBK"/>
          <w:b/>
          <w:bCs/>
          <w:color w:val="000000" w:themeColor="text1"/>
          <w:sz w:val="32"/>
          <w:szCs w:val="32"/>
          <w14:textFill>
            <w14:solidFill>
              <w14:schemeClr w14:val="tx1"/>
            </w14:solidFill>
          </w14:textFill>
        </w:rPr>
      </w:pPr>
      <w:r>
        <w:rPr>
          <w:rFonts w:hint="eastAsia" w:ascii="宋体" w:hAnsi="宋体" w:eastAsia="宋体" w:cs="方正小标宋_GBK"/>
          <w:b/>
          <w:bCs/>
          <w:color w:val="000000" w:themeColor="text1"/>
          <w:sz w:val="32"/>
          <w:szCs w:val="32"/>
          <w14:textFill>
            <w14:solidFill>
              <w14:schemeClr w14:val="tx1"/>
            </w14:solidFill>
          </w14:textFill>
        </w:rPr>
        <w:t>第四部分 名词解释</w:t>
      </w:r>
    </w:p>
    <w:p w14:paraId="2AC56104">
      <w:pPr>
        <w:widowControl/>
        <w:spacing w:line="600" w:lineRule="exact"/>
        <w:ind w:firstLine="640" w:firstLineChars="200"/>
        <w:jc w:val="left"/>
        <w:rPr>
          <w:rFonts w:ascii="宋体" w:hAnsi="宋体" w:eastAsia="宋体" w:cs="黑体"/>
          <w:color w:val="000000" w:themeColor="text1"/>
          <w:sz w:val="32"/>
          <w:szCs w:val="32"/>
          <w14:textFill>
            <w14:solidFill>
              <w14:schemeClr w14:val="tx1"/>
            </w14:solidFill>
          </w14:textFill>
        </w:rPr>
      </w:pPr>
      <w:r>
        <w:rPr>
          <w:rFonts w:ascii="宋体" w:hAnsi="宋体" w:eastAsia="宋体" w:cs="黑体"/>
          <w:color w:val="000000" w:themeColor="text1"/>
          <w:sz w:val="32"/>
          <w:szCs w:val="32"/>
          <w14:textFill>
            <w14:solidFill>
              <w14:schemeClr w14:val="tx1"/>
            </w14:solidFill>
          </w14:textFill>
        </w:rPr>
        <w:t>1、一般公共预算:是对以税收为主体的财政收入，安排用于保障和改善民生、推动经济社会发展、维护国家安全、维持国家机构正常运转等方面的收支预算。一般公共预算收入即通常所指的“财政收入”，按照2015年1月1日起施行的新</w:t>
      </w:r>
      <w:r>
        <w:rPr>
          <w:rFonts w:hint="eastAsia" w:ascii="宋体" w:hAnsi="宋体" w:eastAsia="宋体" w:cs="黑体"/>
          <w:color w:val="000000" w:themeColor="text1"/>
          <w:sz w:val="32"/>
          <w:szCs w:val="32"/>
          <w14:textFill>
            <w14:solidFill>
              <w14:schemeClr w14:val="tx1"/>
            </w14:solidFill>
          </w14:textFill>
        </w:rPr>
        <w:t>《中华人民共和国预算法》</w:t>
      </w:r>
      <w:r>
        <w:rPr>
          <w:rFonts w:ascii="宋体" w:hAnsi="宋体" w:eastAsia="宋体" w:cs="黑体"/>
          <w:color w:val="000000" w:themeColor="text1"/>
          <w:sz w:val="32"/>
          <w:szCs w:val="32"/>
          <w14:textFill>
            <w14:solidFill>
              <w14:schemeClr w14:val="tx1"/>
            </w14:solidFill>
          </w14:textFill>
        </w:rPr>
        <w:t>，改称“一般公共预算收入”。全县一般公共预算收入由地方收入、上划中央收入、上划省级收入三部分构成。</w:t>
      </w:r>
    </w:p>
    <w:p w14:paraId="21674B63">
      <w:pPr>
        <w:widowControl/>
        <w:spacing w:line="600" w:lineRule="exact"/>
        <w:ind w:firstLine="640" w:firstLineChars="200"/>
        <w:jc w:val="left"/>
        <w:rPr>
          <w:rFonts w:ascii="宋体" w:hAnsi="宋体" w:eastAsia="宋体" w:cs="黑体"/>
          <w:color w:val="000000" w:themeColor="text1"/>
          <w:sz w:val="32"/>
          <w:szCs w:val="32"/>
          <w14:textFill>
            <w14:solidFill>
              <w14:schemeClr w14:val="tx1"/>
            </w14:solidFill>
          </w14:textFill>
        </w:rPr>
      </w:pPr>
      <w:r>
        <w:rPr>
          <w:rFonts w:ascii="宋体" w:hAnsi="宋体" w:eastAsia="宋体" w:cs="黑体"/>
          <w:color w:val="000000" w:themeColor="text1"/>
          <w:sz w:val="32"/>
          <w:szCs w:val="32"/>
          <w14:textFill>
            <w14:solidFill>
              <w14:schemeClr w14:val="tx1"/>
            </w14:solidFill>
          </w14:textFill>
        </w:rPr>
        <w:t>2、政府性基金预算: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14:paraId="68442D77">
      <w:pPr>
        <w:widowControl/>
        <w:spacing w:line="600" w:lineRule="exact"/>
        <w:ind w:firstLine="640" w:firstLineChars="200"/>
        <w:jc w:val="left"/>
        <w:rPr>
          <w:rFonts w:ascii="宋体" w:hAnsi="宋体" w:eastAsia="宋体" w:cs="黑体"/>
          <w:color w:val="000000" w:themeColor="text1"/>
          <w:sz w:val="32"/>
          <w:szCs w:val="32"/>
          <w14:textFill>
            <w14:solidFill>
              <w14:schemeClr w14:val="tx1"/>
            </w14:solidFill>
          </w14:textFill>
        </w:rPr>
      </w:pPr>
      <w:r>
        <w:rPr>
          <w:rFonts w:ascii="宋体" w:hAnsi="宋体" w:eastAsia="宋体" w:cs="黑体"/>
          <w:color w:val="000000" w:themeColor="text1"/>
          <w:sz w:val="32"/>
          <w:szCs w:val="32"/>
          <w14:textFill>
            <w14:solidFill>
              <w14:schemeClr w14:val="tx1"/>
            </w14:solidFill>
          </w14:textFill>
        </w:rPr>
        <w:t>3、国有资本经营预算:是对国有资本收益作出支出安排的收支预算。应当按照收支平衡的原则编制，不列赤字，并安排资金调入一般公共预算。</w:t>
      </w:r>
    </w:p>
    <w:p w14:paraId="1AF5883B">
      <w:pPr>
        <w:widowControl/>
        <w:spacing w:line="600" w:lineRule="exact"/>
        <w:ind w:firstLine="640" w:firstLineChars="200"/>
        <w:jc w:val="left"/>
        <w:rPr>
          <w:rFonts w:ascii="宋体" w:hAnsi="宋体" w:eastAsia="宋体" w:cs="黑体"/>
          <w:color w:val="000000" w:themeColor="text1"/>
          <w:sz w:val="32"/>
          <w:szCs w:val="32"/>
          <w14:textFill>
            <w14:solidFill>
              <w14:schemeClr w14:val="tx1"/>
            </w14:solidFill>
          </w14:textFill>
        </w:rPr>
      </w:pPr>
      <w:r>
        <w:rPr>
          <w:rFonts w:ascii="宋体" w:hAnsi="宋体" w:eastAsia="宋体" w:cs="黑体"/>
          <w:color w:val="000000" w:themeColor="text1"/>
          <w:sz w:val="32"/>
          <w:szCs w:val="32"/>
          <w14:textFill>
            <w14:solidFill>
              <w14:schemeClr w14:val="tx1"/>
            </w14:solidFill>
          </w14:textFill>
        </w:rPr>
        <w:t>4、社会保险基金预算:是对社会保险缴款、一般公共预算安排和其他方式筹集的资金，专项用于社会保险的收支预算。应当按照统筹层次和社会保险项目分别编制，做到收支平衡。</w:t>
      </w:r>
    </w:p>
    <w:p w14:paraId="60C0417C">
      <w:pPr>
        <w:widowControl/>
        <w:spacing w:line="600" w:lineRule="exact"/>
        <w:ind w:firstLine="640" w:firstLineChars="200"/>
        <w:jc w:val="left"/>
        <w:rPr>
          <w:rFonts w:ascii="宋体" w:hAnsi="宋体" w:eastAsia="宋体" w:cs="黑体"/>
          <w:color w:val="000000" w:themeColor="text1"/>
          <w:sz w:val="32"/>
          <w:szCs w:val="32"/>
          <w14:textFill>
            <w14:solidFill>
              <w14:schemeClr w14:val="tx1"/>
            </w14:solidFill>
          </w14:textFill>
        </w:rPr>
      </w:pPr>
      <w:r>
        <w:rPr>
          <w:rFonts w:ascii="宋体" w:hAnsi="宋体" w:eastAsia="宋体" w:cs="黑体"/>
          <w:color w:val="000000" w:themeColor="text1"/>
          <w:sz w:val="32"/>
          <w:szCs w:val="32"/>
          <w14:textFill>
            <w14:solidFill>
              <w14:schemeClr w14:val="tx1"/>
            </w14:solidFill>
          </w14:textFill>
        </w:rPr>
        <w:t>5、基本支出：指为保障机构正常运转、完成日常工作任务而发生的人员支出和公用支出。</w:t>
      </w:r>
    </w:p>
    <w:p w14:paraId="07279E77">
      <w:pPr>
        <w:widowControl/>
        <w:spacing w:line="600" w:lineRule="exact"/>
        <w:ind w:firstLine="640" w:firstLineChars="200"/>
        <w:jc w:val="left"/>
        <w:rPr>
          <w:rFonts w:ascii="宋体" w:hAnsi="宋体" w:eastAsia="宋体" w:cs="黑体"/>
          <w:color w:val="000000" w:themeColor="text1"/>
          <w:sz w:val="32"/>
          <w:szCs w:val="32"/>
          <w14:textFill>
            <w14:solidFill>
              <w14:schemeClr w14:val="tx1"/>
            </w14:solidFill>
          </w14:textFill>
        </w:rPr>
      </w:pPr>
      <w:r>
        <w:rPr>
          <w:rFonts w:ascii="宋体" w:hAnsi="宋体" w:eastAsia="宋体" w:cs="黑体"/>
          <w:color w:val="000000" w:themeColor="text1"/>
          <w:sz w:val="32"/>
          <w:szCs w:val="32"/>
          <w14:textFill>
            <w14:solidFill>
              <w14:schemeClr w14:val="tx1"/>
            </w14:solidFill>
          </w14:textFill>
        </w:rPr>
        <w:t>6、项目支出：指在基本支出之外为完成特定行政任务和事业发展目标所发生的支出。</w:t>
      </w:r>
    </w:p>
    <w:p w14:paraId="68A04519">
      <w:pPr>
        <w:widowControl/>
        <w:spacing w:line="600" w:lineRule="exact"/>
        <w:ind w:firstLine="640" w:firstLineChars="200"/>
        <w:jc w:val="left"/>
        <w:rPr>
          <w:rFonts w:ascii="宋体" w:hAnsi="宋体" w:eastAsia="宋体" w:cs="黑体"/>
          <w:color w:val="000000" w:themeColor="text1"/>
          <w:sz w:val="32"/>
          <w:szCs w:val="32"/>
          <w14:textFill>
            <w14:solidFill>
              <w14:schemeClr w14:val="tx1"/>
            </w14:solidFill>
          </w14:textFill>
        </w:rPr>
      </w:pPr>
      <w:r>
        <w:rPr>
          <w:rFonts w:ascii="宋体" w:hAnsi="宋体" w:eastAsia="宋体" w:cs="黑体"/>
          <w:color w:val="000000" w:themeColor="text1"/>
          <w:sz w:val="32"/>
          <w:szCs w:val="32"/>
          <w14:textFill>
            <w14:solidFill>
              <w14:schemeClr w14:val="tx1"/>
            </w14:solidFill>
          </w14:textFill>
        </w:rPr>
        <w:t>7、“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6F5A77B7">
      <w:pPr>
        <w:widowControl/>
        <w:spacing w:line="600" w:lineRule="exact"/>
        <w:ind w:firstLine="640" w:firstLineChars="200"/>
        <w:jc w:val="left"/>
        <w:rPr>
          <w:rFonts w:ascii="宋体" w:hAnsi="宋体" w:eastAsia="宋体" w:cs="黑体"/>
          <w:color w:val="000000" w:themeColor="text1"/>
          <w:sz w:val="32"/>
          <w:szCs w:val="32"/>
          <w14:textFill>
            <w14:solidFill>
              <w14:schemeClr w14:val="tx1"/>
            </w14:solidFill>
          </w14:textFill>
        </w:rPr>
      </w:pPr>
      <w:r>
        <w:rPr>
          <w:rFonts w:ascii="宋体" w:hAnsi="宋体" w:eastAsia="宋体" w:cs="黑体"/>
          <w:color w:val="000000" w:themeColor="text1"/>
          <w:sz w:val="32"/>
          <w:szCs w:val="32"/>
          <w14:textFill>
            <w14:solidFill>
              <w14:schemeClr w14:val="tx1"/>
            </w14:solidFill>
          </w14:textFill>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14:paraId="629FEE46">
      <w:pPr>
        <w:widowControl/>
        <w:spacing w:line="600" w:lineRule="exact"/>
        <w:ind w:firstLine="640" w:firstLineChars="200"/>
        <w:jc w:val="left"/>
        <w:rPr>
          <w:rFonts w:ascii="宋体" w:hAnsi="宋体" w:eastAsia="宋体" w:cs="黑体"/>
          <w:color w:val="000000" w:themeColor="text1"/>
          <w:sz w:val="32"/>
          <w:szCs w:val="32"/>
          <w14:textFill>
            <w14:solidFill>
              <w14:schemeClr w14:val="tx1"/>
            </w14:solidFill>
          </w14:textFill>
        </w:rPr>
      </w:pPr>
    </w:p>
    <w:p w14:paraId="6FE6605A">
      <w:pPr>
        <w:pStyle w:val="2"/>
        <w:spacing w:line="600" w:lineRule="exact"/>
        <w:ind w:firstLine="640" w:firstLineChars="200"/>
        <w:jc w:val="center"/>
        <w:rPr>
          <w:rFonts w:ascii="宋体" w:hAnsi="宋体" w:eastAsia="宋体"/>
          <w:color w:val="000000" w:themeColor="text1"/>
          <w:sz w:val="32"/>
          <w:szCs w:val="32"/>
          <w14:textFill>
            <w14:solidFill>
              <w14:schemeClr w14:val="tx1"/>
            </w14:solidFill>
          </w14:textFill>
        </w:rPr>
      </w:pPr>
    </w:p>
    <w:p w14:paraId="00BEE0E9">
      <w:pPr>
        <w:spacing w:line="600" w:lineRule="exact"/>
        <w:ind w:firstLine="640" w:firstLineChars="200"/>
        <w:jc w:val="left"/>
        <w:rPr>
          <w:rFonts w:ascii="宋体" w:hAnsi="宋体" w:eastAsia="宋体" w:cs="黑体"/>
          <w:color w:val="000000" w:themeColor="text1"/>
          <w:kern w:val="0"/>
          <w:sz w:val="32"/>
          <w:szCs w:val="32"/>
          <w14:textFill>
            <w14:solidFill>
              <w14:schemeClr w14:val="tx1"/>
            </w14:solidFill>
          </w14:textFill>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82511"/>
    <w:multiLevelType w:val="singleLevel"/>
    <w:tmpl w:val="0FA82511"/>
    <w:lvl w:ilvl="0" w:tentative="0">
      <w:start w:val="10"/>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lZmQ5YWY4ZGFjNGJjY2VkZDBlYTMwNDNlMDUxYjA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308E"/>
    <w:rsid w:val="001678BD"/>
    <w:rsid w:val="00182373"/>
    <w:rsid w:val="001A642B"/>
    <w:rsid w:val="001A67DB"/>
    <w:rsid w:val="001C3C29"/>
    <w:rsid w:val="001D51E5"/>
    <w:rsid w:val="001E080D"/>
    <w:rsid w:val="001E53D0"/>
    <w:rsid w:val="001F0C3B"/>
    <w:rsid w:val="00202C82"/>
    <w:rsid w:val="00214427"/>
    <w:rsid w:val="00226CB7"/>
    <w:rsid w:val="00244C17"/>
    <w:rsid w:val="0026138F"/>
    <w:rsid w:val="00264552"/>
    <w:rsid w:val="00264EF9"/>
    <w:rsid w:val="00265724"/>
    <w:rsid w:val="0027426B"/>
    <w:rsid w:val="002A4DA4"/>
    <w:rsid w:val="002D21C2"/>
    <w:rsid w:val="002D475F"/>
    <w:rsid w:val="002E0A30"/>
    <w:rsid w:val="003130C4"/>
    <w:rsid w:val="00316C4B"/>
    <w:rsid w:val="0032192B"/>
    <w:rsid w:val="00330878"/>
    <w:rsid w:val="003479BD"/>
    <w:rsid w:val="0037197D"/>
    <w:rsid w:val="00376475"/>
    <w:rsid w:val="003768D5"/>
    <w:rsid w:val="00387ACC"/>
    <w:rsid w:val="003926B9"/>
    <w:rsid w:val="00396559"/>
    <w:rsid w:val="003C47E6"/>
    <w:rsid w:val="003C4FC2"/>
    <w:rsid w:val="00416E61"/>
    <w:rsid w:val="0042790C"/>
    <w:rsid w:val="004506F9"/>
    <w:rsid w:val="00452449"/>
    <w:rsid w:val="004717A2"/>
    <w:rsid w:val="00473DF3"/>
    <w:rsid w:val="00487911"/>
    <w:rsid w:val="00491741"/>
    <w:rsid w:val="004B0CEE"/>
    <w:rsid w:val="004D49AA"/>
    <w:rsid w:val="00500E5F"/>
    <w:rsid w:val="005122EF"/>
    <w:rsid w:val="0051441A"/>
    <w:rsid w:val="00517C33"/>
    <w:rsid w:val="00517D5F"/>
    <w:rsid w:val="00523644"/>
    <w:rsid w:val="0054069E"/>
    <w:rsid w:val="00543EDA"/>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D3E4F"/>
    <w:rsid w:val="007F3657"/>
    <w:rsid w:val="00812ED5"/>
    <w:rsid w:val="008277D9"/>
    <w:rsid w:val="0084478C"/>
    <w:rsid w:val="0086638C"/>
    <w:rsid w:val="008A3E8D"/>
    <w:rsid w:val="008B6661"/>
    <w:rsid w:val="009237C4"/>
    <w:rsid w:val="00944C48"/>
    <w:rsid w:val="00950252"/>
    <w:rsid w:val="00967F5D"/>
    <w:rsid w:val="009A0F95"/>
    <w:rsid w:val="009B3ADF"/>
    <w:rsid w:val="009C3B52"/>
    <w:rsid w:val="009C6212"/>
    <w:rsid w:val="009E6817"/>
    <w:rsid w:val="009E6E9A"/>
    <w:rsid w:val="00A01D2B"/>
    <w:rsid w:val="00A36EF1"/>
    <w:rsid w:val="00A42218"/>
    <w:rsid w:val="00A4344C"/>
    <w:rsid w:val="00A70249"/>
    <w:rsid w:val="00A70B02"/>
    <w:rsid w:val="00A71D9F"/>
    <w:rsid w:val="00A92E9F"/>
    <w:rsid w:val="00AB18FF"/>
    <w:rsid w:val="00AD27F6"/>
    <w:rsid w:val="00B33BEA"/>
    <w:rsid w:val="00B57C9F"/>
    <w:rsid w:val="00B63572"/>
    <w:rsid w:val="00B845B3"/>
    <w:rsid w:val="00B85D8B"/>
    <w:rsid w:val="00BB4A40"/>
    <w:rsid w:val="00BD6C3E"/>
    <w:rsid w:val="00BE3674"/>
    <w:rsid w:val="00C10681"/>
    <w:rsid w:val="00C3049A"/>
    <w:rsid w:val="00C31B1E"/>
    <w:rsid w:val="00C77645"/>
    <w:rsid w:val="00CE04C3"/>
    <w:rsid w:val="00CE76A0"/>
    <w:rsid w:val="00CF0D5B"/>
    <w:rsid w:val="00D148C6"/>
    <w:rsid w:val="00D17A8A"/>
    <w:rsid w:val="00D365FC"/>
    <w:rsid w:val="00D415BA"/>
    <w:rsid w:val="00D63780"/>
    <w:rsid w:val="00D644EE"/>
    <w:rsid w:val="00D7217D"/>
    <w:rsid w:val="00DD06FF"/>
    <w:rsid w:val="00DD5FE9"/>
    <w:rsid w:val="00E00C7A"/>
    <w:rsid w:val="00E123FB"/>
    <w:rsid w:val="00E37D6C"/>
    <w:rsid w:val="00E442D4"/>
    <w:rsid w:val="00E55B68"/>
    <w:rsid w:val="00E561AE"/>
    <w:rsid w:val="00E671BF"/>
    <w:rsid w:val="00E67BE6"/>
    <w:rsid w:val="00E8683C"/>
    <w:rsid w:val="00EA2B72"/>
    <w:rsid w:val="00F433D5"/>
    <w:rsid w:val="00F4342B"/>
    <w:rsid w:val="00F74360"/>
    <w:rsid w:val="00FB462F"/>
    <w:rsid w:val="00FE16FA"/>
    <w:rsid w:val="00FE328A"/>
    <w:rsid w:val="00FE6269"/>
    <w:rsid w:val="00FF5CD6"/>
    <w:rsid w:val="0B287AA7"/>
    <w:rsid w:val="1B2E3144"/>
    <w:rsid w:val="1F186045"/>
    <w:rsid w:val="1F9C7A89"/>
    <w:rsid w:val="37846232"/>
    <w:rsid w:val="385B2635"/>
    <w:rsid w:val="38AF0DA8"/>
    <w:rsid w:val="39E93694"/>
    <w:rsid w:val="53DB6C22"/>
    <w:rsid w:val="5777D4F5"/>
    <w:rsid w:val="5EF14D18"/>
    <w:rsid w:val="5FC6BB1E"/>
    <w:rsid w:val="5FF720F1"/>
    <w:rsid w:val="698D4F11"/>
    <w:rsid w:val="6A654EE3"/>
    <w:rsid w:val="70CA1661"/>
    <w:rsid w:val="71A131F9"/>
    <w:rsid w:val="737D59BA"/>
    <w:rsid w:val="774614BE"/>
    <w:rsid w:val="77C37683"/>
    <w:rsid w:val="79FF515B"/>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3">
    <w:name w:val="annotation text"/>
    <w:basedOn w:val="1"/>
    <w:link w:val="22"/>
    <w:semiHidden/>
    <w:unhideWhenUsed/>
    <w:qFormat/>
    <w:uiPriority w:val="99"/>
    <w:pPr>
      <w:jc w:val="left"/>
    </w:pPr>
  </w:style>
  <w:style w:type="paragraph" w:styleId="4">
    <w:name w:val="Body Text"/>
    <w:basedOn w:val="1"/>
    <w:next w:val="5"/>
    <w:qFormat/>
    <w:uiPriority w:val="0"/>
    <w:pPr>
      <w:spacing w:after="120"/>
    </w:pPr>
  </w:style>
  <w:style w:type="paragraph" w:styleId="5">
    <w:name w:val="toc 5"/>
    <w:basedOn w:val="1"/>
    <w:next w:val="1"/>
    <w:semiHidden/>
    <w:qFormat/>
    <w:uiPriority w:val="0"/>
    <w:pPr>
      <w:ind w:left="1680" w:leftChars="800"/>
    </w:p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paragraph" w:styleId="10">
    <w:name w:val="annotation subject"/>
    <w:basedOn w:val="3"/>
    <w:next w:val="3"/>
    <w:link w:val="23"/>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Body text|1"/>
    <w:basedOn w:val="1"/>
    <w:qFormat/>
    <w:uiPriority w:val="0"/>
    <w:pPr>
      <w:spacing w:line="406" w:lineRule="auto"/>
      <w:ind w:firstLine="400"/>
      <w:jc w:val="left"/>
    </w:pPr>
    <w:rPr>
      <w:rFonts w:ascii="宋体" w:hAnsi="宋体" w:cs="宋体"/>
      <w:kern w:val="0"/>
      <w:sz w:val="30"/>
      <w:szCs w:val="30"/>
      <w:lang w:val="zh-TW" w:eastAsia="zh-TW" w:bidi="zh-TW"/>
    </w:rPr>
  </w:style>
  <w:style w:type="character" w:customStyle="1" w:styleId="22">
    <w:name w:val="批注文字 字符"/>
    <w:basedOn w:val="12"/>
    <w:link w:val="3"/>
    <w:semiHidden/>
    <w:qFormat/>
    <w:uiPriority w:val="99"/>
    <w:rPr>
      <w:rFonts w:asciiTheme="minorHAnsi" w:hAnsiTheme="minorHAnsi" w:eastAsiaTheme="minorEastAsia" w:cstheme="minorBidi"/>
      <w:kern w:val="2"/>
      <w:sz w:val="21"/>
      <w:szCs w:val="22"/>
    </w:rPr>
  </w:style>
  <w:style w:type="character" w:customStyle="1" w:styleId="23">
    <w:name w:val="批注主题 字符"/>
    <w:basedOn w:val="22"/>
    <w:link w:val="10"/>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6578</Words>
  <Characters>7138</Characters>
  <Lines>52</Lines>
  <Paragraphs>14</Paragraphs>
  <TotalTime>84</TotalTime>
  <ScaleCrop>false</ScaleCrop>
  <LinksUpToDate>false</LinksUpToDate>
  <CharactersWithSpaces>7204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邱邱</cp:lastModifiedBy>
  <cp:lastPrinted>2023-08-15T09:28:00Z</cp:lastPrinted>
  <dcterms:modified xsi:type="dcterms:W3CDTF">2025-09-22T02:35:16Z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3BA1BF742D834F99936BFA402852F503_13</vt:lpwstr>
  </property>
  <property fmtid="{D5CDD505-2E9C-101B-9397-08002B2CF9AE}" pid="4" name="KSOTemplateDocerSaveRecord">
    <vt:lpwstr>eyJoZGlkIjoiMTZlZmQ5YWY4ZGFjNGJjY2VkZDBlYTMwNDNlMDUxYjAiLCJ1c2VySWQiOiIzNTc5MTc4MDAifQ==</vt:lpwstr>
  </property>
</Properties>
</file>