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3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D1C65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7AC8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330E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年度桃源县郑家驿镇人民政府整体支出绩效自评报告</w:t>
      </w:r>
    </w:p>
    <w:p w14:paraId="0761D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sz w:val="52"/>
          <w:szCs w:val="52"/>
        </w:rPr>
      </w:pPr>
    </w:p>
    <w:p w14:paraId="5A4F2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9D2A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F02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8B6D2D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92103A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C009E5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41862C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EA1595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2036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5599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71C1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3D67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0AA4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171F4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桃源县郑家驿镇人民政府</w:t>
      </w:r>
    </w:p>
    <w:p w14:paraId="4FC1B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6C7E6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桃源县郑家驿镇人民政府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整体支出绩效自评报告</w:t>
      </w:r>
    </w:p>
    <w:p w14:paraId="3000F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E491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一、单位</w:t>
      </w:r>
      <w:r>
        <w:rPr>
          <w:rFonts w:hint="eastAsia" w:eastAsia="黑体" w:cs="Times New Roman"/>
          <w:sz w:val="32"/>
          <w:szCs w:val="32"/>
          <w:lang w:eastAsia="zh-CN"/>
        </w:rPr>
        <w:t>概况</w:t>
      </w:r>
    </w:p>
    <w:p w14:paraId="16EAD7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（一）机构、人员构成</w:t>
      </w:r>
    </w:p>
    <w:p w14:paraId="3B4F4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郑家驿镇政府内设机构6个：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党政办公室、党建办公室、经济发展办公室、平安法治和应急管理办公室</w:t>
      </w:r>
      <w:r>
        <w:rPr>
          <w:rFonts w:hint="default" w:ascii="Times New Roman" w:hAnsi="Times New Roman" w:cs="Times New Roman"/>
          <w:sz w:val="32"/>
          <w:szCs w:val="32"/>
        </w:rPr>
        <w:t>；下设3中心1站1队：农业综合服务中心、社会事务综合服务中心（加挂安全生产监督管理站牌子）、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生态事务中心</w:t>
      </w:r>
      <w:r>
        <w:rPr>
          <w:rFonts w:hint="default" w:ascii="Times New Roman" w:hAnsi="Times New Roman" w:cs="Times New Roman"/>
          <w:sz w:val="32"/>
          <w:szCs w:val="32"/>
        </w:rPr>
        <w:t>、退役军人服务站、综合行政执法大队。</w:t>
      </w:r>
    </w:p>
    <w:p w14:paraId="6E859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人员构成：截止202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年12月底，郑家驿镇核定编制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cs="Times New Roman"/>
          <w:sz w:val="32"/>
          <w:szCs w:val="32"/>
        </w:rPr>
        <w:t>个，实有编制人数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人，其中核定行政编制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cs="Times New Roman"/>
          <w:sz w:val="32"/>
          <w:szCs w:val="32"/>
        </w:rPr>
        <w:t>个，机关工勤1个，实有行政人员</w:t>
      </w:r>
      <w:r>
        <w:rPr>
          <w:rFonts w:hint="eastAsia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cs="Times New Roman"/>
          <w:sz w:val="32"/>
          <w:szCs w:val="32"/>
        </w:rPr>
        <w:t>人，机关工勤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 w:val="32"/>
          <w:szCs w:val="32"/>
        </w:rPr>
        <w:t>人</w:t>
      </w:r>
      <w:r>
        <w:rPr>
          <w:rFonts w:hint="eastAsia" w:cs="Times New Roman"/>
          <w:sz w:val="32"/>
          <w:szCs w:val="32"/>
          <w:lang w:eastAsia="zh-CN"/>
        </w:rPr>
        <w:t>；财政所编制数</w:t>
      </w:r>
      <w:r>
        <w:rPr>
          <w:rFonts w:hint="eastAsia" w:cs="Times New Roman"/>
          <w:sz w:val="32"/>
          <w:szCs w:val="32"/>
          <w:lang w:val="en-US" w:eastAsia="zh-CN"/>
        </w:rPr>
        <w:t>6个，实有财政所人员5人。</w:t>
      </w:r>
      <w:r>
        <w:rPr>
          <w:rFonts w:hint="default" w:ascii="Times New Roman" w:hAnsi="Times New Roman" w:cs="Times New Roman"/>
          <w:sz w:val="32"/>
          <w:szCs w:val="32"/>
        </w:rPr>
        <w:t>核定事业编制50个，实有4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人：农业综合服务中心核定编制18个，实有1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人；社会事务综合服务中心核定编制14个，实有1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人；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生态事务中心</w:t>
      </w:r>
      <w:r>
        <w:rPr>
          <w:rFonts w:hint="default" w:ascii="Times New Roman" w:hAnsi="Times New Roman" w:cs="Times New Roman"/>
          <w:sz w:val="32"/>
          <w:szCs w:val="32"/>
        </w:rPr>
        <w:t>核定编制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>个，实有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人；综合行政执法大队核定编制</w:t>
      </w:r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sz w:val="32"/>
          <w:szCs w:val="32"/>
        </w:rPr>
        <w:t>个，实有7人；退役军人服务站核定编制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个，实有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人。</w:t>
      </w:r>
    </w:p>
    <w:p w14:paraId="58053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（二）单位主要职责</w:t>
      </w:r>
    </w:p>
    <w:p w14:paraId="1EC12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桃源郑家驿镇人民政府系正科级行政机关，办公地址为桃源县郑家驿镇墟场。本单位主要职责：</w:t>
      </w:r>
    </w:p>
    <w:p w14:paraId="3B843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1.宣传和贯彻执行党的路线方针政策和党中央、上级党组织及本级党员代表大会（党员大会）的决议。执行本级人民代表大会的决议和上级国家行政机关的决定和命令，发布决定和命令。</w:t>
      </w:r>
    </w:p>
    <w:p w14:paraId="39A9C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.讨论和决定本辖区党的建设、政治建设、经济建设、文化建设、社会建设、生态文明建设以及乡村振兴中的重大问题。执行辖区经济和社会发展计划、预算，管理辖区内的经济、教育、科学、文化、卫生、体育、城乡建设等事业和生态环境保护，自然资源、财政、民政、社会保障、公安、民族宗教、司法行政、人口与计划生育等行政工作。</w:t>
      </w:r>
    </w:p>
    <w:p w14:paraId="125DA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3.加强镇党委自身建设和村（社区）党组织建设，以及其他隶属镇党委的党组织建设，抓好发展党员工作，加强党员队伍建设。维护和执行党的纪律，监督党员、干部和其他工作人员严格遵守国家法律法规。</w:t>
      </w:r>
    </w:p>
    <w:p w14:paraId="20A79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4.按照干部管理权限，负责干部教育、培训、选拔、考核和监督。协助管理上级有关部门驻镇单位的工作人员。做好人才服务和引进工作。</w:t>
      </w:r>
    </w:p>
    <w:p w14:paraId="43623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5.负责辖区内公共服务、公共管理、公共安全等工作，依法履行综合管理、统筹协调、应急处置和行政执法等职责，反映居民的意见和要求。</w:t>
      </w:r>
    </w:p>
    <w:p w14:paraId="63C09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6.领导本辖区的基层治理，加强社会主义民主法治建设和精神文明建设，加强社会治安综合治理，做好美丽乡村建设等工作。</w:t>
      </w:r>
    </w:p>
    <w:p w14:paraId="626BF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7.完成县委、县政府交办的其他任务。</w:t>
      </w:r>
    </w:p>
    <w:p w14:paraId="696DC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二、部门财务情况</w:t>
      </w:r>
    </w:p>
    <w:p w14:paraId="6EB7A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（一）部门整体支出情况</w:t>
      </w:r>
    </w:p>
    <w:p w14:paraId="2F818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 资产负债及净资产情况</w:t>
      </w:r>
    </w:p>
    <w:p w14:paraId="07CA3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年12月31日单位资产总额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1813.15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万元，其中：流动资产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1320.99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万元、非流动资产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492.16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负债总额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1173.31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万元，净资产总额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639.84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71A5E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部门预算收支决算情况</w:t>
      </w:r>
    </w:p>
    <w:p w14:paraId="53993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年部门年初预算收入</w:t>
      </w:r>
      <w:r>
        <w:rPr>
          <w:rFonts w:hint="eastAsia" w:cs="Times New Roman"/>
          <w:sz w:val="32"/>
          <w:szCs w:val="32"/>
          <w:lang w:val="en-US" w:eastAsia="zh-CN"/>
        </w:rPr>
        <w:t>3247.99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决算收入</w:t>
      </w:r>
      <w:r>
        <w:rPr>
          <w:rFonts w:hint="eastAsia" w:cs="Times New Roman"/>
          <w:sz w:val="32"/>
          <w:szCs w:val="32"/>
          <w:lang w:val="en-US" w:eastAsia="zh-CN"/>
        </w:rPr>
        <w:t>2826.23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万元，其中：一般公共预算拨款</w:t>
      </w:r>
      <w:r>
        <w:rPr>
          <w:rFonts w:hint="eastAsia" w:cs="Times New Roman"/>
          <w:sz w:val="32"/>
          <w:szCs w:val="32"/>
          <w:lang w:val="en-US" w:eastAsia="zh-CN"/>
        </w:rPr>
        <w:t>2717.40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万元，政府性基金预算财政拨款收入</w:t>
      </w:r>
      <w:r>
        <w:rPr>
          <w:rFonts w:hint="eastAsia" w:cs="Times New Roman"/>
          <w:sz w:val="32"/>
          <w:szCs w:val="32"/>
          <w:lang w:val="en-US" w:eastAsia="zh-CN"/>
        </w:rPr>
        <w:t>21.90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万元，国有资本经营预算财政拨款收入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</w:t>
      </w:r>
      <w:r>
        <w:rPr>
          <w:rFonts w:hint="eastAsia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收入</w:t>
      </w:r>
      <w:r>
        <w:rPr>
          <w:rFonts w:hint="eastAsia" w:cs="Times New Roman"/>
          <w:sz w:val="32"/>
          <w:szCs w:val="32"/>
          <w:lang w:val="en-US" w:eastAsia="zh-CN"/>
        </w:rPr>
        <w:t>86.55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651AB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年部门年初预算支出</w:t>
      </w:r>
      <w:r>
        <w:rPr>
          <w:rFonts w:hint="eastAsia" w:cs="Times New Roman"/>
          <w:sz w:val="32"/>
          <w:szCs w:val="32"/>
          <w:lang w:val="en-US" w:eastAsia="zh-CN"/>
        </w:rPr>
        <w:t>3247.99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601.41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2646.58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万元。部门决算支出</w:t>
      </w:r>
      <w:r>
        <w:rPr>
          <w:rFonts w:hint="eastAsia" w:cs="Times New Roman"/>
          <w:sz w:val="32"/>
          <w:szCs w:val="32"/>
          <w:lang w:val="en-US" w:eastAsia="zh-CN"/>
        </w:rPr>
        <w:t>2826.23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1437.78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1388.46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11DB86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年末结转结余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65CD4651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“三公经费”支出使用和管理情况</w:t>
      </w:r>
    </w:p>
    <w:p w14:paraId="5144E708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本年三公经费支出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46000.00元，其中公务接待支出46000.00元，2023年三公经费支出96380.00元，其中公务接待费96380.00元。今年本镇严格控制三公经费支出，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降低运行成本，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因此三公经费支出未超过去年。</w:t>
      </w:r>
    </w:p>
    <w:p w14:paraId="148C7B6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部门绩效目标</w:t>
      </w:r>
    </w:p>
    <w:p w14:paraId="04BA89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cs="Times New Roman"/>
          <w:sz w:val="32"/>
          <w:szCs w:val="32"/>
        </w:rPr>
        <w:t xml:space="preserve"> 部门绩效总目标</w:t>
      </w:r>
    </w:p>
    <w:p w14:paraId="1CB09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（1）全面深化基层党建标准化建设。</w:t>
      </w:r>
    </w:p>
    <w:p w14:paraId="646EF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（2）完成农村人居环境整治、厕所革命等乡村振兴工作</w:t>
      </w:r>
      <w:r>
        <w:rPr>
          <w:rFonts w:hint="eastAsia" w:cs="Times New Roman"/>
          <w:sz w:val="32"/>
          <w:szCs w:val="32"/>
          <w:lang w:eastAsia="zh-CN"/>
        </w:rPr>
        <w:t>。</w:t>
      </w:r>
    </w:p>
    <w:p w14:paraId="6BCE0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（3）完善基础设施建设与惠民项目资金的管理，道路修扩建、硬化工程、安全饮水工程等验收。</w:t>
      </w:r>
    </w:p>
    <w:p w14:paraId="19228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（4）加强民生事业，保障社会和谐稳定。</w:t>
      </w:r>
    </w:p>
    <w:p w14:paraId="3EC88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（5）全面推进居民医保、养老保险，完善社会救助模式。</w:t>
      </w:r>
    </w:p>
    <w:p w14:paraId="56387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（6）狠抓招商引资提质增量。</w:t>
      </w:r>
    </w:p>
    <w:p w14:paraId="197CE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28" w:firstLine="0" w:firstLineChars="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  <w:szCs w:val="32"/>
        </w:rPr>
        <w:t>（7）财务方面严格按照“三公”经费预算管理的规定实施。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（8）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走访慰问困难群众和特殊群体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766D0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28" w:firstLine="0" w:firstLineChars="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（9）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保证社区、村级组织健康、正常运转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7D85D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28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（10）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处理好群众性突发事件，做好司法调解工作，群众满意度普遍提升。</w:t>
      </w:r>
    </w:p>
    <w:p w14:paraId="7D4E0C0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cs="Times New Roman"/>
          <w:sz w:val="32"/>
          <w:szCs w:val="32"/>
        </w:rPr>
        <w:t xml:space="preserve"> 部门</w:t>
      </w: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cs="Times New Roman"/>
          <w:sz w:val="32"/>
          <w:szCs w:val="32"/>
        </w:rPr>
        <w:t>年度绩效目标</w:t>
      </w:r>
    </w:p>
    <w:p w14:paraId="79079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（1）</w:t>
      </w:r>
      <w:r>
        <w:rPr>
          <w:rFonts w:hint="default" w:ascii="Times New Roman" w:hAnsi="Times New Roman" w:cs="Times New Roman"/>
          <w:sz w:val="32"/>
          <w:szCs w:val="32"/>
        </w:rPr>
        <w:t>产出指标</w:t>
      </w:r>
    </w:p>
    <w:p w14:paraId="685EB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①数量指标。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开展党建工作：中心组</w:t>
      </w:r>
      <w:r>
        <w:rPr>
          <w:rFonts w:hint="eastAsia" w:cs="Times New Roman"/>
          <w:sz w:val="32"/>
          <w:szCs w:val="32"/>
          <w:lang w:val="en-US" w:eastAsia="zh-CN"/>
        </w:rPr>
        <w:t>1次/月；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党建工作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eastAsia" w:cs="Times New Roman"/>
          <w:sz w:val="32"/>
          <w:szCs w:val="32"/>
          <w:lang w:val="en-US" w:eastAsia="zh-CN"/>
        </w:rPr>
        <w:t>开展村、社区党员干部集中教育培训1次/年</w:t>
      </w:r>
      <w:r>
        <w:rPr>
          <w:rFonts w:hint="default" w:ascii="Times New Roman" w:hAnsi="Times New Roman" w:cs="Times New Roman"/>
          <w:sz w:val="32"/>
          <w:szCs w:val="32"/>
        </w:rPr>
        <w:t>。安全隐患排查</w:t>
      </w:r>
      <w:r>
        <w:rPr>
          <w:rFonts w:hint="eastAsia" w:cs="Times New Roman"/>
          <w:sz w:val="32"/>
          <w:szCs w:val="32"/>
          <w:lang w:val="en-US" w:eastAsia="zh-CN"/>
        </w:rPr>
        <w:t>40次</w:t>
      </w:r>
      <w:r>
        <w:rPr>
          <w:rFonts w:hint="default" w:ascii="Times New Roman" w:hAnsi="Times New Roman" w:cs="Times New Roman"/>
          <w:sz w:val="32"/>
          <w:szCs w:val="32"/>
        </w:rPr>
        <w:t>。人居环境整治项目</w:t>
      </w:r>
      <w:r>
        <w:rPr>
          <w:rFonts w:hint="eastAsia" w:cs="Times New Roman"/>
          <w:sz w:val="32"/>
          <w:szCs w:val="32"/>
          <w:lang w:val="en-US" w:eastAsia="zh-CN"/>
        </w:rPr>
        <w:t>12个</w:t>
      </w:r>
      <w:r>
        <w:rPr>
          <w:rFonts w:hint="default" w:ascii="Times New Roman" w:hAnsi="Times New Roman" w:cs="Times New Roman"/>
          <w:sz w:val="32"/>
          <w:szCs w:val="32"/>
        </w:rPr>
        <w:t>。村组道路修建硬化</w:t>
      </w:r>
      <w:r>
        <w:rPr>
          <w:rFonts w:hint="eastAsia" w:cs="Times New Roman"/>
          <w:sz w:val="32"/>
          <w:szCs w:val="32"/>
          <w:lang w:val="en-US" w:eastAsia="zh-CN"/>
        </w:rPr>
        <w:t>5个村组</w:t>
      </w:r>
      <w:r>
        <w:rPr>
          <w:rFonts w:hint="default" w:ascii="Times New Roman" w:hAnsi="Times New Roman" w:cs="Times New Roman"/>
          <w:sz w:val="32"/>
          <w:szCs w:val="32"/>
        </w:rPr>
        <w:t>。走访慰问困难群众和特殊群众</w:t>
      </w:r>
      <w:r>
        <w:rPr>
          <w:rFonts w:hint="eastAsia" w:cs="Times New Roman"/>
          <w:sz w:val="32"/>
          <w:szCs w:val="32"/>
          <w:lang w:val="en-US" w:eastAsia="zh-CN"/>
        </w:rPr>
        <w:t>20次/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0人次</w:t>
      </w:r>
      <w:r>
        <w:rPr>
          <w:rFonts w:hint="default" w:ascii="Times New Roman" w:hAnsi="Times New Roman" w:cs="Times New Roman"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粮食种植面积</w:t>
      </w:r>
      <w:r>
        <w:rPr>
          <w:rFonts w:hint="eastAsia" w:cs="Times New Roman"/>
          <w:sz w:val="32"/>
          <w:szCs w:val="32"/>
          <w:lang w:val="en-US" w:eastAsia="zh-CN"/>
        </w:rPr>
        <w:t>72804亩</w:t>
      </w:r>
      <w:r>
        <w:rPr>
          <w:rFonts w:hint="default" w:ascii="Times New Roman" w:hAnsi="Times New Roman" w:cs="Times New Roman"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油茶新造面积500亩</w:t>
      </w:r>
      <w:r>
        <w:rPr>
          <w:rFonts w:hint="default" w:ascii="Times New Roman" w:hAnsi="Times New Roman" w:cs="Times New Roman"/>
          <w:sz w:val="32"/>
          <w:szCs w:val="32"/>
        </w:rPr>
        <w:t>。塘坝清淤数28口</w:t>
      </w:r>
      <w:r>
        <w:rPr>
          <w:rFonts w:hint="eastAsia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禁毒、消防宣传活动发放资料</w:t>
      </w:r>
      <w:r>
        <w:rPr>
          <w:rFonts w:hint="eastAsia" w:cs="Times New Roman"/>
          <w:sz w:val="32"/>
          <w:szCs w:val="32"/>
          <w:lang w:eastAsia="zh-CN"/>
        </w:rPr>
        <w:t>超过</w:t>
      </w:r>
      <w:r>
        <w:rPr>
          <w:rFonts w:hint="eastAsia" w:cs="Times New Roman"/>
          <w:sz w:val="32"/>
          <w:szCs w:val="32"/>
          <w:lang w:val="en-US" w:eastAsia="zh-CN"/>
        </w:rPr>
        <w:t>2000份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 w14:paraId="3F833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②质量指标。厕所革命验收合格率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，工程验收合格率</w:t>
      </w:r>
      <w:r>
        <w:rPr>
          <w:rFonts w:hint="eastAsia" w:cs="Times New Roman"/>
          <w:sz w:val="32"/>
          <w:szCs w:val="32"/>
          <w:lang w:eastAsia="zh-CN"/>
        </w:rPr>
        <w:t>，安全生产、秸秆禁烧、森林防火宣传覆盖率，行政村考核达标率，基层治理水平达标率</w:t>
      </w:r>
      <w:r>
        <w:rPr>
          <w:rFonts w:hint="default" w:ascii="Times New Roman" w:hAnsi="Times New Roman" w:cs="Times New Roman"/>
          <w:sz w:val="32"/>
          <w:szCs w:val="32"/>
        </w:rPr>
        <w:t>均为100%。预算支出执行率</w:t>
      </w:r>
      <w:r>
        <w:rPr>
          <w:rFonts w:hint="eastAsia" w:cs="Times New Roman"/>
          <w:sz w:val="32"/>
          <w:szCs w:val="32"/>
          <w:lang w:eastAsia="zh-CN"/>
        </w:rPr>
        <w:t>，工作人员考核达标率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均≥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cs="Times New Roman"/>
          <w:sz w:val="32"/>
          <w:szCs w:val="32"/>
        </w:rPr>
        <w:t>%。年度重点工作完成率</w:t>
      </w:r>
      <w:r>
        <w:rPr>
          <w:rFonts w:hint="eastAsia" w:cs="Times New Roman"/>
          <w:sz w:val="32"/>
          <w:szCs w:val="32"/>
          <w:lang w:eastAsia="zh-CN"/>
        </w:rPr>
        <w:t>，医保参保率，司法调解率均≥</w:t>
      </w:r>
      <w:r>
        <w:rPr>
          <w:rFonts w:hint="eastAsia" w:cs="Times New Roman"/>
          <w:sz w:val="32"/>
          <w:szCs w:val="32"/>
          <w:lang w:val="en-US" w:eastAsia="zh-CN"/>
        </w:rPr>
        <w:t>90%。</w:t>
      </w:r>
    </w:p>
    <w:p w14:paraId="102FC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③时效指标。资金拨付及时率</w:t>
      </w:r>
      <w:r>
        <w:rPr>
          <w:rFonts w:hint="eastAsia" w:cs="Times New Roman"/>
          <w:sz w:val="32"/>
          <w:szCs w:val="32"/>
          <w:lang w:eastAsia="zh-CN"/>
        </w:rPr>
        <w:t>，工程完成及时率，应急处置及时率，</w:t>
      </w:r>
      <w:r>
        <w:rPr>
          <w:rFonts w:hint="default" w:ascii="Times New Roman" w:hAnsi="Times New Roman" w:cs="Times New Roman"/>
          <w:sz w:val="32"/>
          <w:szCs w:val="32"/>
        </w:rPr>
        <w:t>各类补贴发放及时率</w:t>
      </w:r>
      <w:r>
        <w:rPr>
          <w:rFonts w:hint="eastAsia" w:cs="Times New Roman"/>
          <w:sz w:val="32"/>
          <w:szCs w:val="32"/>
          <w:lang w:eastAsia="zh-CN"/>
        </w:rPr>
        <w:t>均为</w:t>
      </w:r>
      <w:r>
        <w:rPr>
          <w:rFonts w:hint="default" w:ascii="Times New Roman" w:hAnsi="Times New Roman" w:cs="Times New Roman"/>
          <w:sz w:val="32"/>
          <w:szCs w:val="32"/>
        </w:rPr>
        <w:t>100%。</w:t>
      </w:r>
    </w:p>
    <w:p w14:paraId="2F2DA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④成本指标。成本控制率</w:t>
      </w:r>
      <w:r>
        <w:rPr>
          <w:rFonts w:hint="eastAsia" w:cs="Times New Roman"/>
          <w:sz w:val="32"/>
          <w:szCs w:val="32"/>
          <w:lang w:eastAsia="zh-CN"/>
        </w:rPr>
        <w:t>≤</w:t>
      </w:r>
      <w:r>
        <w:rPr>
          <w:rFonts w:hint="default" w:ascii="Times New Roman" w:hAnsi="Times New Roman" w:cs="Times New Roman"/>
          <w:sz w:val="32"/>
          <w:szCs w:val="32"/>
        </w:rPr>
        <w:t>100%</w:t>
      </w:r>
      <w:r>
        <w:rPr>
          <w:rFonts w:hint="eastAsia" w:cs="Times New Roman"/>
          <w:sz w:val="32"/>
          <w:szCs w:val="32"/>
          <w:lang w:eastAsia="zh-CN"/>
        </w:rPr>
        <w:t>，三公经费控制≤9.64万元，成本总额≤3247.99万元。</w:t>
      </w:r>
    </w:p>
    <w:p w14:paraId="19D0D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（2）效益指标</w:t>
      </w:r>
    </w:p>
    <w:p w14:paraId="35C5AC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28" w:firstLine="0" w:firstLineChars="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①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经济效益指标</w:t>
      </w:r>
      <w:r>
        <w:rPr>
          <w:rFonts w:hint="default" w:ascii="Times New Roman" w:hAnsi="Times New Roman" w:cs="Times New Roman"/>
          <w:sz w:val="32"/>
          <w:szCs w:val="32"/>
        </w:rPr>
        <w:t>。人均收入和地区经济增长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都有一定提升</w:t>
      </w:r>
      <w:r>
        <w:rPr>
          <w:rFonts w:hint="eastAsia" w:cs="Times New Roman"/>
          <w:sz w:val="32"/>
          <w:szCs w:val="32"/>
          <w:lang w:eastAsia="zh-CN"/>
        </w:rPr>
        <w:t>。</w:t>
      </w:r>
    </w:p>
    <w:p w14:paraId="494DF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②社会效益指标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eastAsia" w:cs="Times New Roman"/>
          <w:sz w:val="32"/>
          <w:szCs w:val="32"/>
          <w:lang w:eastAsia="zh-CN"/>
        </w:rPr>
        <w:t>重大安全事故、重大动物疫病和</w:t>
      </w:r>
      <w:r>
        <w:rPr>
          <w:rFonts w:hint="eastAsia" w:cs="Times New Roman"/>
          <w:sz w:val="32"/>
          <w:szCs w:val="32"/>
          <w:lang w:val="en-US" w:eastAsia="zh-CN"/>
        </w:rPr>
        <w:t>重大森林火灾0发生，困难就业人员就业率≥80%，交通事故发生减少率降低，群众生活幸福指数提高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 w14:paraId="5B465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③生态效益指标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。辖区内环境美化提升度</w:t>
      </w:r>
      <w:r>
        <w:rPr>
          <w:rFonts w:hint="eastAsia" w:cs="Times New Roman"/>
          <w:sz w:val="32"/>
          <w:szCs w:val="32"/>
          <w:lang w:eastAsia="zh-CN"/>
        </w:rPr>
        <w:t>提升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，河涌整治覆盖率≥90%</w:t>
      </w:r>
      <w:r>
        <w:rPr>
          <w:rFonts w:hint="eastAsia" w:cs="Times New Roman"/>
          <w:sz w:val="32"/>
          <w:szCs w:val="32"/>
          <w:lang w:eastAsia="zh-CN"/>
        </w:rPr>
        <w:t>，生态破坏事件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eastAsia" w:cs="Times New Roman"/>
          <w:sz w:val="32"/>
          <w:szCs w:val="32"/>
          <w:lang w:eastAsia="zh-CN"/>
        </w:rPr>
        <w:t>发生，秀美桃源排名全县前</w:t>
      </w:r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 w14:paraId="078A3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④可持续影响指标。党风廉政宣传率</w:t>
      </w:r>
      <w:r>
        <w:rPr>
          <w:rFonts w:hint="eastAsia" w:cs="Times New Roman"/>
          <w:sz w:val="32"/>
          <w:szCs w:val="32"/>
          <w:lang w:eastAsia="zh-CN"/>
        </w:rPr>
        <w:t>达到</w:t>
      </w:r>
      <w:r>
        <w:rPr>
          <w:rFonts w:hint="eastAsia" w:cs="Times New Roman"/>
          <w:sz w:val="32"/>
          <w:szCs w:val="32"/>
          <w:lang w:val="en-US" w:eastAsia="zh-CN"/>
        </w:rPr>
        <w:t>100%，党员干部思想认识度提高，机构运行保障度有效保障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 w14:paraId="10B8F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（2）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满意度</w:t>
      </w:r>
      <w:r>
        <w:rPr>
          <w:rFonts w:hint="default" w:ascii="Times New Roman" w:hAnsi="Times New Roman" w:cs="Times New Roman"/>
          <w:sz w:val="32"/>
          <w:szCs w:val="32"/>
        </w:rPr>
        <w:t>指标</w:t>
      </w:r>
    </w:p>
    <w:p w14:paraId="4974D03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服务对象满意度指标。直接受益对象满意度在9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%以上。</w:t>
      </w:r>
    </w:p>
    <w:p w14:paraId="7D6A7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ascii="黑体" w:hAnsi="黑体" w:eastAsia="黑体" w:cs="Times New Roman"/>
          <w:kern w:val="0"/>
          <w:sz w:val="32"/>
          <w:szCs w:val="32"/>
        </w:rPr>
        <w:t>绩效评价工作情况</w:t>
      </w:r>
    </w:p>
    <w:p w14:paraId="0E5EEC9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根据县财政相关部门统一部署，我单位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年部门整体支出绩效自评情况将在单位门户网站公开，接受社会监督。对绩效自评工作中发现的问题及时整改，解决好绩效评价管理中存在的问题，提高工作效能。根据部门整体支出绩效评价指标评分标准，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年我单位部门整体绩效评价自评分为9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5.29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分。</w:t>
      </w:r>
    </w:p>
    <w:p w14:paraId="645B2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五</w:t>
      </w:r>
      <w:r>
        <w:rPr>
          <w:rFonts w:ascii="黑体" w:hAnsi="黑体" w:eastAsia="黑体" w:cs="Times New Roman"/>
          <w:kern w:val="0"/>
          <w:sz w:val="32"/>
          <w:szCs w:val="32"/>
        </w:rPr>
        <w:t>、部门整体支出绩效情况</w:t>
      </w:r>
    </w:p>
    <w:p w14:paraId="151B8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（一）部门产出指标完成情况</w:t>
      </w:r>
    </w:p>
    <w:p w14:paraId="6A99E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1.数量指标。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开展党建工作：中心组</w:t>
      </w:r>
      <w:r>
        <w:rPr>
          <w:rFonts w:hint="eastAsia" w:cs="Times New Roman"/>
          <w:sz w:val="32"/>
          <w:szCs w:val="32"/>
          <w:lang w:val="en-US" w:eastAsia="zh-CN"/>
        </w:rPr>
        <w:t>1次/月；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党建工作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eastAsia" w:cs="Times New Roman"/>
          <w:sz w:val="32"/>
          <w:szCs w:val="32"/>
          <w:lang w:val="en-US" w:eastAsia="zh-CN"/>
        </w:rPr>
        <w:t>开展村、社区党员干部集中教育培训1次/年</w:t>
      </w:r>
      <w:r>
        <w:rPr>
          <w:rFonts w:hint="default" w:ascii="Times New Roman" w:hAnsi="Times New Roman" w:cs="Times New Roman"/>
          <w:sz w:val="32"/>
          <w:szCs w:val="32"/>
        </w:rPr>
        <w:t>。安全隐患排查</w:t>
      </w:r>
      <w:r>
        <w:rPr>
          <w:rFonts w:hint="eastAsia" w:cs="Times New Roman"/>
          <w:sz w:val="32"/>
          <w:szCs w:val="32"/>
          <w:lang w:val="en-US" w:eastAsia="zh-CN"/>
        </w:rPr>
        <w:t>40次</w:t>
      </w:r>
      <w:r>
        <w:rPr>
          <w:rFonts w:hint="default" w:ascii="Times New Roman" w:hAnsi="Times New Roman" w:cs="Times New Roman"/>
          <w:sz w:val="32"/>
          <w:szCs w:val="32"/>
        </w:rPr>
        <w:t>。人居环境整治项目</w:t>
      </w:r>
      <w:r>
        <w:rPr>
          <w:rFonts w:hint="eastAsia" w:cs="Times New Roman"/>
          <w:sz w:val="32"/>
          <w:szCs w:val="32"/>
          <w:lang w:val="en-US" w:eastAsia="zh-CN"/>
        </w:rPr>
        <w:t>12个</w:t>
      </w:r>
      <w:r>
        <w:rPr>
          <w:rFonts w:hint="default" w:ascii="Times New Roman" w:hAnsi="Times New Roman" w:cs="Times New Roman"/>
          <w:sz w:val="32"/>
          <w:szCs w:val="32"/>
        </w:rPr>
        <w:t>。村组道路修建硬化</w:t>
      </w:r>
      <w:r>
        <w:rPr>
          <w:rFonts w:hint="eastAsia" w:cs="Times New Roman"/>
          <w:sz w:val="32"/>
          <w:szCs w:val="32"/>
          <w:lang w:val="en-US" w:eastAsia="zh-CN"/>
        </w:rPr>
        <w:t>5个村组</w:t>
      </w:r>
      <w:r>
        <w:rPr>
          <w:rFonts w:hint="default" w:ascii="Times New Roman" w:hAnsi="Times New Roman" w:cs="Times New Roman"/>
          <w:sz w:val="32"/>
          <w:szCs w:val="32"/>
        </w:rPr>
        <w:t>。走访慰问困难群众和特殊群众</w:t>
      </w:r>
      <w:r>
        <w:rPr>
          <w:rFonts w:hint="eastAsia" w:cs="Times New Roman"/>
          <w:sz w:val="32"/>
          <w:szCs w:val="32"/>
          <w:lang w:val="en-US" w:eastAsia="zh-CN"/>
        </w:rPr>
        <w:t>22次/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0人次</w:t>
      </w:r>
      <w:r>
        <w:rPr>
          <w:rFonts w:hint="default" w:ascii="Times New Roman" w:hAnsi="Times New Roman" w:cs="Times New Roman"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粮食种植面积</w:t>
      </w:r>
      <w:r>
        <w:rPr>
          <w:rFonts w:hint="eastAsia" w:cs="Times New Roman"/>
          <w:sz w:val="32"/>
          <w:szCs w:val="32"/>
          <w:lang w:val="en-US" w:eastAsia="zh-CN"/>
        </w:rPr>
        <w:t>72804亩</w:t>
      </w:r>
      <w:r>
        <w:rPr>
          <w:rFonts w:hint="default" w:ascii="Times New Roman" w:hAnsi="Times New Roman" w:cs="Times New Roman"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油茶新造面积500亩</w:t>
      </w:r>
      <w:r>
        <w:rPr>
          <w:rFonts w:hint="default" w:ascii="Times New Roman" w:hAnsi="Times New Roman" w:cs="Times New Roman"/>
          <w:sz w:val="32"/>
          <w:szCs w:val="32"/>
        </w:rPr>
        <w:t>。塘坝清淤数28口</w:t>
      </w:r>
      <w:r>
        <w:rPr>
          <w:rFonts w:hint="eastAsia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禁毒、消防宣传活动发放资料</w:t>
      </w:r>
      <w:r>
        <w:rPr>
          <w:rFonts w:hint="eastAsia" w:cs="Times New Roman"/>
          <w:sz w:val="32"/>
          <w:szCs w:val="32"/>
          <w:lang w:val="en-US" w:eastAsia="zh-CN"/>
        </w:rPr>
        <w:t>1500份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 w14:paraId="1999B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2.质量指标。年度重点工作完成率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厕所革命验收合格率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，工程验收合格率</w:t>
      </w:r>
      <w:r>
        <w:rPr>
          <w:rFonts w:hint="eastAsia" w:cs="Times New Roman"/>
          <w:sz w:val="32"/>
          <w:szCs w:val="32"/>
          <w:lang w:eastAsia="zh-CN"/>
        </w:rPr>
        <w:t>，安全生产、秸秆禁烧、森林防火宣传覆盖率，行政村考核达标率，工作人员考核达标率，基层治理水平达标率</w:t>
      </w:r>
      <w:r>
        <w:rPr>
          <w:rFonts w:hint="default" w:ascii="Times New Roman" w:hAnsi="Times New Roman" w:cs="Times New Roman"/>
          <w:sz w:val="32"/>
          <w:szCs w:val="32"/>
        </w:rPr>
        <w:t>均为100%。</w:t>
      </w:r>
      <w:r>
        <w:rPr>
          <w:rFonts w:hint="eastAsia" w:cs="Times New Roman"/>
          <w:sz w:val="32"/>
          <w:szCs w:val="32"/>
          <w:lang w:eastAsia="zh-CN"/>
        </w:rPr>
        <w:t>司法调解率为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预算支出执行率85%，</w:t>
      </w:r>
      <w:r>
        <w:rPr>
          <w:rFonts w:hint="eastAsia" w:cs="Times New Roman"/>
          <w:sz w:val="32"/>
          <w:szCs w:val="32"/>
          <w:lang w:eastAsia="zh-CN"/>
        </w:rPr>
        <w:t>医保参保率为</w:t>
      </w:r>
      <w:r>
        <w:rPr>
          <w:rFonts w:hint="eastAsia" w:cs="Times New Roman"/>
          <w:sz w:val="32"/>
          <w:szCs w:val="32"/>
          <w:lang w:val="en-US" w:eastAsia="zh-CN"/>
        </w:rPr>
        <w:t>80%。</w:t>
      </w:r>
    </w:p>
    <w:p w14:paraId="2E688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3.时效指标。资金拨付及时率</w:t>
      </w:r>
      <w:r>
        <w:rPr>
          <w:rFonts w:hint="eastAsia" w:cs="Times New Roman"/>
          <w:sz w:val="32"/>
          <w:szCs w:val="32"/>
          <w:lang w:eastAsia="zh-CN"/>
        </w:rPr>
        <w:t>，工程完成及时率，应急处置及时率，</w:t>
      </w:r>
      <w:r>
        <w:rPr>
          <w:rFonts w:hint="default" w:ascii="Times New Roman" w:hAnsi="Times New Roman" w:cs="Times New Roman"/>
          <w:sz w:val="32"/>
          <w:szCs w:val="32"/>
        </w:rPr>
        <w:t>各类补贴发放及时率</w:t>
      </w:r>
      <w:r>
        <w:rPr>
          <w:rFonts w:hint="eastAsia" w:cs="Times New Roman"/>
          <w:sz w:val="32"/>
          <w:szCs w:val="32"/>
          <w:lang w:eastAsia="zh-CN"/>
        </w:rPr>
        <w:t>均为</w:t>
      </w:r>
      <w:r>
        <w:rPr>
          <w:rFonts w:hint="default" w:ascii="Times New Roman" w:hAnsi="Times New Roman" w:cs="Times New Roman"/>
          <w:sz w:val="32"/>
          <w:szCs w:val="32"/>
        </w:rPr>
        <w:t>100%。</w:t>
      </w:r>
    </w:p>
    <w:p w14:paraId="63DC5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4.成本指标。成本控制率</w:t>
      </w:r>
      <w:r>
        <w:rPr>
          <w:rFonts w:hint="eastAsia" w:cs="Times New Roman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eastAsia" w:cs="Times New Roman"/>
          <w:sz w:val="32"/>
          <w:szCs w:val="32"/>
          <w:lang w:eastAsia="zh-CN"/>
        </w:rPr>
        <w:t>，三公经费控制</w:t>
      </w:r>
      <w:r>
        <w:rPr>
          <w:rFonts w:hint="eastAsia" w:cs="Times New Roman"/>
          <w:sz w:val="32"/>
          <w:szCs w:val="32"/>
          <w:lang w:val="en-US" w:eastAsia="zh-CN"/>
        </w:rPr>
        <w:t>4.60</w:t>
      </w:r>
      <w:r>
        <w:rPr>
          <w:rFonts w:hint="eastAsia" w:cs="Times New Roman"/>
          <w:sz w:val="32"/>
          <w:szCs w:val="32"/>
          <w:lang w:eastAsia="zh-CN"/>
        </w:rPr>
        <w:t>万元，成本总额</w:t>
      </w:r>
      <w:r>
        <w:rPr>
          <w:rFonts w:hint="eastAsia" w:cs="Times New Roman"/>
          <w:sz w:val="32"/>
          <w:szCs w:val="32"/>
          <w:lang w:val="en-US" w:eastAsia="zh-CN"/>
        </w:rPr>
        <w:t>2826.23</w:t>
      </w:r>
      <w:r>
        <w:rPr>
          <w:rFonts w:hint="eastAsia" w:cs="Times New Roman"/>
          <w:sz w:val="32"/>
          <w:szCs w:val="32"/>
          <w:lang w:eastAsia="zh-CN"/>
        </w:rPr>
        <w:t>万元。</w:t>
      </w:r>
    </w:p>
    <w:p w14:paraId="76A67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（二）部门效益指标完成情况</w:t>
      </w:r>
    </w:p>
    <w:p w14:paraId="4DF67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1.提升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地区经济效益</w:t>
      </w:r>
      <w:r>
        <w:rPr>
          <w:rFonts w:hint="default" w:ascii="Times New Roman" w:hAnsi="Times New Roman" w:cs="Times New Roman"/>
          <w:sz w:val="32"/>
          <w:szCs w:val="32"/>
        </w:rPr>
        <w:t>。</w:t>
      </w: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cs="Times New Roman"/>
          <w:sz w:val="32"/>
          <w:szCs w:val="32"/>
        </w:rPr>
        <w:t>年，我镇强化产业建设，促进农民增收。加大粮食生产力度，做强做大粮食生产主导产业。</w:t>
      </w:r>
    </w:p>
    <w:p w14:paraId="00BCD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2.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提升地区社会效益</w:t>
      </w:r>
      <w:r>
        <w:rPr>
          <w:rFonts w:hint="default" w:ascii="Times New Roman" w:hAnsi="Times New Roman" w:cs="Times New Roman"/>
          <w:sz w:val="32"/>
          <w:szCs w:val="32"/>
        </w:rPr>
        <w:t>。一是确保安全生产不出事故。集中力量狠抓农用车载客、企业安全生产和校车规范运营等安全生产查处和管理工作，制定了有效的工作方案措施，明确综治工作职责和责任追究制度。加大安全生产宣传力度，制作安全生产警示牌，对道路交通安全、学校食堂餐馆食品卫生安全、地质灾害监测点、防汛安全等进行了不定期的全面大排查、大整治。二是及时调解纠纷，确保无进京、赴省信访人员。认真落实矛盾纠纷排查调处制度，做到重点信访对象有效稳控，无进京、赴省信访发生。纠纷调解及时，调解成功率达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以上</w:t>
      </w:r>
      <w:r>
        <w:rPr>
          <w:rFonts w:hint="default" w:ascii="Times New Roman" w:hAnsi="Times New Roman" w:cs="Times New Roman"/>
          <w:sz w:val="32"/>
          <w:szCs w:val="32"/>
        </w:rPr>
        <w:t>,无刑事案件发生，治安形势较好。</w:t>
      </w:r>
      <w:r>
        <w:rPr>
          <w:rFonts w:hint="eastAsia" w:cs="Times New Roman"/>
          <w:sz w:val="32"/>
          <w:szCs w:val="32"/>
          <w:lang w:eastAsia="zh-CN"/>
        </w:rPr>
        <w:t>三是巩固拓展脱贫攻坚成果同乡村振兴有效衔接。突出重点关键，对照上级考核指标和有关要求，采取针对性措施，特别是监测户和脱贫户，要严格按照“逐户走访、逐项核对”的原则，了解脱贫户及监测户家庭成员情况、生产生活情况、外出务工情况、收入情况、厕所革命和饮水安全的落实情况等。同时，保障乡村道路硬化工作的稳步推进，进一步完善镇村基础设施建设。</w:t>
      </w:r>
    </w:p>
    <w:p w14:paraId="09060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改善地区生态环境</w:t>
      </w:r>
      <w:r>
        <w:rPr>
          <w:rFonts w:hint="default" w:ascii="Times New Roman" w:hAnsi="Times New Roman" w:cs="Times New Roman"/>
          <w:sz w:val="32"/>
          <w:szCs w:val="32"/>
        </w:rPr>
        <w:t>。全面推进环境整治工作</w:t>
      </w:r>
      <w:r>
        <w:rPr>
          <w:rFonts w:hint="eastAsia" w:cs="Times New Roman"/>
          <w:sz w:val="32"/>
          <w:szCs w:val="32"/>
          <w:lang w:eastAsia="zh-CN"/>
        </w:rPr>
        <w:t>，积极响应“秀美桃源”建设的号召，每月不定期检查各村居卫生情况，但在全县排名中未能靠前，明年要根据自身存在的问题和不足之处进行整改提升，争取提高排名</w:t>
      </w:r>
      <w:r>
        <w:rPr>
          <w:rFonts w:hint="default" w:ascii="Times New Roman" w:hAnsi="Times New Roman" w:cs="Times New Roman"/>
          <w:sz w:val="32"/>
          <w:szCs w:val="32"/>
        </w:rPr>
        <w:t>。规范经营门店管理，做到规范有序；切实做好环境整治，将村级环境卫生保洁任务发包到责任人，大大改善了全镇的人居环境。</w:t>
      </w:r>
    </w:p>
    <w:p w14:paraId="5E02E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提升政府服务职能</w:t>
      </w:r>
      <w:r>
        <w:rPr>
          <w:rFonts w:hint="default" w:ascii="Times New Roman" w:hAnsi="Times New Roman" w:cs="Times New Roman"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政府服务职能提升把为民办实事作为重要内容，聚焦群众“急难愁盼”问题，以民生“小切口”撬动政府服务职能的“大提升”。一是全面抓好食品卫生工作，推进新型农村合作医疗，深入开展农村大病医疗救助，有效缓解了群众“看病贵、看病难”的问题。二是全面实施乡村振兴战略。实现了全镇14个村（社区）巩固拓展脱贫攻坚成果同乡村振兴有效衔接，加强农村人居环境整治。</w:t>
      </w:r>
    </w:p>
    <w:p w14:paraId="3AD3B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>.满意度。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直接受益对象</w:t>
      </w:r>
      <w:r>
        <w:rPr>
          <w:rFonts w:hint="default" w:ascii="Times New Roman" w:hAnsi="Times New Roman" w:cs="Times New Roman"/>
          <w:sz w:val="32"/>
          <w:szCs w:val="32"/>
        </w:rPr>
        <w:t>满意度9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%。</w:t>
      </w:r>
    </w:p>
    <w:p w14:paraId="421D3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ascii="黑体" w:hAnsi="黑体" w:eastAsia="黑体" w:cs="Times New Roman"/>
          <w:kern w:val="0"/>
          <w:sz w:val="32"/>
          <w:szCs w:val="32"/>
        </w:rPr>
        <w:t>存在的主要问题及原因分析</w:t>
      </w:r>
    </w:p>
    <w:p w14:paraId="069CD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（一）存在的问题</w:t>
      </w:r>
    </w:p>
    <w:p w14:paraId="779F5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1.部门预算调整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较</w:t>
      </w:r>
      <w:r>
        <w:rPr>
          <w:rFonts w:hint="default" w:ascii="Times New Roman" w:hAnsi="Times New Roman" w:cs="Times New Roman"/>
          <w:sz w:val="32"/>
          <w:szCs w:val="32"/>
        </w:rPr>
        <w:t>大。</w:t>
      </w: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cs="Times New Roman"/>
          <w:sz w:val="32"/>
          <w:szCs w:val="32"/>
        </w:rPr>
        <w:t>年全年预算调整</w:t>
      </w:r>
      <w:r>
        <w:rPr>
          <w:rFonts w:hint="eastAsia" w:cs="Times New Roman"/>
          <w:sz w:val="32"/>
          <w:szCs w:val="32"/>
          <w:lang w:val="en-US" w:eastAsia="zh-CN"/>
        </w:rPr>
        <w:t>73.48</w:t>
      </w:r>
      <w:r>
        <w:rPr>
          <w:rFonts w:hint="default" w:ascii="Times New Roman" w:hAnsi="Times New Roman" w:cs="Times New Roman"/>
          <w:sz w:val="32"/>
          <w:szCs w:val="32"/>
        </w:rPr>
        <w:t>万元，调整率</w:t>
      </w:r>
      <w:r>
        <w:rPr>
          <w:rFonts w:hint="eastAsia" w:cs="Times New Roman"/>
          <w:sz w:val="32"/>
          <w:szCs w:val="32"/>
          <w:lang w:val="en-US" w:eastAsia="zh-CN"/>
        </w:rPr>
        <w:t>2.26</w:t>
      </w:r>
      <w:r>
        <w:rPr>
          <w:rFonts w:hint="default" w:ascii="Times New Roman" w:hAnsi="Times New Roman" w:cs="Times New Roman"/>
          <w:sz w:val="32"/>
          <w:szCs w:val="32"/>
        </w:rPr>
        <w:t>%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cs="Times New Roman"/>
          <w:sz w:val="32"/>
          <w:szCs w:val="32"/>
          <w:lang w:eastAsia="zh-CN"/>
        </w:rPr>
        <w:t>年底预算结余</w:t>
      </w:r>
      <w:r>
        <w:rPr>
          <w:rFonts w:hint="eastAsia" w:cs="Times New Roman"/>
          <w:sz w:val="32"/>
          <w:szCs w:val="32"/>
          <w:lang w:val="en-US" w:eastAsia="zh-CN"/>
        </w:rPr>
        <w:t>495.24万元，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存在较大数额预算资金在年底未使用完的情况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 w14:paraId="43E12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预算编制不够细化</w:t>
      </w:r>
      <w:r>
        <w:rPr>
          <w:rFonts w:hint="default" w:ascii="Times New Roman" w:hAnsi="Times New Roman" w:cs="Times New Roman"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一笔大类资金只分到单一的款项中，没有具体到哪一类资金，使预决算的细分资金存在一定出入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 w14:paraId="5C2B06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3.制度建设欠完善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</w:rPr>
        <w:t>单位部分项目资金未制定专项项目管理制度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cs="Times New Roman"/>
          <w:sz w:val="32"/>
          <w:szCs w:val="32"/>
          <w:lang w:eastAsia="zh-CN"/>
        </w:rPr>
        <w:t>且在平时工作中未加强绩效监控工作的重视，绩效监控工作滞后，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规范管理有盲点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 w14:paraId="17DCA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4.绩效目标管理有待提质。绩效目标有一定的目标空泛性，绩效管理内容体系和评价标准的设置不科学，绩效评估衡量方式简单，导致评价内容不够全面，相关绩效评价工作比较粗浅。</w:t>
      </w:r>
    </w:p>
    <w:p w14:paraId="54A403A6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baseline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原因分析</w:t>
      </w:r>
    </w:p>
    <w:p w14:paraId="43A78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1.部门预算调整大的主要原因为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其他收入和非税收入均</w:t>
      </w:r>
      <w:r>
        <w:rPr>
          <w:rFonts w:hint="default" w:ascii="Times New Roman" w:hAnsi="Times New Roman" w:cs="Times New Roman"/>
          <w:sz w:val="32"/>
          <w:szCs w:val="32"/>
        </w:rPr>
        <w:t>不在部门年初预算编制范围内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；其次也还有思想上的不重视，“重分配、轻管理；重支出、轻绩效”的思想还存在，导致预算工作存在一定的应付过关的心思，使绩效工作质量难以保证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 w14:paraId="05CAD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随着对预、决算编制工作水平要求越来越高，编制数据要求越来越精准、规范；时间紧、任务大；加之现行决算工作与实际账务处理工作的衔接还存在一定差异；会计人员业务明显增加，人员紧缺，加之业务操作水平有限，实际操作中确实感到力不从心。</w:t>
      </w:r>
    </w:p>
    <w:p w14:paraId="3D27F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3.与业务部门衔接度不高，未联合相关部门制定项目管理制度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，缺少相关业务部门的协调配合，简单地将绩效目标制定等专业性工作归口于财务人员，导致业务管理与绩效管理脱节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 w14:paraId="284D4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4.对绩效目标管理理念不够深入，缺少绩效目标设定意识，缺乏相应管理制度，重投入轻效益，导致在目标设立上浮在面上、缺乏深度和联系性、匹配性。</w:t>
      </w:r>
    </w:p>
    <w:p w14:paraId="60CF0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、下一步改进措施</w:t>
      </w:r>
    </w:p>
    <w:p w14:paraId="14C61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（一）加强预算管理</w:t>
      </w:r>
    </w:p>
    <w:p w14:paraId="2E8F6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细化预算编制工作，进一步加强内设机构的预算管理意识，严格按照预算编制的相关制度和要求进行预算编制。全面编制预算项目，优先保障固定性的、相对刚性的费用支出项目，尽量压缩变动性、有控制空间的费用项目，进步提高预算编制的科学性、严谨性和可控性。</w:t>
      </w:r>
    </w:p>
    <w:p w14:paraId="0A365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细分预算资金</w:t>
      </w:r>
    </w:p>
    <w:p w14:paraId="221D6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合理安排绩效管理项目专人，增强业务知识培训，加强决算工作与账务处理工作衔接。对相关人员加强培训，特别是针对《中华人民共和国预算法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》《行政事业单位会计制度》等的学习培训，规范部门预算收支核算，切实提高部门预算收支管理水平，同时通过培训，了解各项资金的具体使用方向，能科学合理细分各项资金的使用途径，提高资金的利用效率。  </w:t>
      </w:r>
    </w:p>
    <w:p w14:paraId="5BA04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（三）加强制度建设</w:t>
      </w:r>
    </w:p>
    <w:p w14:paraId="06FBE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强化项目资金管理，提升资金使用效益。年度内合理编制项目资金用款计划，督促各项目单位按进度实施项目及申报资金，避免资金长期滞留账上，未能发挥其应有的效益。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加强单位财务管理，健全单位财务管理制度体系，规范单位财务行为。在费用报账支付时，按照预算规定的费用项目和用途进行资金使用审核、财务严格核算，杜绝超支现象的发生。</w:t>
      </w:r>
    </w:p>
    <w:p w14:paraId="07255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科学设立目标</w:t>
      </w:r>
    </w:p>
    <w:p w14:paraId="65B9BDF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强化思想认识，重视绩效管理理念，在目标设立前期对目标设立做好充分准备工作，在与各业务部门做好本年年度计划后，合理设立绩效目标，在不同项目核心绩效指标的细化、量化上下功夫，特别是要对专项资金设立与资金规模匹配、细化量化、可监督可评价的绩效目标及指标。</w:t>
      </w:r>
    </w:p>
    <w:p w14:paraId="0BADF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  <w:lang w:eastAsia="zh-CN"/>
        </w:rPr>
        <w:t>有关建议</w:t>
      </w:r>
    </w:p>
    <w:p w14:paraId="030A6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无</w:t>
      </w:r>
    </w:p>
    <w:p w14:paraId="6B70203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z w:val="30"/>
          <w:szCs w:val="30"/>
        </w:rPr>
      </w:pPr>
    </w:p>
    <w:p w14:paraId="58090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附件：</w:t>
      </w:r>
    </w:p>
    <w:p w14:paraId="22FFB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1.部门整体支出绩效评价基础数据表</w:t>
      </w:r>
    </w:p>
    <w:p w14:paraId="112CC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2.部门整体支出绩效自评表</w:t>
      </w:r>
    </w:p>
    <w:p w14:paraId="50283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3.项目支出绩效自评表</w:t>
      </w:r>
    </w:p>
    <w:p w14:paraId="3924A82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 w14:paraId="70288B4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 w14:paraId="09ADB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桃源县郑家驿镇人民政府</w:t>
      </w:r>
    </w:p>
    <w:p w14:paraId="0E4CE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202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 w14:paraId="66652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7AD1D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9</w:t>
    </w:r>
    <w:r>
      <w:rPr>
        <w:rStyle w:val="9"/>
      </w:rPr>
      <w:fldChar w:fldCharType="end"/>
    </w:r>
  </w:p>
  <w:p w14:paraId="0490D6E9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466D3E"/>
    <w:multiLevelType w:val="singleLevel"/>
    <w:tmpl w:val="C9466D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382DD9B"/>
    <w:multiLevelType w:val="singleLevel"/>
    <w:tmpl w:val="D382DD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FlNmI4Y2FkM2MxMzg1ZGQwOWFhNGZlMzhkNjg0ZGMifQ=="/>
  </w:docVars>
  <w:rsids>
    <w:rsidRoot w:val="D7F5C6E8"/>
    <w:rsid w:val="001415C9"/>
    <w:rsid w:val="001B55C7"/>
    <w:rsid w:val="005E0FC8"/>
    <w:rsid w:val="005E4487"/>
    <w:rsid w:val="00600A4B"/>
    <w:rsid w:val="0067612B"/>
    <w:rsid w:val="00922D5D"/>
    <w:rsid w:val="0098274A"/>
    <w:rsid w:val="00AF68E9"/>
    <w:rsid w:val="00D8462A"/>
    <w:rsid w:val="00F9223E"/>
    <w:rsid w:val="00FE30B0"/>
    <w:rsid w:val="011C03B8"/>
    <w:rsid w:val="01B20120"/>
    <w:rsid w:val="028C7150"/>
    <w:rsid w:val="02B743E5"/>
    <w:rsid w:val="0305136F"/>
    <w:rsid w:val="049C7B60"/>
    <w:rsid w:val="04A30493"/>
    <w:rsid w:val="04E45F06"/>
    <w:rsid w:val="04E81B1A"/>
    <w:rsid w:val="062805A7"/>
    <w:rsid w:val="06C905A4"/>
    <w:rsid w:val="083416AB"/>
    <w:rsid w:val="08670CFD"/>
    <w:rsid w:val="08FE2592"/>
    <w:rsid w:val="098635E2"/>
    <w:rsid w:val="09EB3218"/>
    <w:rsid w:val="0A3859EB"/>
    <w:rsid w:val="0A59408D"/>
    <w:rsid w:val="0A961F9D"/>
    <w:rsid w:val="0AAA1FDE"/>
    <w:rsid w:val="0AAE0F37"/>
    <w:rsid w:val="0B5404DC"/>
    <w:rsid w:val="0B5F1C0F"/>
    <w:rsid w:val="0C1A7A03"/>
    <w:rsid w:val="0C3A2781"/>
    <w:rsid w:val="0C8A3251"/>
    <w:rsid w:val="0DAF5139"/>
    <w:rsid w:val="0DB73595"/>
    <w:rsid w:val="0DD90D3A"/>
    <w:rsid w:val="0DE80669"/>
    <w:rsid w:val="0E676AF3"/>
    <w:rsid w:val="0E6D5D25"/>
    <w:rsid w:val="0EB639FE"/>
    <w:rsid w:val="0F746606"/>
    <w:rsid w:val="10146AD0"/>
    <w:rsid w:val="10A2167E"/>
    <w:rsid w:val="144E5C7B"/>
    <w:rsid w:val="156B57AE"/>
    <w:rsid w:val="15A06809"/>
    <w:rsid w:val="15FE4E15"/>
    <w:rsid w:val="162F2BE1"/>
    <w:rsid w:val="163D707C"/>
    <w:rsid w:val="17C702CF"/>
    <w:rsid w:val="18595860"/>
    <w:rsid w:val="18FF6B4B"/>
    <w:rsid w:val="1A342976"/>
    <w:rsid w:val="1A5E05C6"/>
    <w:rsid w:val="1A921E55"/>
    <w:rsid w:val="1A982450"/>
    <w:rsid w:val="1B232875"/>
    <w:rsid w:val="1B256109"/>
    <w:rsid w:val="1B6F71B7"/>
    <w:rsid w:val="1B74543A"/>
    <w:rsid w:val="1BCC5A66"/>
    <w:rsid w:val="1CBD3A2E"/>
    <w:rsid w:val="1D8A7671"/>
    <w:rsid w:val="1D93402A"/>
    <w:rsid w:val="1E275821"/>
    <w:rsid w:val="1E2F45E1"/>
    <w:rsid w:val="1EF714FC"/>
    <w:rsid w:val="1EFD53CA"/>
    <w:rsid w:val="1FFC3900"/>
    <w:rsid w:val="20C46A7A"/>
    <w:rsid w:val="21AE3CBC"/>
    <w:rsid w:val="21D5004A"/>
    <w:rsid w:val="21E279EB"/>
    <w:rsid w:val="22114BBF"/>
    <w:rsid w:val="22396BAE"/>
    <w:rsid w:val="224C5699"/>
    <w:rsid w:val="22DD2D2C"/>
    <w:rsid w:val="231B2439"/>
    <w:rsid w:val="2323063B"/>
    <w:rsid w:val="235C1499"/>
    <w:rsid w:val="23AA0E4F"/>
    <w:rsid w:val="2407767E"/>
    <w:rsid w:val="24407E34"/>
    <w:rsid w:val="24AB475F"/>
    <w:rsid w:val="24B37A2C"/>
    <w:rsid w:val="25A91F95"/>
    <w:rsid w:val="2646652B"/>
    <w:rsid w:val="26BF2F51"/>
    <w:rsid w:val="27536E8F"/>
    <w:rsid w:val="27703055"/>
    <w:rsid w:val="280B121F"/>
    <w:rsid w:val="288B2249"/>
    <w:rsid w:val="296D350F"/>
    <w:rsid w:val="2976587F"/>
    <w:rsid w:val="29F67EF1"/>
    <w:rsid w:val="2A050F83"/>
    <w:rsid w:val="2A3A66B0"/>
    <w:rsid w:val="2A906384"/>
    <w:rsid w:val="2B9B41B5"/>
    <w:rsid w:val="2BCA1E01"/>
    <w:rsid w:val="2C0732A6"/>
    <w:rsid w:val="2C2347A0"/>
    <w:rsid w:val="2CC14E9D"/>
    <w:rsid w:val="2CC72B3E"/>
    <w:rsid w:val="2CD0445D"/>
    <w:rsid w:val="2D241EAC"/>
    <w:rsid w:val="2D7C027C"/>
    <w:rsid w:val="2DC103BA"/>
    <w:rsid w:val="2DF34356"/>
    <w:rsid w:val="2E2546E8"/>
    <w:rsid w:val="2E3951D4"/>
    <w:rsid w:val="2E715BB9"/>
    <w:rsid w:val="2EFA7BB1"/>
    <w:rsid w:val="2F007091"/>
    <w:rsid w:val="30452ECE"/>
    <w:rsid w:val="30717376"/>
    <w:rsid w:val="321E2D8E"/>
    <w:rsid w:val="32981533"/>
    <w:rsid w:val="33EC0761"/>
    <w:rsid w:val="351612D7"/>
    <w:rsid w:val="35181423"/>
    <w:rsid w:val="35973B40"/>
    <w:rsid w:val="36401621"/>
    <w:rsid w:val="368D29DB"/>
    <w:rsid w:val="36BE2016"/>
    <w:rsid w:val="372C1C27"/>
    <w:rsid w:val="376333A9"/>
    <w:rsid w:val="37B1736E"/>
    <w:rsid w:val="37E04C00"/>
    <w:rsid w:val="37E58B0E"/>
    <w:rsid w:val="38104D2C"/>
    <w:rsid w:val="381D192A"/>
    <w:rsid w:val="389E2B0E"/>
    <w:rsid w:val="38FF4DBA"/>
    <w:rsid w:val="391F056E"/>
    <w:rsid w:val="399B1010"/>
    <w:rsid w:val="3ABE1FBB"/>
    <w:rsid w:val="3B0F5CC2"/>
    <w:rsid w:val="3B1F1FB1"/>
    <w:rsid w:val="3B337C58"/>
    <w:rsid w:val="3B766F64"/>
    <w:rsid w:val="3C1F370F"/>
    <w:rsid w:val="3C6425DB"/>
    <w:rsid w:val="3D2B5E18"/>
    <w:rsid w:val="3DD91942"/>
    <w:rsid w:val="3E81765E"/>
    <w:rsid w:val="3F1C165B"/>
    <w:rsid w:val="3F2D595A"/>
    <w:rsid w:val="3F81531C"/>
    <w:rsid w:val="3FFD445E"/>
    <w:rsid w:val="404112C9"/>
    <w:rsid w:val="4052050A"/>
    <w:rsid w:val="406C4B00"/>
    <w:rsid w:val="41313F6F"/>
    <w:rsid w:val="41630E1A"/>
    <w:rsid w:val="425E7C59"/>
    <w:rsid w:val="427C3390"/>
    <w:rsid w:val="42AF13D2"/>
    <w:rsid w:val="42E725BB"/>
    <w:rsid w:val="430F5FB3"/>
    <w:rsid w:val="45116993"/>
    <w:rsid w:val="45C1671E"/>
    <w:rsid w:val="461B535C"/>
    <w:rsid w:val="471C3B64"/>
    <w:rsid w:val="47F609D6"/>
    <w:rsid w:val="484D7694"/>
    <w:rsid w:val="48B4134B"/>
    <w:rsid w:val="490F7407"/>
    <w:rsid w:val="496F122C"/>
    <w:rsid w:val="49D97652"/>
    <w:rsid w:val="49E27BC5"/>
    <w:rsid w:val="4A2762B8"/>
    <w:rsid w:val="4AC93B8F"/>
    <w:rsid w:val="4BFA04EA"/>
    <w:rsid w:val="4EB10E38"/>
    <w:rsid w:val="4ED66679"/>
    <w:rsid w:val="4F110723"/>
    <w:rsid w:val="4F1C078F"/>
    <w:rsid w:val="4F766642"/>
    <w:rsid w:val="4FB10C0F"/>
    <w:rsid w:val="4FB67766"/>
    <w:rsid w:val="505E615C"/>
    <w:rsid w:val="5085579E"/>
    <w:rsid w:val="51656F07"/>
    <w:rsid w:val="51661D5B"/>
    <w:rsid w:val="523F0309"/>
    <w:rsid w:val="52605495"/>
    <w:rsid w:val="526B14F4"/>
    <w:rsid w:val="52931465"/>
    <w:rsid w:val="52A37C4E"/>
    <w:rsid w:val="52B3579F"/>
    <w:rsid w:val="52CA6FCB"/>
    <w:rsid w:val="53883C84"/>
    <w:rsid w:val="53B01E79"/>
    <w:rsid w:val="53C6520D"/>
    <w:rsid w:val="542F683F"/>
    <w:rsid w:val="54C53655"/>
    <w:rsid w:val="54FB5278"/>
    <w:rsid w:val="551109EC"/>
    <w:rsid w:val="553F429C"/>
    <w:rsid w:val="554C5B20"/>
    <w:rsid w:val="55B01D0B"/>
    <w:rsid w:val="55D55603"/>
    <w:rsid w:val="560B413C"/>
    <w:rsid w:val="56F254C3"/>
    <w:rsid w:val="57243555"/>
    <w:rsid w:val="57BDA83F"/>
    <w:rsid w:val="57D7744D"/>
    <w:rsid w:val="580E78D4"/>
    <w:rsid w:val="58A22326"/>
    <w:rsid w:val="5A6C78C0"/>
    <w:rsid w:val="5AC95884"/>
    <w:rsid w:val="5B164273"/>
    <w:rsid w:val="5B4013BB"/>
    <w:rsid w:val="5D09560D"/>
    <w:rsid w:val="5E0C6538"/>
    <w:rsid w:val="5E1644C5"/>
    <w:rsid w:val="5E7D2671"/>
    <w:rsid w:val="5ECF4D00"/>
    <w:rsid w:val="5EF83C2C"/>
    <w:rsid w:val="5FBA08D1"/>
    <w:rsid w:val="5FE0114E"/>
    <w:rsid w:val="60EB70C9"/>
    <w:rsid w:val="611E1BD6"/>
    <w:rsid w:val="6147107F"/>
    <w:rsid w:val="615E3C36"/>
    <w:rsid w:val="61FF5702"/>
    <w:rsid w:val="622E1D94"/>
    <w:rsid w:val="623266E2"/>
    <w:rsid w:val="62391B1E"/>
    <w:rsid w:val="625F2337"/>
    <w:rsid w:val="62875D2B"/>
    <w:rsid w:val="62FF279E"/>
    <w:rsid w:val="63911A51"/>
    <w:rsid w:val="63C14FD0"/>
    <w:rsid w:val="63EB4669"/>
    <w:rsid w:val="64307E75"/>
    <w:rsid w:val="643A00A5"/>
    <w:rsid w:val="64C55251"/>
    <w:rsid w:val="66166D99"/>
    <w:rsid w:val="666E5614"/>
    <w:rsid w:val="66CE6B85"/>
    <w:rsid w:val="67420D39"/>
    <w:rsid w:val="677FA283"/>
    <w:rsid w:val="678367AF"/>
    <w:rsid w:val="67893BD6"/>
    <w:rsid w:val="67AD3236"/>
    <w:rsid w:val="68176855"/>
    <w:rsid w:val="68E26DB9"/>
    <w:rsid w:val="696D1853"/>
    <w:rsid w:val="69F968F2"/>
    <w:rsid w:val="6A351D1C"/>
    <w:rsid w:val="6ACA563D"/>
    <w:rsid w:val="6B2F1EDF"/>
    <w:rsid w:val="6B482100"/>
    <w:rsid w:val="6BE072F6"/>
    <w:rsid w:val="6D187A45"/>
    <w:rsid w:val="6DB56439"/>
    <w:rsid w:val="6DE433D5"/>
    <w:rsid w:val="6E9E7C36"/>
    <w:rsid w:val="6F5B4BD4"/>
    <w:rsid w:val="6FD150C3"/>
    <w:rsid w:val="6FEE0E25"/>
    <w:rsid w:val="6FFB3938"/>
    <w:rsid w:val="703D1508"/>
    <w:rsid w:val="7056511E"/>
    <w:rsid w:val="71BF0D63"/>
    <w:rsid w:val="71FA375A"/>
    <w:rsid w:val="721254F2"/>
    <w:rsid w:val="72172604"/>
    <w:rsid w:val="72327FA3"/>
    <w:rsid w:val="72340B44"/>
    <w:rsid w:val="72652097"/>
    <w:rsid w:val="72DE1543"/>
    <w:rsid w:val="72EF6CFA"/>
    <w:rsid w:val="730301C6"/>
    <w:rsid w:val="733D355C"/>
    <w:rsid w:val="73BB10EE"/>
    <w:rsid w:val="73EFEEE1"/>
    <w:rsid w:val="73FF14E9"/>
    <w:rsid w:val="744B1D83"/>
    <w:rsid w:val="74732AE0"/>
    <w:rsid w:val="749617F8"/>
    <w:rsid w:val="751B7A94"/>
    <w:rsid w:val="75684129"/>
    <w:rsid w:val="759D6038"/>
    <w:rsid w:val="75EFACF8"/>
    <w:rsid w:val="76446531"/>
    <w:rsid w:val="766E0C8E"/>
    <w:rsid w:val="76FFF031"/>
    <w:rsid w:val="77DFCB2B"/>
    <w:rsid w:val="780850A9"/>
    <w:rsid w:val="78664D6D"/>
    <w:rsid w:val="78ED1F0E"/>
    <w:rsid w:val="79EFB67C"/>
    <w:rsid w:val="7A4E50A1"/>
    <w:rsid w:val="7A4F76EE"/>
    <w:rsid w:val="7A5E089B"/>
    <w:rsid w:val="7AAC07C3"/>
    <w:rsid w:val="7ACD3729"/>
    <w:rsid w:val="7B177A3E"/>
    <w:rsid w:val="7B347305"/>
    <w:rsid w:val="7B9FD535"/>
    <w:rsid w:val="7C3B2CE5"/>
    <w:rsid w:val="7CBC7C38"/>
    <w:rsid w:val="7CFF7E7A"/>
    <w:rsid w:val="7DAD542E"/>
    <w:rsid w:val="7DC40906"/>
    <w:rsid w:val="7E506F70"/>
    <w:rsid w:val="7EC33A42"/>
    <w:rsid w:val="7EFD301F"/>
    <w:rsid w:val="7EFF463A"/>
    <w:rsid w:val="7FDB96EE"/>
    <w:rsid w:val="7FF883F1"/>
    <w:rsid w:val="7FFBAC53"/>
    <w:rsid w:val="AFE7C9D5"/>
    <w:rsid w:val="B3EBCEAB"/>
    <w:rsid w:val="BADC89D7"/>
    <w:rsid w:val="BB8A37A5"/>
    <w:rsid w:val="BEFBB108"/>
    <w:rsid w:val="BEFFD95C"/>
    <w:rsid w:val="C7BDD227"/>
    <w:rsid w:val="CFBFD52F"/>
    <w:rsid w:val="D77F75A2"/>
    <w:rsid w:val="D7F5C6E8"/>
    <w:rsid w:val="E7CB99EC"/>
    <w:rsid w:val="EA7DE20A"/>
    <w:rsid w:val="ECDFDB4D"/>
    <w:rsid w:val="F79133C9"/>
    <w:rsid w:val="F7BBB70C"/>
    <w:rsid w:val="FE6F07B6"/>
    <w:rsid w:val="FFAD7386"/>
    <w:rsid w:val="FFC33333"/>
    <w:rsid w:val="FFEF4B48"/>
    <w:rsid w:val="FFF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BodyText"/>
    <w:basedOn w:val="1"/>
    <w:qFormat/>
    <w:uiPriority w:val="99"/>
    <w:pPr>
      <w:spacing w:after="120"/>
      <w:textAlignment w:val="baseline"/>
    </w:pPr>
    <w:rPr>
      <w:rFonts w:eastAsia="宋体"/>
      <w:sz w:val="32"/>
      <w:szCs w:val="32"/>
    </w:rPr>
  </w:style>
  <w:style w:type="character" w:customStyle="1" w:styleId="11">
    <w:name w:val="Footer Char"/>
    <w:basedOn w:val="8"/>
    <w:link w:val="5"/>
    <w:semiHidden/>
    <w:qFormat/>
    <w:uiPriority w:val="99"/>
    <w:rPr>
      <w:rFonts w:eastAsia="仿宋_GB231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3">
    <w:name w:val="Header Char"/>
    <w:basedOn w:val="8"/>
    <w:link w:val="6"/>
    <w:qFormat/>
    <w:locked/>
    <w:uiPriority w:val="99"/>
    <w:rPr>
      <w:rFonts w:eastAsia="仿宋_GB2312"/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12</Pages>
  <Words>4785</Words>
  <Characters>5106</Characters>
  <Lines>0</Lines>
  <Paragraphs>0</Paragraphs>
  <TotalTime>10</TotalTime>
  <ScaleCrop>false</ScaleCrop>
  <LinksUpToDate>false</LinksUpToDate>
  <CharactersWithSpaces>5150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2022-09-05T08:06:00Z</cp:lastPrinted>
  <dcterms:modified xsi:type="dcterms:W3CDTF">2025-09-23T08:13:56Z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744831E86A9340A3AA630B806392470C</vt:lpwstr>
  </property>
  <property fmtid="{D5CDD505-2E9C-101B-9397-08002B2CF9AE}" pid="4" name="KSOTemplateDocerSaveRecord">
    <vt:lpwstr>eyJoZGlkIjoiYzlmODhmYjUzZjg4MjQ3ZGFjM2E5NWEzNTk5ZjNkMWEifQ==</vt:lpwstr>
  </property>
</Properties>
</file>