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val="0"/>
          <w:color w:val="auto"/>
          <w:sz w:val="32"/>
          <w:szCs w:val="32"/>
          <w:lang w:eastAsia="zh-CN"/>
        </w:rPr>
      </w:pPr>
    </w:p>
    <w:p>
      <w:pPr>
        <w:jc w:val="both"/>
        <w:rPr>
          <w:rFonts w:hint="eastAsia" w:ascii="仿宋" w:hAnsi="仿宋" w:eastAsia="仿宋" w:cs="仿宋"/>
          <w:b w:val="0"/>
          <w:bCs w:val="0"/>
          <w:color w:val="auto"/>
          <w:sz w:val="32"/>
          <w:szCs w:val="32"/>
          <w:lang w:eastAsia="zh-CN"/>
        </w:rPr>
      </w:pPr>
    </w:p>
    <w:p>
      <w:pPr>
        <w:jc w:val="both"/>
        <w:rPr>
          <w:rFonts w:hint="eastAsia" w:ascii="仿宋" w:hAnsi="仿宋" w:eastAsia="仿宋" w:cs="仿宋"/>
          <w:b w:val="0"/>
          <w:bCs w:val="0"/>
          <w:color w:val="auto"/>
          <w:sz w:val="32"/>
          <w:szCs w:val="32"/>
          <w:lang w:eastAsia="zh-CN"/>
        </w:rPr>
      </w:pPr>
    </w:p>
    <w:p>
      <w:pPr>
        <w:jc w:val="both"/>
        <w:rPr>
          <w:rFonts w:hint="eastAsia" w:ascii="仿宋" w:hAnsi="仿宋" w:eastAsia="仿宋" w:cs="仿宋"/>
          <w:b w:val="0"/>
          <w:bCs w:val="0"/>
          <w:color w:val="auto"/>
          <w:sz w:val="32"/>
          <w:szCs w:val="32"/>
          <w:lang w:eastAsia="zh-CN"/>
        </w:rPr>
      </w:pPr>
    </w:p>
    <w:p>
      <w:pPr>
        <w:jc w:val="both"/>
        <w:rPr>
          <w:rFonts w:hint="eastAsia" w:ascii="仿宋" w:hAnsi="仿宋" w:eastAsia="仿宋" w:cs="仿宋"/>
          <w:b w:val="0"/>
          <w:bCs w:val="0"/>
          <w:color w:val="auto"/>
          <w:sz w:val="32"/>
          <w:szCs w:val="32"/>
          <w:lang w:eastAsia="zh-CN"/>
        </w:rPr>
      </w:pPr>
    </w:p>
    <w:p>
      <w:pPr>
        <w:jc w:val="both"/>
        <w:rPr>
          <w:rFonts w:hint="eastAsia" w:ascii="仿宋" w:hAnsi="仿宋" w:eastAsia="仿宋" w:cs="仿宋"/>
          <w:b w:val="0"/>
          <w:bCs w:val="0"/>
          <w:color w:val="auto"/>
          <w:sz w:val="32"/>
          <w:szCs w:val="32"/>
          <w:lang w:eastAsia="zh-CN"/>
        </w:rPr>
      </w:pPr>
    </w:p>
    <w:p>
      <w:pPr>
        <w:jc w:val="both"/>
        <w:rPr>
          <w:rFonts w:hint="eastAsia" w:ascii="仿宋" w:hAnsi="仿宋" w:eastAsia="仿宋" w:cs="仿宋"/>
          <w:b w:val="0"/>
          <w:bCs w:val="0"/>
          <w:color w:val="auto"/>
          <w:sz w:val="32"/>
          <w:szCs w:val="32"/>
          <w:lang w:eastAsia="zh-CN"/>
        </w:rPr>
      </w:pPr>
    </w:p>
    <w:p>
      <w:pPr>
        <w:jc w:val="both"/>
        <w:rPr>
          <w:rFonts w:hint="eastAsia" w:ascii="仿宋" w:hAnsi="仿宋" w:eastAsia="仿宋" w:cs="仿宋"/>
          <w:b w:val="0"/>
          <w:bCs w:val="0"/>
          <w:color w:val="auto"/>
          <w:sz w:val="32"/>
          <w:szCs w:val="32"/>
          <w:lang w:eastAsia="zh-CN"/>
        </w:rPr>
      </w:pPr>
    </w:p>
    <w:p>
      <w:pPr>
        <w:jc w:val="both"/>
        <w:rPr>
          <w:rFonts w:hint="eastAsia" w:ascii="仿宋" w:hAnsi="仿宋" w:eastAsia="仿宋" w:cs="仿宋"/>
          <w:b w:val="0"/>
          <w:bCs w:val="0"/>
          <w:color w:val="auto"/>
          <w:sz w:val="32"/>
          <w:szCs w:val="32"/>
          <w:lang w:eastAsia="zh-CN"/>
        </w:rPr>
      </w:pPr>
    </w:p>
    <w:p>
      <w:pPr>
        <w:keepNext w:val="0"/>
        <w:keepLines w:val="0"/>
        <w:pageBreakBefore w:val="0"/>
        <w:wordWrap/>
        <w:overflowPunct/>
        <w:topLinePunct w:val="0"/>
        <w:bidi w:val="0"/>
        <w:spacing w:beforeAutospacing="0" w:line="590" w:lineRule="exact"/>
        <w:jc w:val="center"/>
        <w:rPr>
          <w:rFonts w:hint="eastAsia" w:ascii="仿宋_GB2312" w:hAnsi="仿宋_GB2312" w:eastAsia="仿宋_GB2312" w:cs="仿宋_GB2312"/>
          <w:b w:val="0"/>
          <w:bCs w:val="0"/>
          <w:color w:val="auto"/>
          <w:sz w:val="32"/>
          <w:szCs w:val="32"/>
          <w:lang w:eastAsia="zh-CN"/>
        </w:rPr>
      </w:pPr>
      <w:bookmarkStart w:id="0" w:name="_GoBack"/>
      <w:r>
        <w:rPr>
          <w:rFonts w:hint="eastAsia" w:ascii="仿宋_GB2312" w:hAnsi="仿宋_GB2312" w:eastAsia="仿宋_GB2312" w:cs="仿宋_GB2312"/>
          <w:b w:val="0"/>
          <w:bCs w:val="0"/>
          <w:color w:val="auto"/>
          <w:sz w:val="32"/>
          <w:szCs w:val="32"/>
          <w:lang w:eastAsia="zh-CN"/>
        </w:rPr>
        <w:t>常桃管农领发〔202</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号</w:t>
      </w:r>
    </w:p>
    <w:bookmarkEnd w:id="0"/>
    <w:p>
      <w:pPr>
        <w:pStyle w:val="6"/>
        <w:rPr>
          <w:rFonts w:hint="eastAsia"/>
          <w:color w:val="auto"/>
          <w:lang w:eastAsia="zh-CN"/>
        </w:rPr>
      </w:pPr>
    </w:p>
    <w:p>
      <w:pPr>
        <w:pStyle w:val="6"/>
        <w:rPr>
          <w:rFonts w:hint="eastAsia"/>
          <w:color w:val="auto"/>
          <w:lang w:eastAsia="zh-CN"/>
        </w:rPr>
      </w:pPr>
    </w:p>
    <w:p>
      <w:pPr>
        <w:keepNext w:val="0"/>
        <w:keepLines w:val="0"/>
        <w:pageBreakBefore w:val="0"/>
        <w:wordWrap/>
        <w:overflowPunct/>
        <w:topLinePunct w:val="0"/>
        <w:bidi w:val="0"/>
        <w:spacing w:beforeAutospacing="0" w:line="590" w:lineRule="exact"/>
        <w:ind w:leftChars="0"/>
        <w:jc w:val="center"/>
        <w:rPr>
          <w:rFonts w:hint="eastAsia" w:ascii="宋体" w:hAnsi="宋体" w:eastAsia="宋体" w:cs="宋体"/>
          <w:b/>
          <w:bCs/>
          <w:color w:val="auto"/>
          <w:spacing w:val="0"/>
          <w:w w:val="90"/>
          <w:sz w:val="44"/>
          <w:szCs w:val="44"/>
          <w:lang w:eastAsia="zh-CN"/>
        </w:rPr>
      </w:pPr>
      <w:r>
        <w:rPr>
          <w:rFonts w:hint="eastAsia" w:ascii="宋体" w:hAnsi="宋体" w:eastAsia="宋体" w:cs="宋体"/>
          <w:b/>
          <w:bCs/>
          <w:color w:val="auto"/>
          <w:spacing w:val="-23"/>
          <w:w w:val="100"/>
          <w:sz w:val="44"/>
          <w:szCs w:val="44"/>
        </w:rPr>
        <w:t>常德市桃花源旅游管理区</w:t>
      </w:r>
      <w:r>
        <w:rPr>
          <w:rFonts w:hint="eastAsia" w:ascii="宋体" w:hAnsi="宋体" w:eastAsia="宋体" w:cs="宋体"/>
          <w:b/>
          <w:bCs/>
          <w:color w:val="auto"/>
          <w:spacing w:val="-23"/>
          <w:w w:val="100"/>
          <w:sz w:val="44"/>
          <w:szCs w:val="44"/>
          <w:lang w:eastAsia="zh-CN"/>
        </w:rPr>
        <w:t>农村工作领导小组</w:t>
      </w:r>
    </w:p>
    <w:p>
      <w:pPr>
        <w:keepNext w:val="0"/>
        <w:keepLines w:val="0"/>
        <w:pageBreakBefore w:val="0"/>
        <w:wordWrap/>
        <w:overflowPunct/>
        <w:topLinePunct w:val="0"/>
        <w:bidi w:val="0"/>
        <w:spacing w:beforeAutospacing="0" w:line="590" w:lineRule="exact"/>
        <w:ind w:leftChars="0"/>
        <w:jc w:val="center"/>
        <w:rPr>
          <w:rFonts w:hint="eastAsia" w:ascii="宋体" w:hAnsi="宋体" w:eastAsia="宋体" w:cs="宋体"/>
          <w:b/>
          <w:bCs/>
          <w:color w:val="auto"/>
          <w:spacing w:val="-20"/>
          <w:sz w:val="44"/>
          <w:szCs w:val="44"/>
          <w:lang w:val="en-US" w:eastAsia="zh-CN"/>
        </w:rPr>
      </w:pPr>
      <w:r>
        <w:rPr>
          <w:rFonts w:hint="eastAsia" w:ascii="宋体" w:hAnsi="宋体" w:eastAsia="宋体" w:cs="宋体"/>
          <w:b/>
          <w:bCs/>
          <w:color w:val="auto"/>
          <w:spacing w:val="-20"/>
          <w:sz w:val="44"/>
          <w:szCs w:val="44"/>
        </w:rPr>
        <w:t>关于下达202</w:t>
      </w:r>
      <w:r>
        <w:rPr>
          <w:rFonts w:hint="eastAsia" w:ascii="宋体" w:hAnsi="宋体" w:eastAsia="宋体" w:cs="宋体"/>
          <w:b/>
          <w:bCs/>
          <w:color w:val="auto"/>
          <w:spacing w:val="-20"/>
          <w:sz w:val="44"/>
          <w:szCs w:val="44"/>
          <w:lang w:val="en-US" w:eastAsia="zh-CN"/>
        </w:rPr>
        <w:t>5</w:t>
      </w:r>
      <w:r>
        <w:rPr>
          <w:rFonts w:hint="eastAsia" w:ascii="宋体" w:hAnsi="宋体" w:eastAsia="宋体" w:cs="宋体"/>
          <w:b/>
          <w:bCs/>
          <w:color w:val="auto"/>
          <w:spacing w:val="-20"/>
          <w:sz w:val="44"/>
          <w:szCs w:val="44"/>
        </w:rPr>
        <w:t>年</w:t>
      </w:r>
      <w:r>
        <w:rPr>
          <w:rFonts w:hint="eastAsia" w:ascii="宋体" w:hAnsi="宋体" w:eastAsia="宋体" w:cs="宋体"/>
          <w:b/>
          <w:bCs/>
          <w:color w:val="auto"/>
          <w:spacing w:val="-20"/>
          <w:sz w:val="44"/>
          <w:szCs w:val="44"/>
          <w:lang w:eastAsia="zh-CN"/>
        </w:rPr>
        <w:t>度</w:t>
      </w:r>
      <w:r>
        <w:rPr>
          <w:rFonts w:hint="eastAsia" w:ascii="宋体" w:hAnsi="宋体" w:eastAsia="宋体" w:cs="宋体"/>
          <w:b/>
          <w:bCs/>
          <w:color w:val="auto"/>
          <w:spacing w:val="-20"/>
          <w:sz w:val="44"/>
          <w:szCs w:val="44"/>
          <w:lang w:val="en-US" w:eastAsia="zh-CN"/>
        </w:rPr>
        <w:t>第四批省级财政衔接推进</w:t>
      </w:r>
    </w:p>
    <w:p>
      <w:pPr>
        <w:keepNext w:val="0"/>
        <w:keepLines w:val="0"/>
        <w:pageBreakBefore w:val="0"/>
        <w:wordWrap/>
        <w:overflowPunct/>
        <w:topLinePunct w:val="0"/>
        <w:bidi w:val="0"/>
        <w:spacing w:beforeAutospacing="0" w:line="590" w:lineRule="exact"/>
        <w:ind w:leftChars="0"/>
        <w:jc w:val="center"/>
        <w:rPr>
          <w:rFonts w:hint="eastAsia" w:ascii="宋体" w:hAnsi="宋体" w:eastAsia="宋体" w:cs="宋体"/>
          <w:b/>
          <w:bCs/>
          <w:color w:val="auto"/>
          <w:spacing w:val="-20"/>
          <w:sz w:val="44"/>
          <w:szCs w:val="44"/>
          <w:lang w:val="en-US" w:eastAsia="zh-CN"/>
        </w:rPr>
      </w:pPr>
      <w:r>
        <w:rPr>
          <w:rFonts w:hint="eastAsia" w:ascii="宋体" w:hAnsi="宋体" w:eastAsia="宋体" w:cs="宋体"/>
          <w:b/>
          <w:bCs/>
          <w:color w:val="auto"/>
          <w:spacing w:val="-20"/>
          <w:sz w:val="44"/>
          <w:szCs w:val="44"/>
          <w:lang w:val="en-US" w:eastAsia="zh-CN"/>
        </w:rPr>
        <w:t>乡村振兴补助资金计划的通知</w:t>
      </w:r>
    </w:p>
    <w:p>
      <w:pPr>
        <w:keepNext w:val="0"/>
        <w:keepLines w:val="0"/>
        <w:pageBreakBefore w:val="0"/>
        <w:widowControl w:val="0"/>
        <w:kinsoku/>
        <w:wordWrap/>
        <w:overflowPunct/>
        <w:topLinePunct w:val="0"/>
        <w:autoSpaceDE/>
        <w:autoSpaceDN/>
        <w:bidi w:val="0"/>
        <w:adjustRightInd/>
        <w:snapToGrid/>
        <w:spacing w:beforeAutospacing="0" w:line="590" w:lineRule="exact"/>
        <w:ind w:leftChars="0"/>
        <w:jc w:val="both"/>
        <w:textAlignment w:val="auto"/>
        <w:rPr>
          <w:rFonts w:hint="eastAsia" w:asciiTheme="majorEastAsia" w:hAnsiTheme="majorEastAsia" w:eastAsiaTheme="majorEastAsia" w:cstheme="majorEastAsia"/>
          <w:b/>
          <w:bCs/>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line="590" w:lineRule="exact"/>
        <w:ind w:leftChars="0"/>
        <w:textAlignment w:val="auto"/>
        <w:rPr>
          <w:rFonts w:hint="eastAsia" w:ascii="仿宋_GB2312" w:hAnsi="仿宋_GB2312" w:eastAsia="仿宋_GB2312" w:cs="仿宋_GB2312"/>
          <w:color w:val="auto"/>
          <w:spacing w:val="10"/>
          <w:w w:val="95"/>
          <w:sz w:val="32"/>
          <w:szCs w:val="32"/>
          <w:lang w:val="en-US"/>
        </w:rPr>
      </w:pPr>
      <w:r>
        <w:rPr>
          <w:rFonts w:hint="eastAsia" w:ascii="仿宋_GB2312" w:hAnsi="仿宋_GB2312" w:eastAsia="仿宋_GB2312" w:cs="仿宋_GB2312"/>
          <w:color w:val="auto"/>
          <w:spacing w:val="10"/>
          <w:w w:val="95"/>
          <w:sz w:val="32"/>
          <w:szCs w:val="32"/>
        </w:rPr>
        <w:t>桃花源镇</w:t>
      </w:r>
      <w:r>
        <w:rPr>
          <w:rFonts w:hint="eastAsia" w:ascii="仿宋_GB2312" w:hAnsi="仿宋_GB2312" w:eastAsia="仿宋_GB2312" w:cs="仿宋_GB2312"/>
          <w:color w:val="auto"/>
          <w:spacing w:val="10"/>
          <w:w w:val="95"/>
          <w:sz w:val="32"/>
          <w:szCs w:val="32"/>
          <w:lang w:eastAsia="zh-CN"/>
        </w:rPr>
        <w:t>人民政府</w:t>
      </w:r>
      <w:r>
        <w:rPr>
          <w:rFonts w:hint="eastAsia" w:ascii="仿宋_GB2312" w:hAnsi="仿宋_GB2312" w:eastAsia="仿宋_GB2312" w:cs="仿宋_GB2312"/>
          <w:color w:val="auto"/>
          <w:spacing w:val="10"/>
          <w:w w:val="95"/>
          <w:sz w:val="32"/>
          <w:szCs w:val="32"/>
          <w:lang w:val="en-US" w:eastAsia="zh-CN"/>
        </w:rPr>
        <w:t>:</w:t>
      </w:r>
    </w:p>
    <w:p>
      <w:pPr>
        <w:pStyle w:val="5"/>
        <w:keepNext w:val="0"/>
        <w:keepLines w:val="0"/>
        <w:widowControl/>
        <w:suppressLineNumbers w:val="0"/>
        <w:spacing w:before="0" w:beforeAutospacing="0" w:after="0" w:afterAutospacing="0"/>
        <w:ind w:left="0" w:right="0" w:firstLine="648" w:firstLineChars="200"/>
        <w:rPr>
          <w:rFonts w:hint="eastAsia" w:ascii="仿宋_GB2312" w:hAnsi="仿宋_GB2312" w:eastAsia="仿宋_GB2312" w:cs="仿宋_GB2312"/>
          <w:color w:val="auto"/>
          <w:spacing w:val="10"/>
          <w:w w:val="95"/>
          <w:sz w:val="32"/>
          <w:szCs w:val="32"/>
        </w:rPr>
      </w:pPr>
      <w:r>
        <w:rPr>
          <w:rFonts w:hint="eastAsia" w:ascii="仿宋_GB2312" w:hAnsi="仿宋_GB2312" w:eastAsia="仿宋_GB2312" w:cs="仿宋_GB2312"/>
          <w:color w:val="auto"/>
          <w:spacing w:val="10"/>
          <w:w w:val="95"/>
          <w:kern w:val="2"/>
          <w:sz w:val="32"/>
          <w:szCs w:val="32"/>
          <w:lang w:val="en-US" w:eastAsia="zh-CN" w:bidi="ar-SA"/>
        </w:rPr>
        <w:t>根据湖南省农业农村厅《关于下达2025年第四批省级衔接推进乡村振兴补助资金计划的通知》（湘农发〔2025〕54号）文件要求，经区农村工作领导小组研究同意，现将2025年第四批省级财政衔接推进乡村振兴补助资金计划26万元下达给你们。</w:t>
      </w:r>
      <w:r>
        <w:rPr>
          <w:rFonts w:hint="eastAsia" w:ascii="仿宋_GB2312" w:hAnsi="仿宋_GB2312" w:eastAsia="仿宋_GB2312" w:cs="仿宋_GB2312"/>
          <w:color w:val="auto"/>
          <w:spacing w:val="10"/>
          <w:w w:val="95"/>
          <w:sz w:val="32"/>
          <w:szCs w:val="32"/>
          <w:lang w:val="en-US" w:eastAsia="zh-CN"/>
        </w:rPr>
        <w:t>请你们</w:t>
      </w:r>
      <w:r>
        <w:rPr>
          <w:rFonts w:hint="eastAsia" w:ascii="仿宋_GB2312" w:hAnsi="仿宋_GB2312" w:eastAsia="仿宋_GB2312" w:cs="仿宋_GB2312"/>
          <w:color w:val="auto"/>
          <w:sz w:val="32"/>
          <w:szCs w:val="32"/>
        </w:rPr>
        <w:t>接此通知后，</w:t>
      </w:r>
      <w:r>
        <w:rPr>
          <w:rFonts w:hint="eastAsia" w:ascii="仿宋_GB2312" w:hAnsi="仿宋_GB2312" w:eastAsia="仿宋_GB2312" w:cs="仿宋_GB2312"/>
          <w:color w:val="auto"/>
          <w:spacing w:val="10"/>
          <w:w w:val="95"/>
          <w:sz w:val="32"/>
          <w:szCs w:val="32"/>
        </w:rPr>
        <w:t>根据项目计划认真组织实施，严格遵守项目、资金管理规定，</w:t>
      </w:r>
      <w:r>
        <w:rPr>
          <w:rFonts w:hint="eastAsia" w:ascii="仿宋_GB2312" w:hAnsi="仿宋_GB2312" w:eastAsia="仿宋_GB2312" w:cs="仿宋_GB2312"/>
          <w:color w:val="auto"/>
          <w:spacing w:val="10"/>
          <w:w w:val="95"/>
          <w:sz w:val="32"/>
          <w:szCs w:val="32"/>
          <w:lang w:eastAsia="zh-CN"/>
        </w:rPr>
        <w:t>加快施工进度</w:t>
      </w:r>
      <w:r>
        <w:rPr>
          <w:rFonts w:hint="eastAsia" w:ascii="仿宋_GB2312" w:hAnsi="仿宋_GB2312" w:eastAsia="仿宋_GB2312" w:cs="仿宋_GB2312"/>
          <w:color w:val="auto"/>
          <w:spacing w:val="10"/>
          <w:w w:val="95"/>
          <w:sz w:val="32"/>
          <w:szCs w:val="32"/>
          <w:lang w:val="en-US" w:eastAsia="zh-CN"/>
        </w:rPr>
        <w:t>，</w:t>
      </w:r>
      <w:r>
        <w:rPr>
          <w:rFonts w:hint="eastAsia" w:ascii="仿宋_GB2312" w:hAnsi="仿宋_GB2312" w:eastAsia="仿宋_GB2312" w:cs="仿宋_GB2312"/>
          <w:color w:val="auto"/>
          <w:spacing w:val="10"/>
          <w:w w:val="95"/>
          <w:sz w:val="32"/>
          <w:szCs w:val="32"/>
        </w:rPr>
        <w:t>不得违规违纪操作。</w:t>
      </w:r>
      <w:r>
        <w:rPr>
          <w:rFonts w:hint="eastAsia" w:ascii="仿宋_GB2312" w:hAnsi="仿宋_GB2312" w:eastAsia="仿宋_GB2312" w:cs="仿宋_GB2312"/>
          <w:color w:val="auto"/>
          <w:spacing w:val="10"/>
          <w:w w:val="95"/>
          <w:sz w:val="32"/>
          <w:szCs w:val="32"/>
          <w:lang w:eastAsia="zh-CN"/>
        </w:rPr>
        <w:t>项目选址必须符合国土空间规划，不得造成耕地“非农化”“非粮化”，否则收回项目资金，并追究相关责任人的责任</w:t>
      </w:r>
      <w:r>
        <w:rPr>
          <w:rFonts w:hint="eastAsia" w:ascii="仿宋_GB2312" w:hAnsi="仿宋_GB2312" w:eastAsia="仿宋_GB2312" w:cs="仿宋_GB2312"/>
          <w:color w:val="auto"/>
          <w:spacing w:val="10"/>
          <w:w w:val="95"/>
          <w:sz w:val="32"/>
          <w:szCs w:val="32"/>
        </w:rPr>
        <w:t>；对检查验收中发现的违规违纪问题，限期整改；对严重违规违纪和挪用</w:t>
      </w:r>
      <w:r>
        <w:rPr>
          <w:rFonts w:hint="eastAsia" w:ascii="仿宋_GB2312" w:hAnsi="仿宋_GB2312" w:eastAsia="仿宋_GB2312" w:cs="仿宋_GB2312"/>
          <w:color w:val="auto"/>
          <w:spacing w:val="10"/>
          <w:w w:val="95"/>
          <w:sz w:val="32"/>
          <w:szCs w:val="32"/>
          <w:lang w:eastAsia="zh-CN"/>
        </w:rPr>
        <w:t>衔接</w:t>
      </w:r>
      <w:r>
        <w:rPr>
          <w:rFonts w:hint="eastAsia" w:ascii="仿宋_GB2312" w:hAnsi="仿宋_GB2312" w:eastAsia="仿宋_GB2312" w:cs="仿宋_GB2312"/>
          <w:color w:val="auto"/>
          <w:spacing w:val="10"/>
          <w:w w:val="95"/>
          <w:sz w:val="32"/>
          <w:szCs w:val="32"/>
        </w:rPr>
        <w:t>资金的行为，移交</w:t>
      </w:r>
      <w:r>
        <w:rPr>
          <w:rFonts w:hint="eastAsia" w:ascii="仿宋_GB2312" w:hAnsi="仿宋_GB2312" w:eastAsia="仿宋_GB2312" w:cs="仿宋_GB2312"/>
          <w:color w:val="auto"/>
          <w:spacing w:val="10"/>
          <w:w w:val="95"/>
          <w:sz w:val="32"/>
          <w:szCs w:val="32"/>
          <w:lang w:eastAsia="zh-CN"/>
        </w:rPr>
        <w:t>区纪委</w:t>
      </w:r>
      <w:r>
        <w:rPr>
          <w:rFonts w:hint="eastAsia" w:ascii="仿宋_GB2312" w:hAnsi="仿宋_GB2312" w:eastAsia="仿宋_GB2312" w:cs="仿宋_GB2312"/>
          <w:color w:val="auto"/>
          <w:spacing w:val="10"/>
          <w:w w:val="95"/>
          <w:sz w:val="32"/>
          <w:szCs w:val="32"/>
        </w:rPr>
        <w:t>追究相关责任人的责任。</w:t>
      </w:r>
    </w:p>
    <w:p>
      <w:pPr>
        <w:keepNext w:val="0"/>
        <w:keepLines w:val="0"/>
        <w:pageBreakBefore w:val="0"/>
        <w:widowControl/>
        <w:kinsoku w:val="0"/>
        <w:wordWrap/>
        <w:overflowPunct/>
        <w:topLinePunct w:val="0"/>
        <w:autoSpaceDE w:val="0"/>
        <w:autoSpaceDN w:val="0"/>
        <w:bidi w:val="0"/>
        <w:adjustRightInd w:val="0"/>
        <w:snapToGrid w:val="0"/>
        <w:spacing w:beforeAutospacing="0" w:line="590" w:lineRule="exact"/>
        <w:ind w:leftChars="0" w:right="0" w:firstLine="704" w:firstLineChars="200"/>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16"/>
          <w:sz w:val="32"/>
          <w:szCs w:val="32"/>
          <w:lang w:eastAsia="zh-CN"/>
        </w:rPr>
        <w:t>联系电话</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val="en-US" w:eastAsia="zh-CN"/>
        </w:rPr>
        <w:t>0736-7070173</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eastAsia="zh-CN"/>
        </w:rPr>
        <w:t>区农业农村</w:t>
      </w:r>
      <w:r>
        <w:rPr>
          <w:rFonts w:hint="eastAsia" w:ascii="仿宋_GB2312" w:hAnsi="仿宋_GB2312" w:eastAsia="仿宋_GB2312" w:cs="仿宋_GB2312"/>
          <w:color w:val="auto"/>
          <w:spacing w:val="8"/>
          <w:sz w:val="32"/>
          <w:szCs w:val="32"/>
        </w:rPr>
        <w:t>局电话)</w:t>
      </w:r>
    </w:p>
    <w:p>
      <w:pPr>
        <w:keepNext w:val="0"/>
        <w:keepLines w:val="0"/>
        <w:pageBreakBefore w:val="0"/>
        <w:wordWrap/>
        <w:overflowPunct/>
        <w:topLinePunct w:val="0"/>
        <w:bidi w:val="0"/>
        <w:spacing w:beforeAutospacing="0" w:line="590" w:lineRule="exact"/>
        <w:ind w:leftChars="0" w:firstLine="648" w:firstLineChars="200"/>
        <w:rPr>
          <w:rFonts w:hint="eastAsia" w:ascii="仿宋_GB2312" w:hAnsi="仿宋_GB2312" w:eastAsia="仿宋_GB2312" w:cs="仿宋_GB2312"/>
          <w:color w:val="auto"/>
          <w:spacing w:val="10"/>
          <w:w w:val="95"/>
          <w:sz w:val="32"/>
          <w:szCs w:val="32"/>
        </w:rPr>
      </w:pPr>
    </w:p>
    <w:p>
      <w:pPr>
        <w:keepNext w:val="0"/>
        <w:keepLines w:val="0"/>
        <w:pageBreakBefore w:val="0"/>
        <w:wordWrap/>
        <w:overflowPunct/>
        <w:topLinePunct w:val="0"/>
        <w:bidi w:val="0"/>
        <w:spacing w:beforeAutospacing="0" w:line="590" w:lineRule="exact"/>
        <w:ind w:leftChars="0" w:firstLine="648" w:firstLineChars="200"/>
        <w:rPr>
          <w:rFonts w:hint="eastAsia" w:ascii="仿宋_GB2312" w:hAnsi="仿宋_GB2312" w:eastAsia="仿宋_GB2312" w:cs="仿宋_GB2312"/>
          <w:bCs/>
          <w:color w:val="auto"/>
          <w:kern w:val="0"/>
          <w:sz w:val="32"/>
          <w:szCs w:val="32"/>
          <w:lang w:eastAsia="zh-CN" w:bidi="ar"/>
        </w:rPr>
      </w:pPr>
      <w:r>
        <w:rPr>
          <w:rFonts w:hint="eastAsia" w:ascii="仿宋_GB2312" w:hAnsi="仿宋_GB2312" w:eastAsia="仿宋_GB2312" w:cs="仿宋_GB2312"/>
          <w:color w:val="auto"/>
          <w:spacing w:val="10"/>
          <w:w w:val="95"/>
          <w:sz w:val="32"/>
          <w:szCs w:val="32"/>
        </w:rPr>
        <w:t>附件：</w:t>
      </w:r>
      <w:r>
        <w:rPr>
          <w:rFonts w:hint="eastAsia" w:ascii="仿宋_GB2312" w:hAnsi="仿宋_GB2312" w:eastAsia="仿宋_GB2312" w:cs="仿宋_GB2312"/>
          <w:bCs/>
          <w:color w:val="auto"/>
          <w:kern w:val="0"/>
          <w:sz w:val="32"/>
          <w:szCs w:val="32"/>
          <w:lang w:bidi="ar"/>
        </w:rPr>
        <w:t>桃花源旅游管理区</w:t>
      </w:r>
      <w:r>
        <w:rPr>
          <w:rFonts w:hint="eastAsia" w:ascii="仿宋_GB2312" w:hAnsi="仿宋_GB2312" w:eastAsia="仿宋_GB2312" w:cs="仿宋_GB2312"/>
          <w:bCs/>
          <w:color w:val="auto"/>
          <w:kern w:val="0"/>
          <w:sz w:val="32"/>
          <w:szCs w:val="32"/>
          <w:lang w:val="en-US" w:eastAsia="zh-CN" w:bidi="ar"/>
        </w:rPr>
        <w:t>2025年第</w:t>
      </w:r>
      <w:r>
        <w:rPr>
          <w:rFonts w:hint="eastAsia" w:ascii="仿宋_GB2312" w:hAnsi="仿宋_GB2312" w:eastAsia="仿宋_GB2312" w:cs="仿宋_GB2312"/>
          <w:color w:val="auto"/>
          <w:spacing w:val="10"/>
          <w:w w:val="95"/>
          <w:sz w:val="32"/>
          <w:szCs w:val="32"/>
          <w:lang w:val="en-US" w:eastAsia="zh-CN"/>
        </w:rPr>
        <w:t>四</w:t>
      </w:r>
      <w:r>
        <w:rPr>
          <w:rFonts w:hint="eastAsia" w:ascii="仿宋_GB2312" w:hAnsi="仿宋_GB2312" w:eastAsia="仿宋_GB2312" w:cs="仿宋_GB2312"/>
          <w:bCs/>
          <w:color w:val="auto"/>
          <w:kern w:val="0"/>
          <w:sz w:val="32"/>
          <w:szCs w:val="32"/>
          <w:lang w:val="en-US" w:eastAsia="zh-CN" w:bidi="ar"/>
        </w:rPr>
        <w:t>批省级财政衔接推进乡村振兴补助资金</w:t>
      </w:r>
      <w:r>
        <w:rPr>
          <w:rFonts w:hint="eastAsia" w:ascii="仿宋_GB2312" w:hAnsi="仿宋_GB2312" w:eastAsia="仿宋_GB2312" w:cs="仿宋_GB2312"/>
          <w:bCs/>
          <w:color w:val="auto"/>
          <w:kern w:val="0"/>
          <w:sz w:val="32"/>
          <w:szCs w:val="32"/>
          <w:lang w:eastAsia="zh-CN" w:bidi="ar"/>
        </w:rPr>
        <w:t>计划表</w:t>
      </w:r>
    </w:p>
    <w:p>
      <w:pPr>
        <w:keepNext w:val="0"/>
        <w:keepLines w:val="0"/>
        <w:pageBreakBefore w:val="0"/>
        <w:wordWrap/>
        <w:overflowPunct/>
        <w:topLinePunct w:val="0"/>
        <w:bidi w:val="0"/>
        <w:spacing w:beforeAutospacing="0" w:line="590" w:lineRule="exact"/>
        <w:ind w:leftChars="0"/>
        <w:jc w:val="both"/>
        <w:rPr>
          <w:rFonts w:hint="eastAsia" w:ascii="仿宋_GB2312" w:hAnsi="仿宋_GB2312" w:eastAsia="仿宋_GB2312" w:cs="仿宋_GB2312"/>
          <w:color w:val="auto"/>
          <w:spacing w:val="10"/>
          <w:w w:val="95"/>
          <w:sz w:val="32"/>
          <w:szCs w:val="32"/>
          <w:lang w:val="en-US" w:eastAsia="zh-CN"/>
        </w:rPr>
      </w:pPr>
      <w:r>
        <w:rPr>
          <w:rFonts w:hint="eastAsia" w:ascii="仿宋_GB2312" w:hAnsi="仿宋_GB2312" w:eastAsia="仿宋_GB2312" w:cs="仿宋_GB2312"/>
          <w:color w:val="auto"/>
          <w:spacing w:val="10"/>
          <w:w w:val="95"/>
          <w:sz w:val="32"/>
          <w:szCs w:val="32"/>
          <w:lang w:val="en-US" w:eastAsia="zh-CN"/>
        </w:rPr>
        <w:t xml:space="preserve">                     </w:t>
      </w:r>
    </w:p>
    <w:p>
      <w:pPr>
        <w:keepNext w:val="0"/>
        <w:keepLines w:val="0"/>
        <w:pageBreakBefore w:val="0"/>
        <w:wordWrap/>
        <w:overflowPunct/>
        <w:topLinePunct w:val="0"/>
        <w:bidi w:val="0"/>
        <w:spacing w:beforeAutospacing="0" w:line="590" w:lineRule="exact"/>
        <w:ind w:leftChars="0"/>
        <w:jc w:val="center"/>
        <w:rPr>
          <w:rFonts w:hint="eastAsia" w:ascii="仿宋_GB2312" w:hAnsi="仿宋_GB2312" w:eastAsia="仿宋_GB2312" w:cs="仿宋_GB2312"/>
          <w:color w:val="auto"/>
          <w:spacing w:val="10"/>
          <w:w w:val="95"/>
          <w:sz w:val="32"/>
          <w:szCs w:val="32"/>
        </w:rPr>
      </w:pPr>
      <w:r>
        <w:rPr>
          <w:rFonts w:hint="eastAsia" w:ascii="仿宋_GB2312" w:hAnsi="仿宋_GB2312" w:eastAsia="仿宋_GB2312" w:cs="仿宋_GB2312"/>
          <w:color w:val="auto"/>
          <w:spacing w:val="10"/>
          <w:w w:val="95"/>
          <w:sz w:val="32"/>
          <w:szCs w:val="32"/>
          <w:lang w:val="en-US" w:eastAsia="zh-CN"/>
        </w:rPr>
        <w:t xml:space="preserve">                     </w:t>
      </w:r>
      <w:r>
        <w:rPr>
          <w:rFonts w:hint="eastAsia" w:ascii="仿宋_GB2312" w:hAnsi="仿宋_GB2312" w:eastAsia="仿宋_GB2312" w:cs="仿宋_GB2312"/>
          <w:color w:val="auto"/>
          <w:spacing w:val="10"/>
          <w:w w:val="95"/>
          <w:sz w:val="32"/>
          <w:szCs w:val="32"/>
          <w:lang w:eastAsia="zh-CN"/>
        </w:rPr>
        <w:t>常德市</w:t>
      </w:r>
      <w:r>
        <w:rPr>
          <w:rFonts w:hint="eastAsia" w:ascii="仿宋_GB2312" w:hAnsi="仿宋_GB2312" w:eastAsia="仿宋_GB2312" w:cs="仿宋_GB2312"/>
          <w:color w:val="auto"/>
          <w:spacing w:val="10"/>
          <w:w w:val="95"/>
          <w:sz w:val="32"/>
          <w:szCs w:val="32"/>
        </w:rPr>
        <w:t>桃花源旅游管理区</w:t>
      </w:r>
    </w:p>
    <w:p>
      <w:pPr>
        <w:keepNext w:val="0"/>
        <w:keepLines w:val="0"/>
        <w:pageBreakBefore w:val="0"/>
        <w:wordWrap/>
        <w:overflowPunct/>
        <w:topLinePunct w:val="0"/>
        <w:bidi w:val="0"/>
        <w:spacing w:beforeAutospacing="0" w:line="590" w:lineRule="exact"/>
        <w:ind w:leftChars="0"/>
        <w:jc w:val="center"/>
        <w:rPr>
          <w:rFonts w:hint="eastAsia" w:ascii="仿宋_GB2312" w:hAnsi="仿宋_GB2312" w:eastAsia="仿宋_GB2312" w:cs="仿宋_GB2312"/>
          <w:color w:val="auto"/>
          <w:spacing w:val="10"/>
          <w:w w:val="95"/>
          <w:sz w:val="32"/>
          <w:szCs w:val="32"/>
        </w:rPr>
      </w:pPr>
      <w:r>
        <w:rPr>
          <w:rFonts w:hint="eastAsia" w:ascii="仿宋_GB2312" w:hAnsi="仿宋_GB2312" w:eastAsia="仿宋_GB2312" w:cs="仿宋_GB2312"/>
          <w:color w:val="auto"/>
          <w:spacing w:val="10"/>
          <w:w w:val="95"/>
          <w:sz w:val="32"/>
          <w:szCs w:val="32"/>
          <w:lang w:val="en-US" w:eastAsia="zh-CN"/>
        </w:rPr>
        <w:t xml:space="preserve">                      </w:t>
      </w:r>
      <w:r>
        <w:rPr>
          <w:rFonts w:hint="eastAsia" w:ascii="仿宋_GB2312" w:hAnsi="仿宋_GB2312" w:eastAsia="仿宋_GB2312" w:cs="仿宋_GB2312"/>
          <w:color w:val="auto"/>
          <w:spacing w:val="10"/>
          <w:w w:val="95"/>
          <w:sz w:val="32"/>
          <w:szCs w:val="32"/>
          <w:lang w:eastAsia="zh-CN"/>
        </w:rPr>
        <w:t>农村工作领导</w:t>
      </w:r>
      <w:r>
        <w:rPr>
          <w:rFonts w:hint="eastAsia" w:ascii="仿宋_GB2312" w:hAnsi="仿宋_GB2312" w:eastAsia="仿宋_GB2312" w:cs="仿宋_GB2312"/>
          <w:color w:val="auto"/>
          <w:spacing w:val="10"/>
          <w:w w:val="95"/>
          <w:sz w:val="32"/>
          <w:szCs w:val="32"/>
        </w:rPr>
        <w:t>小组</w:t>
      </w:r>
    </w:p>
    <w:p>
      <w:pPr>
        <w:keepNext w:val="0"/>
        <w:keepLines w:val="0"/>
        <w:pageBreakBefore w:val="0"/>
        <w:wordWrap/>
        <w:overflowPunct/>
        <w:topLinePunct w:val="0"/>
        <w:bidi w:val="0"/>
        <w:spacing w:beforeAutospacing="0" w:line="590" w:lineRule="exact"/>
        <w:ind w:firstLine="5184" w:firstLineChars="1600"/>
        <w:rPr>
          <w:rFonts w:hint="eastAsia" w:ascii="仿宋_GB2312" w:hAnsi="仿宋_GB2312" w:eastAsia="仿宋_GB2312" w:cs="仿宋_GB2312"/>
          <w:color w:val="auto"/>
          <w:spacing w:val="10"/>
          <w:w w:val="95"/>
          <w:sz w:val="32"/>
          <w:szCs w:val="32"/>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_GB2312" w:hAnsi="仿宋_GB2312" w:eastAsia="仿宋_GB2312" w:cs="仿宋_GB2312"/>
          <w:color w:val="auto"/>
          <w:spacing w:val="10"/>
          <w:w w:val="95"/>
          <w:sz w:val="32"/>
          <w:szCs w:val="32"/>
        </w:rPr>
        <w:t>202</w:t>
      </w:r>
      <w:r>
        <w:rPr>
          <w:rFonts w:hint="eastAsia" w:ascii="仿宋_GB2312" w:hAnsi="仿宋_GB2312" w:eastAsia="仿宋_GB2312" w:cs="仿宋_GB2312"/>
          <w:color w:val="auto"/>
          <w:spacing w:val="10"/>
          <w:w w:val="95"/>
          <w:sz w:val="32"/>
          <w:szCs w:val="32"/>
          <w:lang w:val="en-US" w:eastAsia="zh-CN"/>
        </w:rPr>
        <w:t>5</w:t>
      </w:r>
      <w:r>
        <w:rPr>
          <w:rFonts w:hint="eastAsia" w:ascii="仿宋_GB2312" w:hAnsi="仿宋_GB2312" w:eastAsia="仿宋_GB2312" w:cs="仿宋_GB2312"/>
          <w:color w:val="auto"/>
          <w:spacing w:val="10"/>
          <w:w w:val="95"/>
          <w:sz w:val="32"/>
          <w:szCs w:val="32"/>
        </w:rPr>
        <w:t>年</w:t>
      </w:r>
      <w:r>
        <w:rPr>
          <w:rFonts w:hint="eastAsia" w:ascii="仿宋_GB2312" w:hAnsi="仿宋_GB2312" w:eastAsia="仿宋_GB2312" w:cs="仿宋_GB2312"/>
          <w:color w:val="auto"/>
          <w:spacing w:val="10"/>
          <w:w w:val="95"/>
          <w:sz w:val="32"/>
          <w:szCs w:val="32"/>
          <w:lang w:val="en-US" w:eastAsia="zh-CN"/>
        </w:rPr>
        <w:t>9</w:t>
      </w:r>
      <w:r>
        <w:rPr>
          <w:rFonts w:hint="eastAsia" w:ascii="仿宋_GB2312" w:hAnsi="仿宋_GB2312" w:eastAsia="仿宋_GB2312" w:cs="仿宋_GB2312"/>
          <w:color w:val="auto"/>
          <w:spacing w:val="10"/>
          <w:w w:val="95"/>
          <w:sz w:val="32"/>
          <w:szCs w:val="32"/>
        </w:rPr>
        <w:t>月</w:t>
      </w:r>
      <w:r>
        <w:rPr>
          <w:rFonts w:hint="eastAsia" w:ascii="仿宋_GB2312" w:hAnsi="仿宋_GB2312" w:eastAsia="仿宋_GB2312" w:cs="仿宋_GB2312"/>
          <w:color w:val="auto"/>
          <w:spacing w:val="10"/>
          <w:w w:val="95"/>
          <w:sz w:val="32"/>
          <w:szCs w:val="32"/>
          <w:lang w:val="en-US" w:eastAsia="zh-CN"/>
        </w:rPr>
        <w:t>18日</w:t>
      </w:r>
    </w:p>
    <w:tbl>
      <w:tblPr>
        <w:tblStyle w:val="7"/>
        <w:tblW w:w="15685" w:type="dxa"/>
        <w:tblInd w:w="-760" w:type="dxa"/>
        <w:tblLayout w:type="fixed"/>
        <w:tblCellMar>
          <w:top w:w="0" w:type="dxa"/>
          <w:left w:w="0" w:type="dxa"/>
          <w:bottom w:w="0" w:type="dxa"/>
          <w:right w:w="0" w:type="dxa"/>
        </w:tblCellMar>
      </w:tblPr>
      <w:tblGrid>
        <w:gridCol w:w="760"/>
        <w:gridCol w:w="931"/>
        <w:gridCol w:w="1175"/>
        <w:gridCol w:w="1573"/>
        <w:gridCol w:w="1890"/>
        <w:gridCol w:w="2595"/>
        <w:gridCol w:w="975"/>
        <w:gridCol w:w="945"/>
        <w:gridCol w:w="1020"/>
        <w:gridCol w:w="1005"/>
        <w:gridCol w:w="1335"/>
        <w:gridCol w:w="1005"/>
        <w:gridCol w:w="476"/>
      </w:tblGrid>
      <w:tr>
        <w:tblPrEx>
          <w:tblCellMar>
            <w:top w:w="0" w:type="dxa"/>
            <w:left w:w="0" w:type="dxa"/>
            <w:bottom w:w="0" w:type="dxa"/>
            <w:right w:w="0" w:type="dxa"/>
          </w:tblCellMar>
        </w:tblPrEx>
        <w:trPr>
          <w:trHeight w:val="765" w:hRule="atLeast"/>
        </w:trPr>
        <w:tc>
          <w:tcPr>
            <w:tcW w:w="15685" w:type="dxa"/>
            <w:gridSpan w:val="13"/>
            <w:tcBorders>
              <w:top w:val="nil"/>
              <w:left w:val="nil"/>
              <w:bottom w:val="nil"/>
              <w:right w:val="nil"/>
            </w:tcBorders>
            <w:noWrap w:val="0"/>
            <w:tcMar>
              <w:top w:w="15" w:type="dxa"/>
              <w:left w:w="15" w:type="dxa"/>
              <w:right w:w="15" w:type="dxa"/>
            </w:tcMar>
            <w:vAlign w:val="center"/>
          </w:tcPr>
          <w:p>
            <w:pPr>
              <w:spacing w:line="680" w:lineRule="exact"/>
              <w:ind w:firstLine="722" w:firstLineChars="200"/>
              <w:jc w:val="center"/>
              <w:rPr>
                <w:rFonts w:hint="eastAsia" w:ascii="宋体" w:hAnsi="宋体" w:eastAsia="宋体" w:cs="宋体"/>
                <w:b/>
                <w:bCs w:val="0"/>
                <w:color w:val="auto"/>
                <w:kern w:val="0"/>
                <w:sz w:val="32"/>
                <w:szCs w:val="32"/>
                <w:lang w:eastAsia="zh-CN" w:bidi="ar"/>
              </w:rPr>
            </w:pPr>
            <w:r>
              <w:rPr>
                <w:rFonts w:hint="eastAsia" w:asciiTheme="majorEastAsia" w:hAnsiTheme="majorEastAsia" w:eastAsiaTheme="majorEastAsia" w:cstheme="majorEastAsia"/>
                <w:b/>
                <w:bCs w:val="0"/>
                <w:color w:val="auto"/>
                <w:kern w:val="0"/>
                <w:sz w:val="36"/>
                <w:szCs w:val="36"/>
                <w:lang w:bidi="ar"/>
              </w:rPr>
              <w:t>桃花源旅游管理区202</w:t>
            </w:r>
            <w:r>
              <w:rPr>
                <w:rFonts w:hint="eastAsia" w:asciiTheme="majorEastAsia" w:hAnsiTheme="majorEastAsia" w:eastAsiaTheme="majorEastAsia" w:cstheme="majorEastAsia"/>
                <w:b/>
                <w:bCs w:val="0"/>
                <w:color w:val="auto"/>
                <w:kern w:val="0"/>
                <w:sz w:val="36"/>
                <w:szCs w:val="36"/>
                <w:lang w:val="en-US" w:eastAsia="zh-CN" w:bidi="ar"/>
              </w:rPr>
              <w:t>5</w:t>
            </w:r>
            <w:r>
              <w:rPr>
                <w:rFonts w:hint="eastAsia" w:asciiTheme="majorEastAsia" w:hAnsiTheme="majorEastAsia" w:eastAsiaTheme="majorEastAsia" w:cstheme="majorEastAsia"/>
                <w:b/>
                <w:bCs w:val="0"/>
                <w:color w:val="auto"/>
                <w:kern w:val="0"/>
                <w:sz w:val="36"/>
                <w:szCs w:val="36"/>
                <w:lang w:bidi="ar"/>
              </w:rPr>
              <w:t>年第</w:t>
            </w:r>
            <w:r>
              <w:rPr>
                <w:rFonts w:hint="eastAsia" w:asciiTheme="majorEastAsia" w:hAnsiTheme="majorEastAsia" w:eastAsiaTheme="majorEastAsia" w:cstheme="majorEastAsia"/>
                <w:b/>
                <w:bCs w:val="0"/>
                <w:color w:val="auto"/>
                <w:kern w:val="0"/>
                <w:sz w:val="36"/>
                <w:szCs w:val="36"/>
                <w:lang w:eastAsia="zh-CN" w:bidi="ar"/>
              </w:rPr>
              <w:t>四</w:t>
            </w:r>
            <w:r>
              <w:rPr>
                <w:rFonts w:hint="eastAsia" w:asciiTheme="majorEastAsia" w:hAnsiTheme="majorEastAsia" w:eastAsiaTheme="majorEastAsia" w:cstheme="majorEastAsia"/>
                <w:b/>
                <w:bCs w:val="0"/>
                <w:color w:val="auto"/>
                <w:kern w:val="0"/>
                <w:sz w:val="36"/>
                <w:szCs w:val="36"/>
                <w:lang w:bidi="ar"/>
              </w:rPr>
              <w:t>批</w:t>
            </w:r>
            <w:r>
              <w:rPr>
                <w:rFonts w:hint="eastAsia" w:asciiTheme="majorEastAsia" w:hAnsiTheme="majorEastAsia" w:eastAsiaTheme="majorEastAsia" w:cstheme="majorEastAsia"/>
                <w:b/>
                <w:bCs w:val="0"/>
                <w:color w:val="auto"/>
                <w:kern w:val="0"/>
                <w:sz w:val="36"/>
                <w:szCs w:val="36"/>
                <w:lang w:eastAsia="zh-CN" w:bidi="ar"/>
              </w:rPr>
              <w:t>省级</w:t>
            </w:r>
            <w:r>
              <w:rPr>
                <w:rFonts w:hint="eastAsia" w:asciiTheme="majorEastAsia" w:hAnsiTheme="majorEastAsia" w:eastAsiaTheme="majorEastAsia" w:cstheme="majorEastAsia"/>
                <w:b/>
                <w:bCs w:val="0"/>
                <w:color w:val="auto"/>
                <w:kern w:val="0"/>
                <w:sz w:val="36"/>
                <w:szCs w:val="36"/>
                <w:lang w:bidi="ar"/>
              </w:rPr>
              <w:t>财政衔接推进乡村振兴补助资金</w:t>
            </w:r>
            <w:r>
              <w:rPr>
                <w:rFonts w:hint="eastAsia" w:asciiTheme="majorEastAsia" w:hAnsiTheme="majorEastAsia" w:eastAsiaTheme="majorEastAsia" w:cstheme="majorEastAsia"/>
                <w:b/>
                <w:bCs w:val="0"/>
                <w:color w:val="auto"/>
                <w:kern w:val="0"/>
                <w:sz w:val="36"/>
                <w:szCs w:val="36"/>
                <w:lang w:eastAsia="zh-CN" w:bidi="ar"/>
              </w:rPr>
              <w:t>计划表（</w:t>
            </w:r>
            <w:r>
              <w:rPr>
                <w:rFonts w:hint="eastAsia" w:asciiTheme="majorEastAsia" w:hAnsiTheme="majorEastAsia" w:eastAsiaTheme="majorEastAsia" w:cstheme="majorEastAsia"/>
                <w:b/>
                <w:bCs w:val="0"/>
                <w:color w:val="auto"/>
                <w:kern w:val="0"/>
                <w:sz w:val="36"/>
                <w:szCs w:val="36"/>
                <w:lang w:val="en-US" w:eastAsia="zh-CN" w:bidi="ar"/>
              </w:rPr>
              <w:t>26万元</w:t>
            </w:r>
            <w:r>
              <w:rPr>
                <w:rFonts w:hint="eastAsia" w:asciiTheme="majorEastAsia" w:hAnsiTheme="majorEastAsia" w:eastAsiaTheme="majorEastAsia" w:cstheme="majorEastAsia"/>
                <w:b/>
                <w:bCs w:val="0"/>
                <w:color w:val="auto"/>
                <w:kern w:val="0"/>
                <w:sz w:val="36"/>
                <w:szCs w:val="36"/>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760" w:type="dxa"/>
          <w:wAfter w:w="476" w:type="dxa"/>
          <w:trHeight w:val="622" w:hRule="atLeast"/>
        </w:trPr>
        <w:tc>
          <w:tcPr>
            <w:tcW w:w="9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序 号</w:t>
            </w:r>
          </w:p>
        </w:tc>
        <w:tc>
          <w:tcPr>
            <w:tcW w:w="11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乡镇名称</w:t>
            </w:r>
          </w:p>
        </w:tc>
        <w:tc>
          <w:tcPr>
            <w:tcW w:w="15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项目类型</w:t>
            </w:r>
          </w:p>
        </w:tc>
        <w:tc>
          <w:tcPr>
            <w:tcW w:w="18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项目名称</w:t>
            </w:r>
          </w:p>
        </w:tc>
        <w:tc>
          <w:tcPr>
            <w:tcW w:w="25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项目建设内容及规格</w:t>
            </w:r>
          </w:p>
        </w:tc>
        <w:tc>
          <w:tcPr>
            <w:tcW w:w="394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项目资金投入（万元）</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项目区</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760" w:type="dxa"/>
          <w:wAfter w:w="476" w:type="dxa"/>
          <w:trHeight w:val="668"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11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25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合 计</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省级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农民自筹</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760" w:type="dxa"/>
          <w:wAfter w:w="476" w:type="dxa"/>
          <w:trHeight w:val="1036" w:hRule="atLeast"/>
        </w:trPr>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highlight w:val="none"/>
                <w:u w:val="none"/>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合 计</w:t>
            </w:r>
          </w:p>
        </w:tc>
        <w:tc>
          <w:tcPr>
            <w:tcW w:w="1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color w:val="auto"/>
                <w:sz w:val="21"/>
                <w:szCs w:val="21"/>
                <w:highlight w:val="none"/>
                <w:u w:val="none"/>
                <w:lang w:val="en-US" w:eastAsia="zh-CN"/>
              </w:rPr>
            </w:pPr>
            <w:r>
              <w:rPr>
                <w:rFonts w:hint="eastAsia" w:asciiTheme="minorEastAsia" w:hAnsiTheme="minorEastAsia" w:cstheme="minorEastAsia"/>
                <w:b/>
                <w:bCs/>
                <w:i w:val="0"/>
                <w:color w:val="auto"/>
                <w:sz w:val="21"/>
                <w:szCs w:val="21"/>
                <w:highlight w:val="none"/>
                <w:u w:val="none"/>
                <w:lang w:val="en-US" w:eastAsia="zh-CN"/>
              </w:rPr>
              <w:t>26</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color w:val="auto"/>
                <w:kern w:val="2"/>
                <w:sz w:val="21"/>
                <w:szCs w:val="21"/>
                <w:highlight w:val="none"/>
                <w:u w:val="none"/>
                <w:lang w:val="en-US" w:eastAsia="zh-CN" w:bidi="ar-SA"/>
              </w:rPr>
            </w:pPr>
            <w:r>
              <w:rPr>
                <w:rFonts w:hint="eastAsia" w:asciiTheme="minorEastAsia" w:hAnsiTheme="minorEastAsia" w:cstheme="minorEastAsia"/>
                <w:b/>
                <w:bCs/>
                <w:i w:val="0"/>
                <w:color w:val="auto"/>
                <w:kern w:val="0"/>
                <w:sz w:val="21"/>
                <w:szCs w:val="21"/>
                <w:highlight w:val="none"/>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b/>
                <w:bCs/>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760" w:type="dxa"/>
          <w:wAfter w:w="476" w:type="dxa"/>
          <w:trHeight w:val="1392" w:hRule="atLeast"/>
        </w:trPr>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桃花源镇</w:t>
            </w:r>
          </w:p>
        </w:tc>
        <w:tc>
          <w:tcPr>
            <w:tcW w:w="1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乡村建设行动</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auto"/>
                <w:sz w:val="21"/>
                <w:szCs w:val="21"/>
                <w:highlight w:val="none"/>
                <w:u w:val="none"/>
              </w:rPr>
              <w:t>马家坪村路灯安装</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auto"/>
                <w:sz w:val="21"/>
                <w:szCs w:val="21"/>
                <w:highlight w:val="none"/>
                <w:u w:val="none"/>
              </w:rPr>
              <w:t>马家坪村</w:t>
            </w:r>
            <w:r>
              <w:rPr>
                <w:rFonts w:hint="eastAsia" w:asciiTheme="minorEastAsia" w:hAnsiTheme="minorEastAsia" w:cstheme="minorEastAsia"/>
                <w:b w:val="0"/>
                <w:bCs w:val="0"/>
                <w:i w:val="0"/>
                <w:color w:val="auto"/>
                <w:sz w:val="21"/>
                <w:szCs w:val="21"/>
                <w:highlight w:val="none"/>
                <w:u w:val="none"/>
                <w:lang w:val="en-US" w:eastAsia="zh-CN"/>
              </w:rPr>
              <w:t>一、二组</w:t>
            </w:r>
            <w:r>
              <w:rPr>
                <w:rFonts w:hint="eastAsia" w:asciiTheme="minorEastAsia" w:hAnsiTheme="minorEastAsia" w:eastAsiaTheme="minorEastAsia" w:cstheme="minorEastAsia"/>
                <w:b w:val="0"/>
                <w:bCs w:val="0"/>
                <w:i w:val="0"/>
                <w:color w:val="auto"/>
                <w:sz w:val="21"/>
                <w:szCs w:val="21"/>
                <w:highlight w:val="none"/>
                <w:u w:val="none"/>
              </w:rPr>
              <w:t>安装</w:t>
            </w:r>
            <w:r>
              <w:rPr>
                <w:rFonts w:hint="eastAsia" w:asciiTheme="minorEastAsia" w:hAnsiTheme="minorEastAsia" w:cstheme="minorEastAsia"/>
                <w:b w:val="0"/>
                <w:bCs w:val="0"/>
                <w:i w:val="0"/>
                <w:color w:val="auto"/>
                <w:sz w:val="21"/>
                <w:szCs w:val="21"/>
                <w:highlight w:val="none"/>
                <w:u w:val="none"/>
                <w:lang w:val="en-US" w:eastAsia="zh-CN"/>
              </w:rPr>
              <w:t>路灯25</w:t>
            </w:r>
            <w:r>
              <w:rPr>
                <w:rFonts w:hint="eastAsia" w:asciiTheme="minorEastAsia" w:hAnsiTheme="minorEastAsia" w:eastAsiaTheme="minorEastAsia" w:cstheme="minorEastAsia"/>
                <w:b w:val="0"/>
                <w:bCs w:val="0"/>
                <w:i w:val="0"/>
                <w:color w:val="auto"/>
                <w:sz w:val="21"/>
                <w:szCs w:val="21"/>
                <w:highlight w:val="none"/>
                <w:u w:val="none"/>
              </w:rPr>
              <w:t>盏</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马家坪村</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760" w:type="dxa"/>
          <w:wAfter w:w="476" w:type="dxa"/>
          <w:trHeight w:val="1392" w:hRule="atLeast"/>
        </w:trPr>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桃花源镇</w:t>
            </w:r>
          </w:p>
        </w:tc>
        <w:tc>
          <w:tcPr>
            <w:tcW w:w="1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乡村建设行动</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双峰二组、双峰三组产业路路基加宽</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桃源路至双峰三组田中秋屋前；万亩桃林至双峰二组肖华贵屋前2000米路基建设。（路基加宽2米）</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桃仙岭村</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760" w:type="dxa"/>
          <w:wAfter w:w="476" w:type="dxa"/>
          <w:trHeight w:val="1392" w:hRule="atLeast"/>
        </w:trPr>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桃花源镇</w:t>
            </w:r>
          </w:p>
        </w:tc>
        <w:tc>
          <w:tcPr>
            <w:tcW w:w="1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乡村建设行动</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虎形村路基扩宽</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虎形四组村民杨元枝老屋前起至与黄土坡村交界处组级公路路基扩宽；长1000米，宽6米</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Lines="0" w:afterLines="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虎形村</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1"/>
                <w:szCs w:val="21"/>
                <w:highlight w:val="none"/>
                <w:u w:val="none"/>
              </w:rPr>
            </w:pPr>
          </w:p>
        </w:tc>
      </w:tr>
    </w:tbl>
    <w:p>
      <w:pPr>
        <w:jc w:val="both"/>
        <w:rPr>
          <w:rFonts w:hint="eastAsia" w:asciiTheme="minorEastAsia" w:hAnsiTheme="minorEastAsia" w:eastAsiaTheme="minorEastAsia" w:cstheme="minorEastAsia"/>
          <w:color w:val="auto"/>
          <w:sz w:val="21"/>
          <w:szCs w:val="21"/>
          <w:highlight w:val="none"/>
        </w:rPr>
      </w:pPr>
    </w:p>
    <w:sectPr>
      <w:footerReference r:id="rId4" w:type="default"/>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modern"/>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hint="eastAsia" w:ascii="宋体" w:hAnsi="宋体"/>
        <w:sz w:val="24"/>
        <w:szCs w:val="24"/>
      </w:rPr>
    </w:pPr>
    <w:r>
      <w:rPr>
        <w:rStyle w:val="9"/>
        <w:rFonts w:hint="eastAsia" w:ascii="宋体" w:hAnsi="宋体"/>
        <w:sz w:val="24"/>
        <w:szCs w:val="24"/>
      </w:rPr>
      <w:t xml:space="preserve">— </w:t>
    </w:r>
    <w:r>
      <w:rPr>
        <w:rFonts w:ascii="宋体" w:hAnsi="宋体"/>
        <w:sz w:val="24"/>
        <w:szCs w:val="24"/>
      </w:rPr>
      <w:fldChar w:fldCharType="begin"/>
    </w:r>
    <w:r>
      <w:rPr>
        <w:rStyle w:val="9"/>
        <w:rFonts w:ascii="宋体" w:hAnsi="宋体"/>
        <w:sz w:val="24"/>
        <w:szCs w:val="24"/>
      </w:rPr>
      <w:instrText xml:space="preserve">PAGE  </w:instrText>
    </w:r>
    <w:r>
      <w:rPr>
        <w:rFonts w:ascii="宋体" w:hAnsi="宋体"/>
        <w:sz w:val="24"/>
        <w:szCs w:val="24"/>
      </w:rPr>
      <w:fldChar w:fldCharType="separate"/>
    </w:r>
    <w:r>
      <w:rPr>
        <w:rStyle w:val="9"/>
        <w:rFonts w:ascii="宋体" w:hAnsi="宋体"/>
        <w:sz w:val="24"/>
        <w:szCs w:val="24"/>
      </w:rPr>
      <w:t>2</w:t>
    </w:r>
    <w:r>
      <w:rPr>
        <w:rFonts w:ascii="宋体" w:hAnsi="宋体"/>
        <w:sz w:val="24"/>
        <w:szCs w:val="24"/>
      </w:rPr>
      <w:fldChar w:fldCharType="end"/>
    </w:r>
    <w:r>
      <w:rPr>
        <w:rStyle w:val="9"/>
        <w:rFonts w:hint="eastAsia" w:ascii="宋体" w:hAnsi="宋体"/>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hint="eastAsia" w:ascii="宋体" w:hAnsi="宋体"/>
        <w:sz w:val="24"/>
        <w:szCs w:val="24"/>
      </w:rPr>
    </w:pPr>
    <w:r>
      <w:rPr>
        <w:rStyle w:val="9"/>
        <w:rFonts w:hint="eastAsia" w:ascii="宋体" w:hAnsi="宋体"/>
        <w:sz w:val="24"/>
        <w:szCs w:val="24"/>
      </w:rPr>
      <w:t xml:space="preserve">— </w:t>
    </w:r>
    <w:r>
      <w:rPr>
        <w:rFonts w:ascii="宋体" w:hAnsi="宋体"/>
        <w:sz w:val="24"/>
        <w:szCs w:val="24"/>
      </w:rPr>
      <w:fldChar w:fldCharType="begin"/>
    </w:r>
    <w:r>
      <w:rPr>
        <w:rStyle w:val="9"/>
        <w:rFonts w:ascii="宋体" w:hAnsi="宋体"/>
        <w:sz w:val="24"/>
        <w:szCs w:val="24"/>
      </w:rPr>
      <w:instrText xml:space="preserve">PAGE  </w:instrText>
    </w:r>
    <w:r>
      <w:rPr>
        <w:rFonts w:ascii="宋体" w:hAnsi="宋体"/>
        <w:sz w:val="24"/>
        <w:szCs w:val="24"/>
      </w:rPr>
      <w:fldChar w:fldCharType="separate"/>
    </w:r>
    <w:r>
      <w:rPr>
        <w:rStyle w:val="9"/>
        <w:rFonts w:ascii="宋体" w:hAnsi="宋体"/>
        <w:sz w:val="24"/>
        <w:szCs w:val="24"/>
      </w:rPr>
      <w:t>2</w:t>
    </w:r>
    <w:r>
      <w:rPr>
        <w:rFonts w:ascii="宋体" w:hAnsi="宋体"/>
        <w:sz w:val="24"/>
        <w:szCs w:val="24"/>
      </w:rPr>
      <w:fldChar w:fldCharType="end"/>
    </w:r>
    <w:r>
      <w:rPr>
        <w:rStyle w:val="9"/>
        <w:rFonts w:hint="eastAsia" w:ascii="宋体" w:hAnsi="宋体"/>
        <w:sz w:val="24"/>
        <w:szCs w:val="24"/>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MmJiNjJiOGI0OWM4YmMzZmFhNWU2MzYwYzA3ZmUifQ=="/>
  </w:docVars>
  <w:rsids>
    <w:rsidRoot w:val="00172A27"/>
    <w:rsid w:val="024B5CFB"/>
    <w:rsid w:val="03FF434E"/>
    <w:rsid w:val="04DE5F9E"/>
    <w:rsid w:val="07D51527"/>
    <w:rsid w:val="0B52606E"/>
    <w:rsid w:val="10397914"/>
    <w:rsid w:val="114864BD"/>
    <w:rsid w:val="12DC799E"/>
    <w:rsid w:val="13C40016"/>
    <w:rsid w:val="194F0E93"/>
    <w:rsid w:val="1B85301A"/>
    <w:rsid w:val="1BCC76BA"/>
    <w:rsid w:val="1F806EF0"/>
    <w:rsid w:val="20DD111C"/>
    <w:rsid w:val="230243CE"/>
    <w:rsid w:val="24644E3D"/>
    <w:rsid w:val="32F977E4"/>
    <w:rsid w:val="348F3082"/>
    <w:rsid w:val="34DF342A"/>
    <w:rsid w:val="37B644E1"/>
    <w:rsid w:val="3E650C39"/>
    <w:rsid w:val="446A4761"/>
    <w:rsid w:val="472F0B45"/>
    <w:rsid w:val="4D3E7DE0"/>
    <w:rsid w:val="50113369"/>
    <w:rsid w:val="52003513"/>
    <w:rsid w:val="55DD4E57"/>
    <w:rsid w:val="56FA587C"/>
    <w:rsid w:val="59D47BA1"/>
    <w:rsid w:val="5A4906FC"/>
    <w:rsid w:val="5C302EB4"/>
    <w:rsid w:val="5D033852"/>
    <w:rsid w:val="5F91208F"/>
    <w:rsid w:val="6548715E"/>
    <w:rsid w:val="65814C4A"/>
    <w:rsid w:val="6AE9196C"/>
    <w:rsid w:val="6BEE2D21"/>
    <w:rsid w:val="6D4F3EAE"/>
    <w:rsid w:val="6D8F25BF"/>
    <w:rsid w:val="6E752427"/>
    <w:rsid w:val="6F4B495C"/>
    <w:rsid w:val="6F583BA1"/>
    <w:rsid w:val="71734420"/>
    <w:rsid w:val="73347A86"/>
    <w:rsid w:val="75631BC8"/>
    <w:rsid w:val="76C54433"/>
    <w:rsid w:val="7B214739"/>
    <w:rsid w:val="7C2604E2"/>
    <w:rsid w:val="7D936AE5"/>
    <w:rsid w:val="E9F79F81"/>
    <w:rsid w:val="F3BB41A0"/>
    <w:rsid w:val="F5FF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2"/>
    <w:basedOn w:val="2"/>
    <w:qFormat/>
    <w:uiPriority w:val="0"/>
    <w:pPr>
      <w:spacing w:before="100" w:beforeAutospacing="1" w:after="0"/>
      <w:ind w:left="0" w:firstLine="420" w:firstLineChars="200"/>
    </w:pPr>
    <w:rPr>
      <w:rFonts w:ascii="Calibri" w:hAnsi="Calibri"/>
    </w:rPr>
  </w:style>
  <w:style w:type="character" w:styleId="9">
    <w:name w:val="page number"/>
    <w:basedOn w:val="8"/>
    <w:qFormat/>
    <w:uiPriority w:val="0"/>
  </w:style>
  <w:style w:type="paragraph" w:customStyle="1" w:styleId="10">
    <w:name w:val="自评报告正文"/>
    <w:basedOn w:val="5"/>
    <w:qFormat/>
    <w:uiPriority w:val="0"/>
    <w:pPr>
      <w:spacing w:line="360" w:lineRule="auto"/>
      <w:ind w:firstLine="643" w:firstLineChars="200"/>
    </w:pPr>
    <w:rPr>
      <w:rFonts w:ascii="等线" w:hAnsi="等线" w:eastAsia="仿宋" w:cs="黑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502</Words>
  <Characters>545</Characters>
  <Lines>0</Lines>
  <Paragraphs>0</Paragraphs>
  <TotalTime>12</TotalTime>
  <ScaleCrop>false</ScaleCrop>
  <LinksUpToDate>false</LinksUpToDate>
  <CharactersWithSpaces>612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2023-02-02T16:20:00Z</dcterms:created>
  <dc:creator>Mendy</dc:creator>
  <cp:lastModifiedBy>inspur</cp:lastModifiedBy>
  <cp:lastPrinted>2025-08-22T16:38:00Z</cp:lastPrinted>
  <dcterms:modified xsi:type="dcterms:W3CDTF">2025-11-28T17:13:45Z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489CED177F89BC73C96729699D3FD86E_43</vt:lpwstr>
  </property>
  <property fmtid="{D5CDD505-2E9C-101B-9397-08002B2CF9AE}" pid="4" name="KSOTemplateDocerSaveRecord">
    <vt:lpwstr>eyJoZGlkIjoiNzcxZDcwZjIwNjg0OGI5ZDUyNzRmM2ZlZmFhNjczZWMiLCJ1c2VySWQiOiI2OTAyOTYzODQifQ==</vt:lpwstr>
  </property>
</Properties>
</file>