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84B4D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 w14:paraId="5955F756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 w14:paraId="6FA52188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 w14:paraId="528AEBF9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 w14:paraId="12786D53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 w14:paraId="3EAF3F24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 w14:paraId="45652B4B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 w14:paraId="4E64EC0F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常桃管农领发〔202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号</w:t>
      </w:r>
    </w:p>
    <w:p w14:paraId="49195720">
      <w:pPr>
        <w:pStyle w:val="5"/>
        <w:ind w:left="0" w:leftChars="0" w:firstLine="0" w:firstLineChars="0"/>
        <w:rPr>
          <w:rFonts w:hint="eastAsia"/>
          <w:color w:val="auto"/>
          <w:lang w:eastAsia="zh-CN"/>
        </w:rPr>
      </w:pPr>
    </w:p>
    <w:p w14:paraId="12415EF1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ind w:lef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w w:val="9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3"/>
          <w:w w:val="100"/>
          <w:sz w:val="44"/>
          <w:szCs w:val="44"/>
        </w:rPr>
        <w:t>常德市桃花源旅游管理区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3"/>
          <w:w w:val="100"/>
          <w:sz w:val="44"/>
          <w:szCs w:val="44"/>
          <w:lang w:eastAsia="zh-CN"/>
        </w:rPr>
        <w:t>农村工作领导小组</w:t>
      </w:r>
    </w:p>
    <w:p w14:paraId="1F89686C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ind w:lef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</w:rPr>
        <w:t>关于下达202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eastAsia="zh-CN"/>
        </w:rPr>
        <w:t>度中央第二批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 w:eastAsia="zh-CN"/>
        </w:rPr>
        <w:t>财政衔接推进</w:t>
      </w:r>
    </w:p>
    <w:p w14:paraId="7CC0A83D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ind w:lef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 w:eastAsia="zh-CN"/>
        </w:rPr>
        <w:t>乡村振兴补助资金计划的通知</w:t>
      </w:r>
    </w:p>
    <w:p w14:paraId="2917D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90" w:lineRule="exact"/>
        <w:ind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</w:p>
    <w:p w14:paraId="5C4C7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桃花源镇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eastAsia="zh-CN"/>
        </w:rPr>
        <w:t>人民政府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：</w:t>
      </w:r>
    </w:p>
    <w:p w14:paraId="093D89A1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9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根据湖南省农业农村厅《关于下达2025年度中央财政衔接推进乡村振兴补助资金（巩固拓展脱贫攻坚成果和乡村振兴任务）计划的通知》要求，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val="en-US" w:eastAsia="zh-CN"/>
        </w:rPr>
        <w:t>经研究，现将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eastAsia="zh-CN"/>
        </w:rPr>
        <w:t>度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中央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eastAsia="zh-CN"/>
        </w:rPr>
        <w:t>第二批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财政衔接推进乡村振兴补助资金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 w:bidi="ar"/>
        </w:rPr>
        <w:t>计划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"/>
        </w:rPr>
        <w:t>128万元下达给你们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val="en-US" w:eastAsia="zh-CN"/>
        </w:rPr>
        <w:t>请你们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接此通知后，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根据项目计划认真组织实施，严格遵守项目、资金管理规定，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eastAsia="zh-CN"/>
        </w:rPr>
        <w:t>强化事前事中事后监管，有序推行项目实施，确保项目质量达标；加快施工进度，确保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val="en-US" w:eastAsia="zh-CN"/>
        </w:rPr>
        <w:t>7月底、10月底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eastAsia="zh-CN"/>
        </w:rPr>
        <w:t>资金支出进度高于全国平均进度或者序时进度，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val="en-US" w:eastAsia="zh-CN"/>
        </w:rPr>
        <w:t>12月底前全部完成（除质量保证金外），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不得违规违纪操作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eastAsia="zh-CN"/>
        </w:rPr>
        <w:t>；项目选址必须符合国土空间规划，不得造成耕地“非农化”“非粮化”，否则收回项目资金，并追究相关责任人的责任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；对严重违规违纪和挪用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eastAsia="zh-CN"/>
        </w:rPr>
        <w:t>衔接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资金的行为，移交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eastAsia="zh-CN"/>
        </w:rPr>
        <w:t>区纪委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追究相关责任人的责任。</w:t>
      </w:r>
    </w:p>
    <w:p w14:paraId="66F2F5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right="0" w:firstLine="704" w:firstLineChars="200"/>
        <w:textAlignment w:val="baseline"/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16"/>
          <w:sz w:val="32"/>
          <w:szCs w:val="32"/>
          <w:lang w:eastAsia="zh-CN"/>
        </w:rPr>
        <w:t>联系电话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lang w:val="en-US" w:eastAsia="zh-CN"/>
        </w:rPr>
        <w:t>0736-7070173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lang w:eastAsia="zh-CN"/>
        </w:rPr>
        <w:t>区农业农村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</w:rPr>
        <w:t>局电话)</w:t>
      </w:r>
    </w:p>
    <w:p w14:paraId="1E75DD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right="0" w:firstLine="672" w:firstLineChars="200"/>
        <w:textAlignment w:val="baseline"/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lang w:eastAsia="zh-CN"/>
        </w:rPr>
      </w:pPr>
    </w:p>
    <w:p w14:paraId="025AC0FB">
      <w:pPr>
        <w:keepNext w:val="0"/>
        <w:keepLines w:val="0"/>
        <w:pageBreakBefore w:val="0"/>
        <w:wordWrap/>
        <w:overflowPunct/>
        <w:topLinePunct w:val="0"/>
        <w:bidi w:val="0"/>
        <w:spacing w:line="590" w:lineRule="exact"/>
        <w:ind w:firstLine="648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>桃花源旅游管理区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"/>
        </w:rPr>
        <w:t>2025年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中央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eastAsia="zh-CN"/>
        </w:rPr>
        <w:t>第二批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"/>
        </w:rPr>
        <w:t>财政衔接推进乡村振兴补助资金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 w:bidi="ar"/>
        </w:rPr>
        <w:t>计划表</w:t>
      </w:r>
    </w:p>
    <w:p w14:paraId="0EA71A6F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ind w:leftChars="0"/>
        <w:jc w:val="both"/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val="en-US" w:eastAsia="zh-CN"/>
        </w:rPr>
        <w:t xml:space="preserve">                     </w:t>
      </w:r>
    </w:p>
    <w:p w14:paraId="22621103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ind w:leftChars="0"/>
        <w:jc w:val="center"/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eastAsia="zh-CN"/>
        </w:rPr>
        <w:t>常德市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桃花源旅游管理区</w:t>
      </w:r>
    </w:p>
    <w:p w14:paraId="42D669EB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ind w:leftChars="0"/>
        <w:jc w:val="center"/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val="en-US" w:eastAsia="zh-CN"/>
        </w:rPr>
        <w:t xml:space="preserve">                           农村工作领导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小组</w:t>
      </w:r>
    </w:p>
    <w:p w14:paraId="1AE350E5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ind w:firstLine="5508" w:firstLineChars="1700"/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val="en-US" w:eastAsia="zh-CN"/>
        </w:rPr>
        <w:t>19日</w:t>
      </w:r>
    </w:p>
    <w:tbl>
      <w:tblPr>
        <w:tblStyle w:val="6"/>
        <w:tblW w:w="15685" w:type="dxa"/>
        <w:tblInd w:w="-76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0"/>
        <w:gridCol w:w="591"/>
        <w:gridCol w:w="1250"/>
        <w:gridCol w:w="1583"/>
        <w:gridCol w:w="2040"/>
        <w:gridCol w:w="2415"/>
        <w:gridCol w:w="945"/>
        <w:gridCol w:w="825"/>
        <w:gridCol w:w="1005"/>
        <w:gridCol w:w="1005"/>
        <w:gridCol w:w="1305"/>
        <w:gridCol w:w="1036"/>
        <w:gridCol w:w="30"/>
        <w:gridCol w:w="895"/>
      </w:tblGrid>
      <w:tr w14:paraId="00133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5685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8D5DE2">
            <w:pPr>
              <w:spacing w:line="680" w:lineRule="exact"/>
              <w:ind w:firstLine="720" w:firstLineChars="200"/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auto"/>
                <w:kern w:val="0"/>
                <w:sz w:val="36"/>
                <w:szCs w:val="36"/>
                <w:lang w:bidi="ar"/>
              </w:rPr>
              <w:t>桃花源旅游管理区202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auto"/>
                <w:kern w:val="0"/>
                <w:sz w:val="36"/>
                <w:szCs w:val="36"/>
                <w:lang w:val="en-US" w:eastAsia="zh-CN" w:bidi="ar"/>
              </w:rPr>
              <w:t>5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auto"/>
                <w:kern w:val="0"/>
                <w:sz w:val="36"/>
                <w:szCs w:val="36"/>
                <w:lang w:bidi="ar"/>
              </w:rPr>
              <w:t>年中央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auto"/>
                <w:kern w:val="0"/>
                <w:sz w:val="36"/>
                <w:szCs w:val="36"/>
                <w:lang w:eastAsia="zh-CN" w:bidi="ar"/>
              </w:rPr>
              <w:t>第二批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auto"/>
                <w:kern w:val="0"/>
                <w:sz w:val="36"/>
                <w:szCs w:val="36"/>
                <w:lang w:bidi="ar"/>
              </w:rPr>
              <w:t>财政衔接推进乡村振兴补助资金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auto"/>
                <w:kern w:val="0"/>
                <w:sz w:val="36"/>
                <w:szCs w:val="36"/>
                <w:lang w:eastAsia="zh-CN" w:bidi="ar"/>
              </w:rPr>
              <w:t>计划表（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auto"/>
                <w:kern w:val="0"/>
                <w:sz w:val="36"/>
                <w:szCs w:val="36"/>
                <w:lang w:val="en-US" w:eastAsia="zh-CN" w:bidi="ar"/>
              </w:rPr>
              <w:t>128万元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auto"/>
                <w:kern w:val="0"/>
                <w:sz w:val="36"/>
                <w:szCs w:val="36"/>
                <w:lang w:eastAsia="zh-CN" w:bidi="ar"/>
              </w:rPr>
              <w:t>）</w:t>
            </w:r>
          </w:p>
        </w:tc>
      </w:tr>
      <w:tr w14:paraId="4D2ED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895" w:type="dxa"/>
          <w:trHeight w:val="795" w:hRule="atLeast"/>
        </w:trPr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C2A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 号</w:t>
            </w:r>
          </w:p>
        </w:tc>
        <w:tc>
          <w:tcPr>
            <w:tcW w:w="1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CBD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乡镇名称</w:t>
            </w:r>
          </w:p>
        </w:tc>
        <w:tc>
          <w:tcPr>
            <w:tcW w:w="1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5F3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2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8AC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E8A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项目建设内容及规格</w:t>
            </w:r>
          </w:p>
        </w:tc>
        <w:tc>
          <w:tcPr>
            <w:tcW w:w="37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FF7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项目资金投入（万元）</w:t>
            </w:r>
          </w:p>
        </w:tc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01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项目区</w:t>
            </w:r>
          </w:p>
        </w:tc>
        <w:tc>
          <w:tcPr>
            <w:tcW w:w="10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D26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11E36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895" w:type="dxa"/>
          <w:trHeight w:val="849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6F8A7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AD534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0A533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3FA2C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DD683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5E9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合 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373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中央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F13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F4A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农民</w:t>
            </w:r>
          </w:p>
          <w:p w14:paraId="2FE53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自筹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765ED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66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97775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0EA8C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895" w:type="dxa"/>
          <w:trHeight w:val="707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832BC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C16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合 计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016C8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854BA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4FA8F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157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128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D60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128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9E63C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9B01F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8C1D4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5EA62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651F8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895" w:type="dxa"/>
          <w:trHeight w:val="1271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739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42F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647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产业发展项目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54B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白麟洲村乡村旅游产业路建设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9FD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12组至2组新建组道（含道路硬化、路基建设等）300米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FB6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8FE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4218C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7FED8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852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白麟洲村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37289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7D8AF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895" w:type="dxa"/>
          <w:trHeight w:val="1366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BF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C7F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0F7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产业发展项目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22F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黄土坡村擂茶产业园配套道路建设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505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黄土坡村一组200米道路新建及硬化，3.5米宽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04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9F8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9792D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DCC16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DA0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黄土坡村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CA2F6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0314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895" w:type="dxa"/>
          <w:trHeight w:val="1066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DCC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0A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776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076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武陵渔村广福殿一组扩宽路面硬化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FFB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广福殿一组扩宽路面硬化宽1.5米、长920米、厚0.2米。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43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507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A2339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02DCD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ED3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武陵渔村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41BCC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72EFE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895" w:type="dxa"/>
          <w:trHeight w:val="926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269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341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546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产业发展项目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98B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桃仙岭村福地桃采摘园提质改造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166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桃林480米单轨山地运输车安装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10C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FC9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90ED9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77A34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79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桃仙岭村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815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58CA0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895" w:type="dxa"/>
          <w:trHeight w:val="1075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D3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F8F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469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产业发展项目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659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渔父村葡萄大棚配套设施建设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A84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葡萄大棚基地及配套建设800平方米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3B5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5F4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311D5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99752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325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渔父村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6FAE9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364BA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895" w:type="dxa"/>
          <w:trHeight w:val="1412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A5F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77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E6D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A52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印家铺村五组桥梁重建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421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印家铺村五组桥梁重建长9米、宽5米、高5米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5C6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A01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DEA66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E2CDA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088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印家铺村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359D5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054DD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760" w:type="dxa"/>
          <w:wAfter w:w="925" w:type="dxa"/>
          <w:trHeight w:val="1412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953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2CC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2FC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产业发展项目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0B0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金盘村楠竹山家庭农场鱼塘整治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842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池塘护坡浆砌250米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22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E53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C87B2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E0C78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AC9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金盘村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0DA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39827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760" w:type="dxa"/>
          <w:wAfter w:w="925" w:type="dxa"/>
          <w:trHeight w:val="1412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D5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9EC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CE4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E00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村级公路硬化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CC8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金盘十二组陈化国家至芦花杏花界印家湾道路硬化长450米，宽4米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43F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6E9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7D900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B2DBC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DF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金盘村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1BA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27A0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760" w:type="dxa"/>
          <w:wAfter w:w="925" w:type="dxa"/>
          <w:trHeight w:val="1412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774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C62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50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产业发展项目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BFC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清江铺村果桃基地配套设施建设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0C3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清江铺村四组50亩果桃基地提质改造：桃树砍伐、清杂，补种桃树苗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ABF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C0E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8E442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F6023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60E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清江铺村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88373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745E1EC1">
      <w:pPr>
        <w:spacing w:line="680" w:lineRule="exact"/>
        <w:ind w:firstLine="3933" w:firstLineChars="1796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10"/>
          <w:w w:val="95"/>
          <w:sz w:val="21"/>
          <w:szCs w:val="21"/>
          <w:lang w:val="en-US" w:eastAsia="zh-CN"/>
        </w:rPr>
        <w:sectPr>
          <w:pgSz w:w="16838" w:h="11906" w:orient="landscape"/>
          <w:pgMar w:top="1304" w:right="1418" w:bottom="1531" w:left="1418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</w:p>
    <w:p w14:paraId="0F7AE23C">
      <w:pPr>
        <w:jc w:val="left"/>
        <w:rPr>
          <w:color w:val="auto"/>
        </w:rPr>
      </w:pPr>
    </w:p>
    <w:p w14:paraId="1B843951">
      <w:pPr>
        <w:jc w:val="left"/>
        <w:rPr>
          <w:color w:val="auto"/>
        </w:rPr>
      </w:pPr>
    </w:p>
    <w:p w14:paraId="36A2A839">
      <w:pPr>
        <w:jc w:val="left"/>
        <w:rPr>
          <w:color w:val="auto"/>
        </w:rPr>
      </w:pPr>
    </w:p>
    <w:p w14:paraId="11A9BA60">
      <w:pPr>
        <w:jc w:val="left"/>
        <w:rPr>
          <w:color w:val="auto"/>
        </w:rPr>
      </w:pPr>
    </w:p>
    <w:p w14:paraId="66F3027C">
      <w:pPr>
        <w:jc w:val="left"/>
        <w:rPr>
          <w:color w:val="auto"/>
        </w:rPr>
      </w:pPr>
    </w:p>
    <w:p w14:paraId="07CCF5A3">
      <w:pPr>
        <w:jc w:val="left"/>
        <w:rPr>
          <w:color w:val="auto"/>
        </w:rPr>
      </w:pPr>
    </w:p>
    <w:p w14:paraId="6265B304">
      <w:pPr>
        <w:jc w:val="left"/>
        <w:rPr>
          <w:color w:val="auto"/>
        </w:rPr>
      </w:pPr>
    </w:p>
    <w:p w14:paraId="69A3BA63">
      <w:pPr>
        <w:jc w:val="left"/>
        <w:rPr>
          <w:color w:val="auto"/>
        </w:rPr>
      </w:pPr>
    </w:p>
    <w:p w14:paraId="5DFD1918">
      <w:pPr>
        <w:jc w:val="left"/>
        <w:rPr>
          <w:color w:val="auto"/>
        </w:rPr>
      </w:pPr>
    </w:p>
    <w:p w14:paraId="0312F6D8">
      <w:pPr>
        <w:jc w:val="left"/>
        <w:rPr>
          <w:color w:val="auto"/>
        </w:rPr>
      </w:pPr>
    </w:p>
    <w:p w14:paraId="38A198A5">
      <w:pPr>
        <w:jc w:val="left"/>
        <w:rPr>
          <w:color w:val="auto"/>
        </w:rPr>
      </w:pPr>
    </w:p>
    <w:p w14:paraId="7327EB96">
      <w:pPr>
        <w:jc w:val="left"/>
        <w:rPr>
          <w:color w:val="auto"/>
        </w:rPr>
      </w:pPr>
    </w:p>
    <w:p w14:paraId="29F87A08">
      <w:pPr>
        <w:jc w:val="left"/>
        <w:rPr>
          <w:color w:val="auto"/>
        </w:rPr>
      </w:pPr>
    </w:p>
    <w:p w14:paraId="774AD785">
      <w:pPr>
        <w:jc w:val="left"/>
        <w:rPr>
          <w:color w:val="auto"/>
        </w:rPr>
      </w:pPr>
    </w:p>
    <w:p w14:paraId="25500105">
      <w:pPr>
        <w:jc w:val="left"/>
        <w:rPr>
          <w:color w:val="auto"/>
        </w:rPr>
      </w:pPr>
    </w:p>
    <w:p w14:paraId="15E4B864">
      <w:pPr>
        <w:jc w:val="left"/>
        <w:rPr>
          <w:color w:val="auto"/>
        </w:rPr>
      </w:pPr>
    </w:p>
    <w:p w14:paraId="211B7818">
      <w:pPr>
        <w:jc w:val="left"/>
        <w:rPr>
          <w:color w:val="auto"/>
        </w:rPr>
      </w:pPr>
    </w:p>
    <w:p w14:paraId="0EE88F25">
      <w:pPr>
        <w:jc w:val="left"/>
        <w:rPr>
          <w:color w:val="auto"/>
        </w:rPr>
      </w:pPr>
    </w:p>
    <w:p w14:paraId="322AE1EE">
      <w:pPr>
        <w:jc w:val="left"/>
        <w:rPr>
          <w:color w:val="auto"/>
        </w:rPr>
      </w:pPr>
    </w:p>
    <w:p w14:paraId="44C7299A">
      <w:pPr>
        <w:jc w:val="left"/>
        <w:rPr>
          <w:color w:val="auto"/>
        </w:rPr>
      </w:pPr>
    </w:p>
    <w:p w14:paraId="2FEE0E66">
      <w:pPr>
        <w:jc w:val="left"/>
        <w:rPr>
          <w:color w:val="auto"/>
        </w:rPr>
      </w:pPr>
    </w:p>
    <w:p w14:paraId="312F6787">
      <w:pPr>
        <w:jc w:val="left"/>
        <w:rPr>
          <w:color w:val="auto"/>
        </w:rPr>
      </w:pPr>
    </w:p>
    <w:p w14:paraId="3B316231">
      <w:pPr>
        <w:jc w:val="left"/>
        <w:rPr>
          <w:color w:val="auto"/>
        </w:rPr>
      </w:pPr>
    </w:p>
    <w:p w14:paraId="2965BB06">
      <w:pPr>
        <w:jc w:val="left"/>
        <w:rPr>
          <w:color w:val="auto"/>
        </w:rPr>
      </w:pPr>
    </w:p>
    <w:p w14:paraId="7CA2609F">
      <w:pPr>
        <w:jc w:val="left"/>
        <w:rPr>
          <w:color w:val="auto"/>
        </w:rPr>
      </w:pPr>
    </w:p>
    <w:p w14:paraId="13CB69E3">
      <w:pPr>
        <w:jc w:val="left"/>
        <w:rPr>
          <w:color w:val="auto"/>
        </w:rPr>
      </w:pPr>
    </w:p>
    <w:p w14:paraId="61907F70">
      <w:pPr>
        <w:jc w:val="left"/>
        <w:rPr>
          <w:color w:val="auto"/>
        </w:rPr>
      </w:pPr>
    </w:p>
    <w:p w14:paraId="18F8A02B">
      <w:pPr>
        <w:jc w:val="left"/>
        <w:rPr>
          <w:color w:val="auto"/>
        </w:rPr>
      </w:pPr>
    </w:p>
    <w:p w14:paraId="1DB78CB3">
      <w:pPr>
        <w:jc w:val="left"/>
        <w:rPr>
          <w:color w:val="auto"/>
        </w:rPr>
      </w:pPr>
    </w:p>
    <w:p w14:paraId="5B9E7C17">
      <w:pPr>
        <w:jc w:val="left"/>
        <w:rPr>
          <w:color w:val="auto"/>
        </w:rPr>
      </w:pPr>
    </w:p>
    <w:p w14:paraId="74D20B34">
      <w:pPr>
        <w:jc w:val="left"/>
        <w:rPr>
          <w:color w:val="auto"/>
        </w:rPr>
      </w:pPr>
    </w:p>
    <w:p w14:paraId="01D8E5A0">
      <w:pPr>
        <w:jc w:val="left"/>
        <w:rPr>
          <w:color w:val="auto"/>
        </w:rPr>
      </w:pPr>
    </w:p>
    <w:p w14:paraId="2A2C9089">
      <w:pPr>
        <w:jc w:val="left"/>
        <w:rPr>
          <w:color w:val="auto"/>
        </w:rPr>
      </w:pPr>
    </w:p>
    <w:p w14:paraId="717DC6A7">
      <w:pPr>
        <w:jc w:val="left"/>
        <w:rPr>
          <w:color w:val="auto"/>
        </w:rPr>
      </w:pPr>
    </w:p>
    <w:p w14:paraId="3E546B37">
      <w:pPr>
        <w:jc w:val="left"/>
        <w:rPr>
          <w:color w:val="auto"/>
        </w:rPr>
      </w:pPr>
    </w:p>
    <w:p w14:paraId="1A72E480">
      <w:pPr>
        <w:jc w:val="left"/>
        <w:rPr>
          <w:color w:val="auto"/>
        </w:rPr>
      </w:pPr>
    </w:p>
    <w:p w14:paraId="77B9101F">
      <w:pPr>
        <w:jc w:val="left"/>
        <w:rPr>
          <w:color w:val="auto"/>
        </w:rPr>
      </w:pPr>
    </w:p>
    <w:p w14:paraId="08ACD658">
      <w:pPr>
        <w:jc w:val="left"/>
        <w:rPr>
          <w:color w:val="auto"/>
        </w:rPr>
      </w:pPr>
    </w:p>
    <w:p w14:paraId="18FF2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66040</wp:posOffset>
                </wp:positionV>
                <wp:extent cx="5687695" cy="0"/>
                <wp:effectExtent l="0" t="0" r="0" b="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76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9pt;margin-top:5.2pt;height:0pt;width:447.85pt;z-index:251659264;mso-width-relative:page;mso-height-relative:page;" filled="f" stroked="t" coordsize="21600,21600" o:gfxdata="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n3SkVtcAAAAJAQAADwAAAAAAAAABACAAAAAiAAAAZHJzL2Rv&#10;d25yZXYueG1sUEsBAhQAFAAAAAgAh07iQMl8+lQCAgAA+gMAAA4AAAAAAAAAAQAgAAAAJgEAAGRy&#10;cy9lMm9Eb2MueG1sUEsFBgAAAAAGAAYAWQEAAJ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441960</wp:posOffset>
                </wp:positionV>
                <wp:extent cx="5687695" cy="0"/>
                <wp:effectExtent l="0" t="0" r="0" b="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76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9pt;margin-top:34.8pt;height:0pt;width:447.85pt;z-index:251660288;mso-width-relative:page;mso-height-relative:page;" filled="f" stroked="t" coordsize="21600,21600" o:gfxdata="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OTx1QjYAAAACQEAAA8AAAAAAAAAAQAgAAAAIgAAAGRycy9k&#10;b3ducmV2LnhtbFBLAQIUABQAAAAIAIdO4kCBzKH9AgIAAPoDAAAOAAAAAAAAAAEAIAAAACcBAABk&#10;cnMvZTJvRG9jLnhtbFBLBQYAAAAABgAGAFkBAACb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6"/>
          <w:szCs w:val="26"/>
        </w:rPr>
        <w:t>常德市桃花源旅游管理区</w:t>
      </w:r>
      <w:r>
        <w:rPr>
          <w:rFonts w:hint="eastAsia" w:ascii="仿宋" w:hAnsi="仿宋" w:eastAsia="仿宋" w:cs="仿宋"/>
          <w:color w:val="auto"/>
          <w:sz w:val="26"/>
          <w:szCs w:val="26"/>
          <w:lang w:eastAsia="zh-CN"/>
        </w:rPr>
        <w:t>农村工作领导小组</w:t>
      </w:r>
      <w:r>
        <w:rPr>
          <w:rFonts w:hint="eastAsia" w:ascii="仿宋" w:hAnsi="仿宋" w:eastAsia="仿宋" w:cs="仿宋"/>
          <w:color w:val="auto"/>
          <w:sz w:val="26"/>
          <w:szCs w:val="26"/>
        </w:rPr>
        <w:t xml:space="preserve">办公室   </w:t>
      </w:r>
      <w:r>
        <w:rPr>
          <w:rFonts w:hint="eastAsia" w:ascii="仿宋" w:hAnsi="仿宋" w:eastAsia="仿宋" w:cs="仿宋"/>
          <w:color w:val="auto"/>
          <w:sz w:val="26"/>
          <w:szCs w:val="26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6"/>
          <w:szCs w:val="26"/>
        </w:rPr>
        <w:t>202</w:t>
      </w:r>
      <w:r>
        <w:rPr>
          <w:rFonts w:hint="eastAsia" w:ascii="仿宋" w:hAnsi="仿宋" w:eastAsia="仿宋" w:cs="仿宋"/>
          <w:color w:val="auto"/>
          <w:sz w:val="26"/>
          <w:szCs w:val="26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6"/>
          <w:szCs w:val="26"/>
        </w:rPr>
        <w:t>年</w:t>
      </w:r>
      <w:r>
        <w:rPr>
          <w:rFonts w:hint="eastAsia" w:ascii="仿宋" w:hAnsi="仿宋" w:eastAsia="仿宋" w:cs="仿宋"/>
          <w:color w:val="auto"/>
          <w:sz w:val="26"/>
          <w:szCs w:val="26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6"/>
          <w:szCs w:val="26"/>
        </w:rPr>
        <w:t>月</w:t>
      </w:r>
      <w:r>
        <w:rPr>
          <w:rFonts w:hint="eastAsia" w:ascii="仿宋" w:hAnsi="仿宋" w:eastAsia="仿宋" w:cs="仿宋"/>
          <w:color w:val="auto"/>
          <w:sz w:val="26"/>
          <w:szCs w:val="26"/>
          <w:lang w:val="en-US" w:eastAsia="zh-CN"/>
        </w:rPr>
        <w:t>19</w:t>
      </w:r>
      <w:r>
        <w:rPr>
          <w:rFonts w:hint="eastAsia" w:ascii="仿宋" w:hAnsi="仿宋" w:eastAsia="仿宋" w:cs="仿宋"/>
          <w:color w:val="auto"/>
          <w:sz w:val="26"/>
          <w:szCs w:val="26"/>
        </w:rPr>
        <w:t>日印发</w:t>
      </w:r>
    </w:p>
    <w:p w14:paraId="6C6DD99D">
      <w:pPr>
        <w:jc w:val="left"/>
        <w:rPr>
          <w:color w:val="auto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modern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C6EFF">
    <w:pPr>
      <w:pStyle w:val="3"/>
      <w:framePr w:wrap="around" w:vAnchor="text" w:hAnchor="margin" w:xAlign="outside" w:y="1"/>
      <w:rPr>
        <w:rStyle w:val="8"/>
        <w:rFonts w:hint="eastAsia" w:ascii="宋体" w:hAnsi="宋体"/>
        <w:sz w:val="24"/>
        <w:szCs w:val="24"/>
      </w:rPr>
    </w:pPr>
    <w:r>
      <w:rPr>
        <w:rStyle w:val="8"/>
        <w:rFonts w:hint="eastAsia" w:ascii="宋体" w:hAnsi="宋体"/>
        <w:sz w:val="24"/>
        <w:szCs w:val="24"/>
      </w:rPr>
      <w:t xml:space="preserve">— </w:t>
    </w:r>
    <w:r>
      <w:rPr>
        <w:rFonts w:ascii="宋体" w:hAnsi="宋体"/>
        <w:sz w:val="24"/>
        <w:szCs w:val="24"/>
      </w:rPr>
      <w:fldChar w:fldCharType="begin"/>
    </w:r>
    <w:r>
      <w:rPr>
        <w:rStyle w:val="8"/>
        <w:rFonts w:ascii="宋体" w:hAnsi="宋体"/>
        <w:sz w:val="24"/>
        <w:szCs w:val="24"/>
      </w:rPr>
      <w:instrText xml:space="preserve">PAGE  </w:instrText>
    </w:r>
    <w:r>
      <w:rPr>
        <w:rFonts w:ascii="宋体" w:hAnsi="宋体"/>
        <w:sz w:val="24"/>
        <w:szCs w:val="24"/>
      </w:rPr>
      <w:fldChar w:fldCharType="separate"/>
    </w:r>
    <w:r>
      <w:rPr>
        <w:rStyle w:val="8"/>
        <w:rFonts w:ascii="宋体" w:hAnsi="宋体"/>
        <w:sz w:val="24"/>
        <w:szCs w:val="24"/>
      </w:rPr>
      <w:t>2</w:t>
    </w:r>
    <w:r>
      <w:rPr>
        <w:rFonts w:ascii="宋体" w:hAnsi="宋体"/>
        <w:sz w:val="24"/>
        <w:szCs w:val="24"/>
      </w:rPr>
      <w:fldChar w:fldCharType="end"/>
    </w:r>
    <w:r>
      <w:rPr>
        <w:rStyle w:val="8"/>
        <w:rFonts w:hint="eastAsia" w:ascii="宋体" w:hAnsi="宋体"/>
        <w:sz w:val="24"/>
        <w:szCs w:val="24"/>
      </w:rPr>
      <w:t xml:space="preserve"> —</w:t>
    </w:r>
  </w:p>
  <w:p w14:paraId="7E3699F2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0MmJiNjJiOGI0OWM4YmMzZmFhNWU2MzYwYzA3ZmUifQ=="/>
  </w:docVars>
  <w:rsids>
    <w:rsidRoot w:val="00172A27"/>
    <w:rsid w:val="01B74A36"/>
    <w:rsid w:val="028C4355"/>
    <w:rsid w:val="03EC30D8"/>
    <w:rsid w:val="0493138A"/>
    <w:rsid w:val="04DE5F9E"/>
    <w:rsid w:val="066333A7"/>
    <w:rsid w:val="06A53C01"/>
    <w:rsid w:val="07594CA7"/>
    <w:rsid w:val="07D51527"/>
    <w:rsid w:val="0D0F7F8B"/>
    <w:rsid w:val="0D456CD2"/>
    <w:rsid w:val="0EE56183"/>
    <w:rsid w:val="0F106367"/>
    <w:rsid w:val="114864BD"/>
    <w:rsid w:val="1276616F"/>
    <w:rsid w:val="132E5AEB"/>
    <w:rsid w:val="14523F27"/>
    <w:rsid w:val="14602C66"/>
    <w:rsid w:val="16345238"/>
    <w:rsid w:val="16DE4297"/>
    <w:rsid w:val="17132AD8"/>
    <w:rsid w:val="17AD0B20"/>
    <w:rsid w:val="18AE37F5"/>
    <w:rsid w:val="194F0E93"/>
    <w:rsid w:val="1A2F6C26"/>
    <w:rsid w:val="1D1316E8"/>
    <w:rsid w:val="1F81659B"/>
    <w:rsid w:val="20DD111C"/>
    <w:rsid w:val="230243CE"/>
    <w:rsid w:val="26BE72FA"/>
    <w:rsid w:val="27E03C39"/>
    <w:rsid w:val="27E47234"/>
    <w:rsid w:val="28BD0F49"/>
    <w:rsid w:val="29161C3B"/>
    <w:rsid w:val="29267B7A"/>
    <w:rsid w:val="2BA37D69"/>
    <w:rsid w:val="2BD0665E"/>
    <w:rsid w:val="2DA57465"/>
    <w:rsid w:val="2DEB68B1"/>
    <w:rsid w:val="312D39F9"/>
    <w:rsid w:val="32F977E4"/>
    <w:rsid w:val="348F3082"/>
    <w:rsid w:val="37465815"/>
    <w:rsid w:val="37B644E1"/>
    <w:rsid w:val="3AE538BE"/>
    <w:rsid w:val="3B6C3370"/>
    <w:rsid w:val="3BB70A8F"/>
    <w:rsid w:val="3C5A2995"/>
    <w:rsid w:val="3CDE4136"/>
    <w:rsid w:val="3E650C39"/>
    <w:rsid w:val="3FE45BCB"/>
    <w:rsid w:val="40241AFA"/>
    <w:rsid w:val="405F34A4"/>
    <w:rsid w:val="446A4761"/>
    <w:rsid w:val="463843C4"/>
    <w:rsid w:val="46561E66"/>
    <w:rsid w:val="472F0B45"/>
    <w:rsid w:val="477C6486"/>
    <w:rsid w:val="49937097"/>
    <w:rsid w:val="49DC5F93"/>
    <w:rsid w:val="4D3E7DE0"/>
    <w:rsid w:val="4E2A4843"/>
    <w:rsid w:val="4E7445BE"/>
    <w:rsid w:val="4F602D94"/>
    <w:rsid w:val="4FAA0445"/>
    <w:rsid w:val="51F221DF"/>
    <w:rsid w:val="52003513"/>
    <w:rsid w:val="540D3A48"/>
    <w:rsid w:val="56FA587C"/>
    <w:rsid w:val="5B490B80"/>
    <w:rsid w:val="5D015BB7"/>
    <w:rsid w:val="5D033852"/>
    <w:rsid w:val="5D9C768D"/>
    <w:rsid w:val="5DD26226"/>
    <w:rsid w:val="5E5F63FE"/>
    <w:rsid w:val="5E7D4DCA"/>
    <w:rsid w:val="5EE50BC0"/>
    <w:rsid w:val="5F29477B"/>
    <w:rsid w:val="5FF721F9"/>
    <w:rsid w:val="6068191E"/>
    <w:rsid w:val="629D1EDE"/>
    <w:rsid w:val="63570B64"/>
    <w:rsid w:val="637968EE"/>
    <w:rsid w:val="65432DEE"/>
    <w:rsid w:val="689A5083"/>
    <w:rsid w:val="6AE9196C"/>
    <w:rsid w:val="6C8E6D3B"/>
    <w:rsid w:val="6D143482"/>
    <w:rsid w:val="6D4F3EAE"/>
    <w:rsid w:val="6DB54376"/>
    <w:rsid w:val="6E0830F2"/>
    <w:rsid w:val="6FF8352F"/>
    <w:rsid w:val="70817CB8"/>
    <w:rsid w:val="71852DB9"/>
    <w:rsid w:val="73B5508A"/>
    <w:rsid w:val="73BB4218"/>
    <w:rsid w:val="743A08DC"/>
    <w:rsid w:val="75631BC8"/>
    <w:rsid w:val="76C54433"/>
    <w:rsid w:val="786B1CDE"/>
    <w:rsid w:val="7B214739"/>
    <w:rsid w:val="7B9D6653"/>
    <w:rsid w:val="7C2604E2"/>
    <w:rsid w:val="7DC10D1E"/>
    <w:rsid w:val="7DD32E75"/>
    <w:rsid w:val="7FE1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First Indent 2"/>
    <w:basedOn w:val="2"/>
    <w:qFormat/>
    <w:uiPriority w:val="0"/>
    <w:pPr>
      <w:spacing w:before="100" w:beforeAutospacing="1" w:after="0"/>
      <w:ind w:left="0" w:firstLine="420" w:firstLineChars="200"/>
    </w:pPr>
    <w:rPr>
      <w:rFonts w:ascii="Calibri" w:hAnsi="Calibri"/>
    </w:rPr>
  </w:style>
  <w:style w:type="character" w:styleId="8">
    <w:name w:val="page number"/>
    <w:basedOn w:val="7"/>
    <w:qFormat/>
    <w:uiPriority w:val="0"/>
  </w:style>
  <w:style w:type="paragraph" w:customStyle="1" w:styleId="9">
    <w:name w:val="自评报告正文"/>
    <w:basedOn w:val="4"/>
    <w:qFormat/>
    <w:uiPriority w:val="0"/>
    <w:pPr>
      <w:spacing w:line="360" w:lineRule="auto"/>
      <w:ind w:firstLine="643" w:firstLineChars="200"/>
    </w:pPr>
    <w:rPr>
      <w:rFonts w:ascii="等线" w:hAnsi="等线" w:eastAsia="仿宋" w:cs="黑体"/>
      <w:sz w:val="28"/>
    </w:rPr>
  </w:style>
  <w:style w:type="character" w:customStyle="1" w:styleId="10">
    <w:name w:val="font3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81"/>
    <w:basedOn w:val="7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2">
    <w:name w:val="font61"/>
    <w:basedOn w:val="7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1025</Words>
  <Characters>1113</Characters>
  <Lines>0</Lines>
  <Paragraphs>0</Paragraphs>
  <TotalTime>19</TotalTime>
  <ScaleCrop>false</ScaleCrop>
  <LinksUpToDate>false</LinksUpToDate>
  <CharactersWithSpaces>1196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2023-02-02T00:20:00Z</dcterms:created>
  <dc:creator>Mendy</dc:creator>
  <cp:lastModifiedBy>许登华</cp:lastModifiedBy>
  <cp:lastPrinted>2025-08-01T03:46:41Z</cp:lastPrinted>
  <dcterms:modified xsi:type="dcterms:W3CDTF">2025-08-01T03:56:41Z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4212B42E3E264F8B900BE9CD8873AD86_13</vt:lpwstr>
  </property>
  <property fmtid="{D5CDD505-2E9C-101B-9397-08002B2CF9AE}" pid="4" name="KSOTemplateDocerSaveRecord">
    <vt:lpwstr>eyJoZGlkIjoiYTE0MmJiNjJiOGI0OWM4YmMzZmFhNWU2MzYwYzA3ZmUiLCJ1c2VySWQiOiI0NDA3NjIxNTYifQ==</vt:lpwstr>
  </property>
</Properties>
</file>