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A648F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color w:val="000000"/>
          <w:kern w:val="0"/>
          <w:sz w:val="52"/>
          <w:szCs w:val="52"/>
          <w:lang w:val="en-US" w:eastAsia="zh-CN" w:bidi="ar"/>
        </w:rPr>
      </w:pPr>
    </w:p>
    <w:p w14:paraId="687DDE54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黑体" w:cs="Times New Roman"/>
          <w:color w:val="000000"/>
          <w:kern w:val="0"/>
          <w:sz w:val="52"/>
          <w:szCs w:val="52"/>
          <w:lang w:val="en-US" w:eastAsia="zh-CN" w:bidi="ar"/>
        </w:rPr>
      </w:pPr>
    </w:p>
    <w:p w14:paraId="6670CEB9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黑体" w:cs="Times New Roman"/>
          <w:color w:val="000000"/>
          <w:kern w:val="0"/>
          <w:sz w:val="52"/>
          <w:szCs w:val="52"/>
          <w:lang w:val="en-US" w:eastAsia="zh-CN" w:bidi="ar"/>
        </w:rPr>
      </w:pPr>
    </w:p>
    <w:p w14:paraId="3807DF6C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w w:val="9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90"/>
          <w:kern w:val="0"/>
          <w:sz w:val="52"/>
          <w:szCs w:val="52"/>
          <w:lang w:val="en-US" w:eastAsia="zh-CN" w:bidi="ar"/>
        </w:rPr>
        <w:t>2025年度桃源县陬市镇人民政府整体支出</w:t>
      </w:r>
    </w:p>
    <w:p w14:paraId="61D1196E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52"/>
          <w:szCs w:val="52"/>
          <w:lang w:val="en-US" w:eastAsia="zh-CN" w:bidi="ar"/>
        </w:rPr>
        <w:t>绩效自评报告</w:t>
      </w:r>
    </w:p>
    <w:p w14:paraId="67AE91D1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1"/>
          <w:szCs w:val="31"/>
          <w:lang w:val="en-US" w:eastAsia="zh-CN" w:bidi="ar"/>
        </w:rPr>
      </w:pPr>
    </w:p>
    <w:p w14:paraId="6296E692">
      <w:pPr>
        <w:keepNext w:val="0"/>
        <w:keepLines w:val="0"/>
        <w:widowControl/>
        <w:suppressLineNumbers w:val="0"/>
        <w:jc w:val="center"/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659996E6">
      <w:pPr>
        <w:keepNext w:val="0"/>
        <w:keepLines w:val="0"/>
        <w:widowControl/>
        <w:suppressLineNumbers w:val="0"/>
        <w:jc w:val="center"/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7C1E18E6">
      <w:pPr>
        <w:keepNext w:val="0"/>
        <w:keepLines w:val="0"/>
        <w:widowControl/>
        <w:suppressLineNumbers w:val="0"/>
        <w:jc w:val="center"/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1F66E636">
      <w:pPr>
        <w:keepNext w:val="0"/>
        <w:keepLines w:val="0"/>
        <w:widowControl/>
        <w:suppressLineNumbers w:val="0"/>
        <w:jc w:val="center"/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7D965539">
      <w:pPr>
        <w:keepNext w:val="0"/>
        <w:keepLines w:val="0"/>
        <w:widowControl/>
        <w:suppressLineNumbers w:val="0"/>
        <w:jc w:val="center"/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313EBA96">
      <w:pPr>
        <w:keepNext w:val="0"/>
        <w:keepLines w:val="0"/>
        <w:widowControl/>
        <w:suppressLineNumbers w:val="0"/>
        <w:jc w:val="center"/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5A6F8A81">
      <w:pPr>
        <w:keepNext w:val="0"/>
        <w:keepLines w:val="0"/>
        <w:widowControl/>
        <w:suppressLineNumbers w:val="0"/>
        <w:jc w:val="center"/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1ADB2491">
      <w:pPr>
        <w:keepNext w:val="0"/>
        <w:keepLines w:val="0"/>
        <w:widowControl/>
        <w:suppressLineNumbers w:val="0"/>
        <w:jc w:val="center"/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4E6DB9F0">
      <w:pPr>
        <w:keepNext w:val="0"/>
        <w:keepLines w:val="0"/>
        <w:widowControl/>
        <w:suppressLineNumbers w:val="0"/>
        <w:jc w:val="center"/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572DEF09">
      <w:pPr>
        <w:keepNext w:val="0"/>
        <w:keepLines w:val="0"/>
        <w:widowControl/>
        <w:suppressLineNumbers w:val="0"/>
        <w:jc w:val="center"/>
        <w:rPr>
          <w:rFonts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</w:pPr>
    </w:p>
    <w:p w14:paraId="485F00F2">
      <w:pPr>
        <w:keepNext w:val="0"/>
        <w:keepLines w:val="0"/>
        <w:widowControl/>
        <w:suppressLineNumbers w:val="0"/>
        <w:jc w:val="center"/>
        <w:rPr>
          <w:rFonts w:hint="eastAsia" w:eastAsia="仿宋"/>
          <w:b/>
          <w:bCs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  <w:t>桃源县陬市镇人民政府</w:t>
      </w:r>
    </w:p>
    <w:p w14:paraId="79681497">
      <w:pPr>
        <w:keepNext w:val="0"/>
        <w:keepLines w:val="0"/>
        <w:widowControl/>
        <w:suppressLineNumbers w:val="0"/>
        <w:jc w:val="center"/>
        <w:rPr>
          <w:b/>
          <w:bCs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  <w:t>2026年6月15日</w:t>
      </w:r>
    </w:p>
    <w:p w14:paraId="398559DC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38234C85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450CD1D1">
      <w:pPr>
        <w:spacing w:line="560" w:lineRule="exact"/>
        <w:jc w:val="center"/>
        <w:rPr>
          <w:rFonts w:hint="eastAsia" w:ascii="黑体" w:hAnsi="黑体" w:eastAsia="黑体" w:cs="黑体"/>
          <w:kern w:val="0"/>
          <w:sz w:val="44"/>
          <w:szCs w:val="44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1701" w:right="1418" w:bottom="1417" w:left="1531" w:header="851" w:footer="992" w:gutter="0"/>
          <w:pgNumType w:start="25"/>
          <w:cols w:space="720" w:num="1"/>
          <w:docGrid w:type="lines" w:linePitch="312" w:charSpace="0"/>
        </w:sectPr>
      </w:pPr>
    </w:p>
    <w:p w14:paraId="64DB7CA5">
      <w:pPr>
        <w:spacing w:line="560" w:lineRule="exact"/>
        <w:jc w:val="center"/>
        <w:rPr>
          <w:rFonts w:hint="default" w:ascii="Times New Roman" w:hAnsi="Times New Roman" w:eastAsia="黑体" w:cs="Times New Roman"/>
          <w:kern w:val="0"/>
          <w:sz w:val="44"/>
          <w:szCs w:val="44"/>
          <w:lang w:val="en-US" w:eastAsia="zh-CN"/>
        </w:rPr>
      </w:pPr>
    </w:p>
    <w:p w14:paraId="13BB404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桃源县陬市镇人民政府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整体支出</w:t>
      </w:r>
    </w:p>
    <w:p w14:paraId="1CDA98D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绩效自评报告</w:t>
      </w:r>
    </w:p>
    <w:p w14:paraId="4272CB0C">
      <w:pPr>
        <w:widowControl/>
        <w:spacing w:line="500" w:lineRule="exact"/>
        <w:ind w:firstLine="641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6BCC2B99">
      <w:pPr>
        <w:widowControl/>
        <w:numPr>
          <w:ilvl w:val="0"/>
          <w:numId w:val="0"/>
        </w:numPr>
        <w:spacing w:line="64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 xml:space="preserve">部门（单位）基本情况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72B32562">
      <w:pPr>
        <w:widowControl/>
        <w:spacing w:line="640" w:lineRule="exact"/>
        <w:ind w:firstLine="640" w:firstLineChars="200"/>
        <w:rPr>
          <w:rFonts w:hint="default" w:ascii="Times New Roman" w:hAnsi="Times New Roman" w:eastAsia="楷体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</w:rPr>
        <w:t>（一）机构、人员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eastAsia="zh-CN"/>
        </w:rPr>
        <w:t>情况</w:t>
      </w:r>
    </w:p>
    <w:p w14:paraId="70456D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陬市镇人民政府内设机构6个，包括：陬市镇政府机关、农业综合服务中心、社会事务综合服务中心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、生态事务中心、文化综合服务中心、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退役军人事务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管理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站、综合行政执法大队。镇机关核定编制15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个，其中行政编制55个，全额事业编制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101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个。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实有机关在职人员49人，站所在职人员96人，机关及站所退休人员105人。</w:t>
      </w:r>
    </w:p>
    <w:p w14:paraId="3CFFFA7D">
      <w:pPr>
        <w:widowControl/>
        <w:spacing w:line="640" w:lineRule="exact"/>
        <w:ind w:firstLine="640" w:firstLineChars="200"/>
        <w:rPr>
          <w:rFonts w:hint="default" w:ascii="Times New Roman" w:hAnsi="Times New Roman" w:eastAsia="楷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</w:rPr>
        <w:t>单位主要职责</w:t>
      </w:r>
    </w:p>
    <w:p w14:paraId="5BA8ED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rPr>
          <w:rFonts w:hint="default" w:ascii="Times New Roman" w:hAnsi="Times New Roman" w:eastAsia="仿宋_GB2312" w:cs="Times New Roman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贯彻执行党的路线、方针、政策和国家法律法规，贯彻执行上级行政机关的决议、命令及同级党委的决定，执行镇人民代表大会的决议。1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对镇人民代表大会及其主席团和上级行政机关报告工作。2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编制本镇国民经济和社会发展中、长期规划和年度计划，并组织实施；编制并执行财政预算。3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管理本行政区域经济和社会事业的行政工作。4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负责辖区内行政执法工作，维护社会秩序，保护公民人身、民主、财产等合法权利，保护经济组织的合法权益。5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指导、支持和帮助村民委员会工作。6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承办县委、县政府交办的其他事项。</w:t>
      </w:r>
    </w:p>
    <w:p w14:paraId="3A4794B0">
      <w:pPr>
        <w:widowControl/>
        <w:numPr>
          <w:ilvl w:val="0"/>
          <w:numId w:val="0"/>
        </w:numPr>
        <w:spacing w:line="64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eastAsia="zh-CN"/>
        </w:rPr>
        <w:t>）部门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>财务情况</w:t>
      </w:r>
    </w:p>
    <w:p w14:paraId="5C37DF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1.本单位2025年部门整体收入5730.83万元。其中：一般公共预算拨款4971.81万元；政府性基金拨款669.03万元；其他资金90万元。</w:t>
      </w:r>
    </w:p>
    <w:p w14:paraId="2792F7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2.本单位2025年部门整体支出5730.83万元，其中：基本支出2527.45万元，其中工资福利支出1764.62万元，商品服务支出468.66万元，对个人和家庭的补助294.17万元；项目支出3203.38万元，其中基础建设类项目142.3万元。</w:t>
      </w:r>
    </w:p>
    <w:p w14:paraId="63A1713F">
      <w:pPr>
        <w:widowControl/>
        <w:spacing w:line="640" w:lineRule="exact"/>
        <w:ind w:firstLine="640" w:firstLineChars="200"/>
        <w:rPr>
          <w:rFonts w:hint="default" w:ascii="Times New Roman" w:hAnsi="Times New Roman" w:eastAsia="楷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>部门绩效目标</w:t>
      </w:r>
    </w:p>
    <w:p w14:paraId="27E2C1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1.深入贯彻落实上级部门的各项方针政策，确保各项工作目标任务圆满完成。</w:t>
      </w:r>
    </w:p>
    <w:p w14:paraId="4F1F4A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2.做好日常管控工作，妥善处理突发性、群体性事件，杜绝食品安全事故、生产安全事故和交通安全事故的发生，调节和处理好各种利益矛盾和纠纷。</w:t>
      </w:r>
    </w:p>
    <w:p w14:paraId="5421E1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3.财务方面严格按照“三公”经费预算管理的规定实施，严格落实中央八项规定，机关站所日常接待差旅等费用在去年实际支出的基础上做到不增长，并努力做到缩小相关支出。</w:t>
      </w:r>
    </w:p>
    <w:p w14:paraId="27068B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4.贯彻落实社会治安综合治理、安全生产，乡村振兴推进工作，人民生活水平不断提高，社会公众满意程度普遍提升。</w:t>
      </w:r>
      <w:r>
        <w:rPr>
          <w:rFonts w:hint="default" w:ascii="Times New Roman" w:hAnsi="Times New Roman" w:eastAsia="仿宋_GB2312" w:cs="Times New Roman"/>
          <w:color w:val="0000FF"/>
          <w:kern w:val="0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 xml:space="preserve">                                                      </w:t>
      </w:r>
    </w:p>
    <w:p w14:paraId="6B6A0755">
      <w:pPr>
        <w:widowControl/>
        <w:numPr>
          <w:ilvl w:val="0"/>
          <w:numId w:val="0"/>
        </w:numPr>
        <w:spacing w:line="640" w:lineRule="exact"/>
        <w:ind w:leftChars="200" w:firstLine="320" w:firstLineChars="1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 xml:space="preserve">一般公共预算支出情况 </w:t>
      </w:r>
    </w:p>
    <w:p w14:paraId="6A6CDE2E">
      <w:pPr>
        <w:widowControl/>
        <w:spacing w:line="640" w:lineRule="exact"/>
        <w:ind w:firstLine="640" w:firstLineChars="200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kern w:val="0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 xml:space="preserve">基本支出情况 </w:t>
      </w:r>
    </w:p>
    <w:p w14:paraId="0655156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基本支出2437.45万元，其中工资福利支出1764.62万元，商品服务支出378.66万元，对个人和家庭的补助294.17万元。</w:t>
      </w:r>
    </w:p>
    <w:p w14:paraId="7CDAE701">
      <w:pPr>
        <w:widowControl/>
        <w:spacing w:line="640" w:lineRule="exact"/>
        <w:ind w:firstLine="640" w:firstLineChars="200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kern w:val="0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 xml:space="preserve">项目支出情况 </w:t>
      </w:r>
    </w:p>
    <w:p w14:paraId="77C326F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项目支出2534.35万元，其中基础建设类项目142.3万元。</w:t>
      </w:r>
    </w:p>
    <w:p w14:paraId="1EA16B8E">
      <w:pPr>
        <w:widowControl/>
        <w:numPr>
          <w:ilvl w:val="0"/>
          <w:numId w:val="0"/>
        </w:numPr>
        <w:spacing w:line="64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 xml:space="preserve">政府性基金预算支出情况 </w:t>
      </w:r>
    </w:p>
    <w:p w14:paraId="4311EE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政府性基金预算支出669.03万元，其中项目支出669.03万元。</w:t>
      </w:r>
    </w:p>
    <w:p w14:paraId="75382C40">
      <w:pPr>
        <w:widowControl/>
        <w:numPr>
          <w:ilvl w:val="0"/>
          <w:numId w:val="0"/>
        </w:numPr>
        <w:spacing w:line="64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四、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 xml:space="preserve">国有资本经营预算支出情况 </w:t>
      </w:r>
    </w:p>
    <w:p w14:paraId="519D47D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国有资本经营预算支出0万元。</w:t>
      </w:r>
    </w:p>
    <w:p w14:paraId="609B73F7">
      <w:pPr>
        <w:widowControl/>
        <w:numPr>
          <w:ilvl w:val="0"/>
          <w:numId w:val="0"/>
        </w:numPr>
        <w:spacing w:line="64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五、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 xml:space="preserve">社会保险基金预算支出情况 </w:t>
      </w:r>
    </w:p>
    <w:p w14:paraId="09443C1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无。</w:t>
      </w:r>
    </w:p>
    <w:p w14:paraId="74216197">
      <w:pPr>
        <w:widowControl/>
        <w:numPr>
          <w:ilvl w:val="0"/>
          <w:numId w:val="0"/>
        </w:numPr>
        <w:spacing w:line="64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六、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 xml:space="preserve">部门整体支出绩效情况 </w:t>
      </w:r>
    </w:p>
    <w:p w14:paraId="4DE7AA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2025年是稳增长、防风险任务极其繁重的一年。面对重压，我镇迎难而上，以“强基固本”和“科学理财”为主线，圆满完成了年度绩效目标。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</w:rPr>
        <w:t>一是底线守得更牢，风险化解成效显著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0"/>
          <w:szCs w:val="30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全年化解债务额度位居全县乡镇首位，牢牢守住了不发生系统性风险的底线。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</w:rPr>
        <w:t>二是管理效能跃升，品牌影响持续扩大。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 陬市镇代表县接受省财政厅“强基固本”专项检查，获评满分评价；同年，我镇入选财政部《中国财政》杂志“第二届全国最美财政所”，并获第21期专题推介，实现了“以管理树品牌、以品牌促管理”的良性循环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0"/>
          <w:szCs w:val="30"/>
        </w:rPr>
        <w:t>三是资源盘活破题，发展动能加速集聚。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 创新探索“统筹清查+盘活运营”模式，实现乡镇资源增收100余万元；营商环境持续优化，招商引资工作位居全县前列。通过加强预算收支管理，建立健全内部管理制度，我镇整体支出管理水平显著提升，各项绩效指标均达预期，为全县稳增长大局贡献了镇域力量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其中，</w:t>
      </w:r>
    </w:p>
    <w:p w14:paraId="7ABDA070">
      <w:pPr>
        <w:widowControl/>
        <w:spacing w:line="640" w:lineRule="exact"/>
        <w:ind w:firstLine="640" w:firstLineChars="200"/>
        <w:rPr>
          <w:rFonts w:hint="default" w:ascii="Times New Roman" w:hAnsi="Times New Roman" w:eastAsia="楷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</w:rPr>
        <w:t>（</w:t>
      </w:r>
      <w:r>
        <w:rPr>
          <w:rFonts w:hint="eastAsia" w:ascii="Times New Roman" w:hAnsi="Times New Roman" w:eastAsia="楷体" w:cs="Times New Roman"/>
          <w:kern w:val="0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</w:rPr>
        <w:t>）产出指标</w:t>
      </w:r>
    </w:p>
    <w:p w14:paraId="0034F0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数量指标。争取市级以上部门项目资金金额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200万元;人员经费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保障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145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名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干部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职工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待遇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及时足额发放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；村级运转经费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维持20个村居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正常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运转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开展党员活动、党员教育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等党建活动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次数1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次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开展人居环境、食品安全、秸秆禁烧、防溺水等宣传活动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次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开展秸秆禁烧、安全生产、交通安全、文明创建等巡查活动1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次。</w:t>
      </w:r>
    </w:p>
    <w:p w14:paraId="5B540614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质量指标。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机关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正常运转，乡村振兴、党建、秸秆禁烧、文明创建、群众信访等工作质量达标、考核达标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，机关事务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正常运转率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达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100%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安全隐患排查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到位，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处置率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达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100%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；未发生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重大集访、越级上访事件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发生率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达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0%；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城乡低保、特困家庭保障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全覆盖，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覆盖率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达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100%。</w:t>
      </w:r>
    </w:p>
    <w:p w14:paraId="02AA0D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时效指标。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各项工作基本及时完成，工作完成及时率达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%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；各项补贴正常发放，补贴发放及时率达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100%。</w:t>
      </w:r>
    </w:p>
    <w:p w14:paraId="030CCE8F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成本指标。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政府各项支出的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成本发生规范合理率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达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100%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基本支出控制额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为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957.34万元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，实际支出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2527.49万元，超过控制额的主要原因是人事变动和薪资变动，导致人员经费预算调整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项目支出控制额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6044.73万元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，实际支出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3203.38万元；通过减少项目建设中产生噪音污染、交通拥堵等，辖区居民生活质量得到保障，社会成本未增加；通过减少项目建设中产生废水、废气、废渣等，辖区生态环境污染减少，生态环境成本未增加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。</w:t>
      </w:r>
    </w:p>
    <w:p w14:paraId="227E9FAC">
      <w:pPr>
        <w:widowControl/>
        <w:spacing w:line="640" w:lineRule="exact"/>
        <w:ind w:firstLine="640" w:firstLineChars="200"/>
        <w:rPr>
          <w:rFonts w:hint="default" w:ascii="Times New Roman" w:hAnsi="Times New Roman" w:eastAsia="楷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</w:rPr>
        <w:t>（</w:t>
      </w:r>
      <w:r>
        <w:rPr>
          <w:rFonts w:hint="eastAsia" w:ascii="Times New Roman" w:hAnsi="Times New Roman" w:eastAsia="楷体" w:cs="Times New Roman"/>
          <w:kern w:val="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</w:rPr>
        <w:t>）效益指标</w:t>
      </w:r>
    </w:p>
    <w:p w14:paraId="3E2297FC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经济效益指标。辖区人均收入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得到提升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。</w:t>
      </w:r>
    </w:p>
    <w:p w14:paraId="11CBF748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社会效益指标。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辖区社会稳定得到保障；辖区饮水道路安全得到保障。</w:t>
      </w:r>
    </w:p>
    <w:p w14:paraId="353383ED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生态效益指标。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辖区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生态环境和资源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得到保障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。</w:t>
      </w:r>
    </w:p>
    <w:p w14:paraId="56E6E793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可持续影响指标。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辖区社会文明程度得到提升。</w:t>
      </w:r>
    </w:p>
    <w:p w14:paraId="3C449E28">
      <w:pPr>
        <w:widowControl/>
        <w:spacing w:line="640" w:lineRule="exact"/>
        <w:ind w:firstLine="640" w:firstLineChars="200"/>
        <w:rPr>
          <w:rFonts w:hint="default" w:ascii="Times New Roman" w:hAnsi="Times New Roman" w:eastAsia="楷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</w:rPr>
        <w:t>（</w:t>
      </w:r>
      <w:r>
        <w:rPr>
          <w:rFonts w:hint="eastAsia" w:ascii="Times New Roman" w:hAnsi="Times New Roman" w:eastAsia="楷体" w:cs="Times New Roman"/>
          <w:kern w:val="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</w:rPr>
        <w:t>）满意度指标</w:t>
      </w:r>
    </w:p>
    <w:p w14:paraId="48DCAC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社会公众满意度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达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95%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。</w:t>
      </w:r>
    </w:p>
    <w:p w14:paraId="7027FAAB">
      <w:pPr>
        <w:widowControl/>
        <w:numPr>
          <w:ilvl w:val="0"/>
          <w:numId w:val="0"/>
        </w:numPr>
        <w:spacing w:line="640" w:lineRule="exact"/>
        <w:ind w:leftChars="200" w:firstLine="320" w:firstLineChars="1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七、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 xml:space="preserve">存在的问题及原因分析 </w:t>
      </w:r>
    </w:p>
    <w:p w14:paraId="6AF67044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rPr>
          <w:rFonts w:hint="eastAsia" w:ascii="楷体" w:hAnsi="楷体" w:eastAsia="楷体" w:cs="楷体"/>
          <w:color w:val="auto"/>
          <w:kern w:val="0"/>
          <w:sz w:val="30"/>
          <w:szCs w:val="30"/>
        </w:rPr>
      </w:pPr>
      <w:r>
        <w:rPr>
          <w:rFonts w:hint="eastAsia" w:ascii="楷体" w:hAnsi="楷体" w:eastAsia="楷体" w:cs="楷体"/>
          <w:color w:val="auto"/>
          <w:kern w:val="0"/>
          <w:sz w:val="30"/>
          <w:szCs w:val="30"/>
        </w:rPr>
        <w:t>（一）存在的问题</w:t>
      </w:r>
    </w:p>
    <w:p w14:paraId="233062E3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绩效评价工作机制尚不健全，制度体系有待完善，绩效管理贯穿预算编制、执行与监督的全过程闭环尚未完全形成。</w:t>
      </w:r>
    </w:p>
    <w:p w14:paraId="2C91BEC9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资产管理规范性不足，资产购置环节未严格执行政府采购相关规定，存在未按程序实行集中采购而自行购置的情况，采购行为有待进一步规范。</w:t>
      </w:r>
    </w:p>
    <w:p w14:paraId="11514397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预决算编制精细化程度不够，项目支出编制内容不够详尽、标准不够明确，部分项目预算执行进度滞后，执行率有待进一步提升。</w:t>
      </w:r>
    </w:p>
    <w:p w14:paraId="6DC31EDE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rPr>
          <w:rFonts w:hint="default" w:ascii="楷体" w:hAnsi="楷体" w:eastAsia="楷体" w:cs="楷体"/>
          <w:color w:val="auto"/>
          <w:kern w:val="0"/>
          <w:sz w:val="30"/>
          <w:szCs w:val="30"/>
        </w:rPr>
      </w:pPr>
      <w:r>
        <w:rPr>
          <w:rFonts w:hint="default" w:ascii="楷体" w:hAnsi="楷体" w:eastAsia="楷体" w:cs="楷体"/>
          <w:color w:val="auto"/>
          <w:kern w:val="0"/>
          <w:sz w:val="30"/>
          <w:szCs w:val="30"/>
        </w:rPr>
        <w:t>（二）原因分析</w:t>
      </w:r>
    </w:p>
    <w:p w14:paraId="31E492AA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1.在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日常管理中缺乏绩效评价系统性推进，绩效意识尚未全面融入预算管理各环节，相关制度建设与执行缺乏持续性和刚性约束。</w:t>
      </w:r>
    </w:p>
    <w:p w14:paraId="775FC477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对政府采购及资产管理制度的理解和落实不到位，内部审核把关不严，流程监控存在盲区，导致制度执行出现偏差。</w:t>
      </w:r>
    </w:p>
    <w:p w14:paraId="61107B6D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预决算编制要求日益提高，现有业务人员的专业能力和经验积累尚不能完全匹配工作需要，加之财务核算与预算编制在实际操作中衔接不够紧密，预决算编制与账务处理之间存在口径差异，影响了编制质量和执行效果。</w:t>
      </w:r>
    </w:p>
    <w:p w14:paraId="3DC8295A">
      <w:pPr>
        <w:widowControl/>
        <w:numPr>
          <w:ilvl w:val="0"/>
          <w:numId w:val="0"/>
        </w:numPr>
        <w:spacing w:line="64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八、下一步改进措施</w:t>
      </w:r>
    </w:p>
    <w:p w14:paraId="4CE77C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</w:rPr>
        <w:t>（一）强化资产管理，加快应收款项清收，压减资金沉淀。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严格落实单位采购管理制度，规范采购流程，提升物资采购的规范性与经济性。</w:t>
      </w:r>
    </w:p>
    <w:p w14:paraId="4E5BB9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</w:rPr>
        <w:t>（二）健全绩效监控机制，强化对绩效目标执行情况的跟踪督导。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科学合理设置预算绩效指标，紧密贴合街道财务工作实际，优化资金配置，提高资源使用效益。积极对接上级部门，争取更多资金支持，为各项绩效指标顺利实现提供有力保障。</w:t>
      </w:r>
    </w:p>
    <w:p w14:paraId="7AB13C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</w:rPr>
        <w:t>（三）夯实预算编制基础，增强内设机构的预算管理意识，严格对照预算编制的制度规范和工作要求开展编制工作。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全面覆盖各类预算项目，优先保障固定性、刚性支出，合理压减可控空间较大的弹性支出，切实提升预算编制的科学性、精准性和执行约束力。强化内部审核把关，及时下达预算控制指标，确保预算管理各环节衔接顺畅、管控有力。</w:t>
      </w:r>
    </w:p>
    <w:p w14:paraId="1184BC4F">
      <w:pPr>
        <w:widowControl/>
        <w:spacing w:line="64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 xml:space="preserve">九、部门整体支出绩效自评结果拟应用和公开情况 </w:t>
      </w:r>
    </w:p>
    <w:p w14:paraId="340C82C8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镇严格对照部门整体支出绩效自评表，全面开展2025年度绩效自评工作，自评得分97.2分，整体绩效运行情况优良。下一步，将以本次自评结果为导向，深入梳理预算管理和项目实施中存在的薄弱环节，将评价结论切实运用于下一年度预算编制和资金分配安排，持续优化管理流程，提升财政资金使用效能。同时，严格按照政务公开有关规定，完整、规范公开本部门整体支出绩效自评报告及得分情况，自觉接受社会监督，增强预算执行透明度。</w:t>
      </w:r>
    </w:p>
    <w:p w14:paraId="7AADC403">
      <w:pPr>
        <w:widowControl/>
        <w:spacing w:line="64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 xml:space="preserve">十、其他需要说明的情况 </w:t>
      </w:r>
    </w:p>
    <w:p w14:paraId="1B705140">
      <w:pPr>
        <w:widowControl/>
        <w:spacing w:line="560" w:lineRule="exact"/>
        <w:ind w:firstLine="640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无。</w:t>
      </w:r>
    </w:p>
    <w:p w14:paraId="5A48D577">
      <w:pPr>
        <w:widowControl/>
        <w:spacing w:line="64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</w:p>
    <w:p w14:paraId="334A11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附件： </w:t>
      </w:r>
    </w:p>
    <w:p w14:paraId="0F165B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1.部门整体支出绩效评价基础数据表 </w:t>
      </w:r>
    </w:p>
    <w:p w14:paraId="7CC74E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2.部门整体支出绩效自评表 </w:t>
      </w:r>
    </w:p>
    <w:p w14:paraId="2F9D0A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3.项目支出绩效自评表</w:t>
      </w:r>
    </w:p>
    <w:p w14:paraId="26252A94">
      <w:bookmarkStart w:id="0" w:name="_GoBack"/>
      <w:bookmarkEnd w:id="0"/>
    </w:p>
    <w:sectPr>
      <w:pgSz w:w="11906" w:h="16838"/>
      <w:pgMar w:top="1701" w:right="1531" w:bottom="1531" w:left="1587" w:header="851" w:footer="992" w:gutter="0"/>
      <w:pgNumType w:start="2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27A23">
    <w:pPr>
      <w:pStyle w:val="2"/>
      <w:ind w:right="360" w:firstLine="36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C18CFC">
                          <w:pPr>
                            <w:pStyle w:val="2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FC18CFC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  <w:p w14:paraId="4A4DCA49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0FB5F"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 w14:paraId="0E985678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76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paragraph" w:customStyle="1" w:styleId="6">
    <w:name w:val="BodyText"/>
    <w:basedOn w:val="1"/>
    <w:qFormat/>
    <w:uiPriority w:val="99"/>
    <w:pPr>
      <w:spacing w:after="120"/>
      <w:textAlignment w:val="baseline"/>
    </w:pPr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2026-10-14T08:57:12Z</dcterms:created>
  <dc:creator>Administrator</dc:creator>
  <cp:lastModifiedBy>什么是心安</cp:lastModifiedBy>
  <dcterms:modified xsi:type="dcterms:W3CDTF">2026-10-14T08:57:48Z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eyJoZGlkIjoiZTg4ZGI0OTg4OWQzY2JmMzdlMmM2ZWYzM2VhYWQxOTUiLCJ1c2VySWQiOiI0MzE0NTQ5MTcifQ==</vt:lpwstr>
  </property>
  <property fmtid="{D5CDD505-2E9C-101B-9397-08002B2CF9AE}" pid="4" name="ICV">
    <vt:lpwstr>4AF445AF4C8C4A8A8315F1351AFDC8D2_12</vt:lpwstr>
  </property>
</Properties>
</file>