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38C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GoBack"/>
      <w:bookmarkEnd w:id="0"/>
    </w:p>
    <w:p w14:paraId="04C313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rPr>
          <w:rFonts w:hint="default" w:ascii="Times New Roman" w:hAnsi="Times New Roman" w:eastAsia="黑体" w:cs="Times New Roman"/>
          <w:sz w:val="32"/>
          <w:szCs w:val="32"/>
        </w:rPr>
      </w:pPr>
    </w:p>
    <w:p w14:paraId="494BFE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default" w:ascii="Times New Roman" w:hAnsi="Times New Roman" w:eastAsia="方正小标宋_GBK" w:cs="Times New Roman"/>
          <w:sz w:val="52"/>
          <w:szCs w:val="52"/>
        </w:rPr>
      </w:pPr>
    </w:p>
    <w:p w14:paraId="4C90E6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default" w:ascii="Times New Roman" w:hAnsi="Times New Roman" w:eastAsia="方正小标宋_GBK" w:cs="Times New Roman"/>
          <w:sz w:val="52"/>
          <w:szCs w:val="52"/>
          <w:lang w:eastAsia="zh-CN"/>
        </w:rPr>
      </w:pPr>
      <w:r>
        <w:rPr>
          <w:rFonts w:hint="default" w:ascii="Times New Roman" w:hAnsi="Times New Roman" w:eastAsia="方正小标宋_GBK" w:cs="Times New Roman"/>
          <w:sz w:val="52"/>
          <w:szCs w:val="52"/>
        </w:rPr>
        <w:t>202</w:t>
      </w:r>
      <w:r>
        <w:rPr>
          <w:rFonts w:hint="default" w:ascii="Times New Roman" w:hAnsi="Times New Roman" w:eastAsia="方正小标宋_GBK" w:cs="Times New Roman"/>
          <w:sz w:val="52"/>
          <w:szCs w:val="52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sz w:val="52"/>
          <w:szCs w:val="52"/>
        </w:rPr>
        <w:t>年度</w:t>
      </w:r>
      <w:r>
        <w:rPr>
          <w:rFonts w:hint="default" w:ascii="Times New Roman" w:hAnsi="Times New Roman" w:eastAsia="方正小标宋_GBK" w:cs="Times New Roman"/>
          <w:sz w:val="52"/>
          <w:szCs w:val="52"/>
          <w:lang w:eastAsia="zh-CN"/>
        </w:rPr>
        <w:t>桃源县三阳港镇人民政府</w:t>
      </w:r>
    </w:p>
    <w:p w14:paraId="7A5873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default" w:ascii="Times New Roman" w:hAnsi="Times New Roman" w:eastAsia="方正小标宋_GBK" w:cs="Times New Roman"/>
          <w:sz w:val="52"/>
          <w:szCs w:val="52"/>
        </w:rPr>
      </w:pPr>
      <w:r>
        <w:rPr>
          <w:rFonts w:hint="default" w:ascii="Times New Roman" w:hAnsi="Times New Roman" w:eastAsia="方正小标宋_GBK" w:cs="Times New Roman"/>
          <w:sz w:val="52"/>
          <w:szCs w:val="52"/>
        </w:rPr>
        <w:t>整体支出绩效自评报告</w:t>
      </w:r>
    </w:p>
    <w:p w14:paraId="19FB53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default" w:ascii="Times New Roman" w:hAnsi="Times New Roman" w:eastAsia="方正小标宋_GBK" w:cs="Times New Roman"/>
          <w:b/>
          <w:bCs/>
          <w:sz w:val="52"/>
          <w:szCs w:val="52"/>
        </w:rPr>
      </w:pPr>
    </w:p>
    <w:p w14:paraId="561E61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3F3CDF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150B51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4C96B8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4C131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67C24D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5E88C9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1F4E634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right="0" w:rightChars="0"/>
        <w:rPr>
          <w:rFonts w:hint="default" w:ascii="Times New Roman" w:hAnsi="Times New Roman" w:eastAsia="黑体" w:cs="Times New Roman"/>
          <w:sz w:val="32"/>
          <w:szCs w:val="32"/>
        </w:rPr>
      </w:pPr>
    </w:p>
    <w:p w14:paraId="2583BF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rPr>
          <w:rFonts w:hint="default" w:ascii="Times New Roman" w:hAnsi="Times New Roman" w:eastAsia="黑体" w:cs="Times New Roman"/>
          <w:sz w:val="32"/>
          <w:szCs w:val="32"/>
        </w:rPr>
      </w:pPr>
    </w:p>
    <w:p w14:paraId="0764D71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rPr>
          <w:rFonts w:hint="default" w:ascii="Times New Roman" w:hAnsi="Times New Roman" w:eastAsia="黑体" w:cs="Times New Roman"/>
          <w:sz w:val="32"/>
          <w:szCs w:val="32"/>
        </w:rPr>
      </w:pPr>
    </w:p>
    <w:p w14:paraId="7F997F9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right="0" w:rightChars="0"/>
        <w:rPr>
          <w:rFonts w:hint="default" w:ascii="Times New Roman" w:hAnsi="Times New Roman" w:cs="Times New Roman"/>
        </w:rPr>
      </w:pPr>
    </w:p>
    <w:p w14:paraId="0C0C3F3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right="0" w:rightChars="0"/>
        <w:rPr>
          <w:rFonts w:hint="default" w:ascii="Times New Roman" w:hAnsi="Times New Roman" w:eastAsia="黑体" w:cs="Times New Roman"/>
          <w:sz w:val="32"/>
          <w:szCs w:val="32"/>
        </w:rPr>
      </w:pPr>
    </w:p>
    <w:p w14:paraId="0D45EE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0776CD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 w:firstLine="1920" w:firstLineChars="600"/>
        <w:rPr>
          <w:rFonts w:hint="default" w:ascii="Times New Roman" w:hAnsi="Times New Roman" w:eastAsia="仿宋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单位名称：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桃源县三阳港镇人民政府</w:t>
      </w:r>
    </w:p>
    <w:p w14:paraId="071927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 w:firstLine="3200" w:firstLineChars="10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202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</w:p>
    <w:p w14:paraId="4D121C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0D9094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both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2DC9A7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line="560" w:lineRule="exact"/>
        <w:ind w:left="0" w:leftChars="0" w:right="0" w:rightChars="0"/>
        <w:jc w:val="center"/>
        <w:outlineLvl w:val="9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年度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桃源县三阳港镇人民政府</w:t>
      </w:r>
    </w:p>
    <w:p w14:paraId="272CA6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leftChars="0" w:right="0" w:rightChars="0"/>
        <w:jc w:val="center"/>
        <w:outlineLvl w:val="9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整体支出绩效自评报告</w:t>
      </w:r>
    </w:p>
    <w:p w14:paraId="0E5880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outlineLvl w:val="9"/>
        <w:rPr>
          <w:rFonts w:hint="default" w:ascii="Times New Roman" w:hAnsi="Times New Roman" w:eastAsia="黑体" w:cs="Times New Roman"/>
          <w:sz w:val="32"/>
          <w:szCs w:val="32"/>
        </w:rPr>
      </w:pPr>
    </w:p>
    <w:p w14:paraId="64924C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一、部门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基本情况</w:t>
      </w:r>
    </w:p>
    <w:p w14:paraId="53B9E1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（一）机构、人员构成</w:t>
      </w:r>
    </w:p>
    <w:p w14:paraId="759FA3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eastAsia="zh-CN"/>
        </w:rPr>
        <w:t>三阳港</w:t>
      </w:r>
      <w:r>
        <w:rPr>
          <w:rFonts w:hint="default" w:ascii="Times New Roman" w:hAnsi="Times New Roman" w:cs="Times New Roman"/>
          <w:sz w:val="32"/>
          <w:szCs w:val="32"/>
        </w:rPr>
        <w:t>镇政府内设机构：党政办公室、党建办公室、经济发展办公室（农业农村工作办公室）、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纪委办公室、</w:t>
      </w:r>
      <w:r>
        <w:rPr>
          <w:rFonts w:hint="default" w:ascii="Times New Roman" w:hAnsi="Times New Roman" w:cs="Times New Roman"/>
          <w:sz w:val="32"/>
          <w:szCs w:val="32"/>
        </w:rPr>
        <w:t>社会事务办公室（卫生健康办公室）、自然资源和生态环境办公室、社会治安和应急管理办公室；下设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sz w:val="32"/>
          <w:szCs w:val="32"/>
        </w:rPr>
        <w:t>中心1站1队：社会事务综合服务中心、农业综合服务中心、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生态事务中心、文化综合服务中心、</w:t>
      </w:r>
      <w:r>
        <w:rPr>
          <w:rFonts w:hint="default" w:ascii="Times New Roman" w:hAnsi="Times New Roman" w:cs="Times New Roman"/>
          <w:sz w:val="32"/>
          <w:szCs w:val="32"/>
        </w:rPr>
        <w:t>退役军人服务站、综合行政执法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cs="Times New Roman"/>
          <w:sz w:val="32"/>
          <w:szCs w:val="32"/>
        </w:rPr>
        <w:t>队。</w:t>
      </w:r>
    </w:p>
    <w:p w14:paraId="2C6983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人员情况：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三阳港</w:t>
      </w:r>
      <w:r>
        <w:rPr>
          <w:rFonts w:hint="default" w:ascii="Times New Roman" w:hAnsi="Times New Roman" w:cs="Times New Roman"/>
          <w:sz w:val="32"/>
          <w:szCs w:val="32"/>
        </w:rPr>
        <w:t>镇核定编制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98</w:t>
      </w:r>
      <w:r>
        <w:rPr>
          <w:rFonts w:hint="default" w:ascii="Times New Roman" w:hAnsi="Times New Roman" w:cs="Times New Roman"/>
          <w:sz w:val="32"/>
          <w:szCs w:val="32"/>
        </w:rPr>
        <w:t>个，其中行政编制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40</w:t>
      </w:r>
      <w:r>
        <w:rPr>
          <w:rFonts w:hint="default" w:ascii="Times New Roman" w:hAnsi="Times New Roman" w:cs="Times New Roman"/>
          <w:sz w:val="32"/>
          <w:szCs w:val="32"/>
        </w:rPr>
        <w:t>个，全额拨款事业编制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58</w:t>
      </w:r>
      <w:r>
        <w:rPr>
          <w:rFonts w:hint="default" w:ascii="Times New Roman" w:hAnsi="Times New Roman" w:cs="Times New Roman"/>
          <w:sz w:val="32"/>
          <w:szCs w:val="32"/>
        </w:rPr>
        <w:t>个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；截止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2025年12月，</w:t>
      </w:r>
      <w:r>
        <w:rPr>
          <w:rFonts w:hint="default" w:ascii="Times New Roman" w:hAnsi="Times New Roman" w:cs="Times New Roman"/>
          <w:sz w:val="32"/>
          <w:szCs w:val="32"/>
        </w:rPr>
        <w:t>实有在职人数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76</w:t>
      </w:r>
      <w:r>
        <w:rPr>
          <w:rFonts w:hint="default" w:ascii="Times New Roman" w:hAnsi="Times New Roman" w:cs="Times New Roman"/>
          <w:sz w:val="32"/>
          <w:szCs w:val="32"/>
        </w:rPr>
        <w:t>人，其中行政编制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37</w:t>
      </w:r>
      <w:r>
        <w:rPr>
          <w:rFonts w:hint="default" w:ascii="Times New Roman" w:hAnsi="Times New Roman" w:cs="Times New Roman"/>
          <w:sz w:val="32"/>
          <w:szCs w:val="32"/>
        </w:rPr>
        <w:t>人，全额拨款事业编制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39</w:t>
      </w:r>
      <w:r>
        <w:rPr>
          <w:rFonts w:hint="default" w:ascii="Times New Roman" w:hAnsi="Times New Roman" w:cs="Times New Roman"/>
          <w:sz w:val="32"/>
          <w:szCs w:val="32"/>
        </w:rPr>
        <w:t>人。</w:t>
      </w:r>
    </w:p>
    <w:p w14:paraId="49A273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（二）单位主要职责</w:t>
      </w:r>
    </w:p>
    <w:p w14:paraId="6FAECBF2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贯彻执行党的路线、方针、政策和国家法律法规，贯彻执行上级行政机关的决议、命令及同级党委的决定，执行镇人民代表大会的决议。</w:t>
      </w:r>
    </w:p>
    <w:p w14:paraId="03A4DEDD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对镇人民代表大会及其主席团和上级行政机关报告工作。</w:t>
      </w:r>
    </w:p>
    <w:p w14:paraId="786DE751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编制本镇国民经济和社会发展中、长期规划和年度计划，并组织实施；编制并执行财政预算。</w:t>
      </w:r>
    </w:p>
    <w:p w14:paraId="102A637A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管理本行政区域经济和社会事业的行政工作。</w:t>
      </w:r>
    </w:p>
    <w:p w14:paraId="74B1963C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 w:bidi="ar-SA"/>
        </w:rPr>
        <w:t>4.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负责辖区内行政执法工作，维护社会秩序，保护公民人身、民主、财产等合法权利，保护经济组织的合法权益。</w:t>
      </w:r>
    </w:p>
    <w:p w14:paraId="6DA4E5BD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 w:bidi="ar-SA"/>
        </w:rPr>
        <w:t>5.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指导、支持和帮助村民委员会工作。</w:t>
      </w:r>
    </w:p>
    <w:p w14:paraId="40875D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 w:bidi="ar-SA"/>
        </w:rPr>
        <w:t>6.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承办县委、县政府交办的其他事项。</w:t>
      </w:r>
    </w:p>
    <w:p w14:paraId="565C4F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部门财务情况</w:t>
      </w:r>
    </w:p>
    <w:p w14:paraId="439C0A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sz w:val="32"/>
          <w:szCs w:val="32"/>
        </w:rPr>
        <w:t>年部门年初预算收入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4399.42</w:t>
      </w:r>
      <w:r>
        <w:rPr>
          <w:rFonts w:hint="default" w:ascii="Times New Roman" w:hAnsi="Times New Roman" w:cs="Times New Roman"/>
          <w:sz w:val="32"/>
          <w:szCs w:val="32"/>
        </w:rPr>
        <w:t>万元，年内调整预算3790.42万元，决算收入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3199.33</w:t>
      </w:r>
      <w:r>
        <w:rPr>
          <w:rFonts w:hint="default" w:ascii="Times New Roman" w:hAnsi="Times New Roman" w:cs="Times New Roman"/>
          <w:sz w:val="32"/>
          <w:szCs w:val="32"/>
        </w:rPr>
        <w:t>万元，其中：一般公共预算拨款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3035.22</w:t>
      </w:r>
      <w:r>
        <w:rPr>
          <w:rFonts w:hint="default" w:ascii="Times New Roman" w:hAnsi="Times New Roman" w:cs="Times New Roman"/>
          <w:sz w:val="32"/>
          <w:szCs w:val="32"/>
        </w:rPr>
        <w:t>万元，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政府性基金预算拨款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102.21</w:t>
      </w:r>
      <w:r>
        <w:rPr>
          <w:rFonts w:hint="default" w:ascii="Times New Roman" w:hAnsi="Times New Roman" w:cs="Times New Roman"/>
          <w:sz w:val="32"/>
          <w:szCs w:val="32"/>
        </w:rPr>
        <w:t>万元，国有资本经营预算拨款0.68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万元，</w:t>
      </w:r>
      <w:r>
        <w:rPr>
          <w:rFonts w:hint="default" w:ascii="Times New Roman" w:hAnsi="Times New Roman" w:cs="Times New Roman"/>
          <w:sz w:val="32"/>
          <w:szCs w:val="32"/>
        </w:rPr>
        <w:t>其他资金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61.23</w:t>
      </w:r>
      <w:r>
        <w:rPr>
          <w:rFonts w:hint="default" w:ascii="Times New Roman" w:hAnsi="Times New Roman" w:cs="Times New Roman"/>
          <w:sz w:val="32"/>
          <w:szCs w:val="32"/>
        </w:rPr>
        <w:t>万元。上年结转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cs="Times New Roman"/>
          <w:sz w:val="32"/>
          <w:szCs w:val="32"/>
        </w:rPr>
        <w:t>万元。</w:t>
      </w:r>
    </w:p>
    <w:p w14:paraId="487B40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sz w:val="32"/>
          <w:szCs w:val="32"/>
        </w:rPr>
        <w:t>年部门年初预算支出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4399.42</w:t>
      </w:r>
      <w:r>
        <w:rPr>
          <w:rFonts w:hint="default" w:ascii="Times New Roman" w:hAnsi="Times New Roman" w:cs="Times New Roman"/>
          <w:sz w:val="32"/>
          <w:szCs w:val="32"/>
        </w:rPr>
        <w:t>万元，部门决算支出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3199.33</w:t>
      </w:r>
      <w:r>
        <w:rPr>
          <w:rFonts w:hint="default" w:ascii="Times New Roman" w:hAnsi="Times New Roman" w:cs="Times New Roman"/>
          <w:sz w:val="32"/>
          <w:szCs w:val="32"/>
        </w:rPr>
        <w:t>万元，其中：基本支出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1866.09</w:t>
      </w:r>
      <w:r>
        <w:rPr>
          <w:rFonts w:hint="default" w:ascii="Times New Roman" w:hAnsi="Times New Roman" w:cs="Times New Roman"/>
          <w:sz w:val="32"/>
          <w:szCs w:val="32"/>
        </w:rPr>
        <w:t>万元，项目支出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1333.25</w:t>
      </w:r>
      <w:r>
        <w:rPr>
          <w:rFonts w:hint="default" w:ascii="Times New Roman" w:hAnsi="Times New Roman" w:cs="Times New Roman"/>
          <w:sz w:val="32"/>
          <w:szCs w:val="32"/>
        </w:rPr>
        <w:t>万元。年末结转结余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cs="Times New Roman"/>
          <w:sz w:val="32"/>
          <w:szCs w:val="32"/>
        </w:rPr>
        <w:t>元。</w:t>
      </w:r>
    </w:p>
    <w:p w14:paraId="66703CB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leftChars="0" w:right="0" w:rightChars="0"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年度“三公”经费财政拨款支出预算为</w:t>
      </w:r>
      <w:r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万元，支出决算为</w:t>
      </w:r>
      <w:r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万元，完成预算的</w:t>
      </w:r>
      <w:r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%</w:t>
      </w:r>
      <w:r>
        <w:rPr>
          <w:rFonts w:hint="default" w:ascii="Times New Roman" w:hAnsi="Times New Roman" w:cs="Times New Roman"/>
          <w:color w:val="000000"/>
          <w:sz w:val="32"/>
          <w:szCs w:val="32"/>
          <w:lang w:eastAsia="zh-CN"/>
        </w:rPr>
        <w:t>。</w:t>
      </w:r>
    </w:p>
    <w:p w14:paraId="621B3F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（四）部门绩效目标</w:t>
      </w:r>
    </w:p>
    <w:p w14:paraId="4D26E9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部门绩效总目标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：三阳港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镇党委政府202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年紧紧围绕创先争优“转作风、强管理、抓产业、促发展”抓好招商引资和产业项目，促进经济社会事业协调健康发展；抓好城乡基础设施建设，促进生产条件全面改善，确保发展后劲；抓好乡村振兴工作，加强惠民项目资金的管理，走访慰问困难群众和特殊群体，巩固脱贫成效；抓好城乡居民医保、社会养老保险扩面工作，使居民老有所依、老有所养；抓好平安建设工作，确保社会和谐稳定；抓好人居环境整治工作，提升秀美桃源质量，美化提升村容村貌。</w:t>
      </w:r>
    </w:p>
    <w:p w14:paraId="5693AE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2.2025年度部门绩效目标</w:t>
      </w:r>
    </w:p>
    <w:p w14:paraId="500F5A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（1）</w:t>
      </w:r>
      <w:r>
        <w:rPr>
          <w:rFonts w:hint="default" w:ascii="Times New Roman" w:hAnsi="Times New Roman" w:cs="Times New Roman"/>
          <w:sz w:val="32"/>
          <w:szCs w:val="32"/>
        </w:rPr>
        <w:t>产出指标</w:t>
      </w:r>
    </w:p>
    <w:p w14:paraId="786ED4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eastAsia="zh-CN"/>
        </w:rPr>
        <w:t>①</w:t>
      </w:r>
      <w:r>
        <w:rPr>
          <w:rFonts w:hint="default" w:ascii="Times New Roman" w:hAnsi="Times New Roman" w:cs="Times New Roman"/>
          <w:sz w:val="32"/>
          <w:szCs w:val="32"/>
        </w:rPr>
        <w:t>数量指标。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经济总额3790.42万元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，全年征兵人数不少于6人，粮食生产、灾害防治、森林防火、安全生产知识培训覆盖村居数13个，无党风廉政违纪问题，道路硬化修整里程数至少6公里，安全隐患排查次数至少12次，开展专项整治数不少于4次，堰塘、渠道清淤至少10个，开展5次及以上志愿者活动，走访慰问困难群众和特殊群众不少于30次，无生产线亡人事故，秸秆禁烧巡查至少90次。</w:t>
      </w:r>
    </w:p>
    <w:p w14:paraId="0D04AE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eastAsia="zh-CN"/>
        </w:rPr>
        <w:t>②</w:t>
      </w:r>
      <w:r>
        <w:rPr>
          <w:rFonts w:hint="default" w:ascii="Times New Roman" w:hAnsi="Times New Roman" w:cs="Times New Roman"/>
          <w:sz w:val="32"/>
          <w:szCs w:val="32"/>
        </w:rPr>
        <w:t>质量指标。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粮食生产、安全生产、森林防火宣传覆盖率、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项目合格验收率、机关事务正常运转率、安全生产合格率、惠农补贴账号新增、更新及时率均为100%</w:t>
      </w:r>
      <w:r>
        <w:rPr>
          <w:rFonts w:hint="default" w:ascii="Times New Roman" w:hAnsi="Times New Roman" w:cs="Times New Roman"/>
          <w:sz w:val="32"/>
          <w:szCs w:val="32"/>
        </w:rPr>
        <w:t>。</w:t>
      </w:r>
    </w:p>
    <w:p w14:paraId="6A0899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eastAsia="zh-CN"/>
        </w:rPr>
        <w:t>③</w:t>
      </w:r>
      <w:r>
        <w:rPr>
          <w:rFonts w:hint="default" w:ascii="Times New Roman" w:hAnsi="Times New Roman" w:cs="Times New Roman"/>
          <w:sz w:val="32"/>
          <w:szCs w:val="32"/>
        </w:rPr>
        <w:t>时效指标。年度内各项工作完成及时率100%。</w:t>
      </w:r>
    </w:p>
    <w:p w14:paraId="294C39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eastAsia="zh-CN"/>
        </w:rPr>
        <w:t>④</w:t>
      </w:r>
      <w:r>
        <w:rPr>
          <w:rFonts w:hint="default" w:ascii="Times New Roman" w:hAnsi="Times New Roman" w:cs="Times New Roman"/>
          <w:sz w:val="32"/>
          <w:szCs w:val="32"/>
        </w:rPr>
        <w:t>成本指标。成本规范控制率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cs="Times New Roman"/>
          <w:sz w:val="32"/>
          <w:szCs w:val="32"/>
        </w:rPr>
        <w:t>%。</w:t>
      </w:r>
    </w:p>
    <w:p w14:paraId="05F39D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（2）</w:t>
      </w:r>
      <w:r>
        <w:rPr>
          <w:rFonts w:hint="default" w:ascii="Times New Roman" w:hAnsi="Times New Roman" w:cs="Times New Roman"/>
          <w:sz w:val="32"/>
          <w:szCs w:val="32"/>
        </w:rPr>
        <w:t>效益指标</w:t>
      </w:r>
    </w:p>
    <w:p w14:paraId="3267B6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eastAsia="zh-CN"/>
        </w:rPr>
        <w:t>①</w:t>
      </w:r>
      <w:r>
        <w:rPr>
          <w:rFonts w:hint="default" w:ascii="Times New Roman" w:hAnsi="Times New Roman" w:cs="Times New Roman"/>
          <w:sz w:val="32"/>
          <w:szCs w:val="32"/>
        </w:rPr>
        <w:t>经济效益指标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招商引资促进经济增长效果</w:t>
      </w:r>
      <w:r>
        <w:rPr>
          <w:rFonts w:hint="default" w:ascii="Times New Roman" w:hAnsi="Times New Roman" w:cs="Times New Roman"/>
          <w:sz w:val="32"/>
          <w:szCs w:val="32"/>
        </w:rPr>
        <w:t>。</w:t>
      </w:r>
    </w:p>
    <w:p w14:paraId="01F446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eastAsia="zh-CN"/>
        </w:rPr>
        <w:t>②</w:t>
      </w:r>
      <w:r>
        <w:rPr>
          <w:rFonts w:hint="default" w:ascii="Times New Roman" w:hAnsi="Times New Roman" w:cs="Times New Roman"/>
          <w:sz w:val="32"/>
          <w:szCs w:val="32"/>
        </w:rPr>
        <w:t>社会效益指标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。失业人员再就业率、群众生活幸福指数提高</w:t>
      </w:r>
      <w:r>
        <w:rPr>
          <w:rFonts w:hint="default" w:ascii="Times New Roman" w:hAnsi="Times New Roman" w:cs="Times New Roman"/>
          <w:sz w:val="32"/>
          <w:szCs w:val="32"/>
        </w:rPr>
        <w:t>。</w:t>
      </w:r>
    </w:p>
    <w:p w14:paraId="201077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sz w:val="32"/>
          <w:szCs w:val="32"/>
          <w:lang w:eastAsia="zh-CN"/>
        </w:rPr>
        <w:t>③</w:t>
      </w:r>
      <w:r>
        <w:rPr>
          <w:rFonts w:hint="default" w:ascii="Times New Roman" w:hAnsi="Times New Roman" w:cs="Times New Roman"/>
          <w:sz w:val="32"/>
          <w:szCs w:val="32"/>
        </w:rPr>
        <w:t>生态效益指标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。改善</w:t>
      </w:r>
      <w:r>
        <w:rPr>
          <w:rFonts w:hint="default" w:ascii="Times New Roman" w:hAnsi="Times New Roman" w:cs="Times New Roman"/>
          <w:sz w:val="32"/>
          <w:szCs w:val="32"/>
        </w:rPr>
        <w:t>辖区人居环境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，污染防治工作效果</w:t>
      </w:r>
      <w:r>
        <w:rPr>
          <w:rFonts w:hint="default" w:ascii="Times New Roman" w:hAnsi="Times New Roman" w:cs="Times New Roman"/>
          <w:sz w:val="32"/>
          <w:szCs w:val="32"/>
        </w:rPr>
        <w:t>。</w:t>
      </w:r>
    </w:p>
    <w:p w14:paraId="4CD5BD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sz w:val="32"/>
          <w:szCs w:val="32"/>
          <w:lang w:eastAsia="zh-CN"/>
        </w:rPr>
        <w:t>④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可持续影响指标。对政府职能公信力的提升认识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 w:bidi="ar-SA"/>
        </w:rPr>
        <w:t>，居民法制观念提高。</w:t>
      </w:r>
    </w:p>
    <w:p w14:paraId="625B162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（3）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满意度指标</w:t>
      </w:r>
    </w:p>
    <w:p w14:paraId="5F5C5C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</w:rPr>
        <w:t>服务对象满意度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大于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90%。</w:t>
      </w:r>
    </w:p>
    <w:p w14:paraId="2DACF19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一般公共预算支出情况 </w:t>
      </w:r>
    </w:p>
    <w:p w14:paraId="01AC23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 xml:space="preserve">（一）基本支出情况 </w:t>
      </w:r>
    </w:p>
    <w:p w14:paraId="17C18D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40" w:firstLine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年本部门基本支出预算数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1775.85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其中：人员经费1358.46万元，占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76.5%；公用经费417.39万元，占23.5%。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主要是为保障部门正常运转、完成日常工作任务而发生的各项支出，包括用于基本工资、津贴补贴等人员经费以及办公费、印刷费、水电费、办公设备购置等公用经费。</w:t>
      </w:r>
    </w:p>
    <w:p w14:paraId="0F5A871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 xml:space="preserve">项目支出情况 </w:t>
      </w:r>
    </w:p>
    <w:p w14:paraId="6AEF2482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年本部门项目支出预算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1259.37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万元，主要是部门为完成特定行政工作任务或事业发展目标而发生的支出，包括有关事业发展专项、专项业务费、基本建设支出等，其中：按项目管理的工资福利支出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969.73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万元，主要用于站所村级支出等方面；按项目管理的商品和服务支出490.43万元，主要用于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事业运行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等方面；按项目管理的对个人和家庭的补助支出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757.21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万元，主要用于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社会事务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等方面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；其他支出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817.85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万元，主要用于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农林水建设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等方面。</w:t>
      </w:r>
    </w:p>
    <w:p w14:paraId="7FE431F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政府性基金预算支出情况 </w:t>
      </w:r>
    </w:p>
    <w:p w14:paraId="44DB87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6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年本部门政府性基金预算支出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102.21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万元，其中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用于其他城市基础设施配套费安排的支出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1.65万元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，占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1.61%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用于其他政府性基金债务收入安排的支出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70万元，占68.49%；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用于社会福利的彩票公益金支出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25.56万元，占25.01%；用于体育事业的彩票公益金支出5万元，占4.89%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7F25D74B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国有资本经营预算支出情况 </w:t>
      </w:r>
    </w:p>
    <w:p w14:paraId="67C95C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6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年本部门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国有资本经营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预算支出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0.68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万元，其中用于国有企业退休人员社会化管理补助支出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0.68万元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，占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100%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2CCAE51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eastAsia="zh-CN"/>
        </w:rPr>
        <w:t>五、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社会保险基金预算支出情况 </w:t>
      </w:r>
    </w:p>
    <w:p w14:paraId="4E15C72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960" w:firstLineChars="30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 w:bidi="ar-SA"/>
        </w:rPr>
        <w:t>本单位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无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 w:bidi="ar-SA"/>
        </w:rPr>
        <w:t>社会保险基金预算支出。</w:t>
      </w:r>
    </w:p>
    <w:p w14:paraId="7DED4B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left"/>
        <w:outlineLvl w:val="9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黑体" w:cs="Times New Roman"/>
          <w:sz w:val="32"/>
          <w:szCs w:val="32"/>
        </w:rPr>
        <w:t>、部门整体支出绩效情况</w:t>
      </w:r>
    </w:p>
    <w:p w14:paraId="5995E7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（一）部门产出指标完成情况</w:t>
      </w:r>
    </w:p>
    <w:p w14:paraId="09306B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</w:rPr>
        <w:t>1.数量指标。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经济总额3199.33万元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，全年征兵人数9人，粮食生产、灾害防治、森林防火、安全生产知识培训覆盖村居数13个，无党风廉政违纪问题，道路硬化修整里程数不少于10公里，安全隐患排查次数48次，开展专项整治数5次，堰塘、渠道清淤12个，开展6次及志愿者活动，走访慰问困难群众和特殊群众50次，无生产线亡人事故，秸秆禁烧巡查130次。</w:t>
      </w:r>
    </w:p>
    <w:p w14:paraId="294B6D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2.质量指标。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粮食生产、安全生产、森林防火宣传覆盖率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95%，项目合格验收率、机关事务正常运转率、安全生产合格率、惠农补贴账号新增、更新及时率均为100%</w:t>
      </w:r>
      <w:r>
        <w:rPr>
          <w:rFonts w:hint="default" w:ascii="Times New Roman" w:hAnsi="Times New Roman" w:cs="Times New Roman"/>
          <w:sz w:val="32"/>
          <w:szCs w:val="32"/>
        </w:rPr>
        <w:t>。</w:t>
      </w:r>
    </w:p>
    <w:p w14:paraId="130EAE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3.时效指标。年度内各项工作完成及时率100%。</w:t>
      </w:r>
    </w:p>
    <w:p w14:paraId="01A05A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4.成本指标。成本规范合理率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cs="Times New Roman"/>
          <w:sz w:val="32"/>
          <w:szCs w:val="32"/>
        </w:rPr>
        <w:t>%。</w:t>
      </w:r>
    </w:p>
    <w:p w14:paraId="19F044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（二）部门效益指标完成情况</w:t>
      </w:r>
    </w:p>
    <w:p w14:paraId="02E358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outlineLvl w:val="9"/>
        <w:rPr>
          <w:rFonts w:hint="default" w:ascii="Times New Roman" w:hAnsi="Times New Roman" w:cs="Times New Roman"/>
          <w:sz w:val="32"/>
          <w:szCs w:val="32"/>
          <w:lang w:val="en-US"/>
        </w:rPr>
      </w:pPr>
      <w:r>
        <w:rPr>
          <w:rFonts w:hint="default" w:ascii="Times New Roman" w:hAnsi="Times New Roman" w:cs="Times New Roman"/>
          <w:sz w:val="32"/>
          <w:szCs w:val="32"/>
        </w:rPr>
        <w:t>1.经济效益指标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。通过招商引资促进产业发展、抓好城乡基础设施建设，促进生产条件全面改善。</w:t>
      </w:r>
    </w:p>
    <w:p w14:paraId="30EAA4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2.社会效益指标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。失业人员再就业率、群众生活幸福指数</w:t>
      </w:r>
      <w:r>
        <w:rPr>
          <w:rFonts w:hint="eastAsia" w:cs="Times New Roman"/>
          <w:sz w:val="32"/>
          <w:szCs w:val="32"/>
          <w:lang w:eastAsia="zh-CN"/>
        </w:rPr>
        <w:t>均有所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提高</w:t>
      </w:r>
      <w:r>
        <w:rPr>
          <w:rFonts w:hint="default" w:ascii="Times New Roman" w:hAnsi="Times New Roman" w:cs="Times New Roman"/>
          <w:sz w:val="32"/>
          <w:szCs w:val="32"/>
        </w:rPr>
        <w:t>。</w:t>
      </w:r>
    </w:p>
    <w:p w14:paraId="3A2294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left"/>
        <w:outlineLvl w:val="9"/>
        <w:rPr>
          <w:rFonts w:hint="default" w:ascii="Times New Roman" w:hAnsi="Times New Roman" w:cs="Times New Roman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sz w:val="32"/>
          <w:szCs w:val="32"/>
        </w:rPr>
        <w:t>3.生态效益指标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。改善</w:t>
      </w:r>
      <w:r>
        <w:rPr>
          <w:rFonts w:hint="default" w:ascii="Times New Roman" w:hAnsi="Times New Roman" w:cs="Times New Roman"/>
          <w:sz w:val="32"/>
          <w:szCs w:val="32"/>
        </w:rPr>
        <w:t>辖区人居环境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，保障饮水、道路安全</w:t>
      </w:r>
      <w:r>
        <w:rPr>
          <w:rFonts w:hint="default" w:ascii="Times New Roman" w:hAnsi="Times New Roman" w:cs="Times New Roman"/>
          <w:sz w:val="32"/>
          <w:szCs w:val="32"/>
        </w:rPr>
        <w:t>。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我镇干部定期进行乡镇街道卫生清理整治，渠道清淤，定时对居民所住房屋进行饮水与房屋安全检查，坚决落实改厕政策，改善居民卫生条件。</w:t>
      </w:r>
    </w:p>
    <w:p w14:paraId="1DEA5E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left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可持续影响指标。政府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 w:bidi="ar-SA"/>
        </w:rPr>
        <w:t>运转正常，资金监管到位，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>群众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 w:bidi="ar-SA"/>
        </w:rPr>
        <w:t>对政府职能公信力的认识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>有所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 w:bidi="ar-SA"/>
        </w:rPr>
        <w:t>提升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，居民的法制观念提高。</w:t>
      </w:r>
    </w:p>
    <w:p w14:paraId="1E1CCD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left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sz w:val="32"/>
          <w:szCs w:val="32"/>
        </w:rPr>
        <w:t>.满意度。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辖区居民</w:t>
      </w:r>
      <w:r>
        <w:rPr>
          <w:rFonts w:hint="default" w:ascii="Times New Roman" w:hAnsi="Times New Roman" w:cs="Times New Roman"/>
          <w:sz w:val="32"/>
          <w:szCs w:val="32"/>
        </w:rPr>
        <w:t>满意度9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sz w:val="32"/>
          <w:szCs w:val="32"/>
        </w:rPr>
        <w:t>%。</w:t>
      </w:r>
    </w:p>
    <w:p w14:paraId="5A4595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outlineLvl w:val="9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七</w:t>
      </w:r>
      <w:r>
        <w:rPr>
          <w:rFonts w:hint="default" w:ascii="Times New Roman" w:hAnsi="Times New Roman" w:eastAsia="黑体" w:cs="Times New Roman"/>
          <w:sz w:val="32"/>
          <w:szCs w:val="32"/>
        </w:rPr>
        <w:t>、存在的问题及原因分析</w:t>
      </w:r>
    </w:p>
    <w:p w14:paraId="4ECA6D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（一）存在的问题</w:t>
      </w:r>
    </w:p>
    <w:p w14:paraId="45EABDB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Autospacing="0" w:line="560" w:lineRule="exact"/>
        <w:ind w:left="0" w:leftChars="0" w:right="0" w:rightChars="0"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1.预算编制不够细化。一笔大类资金只分到单一的款项中，没有具体到哪一类资金，使预决算的细分资金存在一定出入。</w:t>
      </w:r>
    </w:p>
    <w:p w14:paraId="047CE3A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Autospacing="0" w:line="560" w:lineRule="exact"/>
        <w:ind w:left="0" w:leftChars="0" w:right="0" w:rightChars="0"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绩效目标管理有待提质。绩效目标有一定的目标空泛性，绩效管理内容体系和评价标准的设置不科学，绩效评估衡量方式简单，导致评价内容不够全面，相关绩效评价工作比较粗浅。</w:t>
      </w:r>
    </w:p>
    <w:p w14:paraId="0A45BB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3.制度建设欠完善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cs="Times New Roman"/>
          <w:sz w:val="32"/>
          <w:szCs w:val="32"/>
        </w:rPr>
        <w:t>单位部分项目资金未制定专项项目管理制度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，无法就相关制度设定绩效考核标准。</w:t>
      </w:r>
    </w:p>
    <w:p w14:paraId="3D20C0FA">
      <w:pPr>
        <w:pStyle w:val="11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原因分析</w:t>
      </w:r>
    </w:p>
    <w:p w14:paraId="4B685C4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Autospacing="0" w:line="560" w:lineRule="exact"/>
        <w:ind w:left="0" w:leftChars="0" w:right="0" w:rightChars="0"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.随着对预、决算编制工作水平要求越来越高，编制数据要求越来越精准、规范；时间紧、任务大；加之现行决算工作与实际账务处理工作的衔接还存在一定差异；会计人员业务明显增加，人员紧缺，加之业务操作水平有限，实际操作中确实感到力不从心。</w:t>
      </w:r>
    </w:p>
    <w:p w14:paraId="52EBF86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Autospacing="0" w:line="560" w:lineRule="exact"/>
        <w:ind w:left="0" w:leftChars="0" w:right="0" w:rightChars="0"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2.与业务部门衔接度不高，未联合相关部门制定项目管理制度，缺少相关业务部门的协调配合，简单地将绩效目标制定等专业性工作归口于财务人员，导致业务管理与绩效管理脱节。</w:t>
      </w:r>
    </w:p>
    <w:p w14:paraId="18CB9DE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Autospacing="0" w:line="560" w:lineRule="exact"/>
        <w:ind w:left="0" w:leftChars="0" w:right="0" w:rightChars="0"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对绩效目标管理理念不够深入，缺少绩效目标设定意识，缺乏相应管理制度，重投入轻效益，导致在目标设立上浮在面上、缺乏深度和联系性、匹配性。</w:t>
      </w:r>
    </w:p>
    <w:p w14:paraId="4419CD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outlineLvl w:val="9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八、下一步改进措施</w:t>
      </w:r>
    </w:p>
    <w:p w14:paraId="737CB4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（一）细化预算编制工作</w:t>
      </w:r>
    </w:p>
    <w:p w14:paraId="2D594533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Autospacing="0" w:line="560" w:lineRule="exact"/>
        <w:ind w:left="0" w:leftChars="0" w:right="0" w:rightChars="0"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细化预算编制工作，进一步加强内设机构的预算管理意识，严格按照预算编制的相关制度和要求进行预算编制。全面编制预算项目，优先保障固定性的、相对刚性的费用支出项目，尽量压缩变动性、有控制空间的费用项目，进步提高预算编制的科学性、严谨性和可控性。</w:t>
      </w:r>
    </w:p>
    <w:p w14:paraId="61F874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eastAsia"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（二）细分预算资金</w:t>
      </w:r>
    </w:p>
    <w:p w14:paraId="7E0F1DB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Autospacing="0" w:line="560" w:lineRule="exact"/>
        <w:ind w:left="0" w:leftChars="0" w:right="0" w:rightChars="0"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合理安排绩效管理项目专人，增强业务知识培训，加强决算工作与账务处理工作衔接。对相关人员加强培训，特别是针对《中华人民共和国预算法》《行政事业单位会计制度》等的学习培训，规范部门预算收支核算，切实提高部门预算收支管理水平，同时通过培训，了解各项资金的具体使用方向，能科学合理细分各项资金的使用途径，提高资金的利用效率。  </w:t>
      </w:r>
    </w:p>
    <w:p w14:paraId="3A4724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outlineLvl w:val="9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（三）加强制度建设</w:t>
      </w:r>
    </w:p>
    <w:p w14:paraId="385CB3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我单位将联合相关业务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部门</w:t>
      </w:r>
      <w:r>
        <w:rPr>
          <w:rFonts w:hint="default" w:ascii="Times New Roman" w:hAnsi="Times New Roman" w:cs="Times New Roman"/>
          <w:sz w:val="32"/>
          <w:szCs w:val="32"/>
        </w:rPr>
        <w:t>制定专门的专项项目管理制度，为项目管理提供制度依据，提高项目效益。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就敬老院专项项目，可以就敬老院餐饮支出、医疗支出、日用品费用开销等与敬老院联合建立专项管理制度，以更好地把控敬老院各项开支，实现良性循环。其他农业类、社会发展类项目也应当与农业站、社会服务中心等相应的站所联合制定相关制度建设，完善监督管理体系。</w:t>
      </w:r>
    </w:p>
    <w:p w14:paraId="1B5D49C5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部门整体支出绩效自评结果拟应用和公开情况 </w:t>
      </w:r>
    </w:p>
    <w:p w14:paraId="03328C1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Autospacing="0" w:line="560" w:lineRule="exact"/>
        <w:ind w:left="0" w:leftChars="0" w:right="0" w:rightChars="0"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根据县财政相关部门统一部署，我单位202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年部门整体支出绩效自评情况将在单位门户网站公开，接受社会监督。对绩效自评工作中发现的问题及时整改，解决好绩效评价管理中存在的问题，提高工作效能。根据部门整体支出绩效评价指标评分标准，202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年我单位部门整体绩效评价自评分为96.94分。</w:t>
      </w:r>
    </w:p>
    <w:p w14:paraId="5DF74B08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Autospacing="0" w:line="560" w:lineRule="exact"/>
        <w:ind w:left="0" w:leftChars="0" w:right="0" w:rightChars="0" w:firstLine="640" w:firstLineChars="200"/>
        <w:jc w:val="lef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 xml:space="preserve">其他需要说明的情况 </w:t>
      </w:r>
    </w:p>
    <w:p w14:paraId="666E3BA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Autospacing="0" w:line="560" w:lineRule="exact"/>
        <w:ind w:right="0" w:rightChars="0"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无</w:t>
      </w:r>
    </w:p>
    <w:p w14:paraId="55C78B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left"/>
        <w:outlineLvl w:val="9"/>
        <w:rPr>
          <w:rFonts w:hint="default" w:ascii="Times New Roman" w:hAnsi="Times New Roman" w:cs="Times New Roman"/>
          <w:sz w:val="32"/>
          <w:szCs w:val="32"/>
        </w:rPr>
      </w:pPr>
    </w:p>
    <w:p w14:paraId="0AE516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left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附件：</w:t>
      </w:r>
    </w:p>
    <w:p w14:paraId="089953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outlineLvl w:val="9"/>
        <w:rPr>
          <w:rFonts w:hint="default" w:ascii="Times New Roman" w:hAnsi="Times New Roman" w:cs="Times New Roman"/>
          <w:sz w:val="32"/>
          <w:szCs w:val="32"/>
        </w:rPr>
      </w:pPr>
    </w:p>
    <w:p w14:paraId="24659D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 xml:space="preserve">    </w:t>
      </w:r>
    </w:p>
    <w:p w14:paraId="3562683D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23471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center"/>
        <w:outlineLvl w:val="9"/>
        <w:rPr>
          <w:rFonts w:hint="default" w:ascii="Times New Roman" w:hAnsi="Times New Roman" w:cs="Times New Roman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桃源县三阳港镇人民政府</w:t>
      </w:r>
    </w:p>
    <w:p w14:paraId="4A3E18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center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            </w:t>
      </w:r>
      <w:r>
        <w:rPr>
          <w:rFonts w:hint="default" w:ascii="Times New Roman" w:hAnsi="Times New Roman" w:cs="Times New Roman"/>
          <w:sz w:val="32"/>
          <w:szCs w:val="32"/>
        </w:rPr>
        <w:t>202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cs="Times New Roman"/>
          <w:sz w:val="32"/>
          <w:szCs w:val="32"/>
        </w:rPr>
        <w:t>年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cs="Times New Roman"/>
          <w:sz w:val="32"/>
          <w:szCs w:val="32"/>
        </w:rPr>
        <w:t>月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cs="Times New Roman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75EC1">
    <w:pPr>
      <w:pStyle w:val="5"/>
      <w:framePr w:wrap="around" w:vAnchor="text" w:hAnchor="margin" w:xAlign="outside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9</w:t>
    </w:r>
    <w:r>
      <w:rPr>
        <w:rStyle w:val="10"/>
      </w:rPr>
      <w:fldChar w:fldCharType="end"/>
    </w:r>
  </w:p>
  <w:p w14:paraId="45D1D7A7">
    <w:pPr>
      <w:pStyle w:val="5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82DD9B"/>
    <w:multiLevelType w:val="singleLevel"/>
    <w:tmpl w:val="D382DD9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A3B98B9"/>
    <w:multiLevelType w:val="singleLevel"/>
    <w:tmpl w:val="6A3B98B9"/>
    <w:lvl w:ilvl="0" w:tentative="0">
      <w:start w:val="2"/>
      <w:numFmt w:val="chineseCounting"/>
      <w:suff w:val="nothing"/>
      <w:lvlText w:val="（%1）"/>
      <w:lvlJc w:val="left"/>
    </w:lvl>
  </w:abstractNum>
  <w:abstractNum w:abstractNumId="2">
    <w:nsid w:val="6A3B9991"/>
    <w:multiLevelType w:val="singleLevel"/>
    <w:tmpl w:val="6A3B9991"/>
    <w:lvl w:ilvl="0" w:tentative="0">
      <w:start w:val="3"/>
      <w:numFmt w:val="chineseCounting"/>
      <w:suff w:val="nothing"/>
      <w:lvlText w:val="%1、"/>
      <w:lvlJc w:val="left"/>
    </w:lvl>
  </w:abstractNum>
  <w:abstractNum w:abstractNumId="3">
    <w:nsid w:val="6A3C84BA"/>
    <w:multiLevelType w:val="singleLevel"/>
    <w:tmpl w:val="6A3C84BA"/>
    <w:lvl w:ilvl="0" w:tentative="0">
      <w:start w:val="9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lNmI4Y2FkM2MxMzg1ZGQwOWFhNGZlMzhkNjg0ZGMifQ=="/>
  </w:docVars>
  <w:rsids>
    <w:rsidRoot w:val="D7F5C6E8"/>
    <w:rsid w:val="001415C9"/>
    <w:rsid w:val="001B55C7"/>
    <w:rsid w:val="00210898"/>
    <w:rsid w:val="004A4659"/>
    <w:rsid w:val="005E0FC8"/>
    <w:rsid w:val="006626FB"/>
    <w:rsid w:val="0067612B"/>
    <w:rsid w:val="0098274A"/>
    <w:rsid w:val="00AF68E9"/>
    <w:rsid w:val="00D8462A"/>
    <w:rsid w:val="00F9223E"/>
    <w:rsid w:val="00FE30B0"/>
    <w:rsid w:val="01E83627"/>
    <w:rsid w:val="027C450F"/>
    <w:rsid w:val="02F631FE"/>
    <w:rsid w:val="02FA43F3"/>
    <w:rsid w:val="03740622"/>
    <w:rsid w:val="03DF12D4"/>
    <w:rsid w:val="0434133E"/>
    <w:rsid w:val="06C905A4"/>
    <w:rsid w:val="07574694"/>
    <w:rsid w:val="082975B8"/>
    <w:rsid w:val="0A765D97"/>
    <w:rsid w:val="0B5404DC"/>
    <w:rsid w:val="0CBC1E37"/>
    <w:rsid w:val="0D3A2327"/>
    <w:rsid w:val="0DD90D3A"/>
    <w:rsid w:val="0DEA3913"/>
    <w:rsid w:val="0DFD2BEB"/>
    <w:rsid w:val="0E321DD1"/>
    <w:rsid w:val="0EF90DC1"/>
    <w:rsid w:val="102723DC"/>
    <w:rsid w:val="10832985"/>
    <w:rsid w:val="137B5440"/>
    <w:rsid w:val="14542A5D"/>
    <w:rsid w:val="14710408"/>
    <w:rsid w:val="16576C92"/>
    <w:rsid w:val="16C667C4"/>
    <w:rsid w:val="174104F7"/>
    <w:rsid w:val="17627A1B"/>
    <w:rsid w:val="17A0555C"/>
    <w:rsid w:val="180E72D1"/>
    <w:rsid w:val="186C727A"/>
    <w:rsid w:val="18D54D92"/>
    <w:rsid w:val="19254889"/>
    <w:rsid w:val="195E15A2"/>
    <w:rsid w:val="19B55DE7"/>
    <w:rsid w:val="1C954A41"/>
    <w:rsid w:val="1D8A7671"/>
    <w:rsid w:val="1E1F5760"/>
    <w:rsid w:val="1EF714FC"/>
    <w:rsid w:val="1EFD53CA"/>
    <w:rsid w:val="1F852755"/>
    <w:rsid w:val="1FD30EE7"/>
    <w:rsid w:val="202D46A3"/>
    <w:rsid w:val="203744A2"/>
    <w:rsid w:val="21005628"/>
    <w:rsid w:val="215B5654"/>
    <w:rsid w:val="215F4032"/>
    <w:rsid w:val="2296650A"/>
    <w:rsid w:val="22996679"/>
    <w:rsid w:val="22C84635"/>
    <w:rsid w:val="22DD2D2C"/>
    <w:rsid w:val="235C1499"/>
    <w:rsid w:val="249471B2"/>
    <w:rsid w:val="24F47AAB"/>
    <w:rsid w:val="262C1C29"/>
    <w:rsid w:val="26366CB5"/>
    <w:rsid w:val="26747BF3"/>
    <w:rsid w:val="27703055"/>
    <w:rsid w:val="27841C1C"/>
    <w:rsid w:val="288A2ED7"/>
    <w:rsid w:val="28BD6A78"/>
    <w:rsid w:val="28C618C3"/>
    <w:rsid w:val="29510524"/>
    <w:rsid w:val="29872486"/>
    <w:rsid w:val="2B3C3518"/>
    <w:rsid w:val="2B45105C"/>
    <w:rsid w:val="2BAD5488"/>
    <w:rsid w:val="2BFE7534"/>
    <w:rsid w:val="2C4B5CBE"/>
    <w:rsid w:val="2CC522B5"/>
    <w:rsid w:val="2E164A7B"/>
    <w:rsid w:val="2F303432"/>
    <w:rsid w:val="30594CBD"/>
    <w:rsid w:val="310046AC"/>
    <w:rsid w:val="321E2D8E"/>
    <w:rsid w:val="332B5BAB"/>
    <w:rsid w:val="35973B40"/>
    <w:rsid w:val="35C62B83"/>
    <w:rsid w:val="36551152"/>
    <w:rsid w:val="37914BD3"/>
    <w:rsid w:val="37E58B0E"/>
    <w:rsid w:val="38104D2C"/>
    <w:rsid w:val="388C520F"/>
    <w:rsid w:val="389B1DEF"/>
    <w:rsid w:val="3A1D2AEA"/>
    <w:rsid w:val="3A624210"/>
    <w:rsid w:val="3ABE1FBB"/>
    <w:rsid w:val="3B722E11"/>
    <w:rsid w:val="3BB31DF9"/>
    <w:rsid w:val="3D840195"/>
    <w:rsid w:val="3DA525B2"/>
    <w:rsid w:val="3E2F6967"/>
    <w:rsid w:val="3E6955AC"/>
    <w:rsid w:val="3EF14CFB"/>
    <w:rsid w:val="3F6153AE"/>
    <w:rsid w:val="3FFD445E"/>
    <w:rsid w:val="403276B0"/>
    <w:rsid w:val="40E83747"/>
    <w:rsid w:val="40FD1138"/>
    <w:rsid w:val="41721E3D"/>
    <w:rsid w:val="450D0B2A"/>
    <w:rsid w:val="452E6A15"/>
    <w:rsid w:val="45A57F6E"/>
    <w:rsid w:val="460E0849"/>
    <w:rsid w:val="465B44C0"/>
    <w:rsid w:val="47C25B25"/>
    <w:rsid w:val="48866845"/>
    <w:rsid w:val="48F4324A"/>
    <w:rsid w:val="49D90E53"/>
    <w:rsid w:val="4A2762B8"/>
    <w:rsid w:val="4AAB341A"/>
    <w:rsid w:val="4BD402B9"/>
    <w:rsid w:val="4DE6391A"/>
    <w:rsid w:val="4EE76C2C"/>
    <w:rsid w:val="4FCB719D"/>
    <w:rsid w:val="500A123E"/>
    <w:rsid w:val="50C00623"/>
    <w:rsid w:val="53B83469"/>
    <w:rsid w:val="53C6520D"/>
    <w:rsid w:val="5411211B"/>
    <w:rsid w:val="54646D4B"/>
    <w:rsid w:val="54724589"/>
    <w:rsid w:val="554B5420"/>
    <w:rsid w:val="55755E42"/>
    <w:rsid w:val="55A47F61"/>
    <w:rsid w:val="55CD328B"/>
    <w:rsid w:val="55D40C69"/>
    <w:rsid w:val="57190924"/>
    <w:rsid w:val="57BDA83F"/>
    <w:rsid w:val="59BF0281"/>
    <w:rsid w:val="5A484179"/>
    <w:rsid w:val="5AA55161"/>
    <w:rsid w:val="5B875544"/>
    <w:rsid w:val="5CF96B75"/>
    <w:rsid w:val="5DD63118"/>
    <w:rsid w:val="5DDC226C"/>
    <w:rsid w:val="5E184328"/>
    <w:rsid w:val="5E3E0A05"/>
    <w:rsid w:val="5F597DD7"/>
    <w:rsid w:val="5FA25201"/>
    <w:rsid w:val="5FF91F89"/>
    <w:rsid w:val="602A0CAC"/>
    <w:rsid w:val="603A35E7"/>
    <w:rsid w:val="60A8693F"/>
    <w:rsid w:val="621330F5"/>
    <w:rsid w:val="621A27DD"/>
    <w:rsid w:val="62391B1E"/>
    <w:rsid w:val="623A25F7"/>
    <w:rsid w:val="62557B2E"/>
    <w:rsid w:val="63885E4F"/>
    <w:rsid w:val="648D71C4"/>
    <w:rsid w:val="64BB4373"/>
    <w:rsid w:val="64BD5D6D"/>
    <w:rsid w:val="64DD3346"/>
    <w:rsid w:val="664D3554"/>
    <w:rsid w:val="666E5614"/>
    <w:rsid w:val="66B90A71"/>
    <w:rsid w:val="677FA283"/>
    <w:rsid w:val="67DB4428"/>
    <w:rsid w:val="67E60592"/>
    <w:rsid w:val="6A06746F"/>
    <w:rsid w:val="6A112F8A"/>
    <w:rsid w:val="6A214A08"/>
    <w:rsid w:val="6A7062FD"/>
    <w:rsid w:val="6B2979A6"/>
    <w:rsid w:val="6BA02A97"/>
    <w:rsid w:val="6BD4306D"/>
    <w:rsid w:val="6C1A4542"/>
    <w:rsid w:val="6C4A1F1F"/>
    <w:rsid w:val="6CF278F9"/>
    <w:rsid w:val="6D6F6743"/>
    <w:rsid w:val="6D9430BD"/>
    <w:rsid w:val="6DB63969"/>
    <w:rsid w:val="6DE433D5"/>
    <w:rsid w:val="6E5A1DF0"/>
    <w:rsid w:val="6FD150C3"/>
    <w:rsid w:val="6FFB3938"/>
    <w:rsid w:val="70224A42"/>
    <w:rsid w:val="70297B46"/>
    <w:rsid w:val="704955D1"/>
    <w:rsid w:val="70BF7E48"/>
    <w:rsid w:val="71EF1ECF"/>
    <w:rsid w:val="72C95B14"/>
    <w:rsid w:val="731D12E8"/>
    <w:rsid w:val="733D355C"/>
    <w:rsid w:val="73BB10EE"/>
    <w:rsid w:val="73EFEEE1"/>
    <w:rsid w:val="73FF14E9"/>
    <w:rsid w:val="745F0913"/>
    <w:rsid w:val="74A53BB0"/>
    <w:rsid w:val="74D71A35"/>
    <w:rsid w:val="756F1413"/>
    <w:rsid w:val="7579238E"/>
    <w:rsid w:val="75BF3558"/>
    <w:rsid w:val="75EFACF8"/>
    <w:rsid w:val="766E03B2"/>
    <w:rsid w:val="766E0C8E"/>
    <w:rsid w:val="76FFF031"/>
    <w:rsid w:val="77DC476B"/>
    <w:rsid w:val="77DFCB2B"/>
    <w:rsid w:val="78C356FA"/>
    <w:rsid w:val="79020CEB"/>
    <w:rsid w:val="79DD5109"/>
    <w:rsid w:val="79EFB67C"/>
    <w:rsid w:val="79F163A4"/>
    <w:rsid w:val="7B081063"/>
    <w:rsid w:val="7B355A78"/>
    <w:rsid w:val="7B9FD535"/>
    <w:rsid w:val="7C4462A0"/>
    <w:rsid w:val="7C580F99"/>
    <w:rsid w:val="7CFF7E7A"/>
    <w:rsid w:val="7D521151"/>
    <w:rsid w:val="7D922A88"/>
    <w:rsid w:val="7DBA67B7"/>
    <w:rsid w:val="7E3B6FA2"/>
    <w:rsid w:val="7E69527C"/>
    <w:rsid w:val="7EC33A42"/>
    <w:rsid w:val="7EFF463A"/>
    <w:rsid w:val="7FDB96EE"/>
    <w:rsid w:val="7FE41C8C"/>
    <w:rsid w:val="7FF883F1"/>
    <w:rsid w:val="7FFBAC53"/>
    <w:rsid w:val="AFE7C9D5"/>
    <w:rsid w:val="B3EBCEAB"/>
    <w:rsid w:val="BADC89D7"/>
    <w:rsid w:val="BB8A37A5"/>
    <w:rsid w:val="BEFBB108"/>
    <w:rsid w:val="BEFFD95C"/>
    <w:rsid w:val="C7BDD227"/>
    <w:rsid w:val="CFBFD52F"/>
    <w:rsid w:val="D77F75A2"/>
    <w:rsid w:val="D7F5C6E8"/>
    <w:rsid w:val="E7CB99EC"/>
    <w:rsid w:val="EA7DE20A"/>
    <w:rsid w:val="ECDFDB4D"/>
    <w:rsid w:val="F79133C9"/>
    <w:rsid w:val="F7BBB70C"/>
    <w:rsid w:val="FE6F07B6"/>
    <w:rsid w:val="FFAD7386"/>
    <w:rsid w:val="FFC33333"/>
    <w:rsid w:val="FFEF4B48"/>
    <w:rsid w:val="FFFB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spacing w:before="100" w:beforeAutospacing="1" w:after="0"/>
      <w:ind w:left="0" w:firstLine="420" w:firstLineChars="200"/>
    </w:pPr>
    <w:rPr>
      <w:rFonts w:ascii="Calibri" w:hAnsi="Calibri"/>
    </w:rPr>
  </w:style>
  <w:style w:type="paragraph" w:styleId="4">
    <w:name w:val="Body Text Indent"/>
    <w:basedOn w:val="1"/>
    <w:next w:val="3"/>
    <w:unhideWhenUsed/>
    <w:qFormat/>
    <w:uiPriority w:val="99"/>
    <w:pPr>
      <w:spacing w:after="120"/>
      <w:ind w:left="420" w:leftChars="200"/>
    </w:pPr>
    <w:rPr>
      <w:rFonts w:ascii="Times New Roman" w:hAnsi="Times New Roman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page number"/>
    <w:basedOn w:val="9"/>
    <w:qFormat/>
    <w:uiPriority w:val="99"/>
  </w:style>
  <w:style w:type="paragraph" w:customStyle="1" w:styleId="11">
    <w:name w:val="BodyText"/>
    <w:basedOn w:val="1"/>
    <w:qFormat/>
    <w:uiPriority w:val="99"/>
    <w:pPr>
      <w:spacing w:after="120"/>
      <w:textAlignment w:val="baseline"/>
    </w:pPr>
    <w:rPr>
      <w:rFonts w:eastAsia="宋体"/>
      <w:sz w:val="32"/>
      <w:szCs w:val="32"/>
    </w:rPr>
  </w:style>
  <w:style w:type="character" w:customStyle="1" w:styleId="12">
    <w:name w:val="Footer Char"/>
    <w:basedOn w:val="9"/>
    <w:link w:val="5"/>
    <w:semiHidden/>
    <w:qFormat/>
    <w:uiPriority w:val="99"/>
    <w:rPr>
      <w:rFonts w:eastAsia="仿宋_GB2312"/>
      <w:sz w:val="18"/>
      <w:szCs w:val="18"/>
    </w:rPr>
  </w:style>
  <w:style w:type="paragraph" w:customStyle="1" w:styleId="13">
    <w:name w:val="List Paragraph"/>
    <w:basedOn w:val="1"/>
    <w:qFormat/>
    <w:uiPriority w:val="99"/>
    <w:pPr>
      <w:ind w:firstLine="420" w:firstLineChars="200"/>
    </w:pPr>
    <w:rPr>
      <w:rFonts w:ascii="Calibri" w:hAnsi="Calibri" w:cs="Calibri"/>
    </w:rPr>
  </w:style>
  <w:style w:type="character" w:customStyle="1" w:styleId="14">
    <w:name w:val="Header Char"/>
    <w:basedOn w:val="9"/>
    <w:link w:val="6"/>
    <w:qFormat/>
    <w:locked/>
    <w:uiPriority w:val="99"/>
    <w:rPr>
      <w:rFonts w:eastAsia="仿宋_GB2312"/>
      <w:kern w:val="2"/>
      <w:sz w:val="18"/>
      <w:szCs w:val="18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天晟网络</Company>
  <Pages>9</Pages>
  <Words>3596</Words>
  <Characters>3882</Characters>
  <Lines>0</Lines>
  <Paragraphs>0</Paragraphs>
  <TotalTime>0</TotalTime>
  <ScaleCrop>false</ScaleCrop>
  <LinksUpToDate>false</LinksUpToDate>
  <CharactersWithSpaces>3919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2022-08-30T10:28:00Z</dcterms:created>
  <dc:creator>greatwall</dc:creator>
  <cp:lastModifiedBy>Kogote</cp:lastModifiedBy>
  <cp:lastPrinted>2022-09-05T08:06:00Z</cp:lastPrinted>
  <dcterms:modified xsi:type="dcterms:W3CDTF">2026-10-16T06:47:10Z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251D2970E9F6411190D4B76C06793343_13</vt:lpwstr>
  </property>
  <property fmtid="{D5CDD505-2E9C-101B-9397-08002B2CF9AE}" pid="4" name="KSOTemplateDocerSaveRecord">
    <vt:lpwstr>eyJoZGlkIjoiYTAxZjEyMTgwNDAwMTlkM2MyMjljOGQ0MDNlY2Q0MWEiLCJ1c2VySWQiOiIyODMyNDc5ODQifQ==</vt:lpwstr>
  </property>
</Properties>
</file>