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CEC20B">
      <w:pPr>
        <w:spacing w:line="560" w:lineRule="exact"/>
        <w:jc w:val="center"/>
        <w:rPr>
          <w:rFonts w:hint="eastAsia" w:ascii="Times New Roman" w:hAnsi="Times New Roman" w:eastAsia="方正小标宋_GBK" w:cs="Times New Roman"/>
          <w:kern w:val="0"/>
          <w:sz w:val="44"/>
          <w:szCs w:val="44"/>
        </w:rPr>
      </w:pPr>
    </w:p>
    <w:p w14:paraId="26157204">
      <w:pPr>
        <w:spacing w:line="560" w:lineRule="exact"/>
        <w:jc w:val="center"/>
        <w:rPr>
          <w:rFonts w:hint="eastAsia" w:ascii="Times New Roman" w:hAnsi="Times New Roman" w:eastAsia="方正小标宋_GBK" w:cs="Times New Roman"/>
          <w:kern w:val="0"/>
          <w:sz w:val="44"/>
          <w:szCs w:val="44"/>
        </w:rPr>
      </w:pPr>
    </w:p>
    <w:p w14:paraId="4C00A71C">
      <w:pPr>
        <w:spacing w:line="560" w:lineRule="exact"/>
        <w:jc w:val="center"/>
        <w:rPr>
          <w:rFonts w:hint="eastAsia" w:ascii="Times New Roman" w:hAnsi="Times New Roman" w:eastAsia="方正小标宋_GBK" w:cs="Times New Roman"/>
          <w:kern w:val="0"/>
          <w:sz w:val="44"/>
          <w:szCs w:val="44"/>
        </w:rPr>
      </w:pPr>
    </w:p>
    <w:p w14:paraId="159993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kern w:val="0"/>
          <w:sz w:val="52"/>
          <w:szCs w:val="52"/>
          <w:lang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52"/>
          <w:szCs w:val="52"/>
        </w:rPr>
        <w:t>202</w:t>
      </w:r>
      <w:r>
        <w:rPr>
          <w:rFonts w:hint="eastAsia" w:ascii="方正小标宋_GBK" w:hAnsi="方正小标宋_GBK" w:eastAsia="方正小标宋_GBK" w:cs="方正小标宋_GBK"/>
          <w:kern w:val="0"/>
          <w:sz w:val="52"/>
          <w:szCs w:val="52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kern w:val="0"/>
          <w:sz w:val="52"/>
          <w:szCs w:val="52"/>
        </w:rPr>
        <w:t>年度</w:t>
      </w:r>
      <w:r>
        <w:rPr>
          <w:rFonts w:hint="eastAsia" w:ascii="方正小标宋_GBK" w:hAnsi="方正小标宋_GBK" w:eastAsia="方正小标宋_GBK" w:cs="方正小标宋_GBK"/>
          <w:kern w:val="0"/>
          <w:sz w:val="52"/>
          <w:szCs w:val="52"/>
          <w:lang w:eastAsia="zh-CN"/>
        </w:rPr>
        <w:t>桃源县杨溪桥镇人民政府</w:t>
      </w:r>
    </w:p>
    <w:p w14:paraId="794BE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_GBK" w:cs="Times New Roman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52"/>
          <w:szCs w:val="52"/>
        </w:rPr>
        <w:t>整体支出绩效自评报告</w:t>
      </w:r>
    </w:p>
    <w:p w14:paraId="14BDE36F">
      <w:pPr>
        <w:spacing w:line="560" w:lineRule="exact"/>
        <w:jc w:val="center"/>
        <w:rPr>
          <w:rFonts w:hint="eastAsia" w:ascii="Times New Roman" w:hAnsi="Times New Roman" w:eastAsia="方正小标宋_GBK" w:cs="Times New Roman"/>
          <w:kern w:val="0"/>
          <w:sz w:val="44"/>
          <w:szCs w:val="44"/>
        </w:rPr>
      </w:pPr>
    </w:p>
    <w:p w14:paraId="0F87ED67">
      <w:pPr>
        <w:spacing w:line="560" w:lineRule="exact"/>
        <w:jc w:val="center"/>
        <w:rPr>
          <w:rFonts w:hint="eastAsia" w:ascii="Times New Roman" w:hAnsi="Times New Roman" w:eastAsia="方正小标宋_GBK" w:cs="Times New Roman"/>
          <w:kern w:val="0"/>
          <w:sz w:val="44"/>
          <w:szCs w:val="44"/>
        </w:rPr>
      </w:pPr>
    </w:p>
    <w:p w14:paraId="361DCB7B">
      <w:pPr>
        <w:spacing w:line="560" w:lineRule="exact"/>
        <w:jc w:val="center"/>
        <w:rPr>
          <w:rFonts w:hint="eastAsia" w:ascii="Times New Roman" w:hAnsi="Times New Roman" w:eastAsia="方正小标宋_GBK" w:cs="Times New Roman"/>
          <w:kern w:val="0"/>
          <w:sz w:val="44"/>
          <w:szCs w:val="44"/>
        </w:rPr>
      </w:pPr>
    </w:p>
    <w:p w14:paraId="1A911E7D">
      <w:pPr>
        <w:spacing w:line="560" w:lineRule="exact"/>
        <w:jc w:val="center"/>
        <w:rPr>
          <w:rFonts w:hint="eastAsia" w:ascii="Times New Roman" w:hAnsi="Times New Roman" w:eastAsia="方正小标宋_GBK" w:cs="Times New Roman"/>
          <w:kern w:val="0"/>
          <w:sz w:val="44"/>
          <w:szCs w:val="44"/>
        </w:rPr>
      </w:pPr>
    </w:p>
    <w:p w14:paraId="3B888263">
      <w:pPr>
        <w:spacing w:line="560" w:lineRule="exact"/>
        <w:jc w:val="center"/>
        <w:rPr>
          <w:rFonts w:hint="eastAsia" w:ascii="Times New Roman" w:hAnsi="Times New Roman" w:eastAsia="方正小标宋_GBK" w:cs="Times New Roman"/>
          <w:kern w:val="0"/>
          <w:sz w:val="44"/>
          <w:szCs w:val="44"/>
        </w:rPr>
      </w:pPr>
    </w:p>
    <w:p w14:paraId="4AB66E89">
      <w:pPr>
        <w:pStyle w:val="2"/>
        <w:rPr>
          <w:rFonts w:hint="eastAsia" w:ascii="Times New Roman" w:hAnsi="Times New Roman" w:eastAsia="方正小标宋_GBK" w:cs="Times New Roman"/>
          <w:kern w:val="0"/>
          <w:sz w:val="44"/>
          <w:szCs w:val="44"/>
        </w:rPr>
      </w:pPr>
    </w:p>
    <w:p w14:paraId="21D598BA">
      <w:pPr>
        <w:pStyle w:val="2"/>
        <w:rPr>
          <w:rFonts w:hint="eastAsia" w:ascii="Times New Roman" w:hAnsi="Times New Roman" w:eastAsia="方正小标宋_GBK" w:cs="Times New Roman"/>
          <w:kern w:val="0"/>
          <w:sz w:val="44"/>
          <w:szCs w:val="44"/>
        </w:rPr>
      </w:pPr>
    </w:p>
    <w:p w14:paraId="4099C989">
      <w:pPr>
        <w:pStyle w:val="2"/>
        <w:rPr>
          <w:rFonts w:hint="eastAsia" w:ascii="Times New Roman" w:hAnsi="Times New Roman" w:eastAsia="方正小标宋_GBK" w:cs="Times New Roman"/>
          <w:kern w:val="0"/>
          <w:sz w:val="44"/>
          <w:szCs w:val="44"/>
        </w:rPr>
      </w:pPr>
    </w:p>
    <w:p w14:paraId="2B3F54FE">
      <w:pPr>
        <w:spacing w:line="560" w:lineRule="exact"/>
        <w:jc w:val="center"/>
        <w:rPr>
          <w:rFonts w:hint="eastAsia" w:ascii="Times New Roman" w:hAnsi="Times New Roman" w:eastAsia="方正小标宋_GBK" w:cs="Times New Roman"/>
          <w:kern w:val="0"/>
          <w:sz w:val="44"/>
          <w:szCs w:val="44"/>
        </w:rPr>
      </w:pPr>
    </w:p>
    <w:p w14:paraId="0A203117">
      <w:pPr>
        <w:spacing w:line="560" w:lineRule="exact"/>
        <w:jc w:val="center"/>
        <w:rPr>
          <w:rFonts w:hint="eastAsia" w:ascii="Times New Roman" w:hAnsi="Times New Roman" w:eastAsia="方正小标宋_GBK" w:cs="Times New Roman"/>
          <w:kern w:val="0"/>
          <w:sz w:val="44"/>
          <w:szCs w:val="44"/>
        </w:rPr>
      </w:pPr>
    </w:p>
    <w:p w14:paraId="512C6E7A">
      <w:pPr>
        <w:spacing w:line="560" w:lineRule="exact"/>
        <w:jc w:val="center"/>
        <w:rPr>
          <w:rFonts w:hint="eastAsia" w:ascii="Times New Roman" w:hAnsi="Times New Roman" w:eastAsia="方正小标宋_GBK" w:cs="Times New Roman"/>
          <w:kern w:val="0"/>
          <w:sz w:val="44"/>
          <w:szCs w:val="44"/>
        </w:rPr>
      </w:pPr>
    </w:p>
    <w:p w14:paraId="379BBDE7">
      <w:pPr>
        <w:spacing w:line="560" w:lineRule="exact"/>
        <w:jc w:val="center"/>
        <w:rPr>
          <w:rFonts w:hint="eastAsia" w:ascii="Times New Roman" w:hAnsi="Times New Roman" w:eastAsia="方正小标宋_GBK" w:cs="Times New Roman"/>
          <w:kern w:val="0"/>
          <w:sz w:val="44"/>
          <w:szCs w:val="44"/>
        </w:rPr>
      </w:pPr>
    </w:p>
    <w:p w14:paraId="01FB8525">
      <w:pPr>
        <w:spacing w:line="560" w:lineRule="exact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单位名称：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桃源县杨溪桥镇人民政府</w:t>
      </w:r>
    </w:p>
    <w:p w14:paraId="721F9D65">
      <w:pPr>
        <w:spacing w:line="560" w:lineRule="exact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</w:t>
      </w:r>
    </w:p>
    <w:p w14:paraId="393EA38D">
      <w:pPr>
        <w:spacing w:line="560" w:lineRule="exact"/>
        <w:jc w:val="center"/>
        <w:rPr>
          <w:rFonts w:hint="eastAsia" w:ascii="Times New Roman" w:hAnsi="Times New Roman" w:eastAsia="方正小标宋_GBK" w:cs="Times New Roman"/>
          <w:kern w:val="0"/>
          <w:sz w:val="44"/>
          <w:szCs w:val="44"/>
        </w:rPr>
      </w:pPr>
    </w:p>
    <w:p w14:paraId="05AEC6FC">
      <w:pPr>
        <w:pStyle w:val="2"/>
        <w:rPr>
          <w:rFonts w:ascii="Times New Roman" w:hAnsi="Times New Roman" w:eastAsia="方正小标宋_GBK" w:cs="Times New Roman"/>
          <w:kern w:val="0"/>
          <w:sz w:val="44"/>
          <w:szCs w:val="44"/>
        </w:rPr>
      </w:pPr>
    </w:p>
    <w:p w14:paraId="6A253A92">
      <w:pPr>
        <w:pStyle w:val="2"/>
        <w:rPr>
          <w:rFonts w:ascii="Times New Roman" w:hAnsi="Times New Roman" w:eastAsia="方正小标宋_GBK" w:cs="Times New Roman"/>
          <w:kern w:val="0"/>
          <w:sz w:val="44"/>
          <w:szCs w:val="44"/>
        </w:rPr>
      </w:pPr>
    </w:p>
    <w:p w14:paraId="53208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25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年度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杨溪桥镇人民政府</w:t>
      </w:r>
    </w:p>
    <w:p w14:paraId="3ED9A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bCs/>
          <w:spacing w:val="-1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整体支出绩效自评报告</w:t>
      </w:r>
    </w:p>
    <w:p w14:paraId="7090178E">
      <w:pPr>
        <w:widowControl/>
        <w:spacing w:line="600" w:lineRule="exact"/>
        <w:ind w:firstLine="641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7D82DA0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部门（单位）基本情况</w:t>
      </w:r>
    </w:p>
    <w:p w14:paraId="6E673AA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楷体_GB2312" w:hAnsi="楷体_GB2312" w:eastAsia="楷体_GB2312" w:cs="楷体_GB2312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</w:rPr>
        <w:t>（一）机构、人员构成</w:t>
      </w:r>
    </w:p>
    <w:p w14:paraId="3221D0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杨溪桥镇人民政府单位内设机构包括：杨溪桥镇人民政府及财政所、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生态事务中心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、综合行政执法大队、退役军人服务站、农业综合服务中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心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、社会事务综合服务中心。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年末在职人数</w:t>
      </w: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val="en-US" w:eastAsia="zh-CN"/>
        </w:rPr>
        <w:t>59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人，其中行政人员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人，事业人员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35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人。</w:t>
      </w:r>
    </w:p>
    <w:p w14:paraId="52A863E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楷体_GB2312" w:hAnsi="楷体_GB2312" w:eastAsia="楷体_GB2312" w:cs="楷体_GB2312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</w:rPr>
        <w:t>单位主要职责</w:t>
      </w:r>
    </w:p>
    <w:p w14:paraId="369C545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制定和组织实施经济、科技和社会发展计划，制定资源开发技术改造和产业结构调整方案，组织指导好各业生产，搞好商品流通，协调好本乡与外地区的经济交流与合作，抓好招商引资，组织经济运行，促进经济发展。</w:t>
      </w:r>
    </w:p>
    <w:p w14:paraId="050E2C1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制定并组织实施村镇建设规划，部署重点工程建设，地方道路建设及公共设施，水利设施的管理，负责土地、林木、水等自然资源和生态环境的保护，做好护林防护工作。</w:t>
      </w:r>
    </w:p>
    <w:p w14:paraId="047A37A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负责本行政区域内的民政、计划生育、文化教育、卫生、体育等社会公益事业的综合性工作，维护一切经济单位和个人的正当经济权益，取缔非法经济活动，调解和处理民事经济纠纷，打击刑事犯罪维护社会稳定。</w:t>
      </w:r>
    </w:p>
    <w:p w14:paraId="4964721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抓好精神文明建设，丰富群众文化生活，提倡移风易俗，反对封建迷信，破除陈规陋习，树立社会主义新风尚。</w:t>
      </w:r>
    </w:p>
    <w:p w14:paraId="18890A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完成上级政府交办的其他事项。</w:t>
      </w:r>
    </w:p>
    <w:p w14:paraId="5C4F0CD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楷体_GB2312" w:hAnsi="楷体_GB2312" w:eastAsia="楷体_GB2312" w:cs="楷体_GB2312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  <w:t>三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</w:rPr>
        <w:t>）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  <w:t>部门财务情况</w:t>
      </w:r>
    </w:p>
    <w:p w14:paraId="448699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 xml:space="preserve"> 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资产负债及净资产情况</w:t>
      </w:r>
    </w:p>
    <w:p w14:paraId="67E3EA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</w:rPr>
        <w:t>202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年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</w:rPr>
        <w:t>12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月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</w:rPr>
        <w:t>31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日单位资产总额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856.40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万元，其中：流动资产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526.86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万元、非流动资产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329.54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万元，负债总额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1149.57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万元，净资产总额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-293.17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万元。</w:t>
      </w:r>
    </w:p>
    <w:p w14:paraId="021EE3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 xml:space="preserve">. 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部门整体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收支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情况</w:t>
      </w:r>
    </w:p>
    <w:p w14:paraId="1E24E3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eastAsia="zh-CN"/>
        </w:rPr>
        <w:t>202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年部门年初预算收入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4265.58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万元，年内调整预算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4037.14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万元，决算收入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3016.92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万元，其中：一般公共预算拨款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4229.85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万元，其他收入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35.76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万元。全年可执行预算合计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3016.92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万元，其中：一般公共预算拨款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2959.29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万元，政府性基金预算财政拨款收入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21.51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万元，国有资本经营预算财政拨款收入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0.36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其他收入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35.76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万元。</w:t>
      </w:r>
    </w:p>
    <w:p w14:paraId="15D2FD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eastAsia="zh-CN"/>
        </w:rPr>
        <w:t>202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年部门年初预算支出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4265.58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万元，其中：基本支出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580.55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万元，项目支出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3685.03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万元。部门决算支出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3016.92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万元，其中：基本支出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1145.26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万元，项目支出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1871.66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万元。</w:t>
      </w:r>
    </w:p>
    <w:p w14:paraId="3EE67CA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rPr>
          <w:rFonts w:hint="eastAsia" w:ascii="楷体_GB2312" w:hAnsi="楷体_GB2312" w:eastAsia="楷体_GB2312" w:cs="楷体_GB2312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  <w:t>四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</w:rPr>
        <w:t>）部门绩效目标</w:t>
      </w:r>
    </w:p>
    <w:p w14:paraId="2FC0199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. 部门绩效总目标</w:t>
      </w:r>
    </w:p>
    <w:p w14:paraId="26FCD07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杨溪桥镇党委、政府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年紧紧围绕创先争优 “强基础、转作风、树形象、保稳定、促发展、惠民生”的工作思路，抓好招商引资和产业项目，促进经济社会事业协调健康发展；抓好城乡基础设施建设，促进生产条件全面改善，确保发展后劲；抓好乡村振兴，巩固拓展脱贫攻坚成果；抓好城乡居民医保、社会养老保险扩面工作，使居民老有所依、老有所养；抓好平安建设工作，确保社会和谐稳定。</w:t>
      </w:r>
      <w:bookmarkStart w:id="0" w:name="_GoBack"/>
      <w:bookmarkEnd w:id="0"/>
    </w:p>
    <w:p w14:paraId="037D0E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eastAsia="zh-CN"/>
        </w:rPr>
        <w:t>202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年度部门绩效目标</w:t>
      </w:r>
    </w:p>
    <w:p w14:paraId="46D02B4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（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）产出指标</w:t>
      </w:r>
    </w:p>
    <w:p w14:paraId="100D4E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①数量指标。人居环境治理村居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个。基层党组织建设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个。</w:t>
      </w:r>
    </w:p>
    <w:p w14:paraId="2805EF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②质量指标。项目验收合格率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%。机关事务正常运转率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%。安全生产合格率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%。辖区人居环境整洁率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%。越级上访率0%。</w:t>
      </w:r>
    </w:p>
    <w:p w14:paraId="6FDEF2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③时效指标。各项工作完成及时率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%。各项补贴发放及时率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%。</w:t>
      </w:r>
    </w:p>
    <w:p w14:paraId="4908A02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④成本指标。成本发生规范合理率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%。基本支出控制额：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1145.26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万元。项目支出控制额：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2891.88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万元。</w:t>
      </w:r>
    </w:p>
    <w:p w14:paraId="37063F6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（2）效益指标</w:t>
      </w:r>
    </w:p>
    <w:p w14:paraId="629F42F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①经济效益指标。辖区人均收入增长率≥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%。</w:t>
      </w:r>
    </w:p>
    <w:p w14:paraId="6FBACD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②社会效益指标。保障辖区社会稳定。</w:t>
      </w:r>
    </w:p>
    <w:p w14:paraId="0C8EAF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③生态效益指标。改善辖区人居环境。保障辖区饮水道路安全。</w:t>
      </w:r>
    </w:p>
    <w:p w14:paraId="3EB084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④可持续影响指标。保障政府服务职能。</w:t>
      </w:r>
    </w:p>
    <w:p w14:paraId="70C61A5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（3）满意度指标</w:t>
      </w:r>
    </w:p>
    <w:p w14:paraId="63B71C28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00" w:firstLineChars="200"/>
        <w:jc w:val="both"/>
        <w:rPr>
          <w:rFonts w:hint="eastAsia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服务对象满意度指标。服务对象满意度≥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90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%。</w:t>
      </w:r>
    </w:p>
    <w:p w14:paraId="19527A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二、一般公共预算支出情况</w:t>
      </w:r>
    </w:p>
    <w:p w14:paraId="07B3D9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eastAsia="zh-CN"/>
        </w:rPr>
        <w:t>202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年度一般公共预算财政拨款年初结转和结余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万元，本年收入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2959.29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万元，本年支出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2959.29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万元。</w:t>
      </w:r>
    </w:p>
    <w:p w14:paraId="1953540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  <w:t>（一）基本支出情况</w:t>
      </w:r>
    </w:p>
    <w:p w14:paraId="6EC2EE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年度一般公共预算财政拨款基本支出年初结转和结余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万元，本年收入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1145.26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万元，本年支出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1145.26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万元，年末结转和结余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万元。</w:t>
      </w:r>
    </w:p>
    <w:p w14:paraId="0922AD2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  <w:t>（二）项目支出情况</w:t>
      </w:r>
    </w:p>
    <w:p w14:paraId="4ABF9F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eastAsia="zh-CN"/>
        </w:rPr>
        <w:t>202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年度一般公共预算财政拨款项目支出年初结转和结余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万元，本年收入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1814.03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万元，本年支出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1814.03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万元，年末结转和结余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万元。</w:t>
      </w:r>
    </w:p>
    <w:p w14:paraId="72ACD400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政府性基金预算支出情况</w:t>
      </w:r>
    </w:p>
    <w:p w14:paraId="5AA63C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eastAsia="zh-CN"/>
        </w:rPr>
        <w:t>202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年度政府性基金预算财政拨款本年收入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21.51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万元，本年支出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21.51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万元。</w:t>
      </w:r>
    </w:p>
    <w:p w14:paraId="086ED055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国有资本经营预算支出情况</w:t>
      </w:r>
    </w:p>
    <w:p w14:paraId="05571A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eastAsia="zh-CN"/>
        </w:rPr>
        <w:t>202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年度国有资本经营预算财政拨款本年收入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0.36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万元，本年支出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0.36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万元。</w:t>
      </w:r>
    </w:p>
    <w:p w14:paraId="6ABF5DC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五、</w:t>
      </w:r>
      <w:r>
        <w:rPr>
          <w:rFonts w:hint="eastAsia" w:ascii="Times New Roman" w:hAnsi="Times New Roman" w:eastAsia="黑体" w:cs="黑体"/>
          <w:sz w:val="32"/>
          <w:szCs w:val="32"/>
        </w:rPr>
        <w:t>社会保险基金预算支出情况</w:t>
      </w:r>
    </w:p>
    <w:p w14:paraId="3004F5F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00" w:firstLineChars="200"/>
        <w:jc w:val="both"/>
        <w:textAlignment w:val="baseline"/>
        <w:outlineLvl w:val="9"/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 w:bidi="ar-SA"/>
        </w:rPr>
        <w:t>无</w:t>
      </w:r>
    </w:p>
    <w:p w14:paraId="7D32F5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六、</w:t>
      </w:r>
      <w:r>
        <w:rPr>
          <w:rFonts w:hint="eastAsia" w:ascii="黑体" w:hAnsi="黑体" w:eastAsia="黑体" w:cs="黑体"/>
          <w:kern w:val="0"/>
          <w:sz w:val="32"/>
          <w:szCs w:val="32"/>
        </w:rPr>
        <w:t>部门整体支出绩效情况</w:t>
      </w:r>
    </w:p>
    <w:p w14:paraId="23A9C0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我镇积极履职，强化管理，较好的完成了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年度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绩效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目标。通过加强预算收支管理，不断建立健全内部管理制度，梳理内部管理流程，整体支出管理水平得到提升，各项绩效指标均达到了预期效果。</w:t>
      </w:r>
    </w:p>
    <w:p w14:paraId="69F2F85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  <w:t>（一）产出指标</w:t>
      </w:r>
    </w:p>
    <w:p w14:paraId="32841D7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0"/>
          <w:szCs w:val="30"/>
        </w:rPr>
        <w:t>数量指标。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完成人居环境整治村居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个</w:t>
      </w:r>
      <w:r>
        <w:rPr>
          <w:rFonts w:hint="eastAsia" w:ascii="仿宋_GB2312" w:hAnsi="仿宋_GB2312" w:eastAsia="仿宋_GB2312" w:cs="仿宋_GB2312"/>
          <w:sz w:val="30"/>
          <w:szCs w:val="30"/>
        </w:rPr>
        <w:t>。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完成基层党组织建设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个。</w:t>
      </w:r>
    </w:p>
    <w:p w14:paraId="570591E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0"/>
          <w:szCs w:val="30"/>
        </w:rPr>
        <w:t>质量指标。项目验收合格率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达</w:t>
      </w:r>
      <w:r>
        <w:rPr>
          <w:rFonts w:hint="default" w:ascii="Times New Roman" w:hAnsi="Times New Roman" w:eastAsia="仿宋_GB2312" w:cs="Times New Roman"/>
          <w:sz w:val="30"/>
          <w:szCs w:val="30"/>
        </w:rPr>
        <w:t>100</w:t>
      </w:r>
      <w:r>
        <w:rPr>
          <w:rFonts w:hint="eastAsia" w:ascii="仿宋_GB2312" w:hAnsi="仿宋_GB2312" w:eastAsia="仿宋_GB2312" w:cs="仿宋_GB2312"/>
          <w:sz w:val="30"/>
          <w:szCs w:val="30"/>
        </w:rPr>
        <w:t>%。机关事务正常运转率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达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%</w:t>
      </w:r>
      <w:r>
        <w:rPr>
          <w:rFonts w:hint="eastAsia" w:ascii="仿宋_GB2312" w:hAnsi="仿宋_GB2312" w:eastAsia="仿宋_GB2312" w:cs="仿宋_GB2312"/>
          <w:sz w:val="30"/>
          <w:szCs w:val="30"/>
        </w:rPr>
        <w:t>。安全生产合格率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达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%</w:t>
      </w:r>
      <w:r>
        <w:rPr>
          <w:rFonts w:hint="eastAsia" w:ascii="仿宋_GB2312" w:hAnsi="仿宋_GB2312" w:eastAsia="仿宋_GB2312" w:cs="仿宋_GB2312"/>
          <w:sz w:val="30"/>
          <w:szCs w:val="30"/>
        </w:rPr>
        <w:t>。辖区人居环境整洁率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达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95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%。</w:t>
      </w:r>
      <w:r>
        <w:rPr>
          <w:rFonts w:hint="eastAsia" w:ascii="仿宋_GB2312" w:hAnsi="仿宋_GB2312" w:eastAsia="仿宋_GB2312" w:cs="仿宋_GB2312"/>
          <w:sz w:val="30"/>
          <w:szCs w:val="30"/>
        </w:rPr>
        <w:t>越级上访率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%</w:t>
      </w:r>
      <w:r>
        <w:rPr>
          <w:rFonts w:hint="eastAsia" w:ascii="仿宋_GB2312" w:hAnsi="仿宋_GB2312" w:eastAsia="仿宋_GB2312" w:cs="仿宋_GB2312"/>
          <w:sz w:val="30"/>
          <w:szCs w:val="30"/>
        </w:rPr>
        <w:t>。</w:t>
      </w:r>
    </w:p>
    <w:p w14:paraId="71E35BF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0"/>
          <w:szCs w:val="30"/>
        </w:rPr>
        <w:t>时效指标。各项工作完成及时率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达</w:t>
      </w:r>
      <w:r>
        <w:rPr>
          <w:rFonts w:hint="default" w:ascii="Times New Roman" w:hAnsi="Times New Roman" w:eastAsia="仿宋_GB2312" w:cs="Times New Roman"/>
          <w:sz w:val="30"/>
          <w:szCs w:val="30"/>
        </w:rPr>
        <w:t>100</w:t>
      </w:r>
      <w:r>
        <w:rPr>
          <w:rFonts w:hint="eastAsia" w:ascii="仿宋_GB2312" w:hAnsi="仿宋_GB2312" w:eastAsia="仿宋_GB2312" w:cs="仿宋_GB2312"/>
          <w:sz w:val="30"/>
          <w:szCs w:val="30"/>
        </w:rPr>
        <w:t>%。各项补贴发放及时率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达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%。</w:t>
      </w:r>
    </w:p>
    <w:p w14:paraId="719A720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0"/>
          <w:szCs w:val="30"/>
        </w:rPr>
        <w:t>成本指标。成本发生规范合理率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达</w:t>
      </w:r>
      <w:r>
        <w:rPr>
          <w:rFonts w:hint="default" w:ascii="Times New Roman" w:hAnsi="Times New Roman" w:eastAsia="仿宋_GB2312" w:cs="Times New Roman"/>
          <w:sz w:val="30"/>
          <w:szCs w:val="30"/>
        </w:rPr>
        <w:t>100</w:t>
      </w:r>
      <w:r>
        <w:rPr>
          <w:rFonts w:hint="eastAsia" w:ascii="仿宋_GB2312" w:hAnsi="仿宋_GB2312" w:eastAsia="仿宋_GB2312" w:cs="仿宋_GB2312"/>
          <w:sz w:val="30"/>
          <w:szCs w:val="30"/>
        </w:rPr>
        <w:t>%。基本支出控制额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1145.26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万元。项目支出控制额：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1871.66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万元。</w:t>
      </w:r>
    </w:p>
    <w:p w14:paraId="477E034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  <w:t>（二）效益指标</w:t>
      </w:r>
    </w:p>
    <w:p w14:paraId="16DB399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0"/>
          <w:szCs w:val="30"/>
        </w:rPr>
        <w:t>经济效益指标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0"/>
          <w:szCs w:val="30"/>
        </w:rPr>
        <w:t>辖区人均收入增长率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达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%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。</w:t>
      </w:r>
    </w:p>
    <w:p w14:paraId="4DC7BF0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0"/>
          <w:szCs w:val="30"/>
        </w:rPr>
        <w:t>社会效益指标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0"/>
          <w:szCs w:val="30"/>
        </w:rPr>
        <w:t>辖区社会稳定。</w:t>
      </w:r>
    </w:p>
    <w:p w14:paraId="48D2978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0"/>
          <w:szCs w:val="30"/>
        </w:rPr>
        <w:t>生态效益指标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0"/>
          <w:szCs w:val="30"/>
        </w:rPr>
        <w:t>辖区人居环境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改善</w:t>
      </w:r>
      <w:r>
        <w:rPr>
          <w:rFonts w:hint="eastAsia" w:ascii="仿宋_GB2312" w:hAnsi="仿宋_GB2312" w:eastAsia="仿宋_GB2312" w:cs="仿宋_GB2312"/>
          <w:sz w:val="30"/>
          <w:szCs w:val="30"/>
        </w:rPr>
        <w:t>。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辖区饮水道路安全得到保障。</w:t>
      </w:r>
    </w:p>
    <w:p w14:paraId="31F089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0"/>
          <w:szCs w:val="30"/>
        </w:rPr>
        <w:t>可持续影响指标。政府服务职能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得到全面保障</w:t>
      </w:r>
      <w:r>
        <w:rPr>
          <w:rFonts w:hint="eastAsia" w:ascii="仿宋_GB2312" w:hAnsi="仿宋_GB2312" w:eastAsia="仿宋_GB2312" w:cs="仿宋_GB2312"/>
          <w:sz w:val="30"/>
          <w:szCs w:val="30"/>
        </w:rPr>
        <w:t>。</w:t>
      </w:r>
    </w:p>
    <w:p w14:paraId="67E34F7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  <w:t>（三）满意度指标</w:t>
      </w:r>
    </w:p>
    <w:p w14:paraId="5FDD5BD4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00" w:firstLineChars="200"/>
        <w:jc w:val="both"/>
        <w:outlineLvl w:val="9"/>
        <w:rPr>
          <w:rFonts w:hint="eastAsia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服务对象满意度指标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。服务对象满意度达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92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%。</w:t>
      </w:r>
    </w:p>
    <w:p w14:paraId="13EECF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七</w:t>
      </w:r>
      <w:r>
        <w:rPr>
          <w:rFonts w:hint="eastAsia" w:ascii="黑体" w:hAnsi="黑体" w:eastAsia="黑体" w:cs="黑体"/>
          <w:kern w:val="0"/>
          <w:sz w:val="32"/>
          <w:szCs w:val="32"/>
        </w:rPr>
        <w:t>、存在的主要问题及原因分析</w:t>
      </w:r>
    </w:p>
    <w:p w14:paraId="2A21FE6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outlineLvl w:val="9"/>
        <w:rPr>
          <w:rFonts w:hint="eastAsia"/>
        </w:rPr>
      </w:pPr>
      <w:r>
        <w:rPr>
          <w:rFonts w:hint="eastAsia" w:eastAsia="楷体_GB2312" w:cs="楷体_GB2312"/>
          <w:sz w:val="32"/>
          <w:szCs w:val="32"/>
        </w:rPr>
        <w:t>（一）存在的问题</w:t>
      </w:r>
    </w:p>
    <w:p w14:paraId="09C7FB4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绩效评价工作机制有待进一步完善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。</w:t>
      </w:r>
    </w:p>
    <w:p w14:paraId="5F4A247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预决算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整体收支情况、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项目支出编制需进一步明确、精细化，同时项目执行率需进一步提高。</w:t>
      </w:r>
    </w:p>
    <w:p w14:paraId="0FD8E596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00" w:firstLineChars="200"/>
        <w:jc w:val="both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人员培训有待进一步加强。会计人员业务量大，对绩效评价工作了解不透彻。</w:t>
      </w:r>
    </w:p>
    <w:p w14:paraId="4E385EC0">
      <w:pPr>
        <w:pStyle w:val="2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outlineLvl w:val="9"/>
        <w:rPr>
          <w:rFonts w:eastAsia="楷体_GB2312"/>
        </w:rPr>
      </w:pPr>
      <w:r>
        <w:rPr>
          <w:rFonts w:hint="eastAsia" w:eastAsia="楷体_GB2312" w:cs="楷体_GB2312"/>
        </w:rPr>
        <w:t>原因分析</w:t>
      </w:r>
    </w:p>
    <w:p w14:paraId="62CE7D9B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在平时工作中未加强对绩效监控工作的重视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绩效监控工作容易滞后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未形成对绩效目标进行监控的习惯。</w:t>
      </w:r>
    </w:p>
    <w:p w14:paraId="054851AA">
      <w:pPr>
        <w:pStyle w:val="2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00" w:firstLineChars="200"/>
        <w:jc w:val="both"/>
        <w:outlineLvl w:val="9"/>
        <w:rPr>
          <w:rFonts w:hint="eastAsia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制度建设欠完善。单位部分项目资金未制定专项项目管理制度。</w:t>
      </w:r>
    </w:p>
    <w:p w14:paraId="79D800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</w:rPr>
        <w:t>3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随着对预、决算编制工作水平要求越来越高，数据编制要求越来越精准、规范；时间紧、任务大；加之现行决算工作与实际账务处理工作的衔接还存在一定差异；会计人员业务量明显增加，人员紧缺，加之业务操作水平有限，实际操作中确实感到力不从心。</w:t>
      </w:r>
    </w:p>
    <w:p w14:paraId="5BB9AB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八</w:t>
      </w:r>
      <w:r>
        <w:rPr>
          <w:rFonts w:hint="eastAsia" w:ascii="黑体" w:hAnsi="黑体" w:eastAsia="黑体" w:cs="黑体"/>
          <w:kern w:val="0"/>
          <w:sz w:val="32"/>
          <w:szCs w:val="32"/>
        </w:rPr>
        <w:t>、</w:t>
      </w:r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下一步改进措施</w:t>
      </w:r>
    </w:p>
    <w:p w14:paraId="1090E7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（一）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制定有效绩效监控机制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确保绩效目标完成。科学设置预算绩效指标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合理安排经费和各项资金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使其物尽其用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更加贴合街道财务工作的实际情况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能够合理运用现有资源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及时协调并向上级多争取资金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保证各预算绩效指标的顺利实施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。</w:t>
      </w:r>
    </w:p>
    <w:p w14:paraId="04C157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（二）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细化预算编制工作，进一步加强内设机构的预算管理意识，严格按照预算编制的相关制度和要求进行预算编制。全面编制预算项目，优先保障固定性的、相对刚性的费用支出项目，尽量压缩变动性的控制空间的费用项目，进步提高预算编制的科学性、严谨性和可控性，加强内部预算编制的审核和预算控制指标的下达。</w:t>
      </w:r>
    </w:p>
    <w:p w14:paraId="1F61E9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（三）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合理安排会计岗位，适当增加会计人员，增加业务知识培训，加强决算工作与账务处理工作衔接。对相关人员加强培训，特别是针对《预算法》《行政事业单位会计制度》等的学习培训，规范部门预算收支核算，切实提高部门预算收支管理水平。</w:t>
      </w:r>
    </w:p>
    <w:p w14:paraId="6790A6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九</w:t>
      </w:r>
      <w:r>
        <w:rPr>
          <w:rFonts w:hint="eastAsia" w:ascii="黑体" w:hAnsi="黑体" w:eastAsia="黑体" w:cs="黑体"/>
          <w:sz w:val="32"/>
          <w:szCs w:val="32"/>
        </w:rPr>
        <w:t>、部门整体支出绩效自评结果拟应用和公开情况</w:t>
      </w:r>
    </w:p>
    <w:p w14:paraId="5306CF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根据市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、县级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财政相关部门统一部署，我单位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</w:rPr>
        <w:t>202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年部门整体支出绩效自评情况将在单位门户网站公开，接受社会监督。对绩效自评工作中发现的问题及时整改，解决好绩效评价管理中存在的问题，提高工作效能。根据部门整体支出绩效评价指标评分标准，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</w:rPr>
        <w:t>202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年我单位部门整体绩效评价自评分为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94.5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分。</w:t>
      </w:r>
    </w:p>
    <w:p w14:paraId="61EFF5DD">
      <w:pPr>
        <w:ind w:firstLine="640"/>
        <w:rPr>
          <w:rFonts w:hint="eastAsia" w:ascii="黑体" w:hAnsi="宋体" w:eastAsia="黑体" w:cs="Times New Roman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Times New Roman"/>
          <w:sz w:val="32"/>
          <w:szCs w:val="32"/>
          <w:lang w:val="en-US" w:eastAsia="zh-CN" w:bidi="ar"/>
        </w:rPr>
        <w:t>十、其他需要说明的情况</w:t>
      </w:r>
    </w:p>
    <w:p w14:paraId="679F1C9F">
      <w:pPr>
        <w:pStyle w:val="2"/>
        <w:ind w:firstLine="640"/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 w:bidi="ar-SA"/>
        </w:rPr>
        <w:t>无。</w:t>
      </w:r>
    </w:p>
    <w:p w14:paraId="57C8260A">
      <w:pPr>
        <w:pStyle w:val="2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351FBBD6">
      <w:pPr>
        <w:pStyle w:val="2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7DCAF2EF">
      <w:pPr>
        <w:pStyle w:val="2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231C08AB">
      <w:pPr>
        <w:pStyle w:val="2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16677A20">
      <w:pPr>
        <w:pStyle w:val="2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524285EC">
      <w:pPr>
        <w:pStyle w:val="2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1F1C8396">
      <w:pPr>
        <w:pStyle w:val="2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3AD76C60">
      <w:pPr>
        <w:pStyle w:val="2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4DF191B9">
      <w:pPr>
        <w:pStyle w:val="2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5C9EE9B0">
      <w:pPr>
        <w:pStyle w:val="2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65767A11">
      <w:pPr>
        <w:pStyle w:val="2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5523E078">
      <w:pPr>
        <w:pStyle w:val="2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701977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附件：</w:t>
      </w:r>
    </w:p>
    <w:p w14:paraId="67EC84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</w:rPr>
        <w:t>1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.部门整体支出绩效评价基础数据表</w:t>
      </w:r>
    </w:p>
    <w:p w14:paraId="00B915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</w:rPr>
        <w:t>2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.部门整体支出绩效自评表</w:t>
      </w:r>
    </w:p>
    <w:p w14:paraId="4567AA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</w:rPr>
        <w:t>3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.项目支出绩效自评表</w:t>
      </w:r>
    </w:p>
    <w:p w14:paraId="7BF1EB70">
      <w:pPr>
        <w:pStyle w:val="2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</w:p>
    <w:p w14:paraId="70E20E72">
      <w:pPr>
        <w:pStyle w:val="2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</w:p>
    <w:p w14:paraId="760E569E">
      <w:pPr>
        <w:pStyle w:val="2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</w:p>
    <w:p w14:paraId="17B55E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</w:p>
    <w:p w14:paraId="20F2DD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cs="Times New Roman"/>
        </w:rPr>
      </w:pPr>
    </w:p>
    <w:p w14:paraId="2498DF8A">
      <w:pPr>
        <w:jc w:val="right"/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桃源县杨溪桥镇人民政府</w:t>
      </w:r>
    </w:p>
    <w:p w14:paraId="77A4C7CC">
      <w:pPr>
        <w:jc w:val="center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                             </w:t>
      </w:r>
      <w:r>
        <w:rPr>
          <w:rFonts w:hint="default" w:ascii="Times New Roman" w:hAnsi="Times New Roman" w:eastAsia="仿宋_GB2312" w:cs="Times New Roman"/>
          <w:sz w:val="30"/>
          <w:szCs w:val="30"/>
        </w:rPr>
        <w:t>202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default" w:ascii="Times New Roman" w:hAnsi="Times New Roman" w:eastAsia="仿宋_GB2312" w:cs="Times New Roman"/>
          <w:sz w:val="30"/>
          <w:szCs w:val="30"/>
        </w:rPr>
        <w:t>2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p w14:paraId="0CA34380">
      <w:pPr>
        <w:rPr>
          <w:rFonts w:hint="eastAsia"/>
          <w:lang w:val="en-US" w:eastAsia="zh-CN"/>
        </w:rPr>
      </w:pPr>
    </w:p>
    <w:p w14:paraId="7ED6F1F5">
      <w:pPr>
        <w:rPr>
          <w:rFonts w:cs="Times New Roman"/>
        </w:rPr>
      </w:pPr>
    </w:p>
    <w:p w14:paraId="3363B108">
      <w:pPr>
        <w:rPr>
          <w:rFonts w:cs="Times New Roman"/>
        </w:rPr>
      </w:pPr>
    </w:p>
    <w:p w14:paraId="3D8D1031">
      <w:pPr>
        <w:rPr>
          <w:rFonts w:cs="Times New Roman"/>
        </w:rPr>
      </w:pPr>
    </w:p>
    <w:p w14:paraId="5A145E5F">
      <w:pPr>
        <w:rPr>
          <w:rFonts w:cs="Times New Roman"/>
        </w:rPr>
      </w:pPr>
    </w:p>
    <w:p w14:paraId="2E5BB336">
      <w:pPr>
        <w:rPr>
          <w:rFonts w:cs="Times New Roman"/>
        </w:rPr>
      </w:pPr>
    </w:p>
    <w:p w14:paraId="3E3C0C2D">
      <w:pPr>
        <w:rPr>
          <w:rFonts w:cs="Times New Roman"/>
        </w:rPr>
      </w:pPr>
    </w:p>
    <w:p w14:paraId="147A91F9">
      <w:pPr>
        <w:rPr>
          <w:rFonts w:cs="Times New Roman"/>
        </w:rPr>
      </w:pPr>
    </w:p>
    <w:p w14:paraId="1CCF02C9">
      <w:pPr>
        <w:rPr>
          <w:rFonts w:cs="Times New Roman"/>
        </w:rPr>
      </w:pPr>
    </w:p>
    <w:p w14:paraId="649CE14D">
      <w:pPr>
        <w:rPr>
          <w:rFonts w:cs="Times New Roman"/>
        </w:rPr>
      </w:pPr>
    </w:p>
    <w:p w14:paraId="225E40EC">
      <w:pPr>
        <w:rPr>
          <w:rFonts w:cs="Times New Roman"/>
        </w:rPr>
      </w:pPr>
    </w:p>
    <w:p w14:paraId="282FD77F">
      <w:pPr>
        <w:rPr>
          <w:rFonts w:cs="Times New Roman"/>
        </w:rPr>
      </w:pPr>
    </w:p>
    <w:p w14:paraId="0F36A0D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82DD9B"/>
    <w:multiLevelType w:val="singleLevel"/>
    <w:tmpl w:val="D382DD9B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65114E4B"/>
    <w:multiLevelType w:val="singleLevel"/>
    <w:tmpl w:val="65114E4B"/>
    <w:lvl w:ilvl="0" w:tentative="0">
      <w:start w:val="1"/>
      <w:numFmt w:val="chineseCounting"/>
      <w:suff w:val="nothing"/>
      <w:lvlText w:val="%1、"/>
      <w:lvlJc w:val="left"/>
    </w:lvl>
  </w:abstractNum>
  <w:abstractNum w:abstractNumId="2">
    <w:nsid w:val="65115558"/>
    <w:multiLevelType w:val="singleLevel"/>
    <w:tmpl w:val="65115558"/>
    <w:lvl w:ilvl="0" w:tentative="0">
      <w:start w:val="3"/>
      <w:numFmt w:val="chineseCounting"/>
      <w:suff w:val="nothing"/>
      <w:lvlText w:val="%1、"/>
      <w:lvlJc w:val="left"/>
    </w:lvl>
  </w:abstractNum>
  <w:abstractNum w:abstractNumId="3">
    <w:nsid w:val="656D91E9"/>
    <w:multiLevelType w:val="singleLevel"/>
    <w:tmpl w:val="656D91E9"/>
    <w:lvl w:ilvl="0" w:tentative="0">
      <w:start w:val="1"/>
      <w:numFmt w:val="decimal"/>
      <w:suff w:val="nothing"/>
      <w:lvlText w:val="%1.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hiODU4ZGMyZWNmMDI3N2EyNWI2M2YzOGFkOGY3YjkifQ=="/>
  </w:docVars>
  <w:rsids>
    <w:rsidRoot w:val="00000000"/>
    <w:rsid w:val="0645422B"/>
    <w:rsid w:val="09A16333"/>
    <w:rsid w:val="159A2DA6"/>
    <w:rsid w:val="1A993101"/>
    <w:rsid w:val="1CDB5704"/>
    <w:rsid w:val="1FBA04BD"/>
    <w:rsid w:val="26581BE1"/>
    <w:rsid w:val="342D129B"/>
    <w:rsid w:val="45C34802"/>
    <w:rsid w:val="47334CE4"/>
    <w:rsid w:val="478C6BFC"/>
    <w:rsid w:val="4AFB1149"/>
    <w:rsid w:val="4DBF53A7"/>
    <w:rsid w:val="524E7A69"/>
    <w:rsid w:val="543379B5"/>
    <w:rsid w:val="551B664B"/>
    <w:rsid w:val="55E90959"/>
    <w:rsid w:val="76727E64"/>
    <w:rsid w:val="781D3567"/>
    <w:rsid w:val="7CFE77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99"/>
    <w:pPr>
      <w:spacing w:after="120"/>
      <w:textAlignment w:val="baseline"/>
    </w:pPr>
    <w:rPr>
      <w:rFonts w:eastAsia="宋体"/>
      <w:sz w:val="32"/>
      <w:szCs w:val="32"/>
    </w:rPr>
  </w:style>
  <w:style w:type="paragraph" w:customStyle="1" w:styleId="5">
    <w:name w:val="List Paragraph"/>
    <w:basedOn w:val="1"/>
    <w:qFormat/>
    <w:uiPriority w:val="99"/>
    <w:pPr>
      <w:ind w:firstLine="420" w:firstLineChars="200"/>
    </w:pPr>
    <w:rPr>
      <w:rFonts w:ascii="Calibri" w:hAnsi="Calibri" w:cs="Calibri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2846</Words>
  <Characters>3176</Characters>
  <Lines>0</Lines>
  <Paragraphs>0</Paragraphs>
  <TotalTime>2</TotalTime>
  <ScaleCrop>false</ScaleCrop>
  <LinksUpToDate>false</LinksUpToDate>
  <CharactersWithSpaces>3226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翀楊.</cp:lastModifiedBy>
  <dcterms:modified xsi:type="dcterms:W3CDTF">2026-10-16T01:23:17Z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991110524C554C3CADAAA9BC9A8CCF04_12</vt:lpwstr>
  </property>
</Properties>
</file>