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sz w:val="32"/>
          <w:szCs w:val="32"/>
          <w:lang w:eastAsia="zh-CN"/>
        </w:rPr>
      </w:pPr>
      <w:r>
        <w:rPr>
          <w:rFonts w:hint="eastAsia"/>
          <w:sz w:val="32"/>
          <w:szCs w:val="32"/>
        </w:rPr>
        <w:t>附表</w:t>
      </w:r>
      <w:r>
        <w:rPr>
          <w:rFonts w:hint="eastAsia"/>
          <w:sz w:val="32"/>
          <w:szCs w:val="32"/>
          <w:lang w:eastAsia="zh-CN"/>
        </w:rPr>
        <w:t>一</w:t>
      </w:r>
    </w:p>
    <w:p>
      <w:pPr>
        <w:jc w:val="center"/>
        <w:rPr>
          <w:rFonts w:hint="eastAsia" w:ascii="宋体" w:hAnsi="宋体" w:eastAsia="宋体" w:cs="宋体"/>
          <w:b/>
          <w:bCs/>
          <w:sz w:val="44"/>
          <w:szCs w:val="44"/>
        </w:rPr>
      </w:pPr>
      <w:bookmarkStart w:id="0" w:name="_GoBack"/>
      <w:r>
        <w:rPr>
          <w:rFonts w:hint="eastAsia" w:ascii="宋体" w:hAnsi="宋体" w:eastAsia="宋体" w:cs="宋体"/>
          <w:b/>
          <w:bCs/>
          <w:sz w:val="44"/>
          <w:szCs w:val="44"/>
          <w:lang w:eastAsia="zh-CN"/>
        </w:rPr>
        <w:t>桃源县</w:t>
      </w:r>
      <w:r>
        <w:rPr>
          <w:rFonts w:hint="eastAsia" w:ascii="宋体" w:hAnsi="宋体" w:eastAsia="宋体" w:cs="宋体"/>
          <w:b/>
          <w:bCs/>
          <w:sz w:val="44"/>
          <w:szCs w:val="44"/>
        </w:rPr>
        <w:t>普通住宅前期物业服务收费标准</w:t>
      </w:r>
    </w:p>
    <w:bookmarkEnd w:id="0"/>
    <w:p>
      <w:pPr>
        <w:jc w:val="center"/>
        <w:rPr>
          <w:rFonts w:hint="eastAsia" w:ascii="仿宋_GB2312" w:hAnsi="仿宋_GB2312" w:eastAsia="仿宋_GB2312" w:cs="仿宋_GB2312"/>
          <w:sz w:val="44"/>
          <w:szCs w:val="44"/>
        </w:rPr>
      </w:pPr>
      <w:r>
        <w:rPr>
          <w:rFonts w:hint="eastAsia" w:ascii="仿宋_GB2312" w:hAnsi="仿宋_GB2312" w:eastAsia="仿宋_GB2312" w:cs="仿宋_GB2312"/>
          <w:b w:val="0"/>
          <w:bCs w:val="0"/>
          <w:sz w:val="32"/>
          <w:szCs w:val="32"/>
        </w:rPr>
        <w:t>（基</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准</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价）</w:t>
      </w:r>
    </w:p>
    <w:p>
      <w:pPr>
        <w:rPr>
          <w:rFonts w:hint="eastAsia"/>
        </w:rPr>
      </w:pPr>
      <w:r>
        <w:rPr>
          <w:rFonts w:hint="eastAsia"/>
        </w:rPr>
        <w:t xml:space="preserve">                                                                                      </w:t>
      </w:r>
      <w:r>
        <w:rPr>
          <w:rFonts w:hint="eastAsia"/>
          <w:lang w:val="en-US" w:eastAsia="zh-CN"/>
        </w:rPr>
        <w:t xml:space="preserve">                              </w:t>
      </w:r>
      <w:r>
        <w:rPr>
          <w:rFonts w:hint="eastAsia"/>
        </w:rPr>
        <w:t>（单位：元/平方米·月）</w:t>
      </w:r>
    </w:p>
    <w:tbl>
      <w:tblPr>
        <w:tblStyle w:val="3"/>
        <w:tblW w:w="13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11"/>
        <w:gridCol w:w="1632"/>
        <w:gridCol w:w="912"/>
        <w:gridCol w:w="9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1411" w:type="dxa"/>
            <w:vMerge w:val="restart"/>
            <w:tcBorders>
              <w:top w:val="single" w:color="000000" w:sz="4" w:space="0"/>
              <w:left w:val="single" w:color="000000" w:sz="4" w:space="0"/>
              <w:bottom w:val="single" w:color="000000" w:sz="4" w:space="0"/>
              <w:right w:val="single" w:color="000000" w:sz="4" w:space="0"/>
            </w:tcBorders>
            <w:noWrap w:val="0"/>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仿宋_GB2312" w:hAnsi="仿宋_GB2312" w:eastAsia="仿宋_GB2312" w:cs="仿宋_GB2312"/>
                <w:color w:val="3D3D3D"/>
                <w:sz w:val="28"/>
                <w:szCs w:val="28"/>
              </w:rPr>
            </w:pPr>
            <w:r>
              <w:rPr>
                <w:rFonts w:hint="eastAsia" w:ascii="仿宋_GB2312" w:hAnsi="仿宋_GB2312" w:eastAsia="仿宋_GB2312" w:cs="仿宋_GB2312"/>
                <w:b/>
                <w:bCs/>
                <w:color w:val="3D3D3D"/>
                <w:sz w:val="28"/>
                <w:szCs w:val="28"/>
              </w:rPr>
              <w:t>物业服务等    级</w:t>
            </w:r>
          </w:p>
        </w:tc>
        <w:tc>
          <w:tcPr>
            <w:tcW w:w="2544" w:type="dxa"/>
            <w:gridSpan w:val="2"/>
            <w:tcBorders>
              <w:top w:val="single" w:color="000000" w:sz="4" w:space="0"/>
              <w:left w:val="nil"/>
              <w:bottom w:val="single" w:color="000000" w:sz="4" w:space="0"/>
              <w:right w:val="single" w:color="000000" w:sz="4" w:space="0"/>
            </w:tcBorders>
            <w:noWrap w:val="0"/>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仿宋_GB2312" w:hAnsi="仿宋_GB2312" w:eastAsia="仿宋_GB2312" w:cs="仿宋_GB2312"/>
                <w:b/>
                <w:bCs/>
                <w:color w:val="3D3D3D"/>
                <w:sz w:val="28"/>
                <w:szCs w:val="28"/>
              </w:rPr>
            </w:pPr>
            <w:r>
              <w:rPr>
                <w:rFonts w:hint="eastAsia" w:ascii="仿宋_GB2312" w:hAnsi="仿宋_GB2312" w:eastAsia="仿宋_GB2312" w:cs="仿宋_GB2312"/>
                <w:b/>
                <w:bCs/>
                <w:color w:val="3D3D3D"/>
                <w:sz w:val="28"/>
                <w:szCs w:val="28"/>
              </w:rPr>
              <w:t>物业服务收费标准</w:t>
            </w:r>
          </w:p>
        </w:tc>
        <w:tc>
          <w:tcPr>
            <w:tcW w:w="9550" w:type="dxa"/>
            <w:tcBorders>
              <w:top w:val="single" w:color="000000" w:sz="4" w:space="0"/>
              <w:left w:val="nil"/>
              <w:bottom w:val="single" w:color="000000" w:sz="4" w:space="0"/>
              <w:right w:val="single" w:color="000000" w:sz="4" w:space="0"/>
            </w:tcBorders>
            <w:noWrap w:val="0"/>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仿宋_GB2312" w:hAnsi="仿宋_GB2312" w:eastAsia="仿宋_GB2312" w:cs="仿宋_GB2312"/>
                <w:b/>
                <w:bCs/>
                <w:color w:val="3D3D3D"/>
                <w:sz w:val="28"/>
                <w:szCs w:val="28"/>
              </w:rPr>
            </w:pPr>
            <w:r>
              <w:rPr>
                <w:rFonts w:hint="eastAsia" w:ascii="仿宋_GB2312" w:hAnsi="仿宋_GB2312" w:eastAsia="仿宋_GB2312" w:cs="仿宋_GB2312"/>
                <w:b/>
                <w:bCs/>
                <w:color w:val="3D3D3D"/>
                <w:sz w:val="28"/>
                <w:szCs w:val="28"/>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exact"/>
        </w:trPr>
        <w:tc>
          <w:tcPr>
            <w:tcW w:w="1411" w:type="dxa"/>
            <w:vMerge w:val="continue"/>
            <w:tcBorders>
              <w:top w:val="single" w:color="000000" w:sz="4" w:space="0"/>
              <w:left w:val="single" w:color="000000" w:sz="4" w:space="0"/>
              <w:bottom w:val="single" w:color="000000" w:sz="4" w:space="0"/>
              <w:right w:val="single" w:color="000000" w:sz="4" w:space="0"/>
            </w:tcBorders>
            <w:noWrap w:val="0"/>
            <w:tcMar>
              <w:left w:w="84" w:type="dxa"/>
              <w:right w:w="84" w:type="dxa"/>
            </w:tcMar>
            <w:vAlign w:val="center"/>
          </w:tcPr>
          <w:p>
            <w:pPr>
              <w:rPr>
                <w:rFonts w:hint="eastAsia" w:ascii="仿宋_GB2312" w:hAnsi="仿宋_GB2312" w:eastAsia="仿宋_GB2312" w:cs="仿宋_GB2312"/>
                <w:sz w:val="28"/>
                <w:szCs w:val="28"/>
              </w:rPr>
            </w:pPr>
          </w:p>
        </w:tc>
        <w:tc>
          <w:tcPr>
            <w:tcW w:w="1632"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多层无电梯房</w:t>
            </w:r>
          </w:p>
        </w:tc>
        <w:tc>
          <w:tcPr>
            <w:tcW w:w="912"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电梯房</w:t>
            </w:r>
          </w:p>
        </w:tc>
        <w:tc>
          <w:tcPr>
            <w:tcW w:w="9550" w:type="dxa"/>
            <w:vMerge w:val="restart"/>
            <w:tcBorders>
              <w:top w:val="nil"/>
              <w:left w:val="nil"/>
              <w:bottom w:val="single" w:color="000000" w:sz="4" w:space="0"/>
              <w:right w:val="single" w:color="000000" w:sz="4" w:space="0"/>
            </w:tcBorders>
            <w:noWrap w:val="0"/>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1.物业服务企业提供的服务达不到小区相应等级服务标准，收费标准应在基准价的基础上下调；提供的服务高于小区相应等级服务标准，收费标准可在基准价基础上适度上调；上下调整幅度不超过10%。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2.物业服务企业财务年度内累计被业主因物业服务、收费等投诉5次（含）以上，且经相关部门核定属实的，发改（价格主管）、物业管理行政主管部门可视具体情况下调物业服务企业在该小区物业服务收费等级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3.物业服务收费标准中已包含电梯运行费用，即电梯运行电费、电梯定期检查常规保养、电梯年度安全检测。不包含二次供水加压电费、消防、防雷公共设施设备检测费用，上述费用据实分摊。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1" w:hRule="atLeast"/>
        </w:trPr>
        <w:tc>
          <w:tcPr>
            <w:tcW w:w="141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四级</w:t>
            </w:r>
          </w:p>
        </w:tc>
        <w:tc>
          <w:tcPr>
            <w:tcW w:w="1632"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仿宋_GB2312" w:hAnsi="仿宋_GB2312" w:eastAsia="仿宋_GB2312" w:cs="仿宋_GB2312"/>
                <w:color w:val="3D3D3D"/>
                <w:sz w:val="28"/>
                <w:szCs w:val="28"/>
                <w:lang w:eastAsia="zh-CN"/>
              </w:rPr>
            </w:pPr>
            <w:r>
              <w:rPr>
                <w:rFonts w:hint="eastAsia" w:ascii="仿宋_GB2312" w:hAnsi="仿宋_GB2312" w:eastAsia="仿宋_GB2312" w:cs="仿宋_GB2312"/>
                <w:color w:val="3D3D3D"/>
                <w:sz w:val="28"/>
                <w:szCs w:val="28"/>
              </w:rPr>
              <w:t>1.</w:t>
            </w:r>
            <w:r>
              <w:rPr>
                <w:rFonts w:hint="eastAsia" w:ascii="仿宋_GB2312" w:hAnsi="仿宋_GB2312" w:eastAsia="仿宋_GB2312" w:cs="仿宋_GB2312"/>
                <w:color w:val="3D3D3D"/>
                <w:sz w:val="28"/>
                <w:szCs w:val="28"/>
                <w:lang w:val="en-US" w:eastAsia="zh-CN"/>
              </w:rPr>
              <w:t>2</w:t>
            </w:r>
          </w:p>
        </w:tc>
        <w:tc>
          <w:tcPr>
            <w:tcW w:w="912"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仿宋_GB2312" w:hAnsi="仿宋_GB2312" w:eastAsia="仿宋_GB2312" w:cs="仿宋_GB2312"/>
                <w:color w:val="3D3D3D"/>
                <w:sz w:val="28"/>
                <w:szCs w:val="28"/>
                <w:lang w:val="en-US" w:eastAsia="zh-CN"/>
              </w:rPr>
            </w:pPr>
            <w:r>
              <w:rPr>
                <w:rFonts w:hint="eastAsia" w:ascii="仿宋_GB2312" w:hAnsi="仿宋_GB2312" w:eastAsia="仿宋_GB2312" w:cs="仿宋_GB2312"/>
                <w:color w:val="3D3D3D"/>
                <w:sz w:val="28"/>
                <w:szCs w:val="28"/>
                <w:lang w:val="en-US" w:eastAsia="zh-CN"/>
              </w:rPr>
              <w:t>1.9</w:t>
            </w:r>
          </w:p>
        </w:tc>
        <w:tc>
          <w:tcPr>
            <w:tcW w:w="9550" w:type="dxa"/>
            <w:vMerge w:val="continue"/>
            <w:tcBorders>
              <w:top w:val="nil"/>
              <w:left w:val="nil"/>
              <w:bottom w:val="single" w:color="000000" w:sz="4" w:space="0"/>
              <w:right w:val="single" w:color="000000" w:sz="4" w:space="0"/>
            </w:tcBorders>
            <w:noWrap w:val="0"/>
            <w:tcMar>
              <w:left w:w="84" w:type="dxa"/>
              <w:right w:w="84" w:type="dxa"/>
            </w:tcMar>
            <w:vAlign w:val="top"/>
          </w:tcPr>
          <w:p>
            <w:pP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7" w:hRule="atLeast"/>
        </w:trPr>
        <w:tc>
          <w:tcPr>
            <w:tcW w:w="141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三级</w:t>
            </w:r>
          </w:p>
        </w:tc>
        <w:tc>
          <w:tcPr>
            <w:tcW w:w="1632"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仿宋_GB2312" w:hAnsi="仿宋_GB2312" w:eastAsia="仿宋_GB2312" w:cs="仿宋_GB2312"/>
                <w:color w:val="3D3D3D"/>
                <w:sz w:val="28"/>
                <w:szCs w:val="28"/>
                <w:lang w:eastAsia="zh-CN"/>
              </w:rPr>
            </w:pPr>
            <w:r>
              <w:rPr>
                <w:rFonts w:hint="eastAsia" w:ascii="仿宋_GB2312" w:hAnsi="仿宋_GB2312" w:eastAsia="仿宋_GB2312" w:cs="仿宋_GB2312"/>
                <w:color w:val="3D3D3D"/>
                <w:sz w:val="28"/>
                <w:szCs w:val="28"/>
              </w:rPr>
              <w:t>1.</w:t>
            </w:r>
            <w:r>
              <w:rPr>
                <w:rFonts w:hint="eastAsia" w:ascii="仿宋_GB2312" w:hAnsi="仿宋_GB2312" w:eastAsia="仿宋_GB2312" w:cs="仿宋_GB2312"/>
                <w:color w:val="3D3D3D"/>
                <w:sz w:val="28"/>
                <w:szCs w:val="28"/>
                <w:lang w:val="en-US" w:eastAsia="zh-CN"/>
              </w:rPr>
              <w:t>0</w:t>
            </w:r>
          </w:p>
        </w:tc>
        <w:tc>
          <w:tcPr>
            <w:tcW w:w="912"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仿宋_GB2312" w:hAnsi="仿宋_GB2312" w:eastAsia="仿宋_GB2312" w:cs="仿宋_GB2312"/>
                <w:color w:val="3D3D3D"/>
                <w:sz w:val="28"/>
                <w:szCs w:val="28"/>
                <w:lang w:val="en-US" w:eastAsia="zh-CN"/>
              </w:rPr>
            </w:pPr>
            <w:r>
              <w:rPr>
                <w:rFonts w:hint="eastAsia" w:ascii="仿宋_GB2312" w:hAnsi="仿宋_GB2312" w:eastAsia="仿宋_GB2312" w:cs="仿宋_GB2312"/>
                <w:color w:val="3D3D3D"/>
                <w:sz w:val="28"/>
                <w:szCs w:val="28"/>
              </w:rPr>
              <w:t>1.</w:t>
            </w:r>
            <w:r>
              <w:rPr>
                <w:rFonts w:hint="eastAsia" w:ascii="仿宋_GB2312" w:hAnsi="仿宋_GB2312" w:eastAsia="仿宋_GB2312" w:cs="仿宋_GB2312"/>
                <w:color w:val="3D3D3D"/>
                <w:sz w:val="28"/>
                <w:szCs w:val="28"/>
                <w:lang w:val="en-US" w:eastAsia="zh-CN"/>
              </w:rPr>
              <w:t>6</w:t>
            </w:r>
          </w:p>
        </w:tc>
        <w:tc>
          <w:tcPr>
            <w:tcW w:w="9550" w:type="dxa"/>
            <w:vMerge w:val="continue"/>
            <w:tcBorders>
              <w:top w:val="nil"/>
              <w:left w:val="nil"/>
              <w:bottom w:val="single" w:color="000000" w:sz="4" w:space="0"/>
              <w:right w:val="single" w:color="000000" w:sz="4" w:space="0"/>
            </w:tcBorders>
            <w:noWrap w:val="0"/>
            <w:tcMar>
              <w:left w:w="84" w:type="dxa"/>
              <w:right w:w="84" w:type="dxa"/>
            </w:tcMar>
            <w:vAlign w:val="top"/>
          </w:tcPr>
          <w:p>
            <w:pP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 w:hRule="atLeast"/>
        </w:trPr>
        <w:tc>
          <w:tcPr>
            <w:tcW w:w="141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二级</w:t>
            </w:r>
          </w:p>
        </w:tc>
        <w:tc>
          <w:tcPr>
            <w:tcW w:w="1632"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仿宋_GB2312" w:hAnsi="仿宋_GB2312" w:eastAsia="仿宋_GB2312" w:cs="仿宋_GB2312"/>
                <w:color w:val="3D3D3D"/>
                <w:sz w:val="28"/>
                <w:szCs w:val="28"/>
                <w:lang w:val="en-US" w:eastAsia="zh-CN"/>
              </w:rPr>
            </w:pPr>
            <w:r>
              <w:rPr>
                <w:rFonts w:hint="eastAsia" w:ascii="仿宋_GB2312" w:hAnsi="仿宋_GB2312" w:eastAsia="仿宋_GB2312" w:cs="仿宋_GB2312"/>
                <w:color w:val="3D3D3D"/>
                <w:sz w:val="28"/>
                <w:szCs w:val="28"/>
              </w:rPr>
              <w:t>0.</w:t>
            </w:r>
            <w:r>
              <w:rPr>
                <w:rFonts w:hint="eastAsia" w:ascii="仿宋_GB2312" w:hAnsi="仿宋_GB2312" w:eastAsia="仿宋_GB2312" w:cs="仿宋_GB2312"/>
                <w:color w:val="3D3D3D"/>
                <w:sz w:val="28"/>
                <w:szCs w:val="28"/>
                <w:lang w:val="en-US" w:eastAsia="zh-CN"/>
              </w:rPr>
              <w:t>8</w:t>
            </w:r>
          </w:p>
        </w:tc>
        <w:tc>
          <w:tcPr>
            <w:tcW w:w="912"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仿宋_GB2312" w:hAnsi="仿宋_GB2312" w:eastAsia="仿宋_GB2312" w:cs="仿宋_GB2312"/>
                <w:color w:val="3D3D3D"/>
                <w:sz w:val="28"/>
                <w:szCs w:val="28"/>
                <w:lang w:val="en-US" w:eastAsia="zh-CN"/>
              </w:rPr>
            </w:pPr>
            <w:r>
              <w:rPr>
                <w:rFonts w:hint="eastAsia" w:ascii="仿宋_GB2312" w:hAnsi="仿宋_GB2312" w:eastAsia="仿宋_GB2312" w:cs="仿宋_GB2312"/>
                <w:color w:val="3D3D3D"/>
                <w:sz w:val="28"/>
                <w:szCs w:val="28"/>
              </w:rPr>
              <w:t>1.</w:t>
            </w:r>
            <w:r>
              <w:rPr>
                <w:rFonts w:hint="eastAsia" w:ascii="仿宋_GB2312" w:hAnsi="仿宋_GB2312" w:eastAsia="仿宋_GB2312" w:cs="仿宋_GB2312"/>
                <w:color w:val="3D3D3D"/>
                <w:sz w:val="28"/>
                <w:szCs w:val="28"/>
                <w:lang w:val="en-US" w:eastAsia="zh-CN"/>
              </w:rPr>
              <w:t>3</w:t>
            </w:r>
          </w:p>
        </w:tc>
        <w:tc>
          <w:tcPr>
            <w:tcW w:w="9550" w:type="dxa"/>
            <w:vMerge w:val="continue"/>
            <w:tcBorders>
              <w:top w:val="nil"/>
              <w:left w:val="nil"/>
              <w:bottom w:val="single" w:color="000000" w:sz="4" w:space="0"/>
              <w:right w:val="single" w:color="000000" w:sz="4" w:space="0"/>
            </w:tcBorders>
            <w:noWrap w:val="0"/>
            <w:tcMar>
              <w:left w:w="84" w:type="dxa"/>
              <w:right w:w="84" w:type="dxa"/>
            </w:tcMar>
            <w:vAlign w:val="top"/>
          </w:tcPr>
          <w:p>
            <w:pP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7" w:hRule="atLeast"/>
        </w:trPr>
        <w:tc>
          <w:tcPr>
            <w:tcW w:w="141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一级</w:t>
            </w:r>
          </w:p>
        </w:tc>
        <w:tc>
          <w:tcPr>
            <w:tcW w:w="1632"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仿宋_GB2312" w:hAnsi="仿宋_GB2312" w:eastAsia="仿宋_GB2312" w:cs="仿宋_GB2312"/>
                <w:color w:val="3D3D3D"/>
                <w:sz w:val="28"/>
                <w:szCs w:val="28"/>
                <w:lang w:eastAsia="zh-CN"/>
              </w:rPr>
            </w:pPr>
            <w:r>
              <w:rPr>
                <w:rFonts w:hint="eastAsia" w:ascii="仿宋_GB2312" w:hAnsi="仿宋_GB2312" w:eastAsia="仿宋_GB2312" w:cs="仿宋_GB2312"/>
                <w:color w:val="3D3D3D"/>
                <w:sz w:val="28"/>
                <w:szCs w:val="28"/>
              </w:rPr>
              <w:t>0.</w:t>
            </w:r>
            <w:r>
              <w:rPr>
                <w:rFonts w:hint="eastAsia" w:ascii="仿宋_GB2312" w:hAnsi="仿宋_GB2312" w:eastAsia="仿宋_GB2312" w:cs="仿宋_GB2312"/>
                <w:color w:val="3D3D3D"/>
                <w:sz w:val="28"/>
                <w:szCs w:val="28"/>
                <w:lang w:val="en-US" w:eastAsia="zh-CN"/>
              </w:rPr>
              <w:t>6</w:t>
            </w:r>
          </w:p>
        </w:tc>
        <w:tc>
          <w:tcPr>
            <w:tcW w:w="912"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仿宋_GB2312" w:hAnsi="仿宋_GB2312" w:eastAsia="仿宋_GB2312" w:cs="仿宋_GB2312"/>
                <w:color w:val="3D3D3D"/>
                <w:sz w:val="28"/>
                <w:szCs w:val="28"/>
                <w:lang w:val="en-US" w:eastAsia="zh-CN"/>
              </w:rPr>
            </w:pPr>
            <w:r>
              <w:rPr>
                <w:rFonts w:hint="eastAsia" w:ascii="仿宋_GB2312" w:hAnsi="仿宋_GB2312" w:eastAsia="仿宋_GB2312" w:cs="仿宋_GB2312"/>
                <w:color w:val="3D3D3D"/>
                <w:sz w:val="28"/>
                <w:szCs w:val="28"/>
                <w:lang w:val="en-US" w:eastAsia="zh-CN"/>
              </w:rPr>
              <w:t>1.0</w:t>
            </w:r>
          </w:p>
        </w:tc>
        <w:tc>
          <w:tcPr>
            <w:tcW w:w="9550" w:type="dxa"/>
            <w:vMerge w:val="continue"/>
            <w:tcBorders>
              <w:top w:val="nil"/>
              <w:left w:val="nil"/>
              <w:bottom w:val="single" w:color="000000" w:sz="4" w:space="0"/>
              <w:right w:val="single" w:color="000000" w:sz="4" w:space="0"/>
            </w:tcBorders>
            <w:noWrap w:val="0"/>
            <w:tcMar>
              <w:left w:w="84" w:type="dxa"/>
              <w:right w:w="84" w:type="dxa"/>
            </w:tcMar>
            <w:vAlign w:val="top"/>
          </w:tcPr>
          <w:p>
            <w:pPr>
              <w:rPr>
                <w:rFonts w:hint="eastAsia" w:ascii="仿宋_GB2312" w:hAnsi="仿宋_GB2312" w:eastAsia="仿宋_GB2312" w:cs="仿宋_GB2312"/>
                <w:sz w:val="28"/>
                <w:szCs w:val="28"/>
              </w:rPr>
            </w:pPr>
          </w:p>
        </w:tc>
      </w:tr>
    </w:tbl>
    <w:p>
      <w:pPr>
        <w:rPr>
          <w:rFonts w:hint="eastAsia" w:eastAsiaTheme="minorEastAsia"/>
          <w:sz w:val="32"/>
          <w:szCs w:val="32"/>
          <w:lang w:eastAsia="zh-CN"/>
        </w:rPr>
      </w:pPr>
      <w:r>
        <w:rPr>
          <w:rFonts w:hint="eastAsia"/>
          <w:sz w:val="32"/>
          <w:szCs w:val="32"/>
        </w:rPr>
        <w:t>附表</w:t>
      </w:r>
      <w:r>
        <w:rPr>
          <w:rFonts w:hint="eastAsia"/>
          <w:sz w:val="32"/>
          <w:szCs w:val="32"/>
          <w:lang w:val="en-US" w:eastAsia="zh-CN"/>
        </w:rPr>
        <w:t>二</w:t>
      </w:r>
    </w:p>
    <w:p>
      <w:pPr>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lang w:eastAsia="zh-CN"/>
        </w:rPr>
        <w:t>桃源县</w:t>
      </w:r>
      <w:r>
        <w:rPr>
          <w:rFonts w:hint="eastAsia" w:ascii="仿宋_GB2312" w:hAnsi="仿宋_GB2312" w:eastAsia="仿宋_GB2312" w:cs="仿宋_GB2312"/>
          <w:sz w:val="44"/>
          <w:szCs w:val="44"/>
        </w:rPr>
        <w:t>装修服务收费、车位物业服务收费标准</w:t>
      </w:r>
    </w:p>
    <w:tbl>
      <w:tblPr>
        <w:tblStyle w:val="3"/>
        <w:tblW w:w="135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71"/>
        <w:gridCol w:w="5388"/>
        <w:gridCol w:w="1920"/>
        <w:gridCol w:w="2040"/>
        <w:gridCol w:w="2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jc w:val="center"/>
        </w:trPr>
        <w:tc>
          <w:tcPr>
            <w:tcW w:w="1871" w:type="dxa"/>
            <w:tcBorders>
              <w:top w:val="single" w:color="000000" w:sz="4" w:space="0"/>
              <w:left w:val="single" w:color="000000" w:sz="4" w:space="0"/>
              <w:bottom w:val="single" w:color="000000" w:sz="4" w:space="0"/>
              <w:right w:val="single" w:color="000000" w:sz="4" w:space="0"/>
            </w:tcBorders>
            <w:noWrap w:val="0"/>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物业服务项目</w:t>
            </w:r>
          </w:p>
        </w:tc>
        <w:tc>
          <w:tcPr>
            <w:tcW w:w="5388" w:type="dxa"/>
            <w:tcBorders>
              <w:top w:val="single" w:color="000000" w:sz="4" w:space="0"/>
              <w:left w:val="nil"/>
              <w:bottom w:val="single" w:color="000000" w:sz="4" w:space="0"/>
              <w:right w:val="single" w:color="000000" w:sz="4" w:space="0"/>
            </w:tcBorders>
            <w:noWrap w:val="0"/>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物业服务内容</w:t>
            </w:r>
          </w:p>
        </w:tc>
        <w:tc>
          <w:tcPr>
            <w:tcW w:w="1920" w:type="dxa"/>
            <w:tcBorders>
              <w:top w:val="single" w:color="000000" w:sz="4" w:space="0"/>
              <w:left w:val="nil"/>
              <w:bottom w:val="single" w:color="000000" w:sz="4" w:space="0"/>
              <w:right w:val="single" w:color="000000" w:sz="4" w:space="0"/>
            </w:tcBorders>
            <w:noWrap w:val="0"/>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物业收费标准</w:t>
            </w:r>
          </w:p>
        </w:tc>
        <w:tc>
          <w:tcPr>
            <w:tcW w:w="4373" w:type="dxa"/>
            <w:gridSpan w:val="2"/>
            <w:tcBorders>
              <w:top w:val="single" w:color="000000" w:sz="4" w:space="0"/>
              <w:left w:val="nil"/>
              <w:bottom w:val="single" w:color="000000" w:sz="4" w:space="0"/>
              <w:right w:val="single" w:color="000000" w:sz="4" w:space="0"/>
            </w:tcBorders>
            <w:noWrap w:val="0"/>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2" w:hRule="atLeast"/>
          <w:jc w:val="center"/>
        </w:trPr>
        <w:tc>
          <w:tcPr>
            <w:tcW w:w="187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装修垃圾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清 运 费</w:t>
            </w:r>
          </w:p>
        </w:tc>
        <w:tc>
          <w:tcPr>
            <w:tcW w:w="5388"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装修垃圾清运费（不包括墙体拆除产生的建筑垃圾）由物业企业按房屋建筑面积在装修管理协议签订时一次性向业主收取，主要用于物业服务企业清运装修垃圾支出。</w:t>
            </w:r>
          </w:p>
        </w:tc>
        <w:tc>
          <w:tcPr>
            <w:tcW w:w="1920"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lang w:val="en-US" w:eastAsia="zh-CN"/>
              </w:rPr>
              <w:t>3</w:t>
            </w:r>
            <w:r>
              <w:rPr>
                <w:rFonts w:hint="eastAsia" w:ascii="仿宋_GB2312" w:hAnsi="仿宋_GB2312" w:eastAsia="仿宋_GB2312" w:cs="仿宋_GB2312"/>
                <w:color w:val="3D3D3D"/>
                <w:sz w:val="28"/>
                <w:szCs w:val="28"/>
              </w:rPr>
              <w:t>元/平方米</w:t>
            </w:r>
          </w:p>
        </w:tc>
        <w:tc>
          <w:tcPr>
            <w:tcW w:w="4373" w:type="dxa"/>
            <w:gridSpan w:val="2"/>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墙体拆除产生的建筑垃圾清运费由物业服务企业根据业主拆除墙体的实际情况和业主据实协商收取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6" w:hRule="atLeast"/>
          <w:jc w:val="center"/>
        </w:trPr>
        <w:tc>
          <w:tcPr>
            <w:tcW w:w="1871" w:type="dxa"/>
            <w:vMerge w:val="restart"/>
            <w:tcBorders>
              <w:top w:val="nil"/>
              <w:left w:val="single" w:color="000000" w:sz="4" w:space="0"/>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装  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服务费</w:t>
            </w:r>
          </w:p>
        </w:tc>
        <w:tc>
          <w:tcPr>
            <w:tcW w:w="5388" w:type="dxa"/>
            <w:vMerge w:val="restart"/>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主要用于装修期间各种设备、设施的能源消耗、装修管理服务、各种资料制作等费用。按房屋建筑面积大小等在装修管理协议签订时一次性向业主收取。</w:t>
            </w:r>
          </w:p>
        </w:tc>
        <w:tc>
          <w:tcPr>
            <w:tcW w:w="1920" w:type="dxa"/>
            <w:vMerge w:val="restart"/>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房</w:t>
            </w:r>
          </w:p>
        </w:tc>
        <w:tc>
          <w:tcPr>
            <w:tcW w:w="2040"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130平方米以下</w:t>
            </w:r>
          </w:p>
        </w:tc>
        <w:tc>
          <w:tcPr>
            <w:tcW w:w="2333"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130平方米以上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jc w:val="center"/>
        </w:trPr>
        <w:tc>
          <w:tcPr>
            <w:tcW w:w="1871" w:type="dxa"/>
            <w:vMerge w:val="continue"/>
            <w:tcBorders>
              <w:top w:val="nil"/>
              <w:left w:val="single" w:color="000000" w:sz="4" w:space="0"/>
              <w:bottom w:val="single" w:color="000000" w:sz="4" w:space="0"/>
              <w:right w:val="single" w:color="000000" w:sz="4" w:space="0"/>
            </w:tcBorders>
            <w:noWrap w:val="0"/>
            <w:tcMar>
              <w:left w:w="84" w:type="dxa"/>
              <w:right w:w="84"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5388" w:type="dxa"/>
            <w:vMerge w:val="continue"/>
            <w:tcBorders>
              <w:top w:val="nil"/>
              <w:left w:val="nil"/>
              <w:bottom w:val="single" w:color="000000" w:sz="4" w:space="0"/>
              <w:right w:val="single" w:color="000000" w:sz="4" w:space="0"/>
            </w:tcBorders>
            <w:noWrap w:val="0"/>
            <w:tcMar>
              <w:left w:w="84" w:type="dxa"/>
              <w:right w:w="84"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920" w:type="dxa"/>
            <w:vMerge w:val="continue"/>
            <w:tcBorders>
              <w:top w:val="nil"/>
              <w:left w:val="nil"/>
              <w:bottom w:val="single" w:color="000000" w:sz="4" w:space="0"/>
              <w:right w:val="single" w:color="000000" w:sz="4" w:space="0"/>
            </w:tcBorders>
            <w:noWrap w:val="0"/>
            <w:tcMar>
              <w:left w:w="84" w:type="dxa"/>
              <w:right w:w="84"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2040"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lang w:val="en-US" w:eastAsia="zh-CN"/>
              </w:rPr>
              <w:t>3</w:t>
            </w:r>
            <w:r>
              <w:rPr>
                <w:rFonts w:hint="eastAsia" w:ascii="仿宋_GB2312" w:hAnsi="仿宋_GB2312" w:eastAsia="仿宋_GB2312" w:cs="仿宋_GB2312"/>
                <w:color w:val="3D3D3D"/>
                <w:sz w:val="28"/>
                <w:szCs w:val="28"/>
              </w:rPr>
              <w:t>00元/套</w:t>
            </w:r>
          </w:p>
        </w:tc>
        <w:tc>
          <w:tcPr>
            <w:tcW w:w="2333"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lang w:val="en-US" w:eastAsia="zh-CN"/>
              </w:rPr>
              <w:t>4</w:t>
            </w:r>
            <w:r>
              <w:rPr>
                <w:rFonts w:hint="eastAsia" w:ascii="仿宋_GB2312" w:hAnsi="仿宋_GB2312" w:eastAsia="仿宋_GB2312" w:cs="仿宋_GB2312"/>
                <w:color w:val="3D3D3D"/>
                <w:sz w:val="28"/>
                <w:szCs w:val="28"/>
              </w:rPr>
              <w:t>00元/套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 w:hRule="atLeast"/>
          <w:jc w:val="center"/>
        </w:trPr>
        <w:tc>
          <w:tcPr>
            <w:tcW w:w="1871" w:type="dxa"/>
            <w:vMerge w:val="continue"/>
            <w:tcBorders>
              <w:top w:val="nil"/>
              <w:left w:val="single" w:color="000000" w:sz="4" w:space="0"/>
              <w:bottom w:val="single" w:color="000000" w:sz="4" w:space="0"/>
              <w:right w:val="single" w:color="000000" w:sz="4" w:space="0"/>
            </w:tcBorders>
            <w:noWrap w:val="0"/>
            <w:tcMar>
              <w:left w:w="84" w:type="dxa"/>
              <w:right w:w="84"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5388" w:type="dxa"/>
            <w:vMerge w:val="continue"/>
            <w:tcBorders>
              <w:top w:val="nil"/>
              <w:left w:val="nil"/>
              <w:bottom w:val="single" w:color="000000" w:sz="4" w:space="0"/>
              <w:right w:val="single" w:color="000000" w:sz="4" w:space="0"/>
            </w:tcBorders>
            <w:noWrap w:val="0"/>
            <w:tcMar>
              <w:left w:w="84" w:type="dxa"/>
              <w:right w:w="84"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920"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无电梯房</w:t>
            </w:r>
          </w:p>
        </w:tc>
        <w:tc>
          <w:tcPr>
            <w:tcW w:w="2040"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200元/套</w:t>
            </w:r>
          </w:p>
        </w:tc>
        <w:tc>
          <w:tcPr>
            <w:tcW w:w="2333"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300元/套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jc w:val="center"/>
        </w:trPr>
        <w:tc>
          <w:tcPr>
            <w:tcW w:w="187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出入证工本费</w:t>
            </w:r>
          </w:p>
        </w:tc>
        <w:tc>
          <w:tcPr>
            <w:tcW w:w="5388"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用于制作装修工人出入小区证件支出。</w:t>
            </w:r>
          </w:p>
        </w:tc>
        <w:tc>
          <w:tcPr>
            <w:tcW w:w="1920"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10元/证</w:t>
            </w:r>
          </w:p>
        </w:tc>
        <w:tc>
          <w:tcPr>
            <w:tcW w:w="4373" w:type="dxa"/>
            <w:gridSpan w:val="2"/>
            <w:tcBorders>
              <w:top w:val="nil"/>
              <w:left w:val="nil"/>
              <w:bottom w:val="single" w:color="000000" w:sz="4" w:space="0"/>
              <w:right w:val="single" w:color="000000" w:sz="4" w:space="0"/>
            </w:tcBorders>
            <w:noWrap w:val="0"/>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2" w:hRule="atLeast"/>
          <w:jc w:val="center"/>
        </w:trPr>
        <w:tc>
          <w:tcPr>
            <w:tcW w:w="1871" w:type="dxa"/>
            <w:vMerge w:val="restart"/>
            <w:tcBorders>
              <w:top w:val="nil"/>
              <w:left w:val="single" w:color="000000" w:sz="4" w:space="0"/>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装修押金</w:t>
            </w:r>
          </w:p>
        </w:tc>
        <w:tc>
          <w:tcPr>
            <w:tcW w:w="5388" w:type="dxa"/>
            <w:vMerge w:val="restart"/>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主要用于装修过程中对公共部分的损坏修复，按照实际发生费用结算，多退少补。</w:t>
            </w:r>
          </w:p>
        </w:tc>
        <w:tc>
          <w:tcPr>
            <w:tcW w:w="1920"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电梯房</w:t>
            </w:r>
          </w:p>
        </w:tc>
        <w:tc>
          <w:tcPr>
            <w:tcW w:w="2040"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lang w:val="en-US" w:eastAsia="zh-CN"/>
              </w:rPr>
              <w:t>2</w:t>
            </w:r>
            <w:r>
              <w:rPr>
                <w:rFonts w:hint="eastAsia" w:ascii="仿宋_GB2312" w:hAnsi="仿宋_GB2312" w:eastAsia="仿宋_GB2312" w:cs="仿宋_GB2312"/>
                <w:color w:val="3D3D3D"/>
                <w:sz w:val="28"/>
                <w:szCs w:val="28"/>
              </w:rPr>
              <w:t>000元/户</w:t>
            </w:r>
          </w:p>
        </w:tc>
        <w:tc>
          <w:tcPr>
            <w:tcW w:w="2333" w:type="dxa"/>
            <w:vMerge w:val="restart"/>
            <w:tcBorders>
              <w:top w:val="nil"/>
              <w:left w:val="nil"/>
              <w:bottom w:val="single" w:color="000000" w:sz="4" w:space="0"/>
              <w:right w:val="single" w:color="auto" w:sz="4" w:space="0"/>
            </w:tcBorders>
            <w:noWrap w:val="0"/>
            <w:tcMar>
              <w:left w:w="84"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可向业主和装修装饰企业各收50%，业主住宅装修完成后，应及时清退，不得无故扣留押金。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jc w:val="center"/>
        </w:trPr>
        <w:tc>
          <w:tcPr>
            <w:tcW w:w="1871" w:type="dxa"/>
            <w:vMerge w:val="continue"/>
            <w:tcBorders>
              <w:top w:val="nil"/>
              <w:left w:val="single" w:color="000000" w:sz="4" w:space="0"/>
              <w:bottom w:val="single" w:color="000000" w:sz="4" w:space="0"/>
              <w:right w:val="single" w:color="000000" w:sz="4" w:space="0"/>
            </w:tcBorders>
            <w:noWrap w:val="0"/>
            <w:tcMar>
              <w:left w:w="84" w:type="dxa"/>
              <w:right w:w="84"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5388" w:type="dxa"/>
            <w:vMerge w:val="continue"/>
            <w:tcBorders>
              <w:top w:val="nil"/>
              <w:left w:val="nil"/>
              <w:bottom w:val="single" w:color="000000" w:sz="4" w:space="0"/>
              <w:right w:val="single" w:color="000000" w:sz="4" w:space="0"/>
            </w:tcBorders>
            <w:noWrap w:val="0"/>
            <w:tcMar>
              <w:left w:w="84" w:type="dxa"/>
              <w:right w:w="84"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920"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无电梯房</w:t>
            </w:r>
          </w:p>
        </w:tc>
        <w:tc>
          <w:tcPr>
            <w:tcW w:w="2040"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lang w:val="en-US" w:eastAsia="zh-CN"/>
              </w:rPr>
              <w:t>1</w:t>
            </w:r>
            <w:r>
              <w:rPr>
                <w:rFonts w:hint="eastAsia" w:ascii="仿宋_GB2312" w:hAnsi="仿宋_GB2312" w:eastAsia="仿宋_GB2312" w:cs="仿宋_GB2312"/>
                <w:color w:val="3D3D3D"/>
                <w:sz w:val="28"/>
                <w:szCs w:val="28"/>
              </w:rPr>
              <w:t>000元/户</w:t>
            </w:r>
          </w:p>
        </w:tc>
        <w:tc>
          <w:tcPr>
            <w:tcW w:w="2333" w:type="dxa"/>
            <w:vMerge w:val="continue"/>
            <w:tcBorders>
              <w:top w:val="nil"/>
              <w:left w:val="nil"/>
              <w:bottom w:val="single" w:color="000000" w:sz="4" w:space="0"/>
              <w:right w:val="single" w:color="auto" w:sz="4" w:space="0"/>
            </w:tcBorders>
            <w:noWrap w:val="0"/>
            <w:tcMar>
              <w:left w:w="84" w:type="dxa"/>
              <w:right w:w="84"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1871" w:type="dxa"/>
            <w:vMerge w:val="restart"/>
            <w:tcBorders>
              <w:top w:val="nil"/>
              <w:left w:val="single" w:color="000000" w:sz="4" w:space="0"/>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车位物业服务 费</w:t>
            </w:r>
          </w:p>
        </w:tc>
        <w:tc>
          <w:tcPr>
            <w:tcW w:w="5388" w:type="dxa"/>
            <w:vMerge w:val="restart"/>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主要用于地下停车场的清洁卫生、秩序维护，水电等费用支出，不含车辆保全费用。</w:t>
            </w:r>
          </w:p>
        </w:tc>
        <w:tc>
          <w:tcPr>
            <w:tcW w:w="1920"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1-2级</w:t>
            </w:r>
          </w:p>
        </w:tc>
        <w:tc>
          <w:tcPr>
            <w:tcW w:w="2040" w:type="dxa"/>
            <w:tcBorders>
              <w:top w:val="nil"/>
              <w:left w:val="nil"/>
              <w:bottom w:val="single" w:color="000000" w:sz="4" w:space="0"/>
              <w:right w:val="single" w:color="000000"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lang w:val="en-US" w:eastAsia="zh-CN"/>
              </w:rPr>
              <w:t>3</w:t>
            </w:r>
            <w:r>
              <w:rPr>
                <w:rFonts w:hint="eastAsia" w:ascii="仿宋_GB2312" w:hAnsi="仿宋_GB2312" w:eastAsia="仿宋_GB2312" w:cs="仿宋_GB2312"/>
                <w:color w:val="3D3D3D"/>
                <w:sz w:val="28"/>
                <w:szCs w:val="28"/>
              </w:rPr>
              <w:t>0元/车·月</w:t>
            </w:r>
          </w:p>
        </w:tc>
        <w:tc>
          <w:tcPr>
            <w:tcW w:w="2333" w:type="dxa"/>
            <w:vMerge w:val="restart"/>
            <w:tcBorders>
              <w:top w:val="nil"/>
              <w:left w:val="nil"/>
              <w:bottom w:val="single" w:color="000000" w:sz="4" w:space="0"/>
              <w:right w:val="single" w:color="auto" w:sz="4" w:space="0"/>
            </w:tcBorders>
            <w:noWrap w:val="0"/>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子母车位在上述标准上加收20元。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1871" w:type="dxa"/>
            <w:vMerge w:val="continue"/>
            <w:tcBorders>
              <w:top w:val="nil"/>
              <w:left w:val="single" w:color="000000" w:sz="4" w:space="0"/>
              <w:bottom w:val="single" w:color="000000" w:sz="4" w:space="0"/>
              <w:right w:val="single" w:color="000000" w:sz="4" w:space="0"/>
            </w:tcBorders>
            <w:noWrap w:val="0"/>
            <w:tcMar>
              <w:left w:w="84" w:type="dxa"/>
              <w:right w:w="84"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5388" w:type="dxa"/>
            <w:vMerge w:val="continue"/>
            <w:tcBorders>
              <w:top w:val="nil"/>
              <w:left w:val="nil"/>
              <w:bottom w:val="single" w:color="000000" w:sz="4" w:space="0"/>
              <w:right w:val="single" w:color="000000" w:sz="4" w:space="0"/>
            </w:tcBorders>
            <w:noWrap w:val="0"/>
            <w:tcMar>
              <w:left w:w="84" w:type="dxa"/>
              <w:right w:w="84"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920" w:type="dxa"/>
            <w:tcBorders>
              <w:top w:val="nil"/>
              <w:left w:val="nil"/>
              <w:bottom w:val="single" w:color="000000" w:sz="4" w:space="0"/>
              <w:right w:val="single" w:color="000000" w:sz="4" w:space="0"/>
            </w:tcBorders>
            <w:noWrap w:val="0"/>
            <w:tcMar>
              <w:left w:w="84"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rPr>
              <w:t>3-4级</w:t>
            </w:r>
          </w:p>
        </w:tc>
        <w:tc>
          <w:tcPr>
            <w:tcW w:w="2040" w:type="dxa"/>
            <w:tcBorders>
              <w:top w:val="nil"/>
              <w:left w:val="nil"/>
              <w:bottom w:val="single" w:color="000000" w:sz="4" w:space="0"/>
              <w:right w:val="single" w:color="000000" w:sz="4" w:space="0"/>
            </w:tcBorders>
            <w:noWrap w:val="0"/>
            <w:tcMar>
              <w:left w:w="84"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仿宋_GB2312" w:hAnsi="仿宋_GB2312" w:eastAsia="仿宋_GB2312" w:cs="仿宋_GB2312"/>
                <w:color w:val="3D3D3D"/>
                <w:sz w:val="28"/>
                <w:szCs w:val="28"/>
              </w:rPr>
            </w:pPr>
            <w:r>
              <w:rPr>
                <w:rFonts w:hint="eastAsia" w:ascii="仿宋_GB2312" w:hAnsi="仿宋_GB2312" w:eastAsia="仿宋_GB2312" w:cs="仿宋_GB2312"/>
                <w:color w:val="3D3D3D"/>
                <w:sz w:val="28"/>
                <w:szCs w:val="28"/>
                <w:lang w:val="en-US" w:eastAsia="zh-CN"/>
              </w:rPr>
              <w:t>4</w:t>
            </w:r>
            <w:r>
              <w:rPr>
                <w:rFonts w:hint="eastAsia" w:ascii="仿宋_GB2312" w:hAnsi="仿宋_GB2312" w:eastAsia="仿宋_GB2312" w:cs="仿宋_GB2312"/>
                <w:color w:val="3D3D3D"/>
                <w:sz w:val="28"/>
                <w:szCs w:val="28"/>
              </w:rPr>
              <w:t>0元/车·月</w:t>
            </w:r>
          </w:p>
        </w:tc>
        <w:tc>
          <w:tcPr>
            <w:tcW w:w="2333" w:type="dxa"/>
            <w:vMerge w:val="continue"/>
            <w:tcBorders>
              <w:top w:val="nil"/>
              <w:left w:val="nil"/>
              <w:bottom w:val="single" w:color="000000" w:sz="4" w:space="0"/>
              <w:right w:val="single" w:color="auto" w:sz="4" w:space="0"/>
            </w:tcBorders>
            <w:noWrap w:val="0"/>
            <w:tcMar>
              <w:left w:w="84" w:type="dxa"/>
              <w:right w:w="84"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bl>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楷体_GB2312" w:hAnsi="楷体_GB2312" w:eastAsia="楷体_GB2312" w:cs="楷体_GB2312"/>
          <w:b/>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　</w:t>
      </w:r>
    </w:p>
    <w:p>
      <w:pPr>
        <w:keepNext w:val="0"/>
        <w:keepLines w:val="0"/>
        <w:pageBreakBefore w:val="0"/>
        <w:widowControl w:val="0"/>
        <w:kinsoku/>
        <w:overflowPunct/>
        <w:topLinePunct w:val="0"/>
        <w:autoSpaceDE/>
        <w:autoSpaceDN/>
        <w:bidi w:val="0"/>
        <w:adjustRightInd/>
        <w:snapToGrid/>
        <w:spacing w:line="540" w:lineRule="exact"/>
        <w:jc w:val="righ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40" w:lineRule="exact"/>
        <w:jc w:val="righ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40" w:lineRule="exact"/>
        <w:ind w:right="960"/>
        <w:jc w:val="righ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DF2554"/>
    <w:rsid w:val="0074296B"/>
    <w:rsid w:val="1F9B502A"/>
    <w:rsid w:val="20442A26"/>
    <w:rsid w:val="289241C1"/>
    <w:rsid w:val="292E0EEB"/>
    <w:rsid w:val="30841659"/>
    <w:rsid w:val="30DF2554"/>
    <w:rsid w:val="4CE3578E"/>
    <w:rsid w:val="50197279"/>
    <w:rsid w:val="56C4596E"/>
    <w:rsid w:val="5783314D"/>
    <w:rsid w:val="591A1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2021-11-26T00:41:00Z</dcterms:created>
  <dc:creator>常乐1399248509</dc:creator>
  <cp:lastModifiedBy>珍惜</cp:lastModifiedBy>
  <dcterms:modified xsi:type="dcterms:W3CDTF">2021-11-29T07:07:25Z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76FCAD43B5C64F13B1F7737181E28B18</vt:lpwstr>
  </property>
</Properties>
</file>