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hint="eastAsia" w:ascii="方正黑体简体" w:hAnsi="仿宋" w:eastAsia="方正黑体简体"/>
          <w:sz w:val="32"/>
          <w:szCs w:val="32"/>
        </w:rPr>
      </w:pPr>
      <w:bookmarkStart w:id="0" w:name="_GoBack"/>
      <w:bookmarkEnd w:id="0"/>
      <w:r>
        <w:rPr>
          <w:rFonts w:hint="eastAsia" w:ascii="方正黑体简体" w:hAnsi="仿宋" w:eastAsia="方正黑体简体"/>
          <w:sz w:val="32"/>
          <w:szCs w:val="32"/>
        </w:rPr>
        <w:t>附件</w:t>
      </w:r>
    </w:p>
    <w:p>
      <w:pPr>
        <w:spacing w:line="600" w:lineRule="exact"/>
        <w:jc w:val="center"/>
        <w:rPr>
          <w:rFonts w:hint="eastAsia" w:ascii="方正小标宋简体" w:hAnsi="仿宋" w:eastAsia="方正小标宋简体"/>
          <w:sz w:val="44"/>
          <w:szCs w:val="44"/>
        </w:rPr>
      </w:pPr>
      <w:r>
        <w:rPr>
          <w:rFonts w:hint="eastAsia" w:ascii="方正小标宋简体" w:hAnsi="仿宋" w:eastAsia="方正小标宋简体"/>
          <w:sz w:val="44"/>
          <w:szCs w:val="44"/>
          <w:lang w:eastAsia="zh-CN"/>
        </w:rPr>
        <w:t>桃源县</w:t>
      </w:r>
      <w:r>
        <w:rPr>
          <w:rFonts w:hint="eastAsia" w:ascii="方正小标宋简体" w:hAnsi="仿宋" w:eastAsia="方正小标宋简体"/>
          <w:sz w:val="44"/>
          <w:szCs w:val="44"/>
        </w:rPr>
        <w:t>2021年版政府定价的经营服务性收费目录清单</w:t>
      </w:r>
    </w:p>
    <w:tbl>
      <w:tblPr>
        <w:tblStyle w:val="5"/>
        <w:tblW w:w="145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7"/>
        <w:gridCol w:w="1103"/>
        <w:gridCol w:w="1098"/>
        <w:gridCol w:w="3713"/>
        <w:gridCol w:w="2965"/>
        <w:gridCol w:w="974"/>
        <w:gridCol w:w="878"/>
        <w:gridCol w:w="527"/>
        <w:gridCol w:w="607"/>
        <w:gridCol w:w="593"/>
        <w:gridCol w:w="879"/>
        <w:gridCol w:w="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7" w:hRule="atLeast"/>
          <w:tblHeader/>
          <w:jc w:val="center"/>
        </w:trPr>
        <w:tc>
          <w:tcPr>
            <w:tcW w:w="557" w:type="dxa"/>
            <w:noWrap w:val="0"/>
            <w:vAlign w:val="center"/>
          </w:tcPr>
          <w:p>
            <w:pPr>
              <w:jc w:val="center"/>
              <w:rPr>
                <w:rFonts w:ascii="黑体" w:hAnsi="黑体" w:eastAsia="黑体" w:cs="宋体"/>
                <w:szCs w:val="21"/>
              </w:rPr>
            </w:pPr>
            <w:r>
              <w:rPr>
                <w:rFonts w:hint="eastAsia" w:ascii="黑体" w:hAnsi="黑体" w:eastAsia="黑体"/>
                <w:szCs w:val="21"/>
              </w:rPr>
              <w:t>类型</w:t>
            </w:r>
          </w:p>
        </w:tc>
        <w:tc>
          <w:tcPr>
            <w:tcW w:w="1103" w:type="dxa"/>
            <w:noWrap w:val="0"/>
            <w:vAlign w:val="center"/>
          </w:tcPr>
          <w:p>
            <w:pPr>
              <w:jc w:val="center"/>
              <w:rPr>
                <w:rFonts w:hint="eastAsia" w:ascii="黑体" w:hAnsi="黑体" w:eastAsia="黑体"/>
                <w:szCs w:val="21"/>
              </w:rPr>
            </w:pPr>
            <w:r>
              <w:rPr>
                <w:rFonts w:hint="eastAsia" w:ascii="黑体" w:hAnsi="黑体" w:eastAsia="黑体"/>
                <w:szCs w:val="21"/>
              </w:rPr>
              <w:t>一级</w:t>
            </w:r>
          </w:p>
          <w:p>
            <w:pPr>
              <w:jc w:val="center"/>
              <w:rPr>
                <w:rFonts w:ascii="黑体" w:hAnsi="黑体" w:eastAsia="黑体" w:cs="宋体"/>
                <w:szCs w:val="21"/>
              </w:rPr>
            </w:pPr>
            <w:r>
              <w:rPr>
                <w:rFonts w:hint="eastAsia" w:ascii="黑体" w:hAnsi="黑体" w:eastAsia="黑体"/>
                <w:szCs w:val="21"/>
              </w:rPr>
              <w:t>项目</w:t>
            </w:r>
          </w:p>
        </w:tc>
        <w:tc>
          <w:tcPr>
            <w:tcW w:w="1098" w:type="dxa"/>
            <w:noWrap w:val="0"/>
            <w:vAlign w:val="center"/>
          </w:tcPr>
          <w:p>
            <w:pPr>
              <w:jc w:val="center"/>
              <w:rPr>
                <w:rFonts w:hint="eastAsia" w:ascii="黑体" w:hAnsi="黑体" w:eastAsia="黑体"/>
                <w:szCs w:val="21"/>
              </w:rPr>
            </w:pPr>
            <w:r>
              <w:rPr>
                <w:rFonts w:hint="eastAsia" w:ascii="黑体" w:hAnsi="黑体" w:eastAsia="黑体"/>
                <w:szCs w:val="21"/>
              </w:rPr>
              <w:t>二级</w:t>
            </w:r>
          </w:p>
          <w:p>
            <w:pPr>
              <w:jc w:val="center"/>
              <w:rPr>
                <w:rFonts w:ascii="黑体" w:hAnsi="黑体" w:eastAsia="黑体" w:cs="宋体"/>
                <w:szCs w:val="21"/>
              </w:rPr>
            </w:pPr>
            <w:r>
              <w:rPr>
                <w:rFonts w:hint="eastAsia" w:ascii="黑体" w:hAnsi="黑体" w:eastAsia="黑体"/>
                <w:szCs w:val="21"/>
              </w:rPr>
              <w:t>项目</w:t>
            </w:r>
          </w:p>
        </w:tc>
        <w:tc>
          <w:tcPr>
            <w:tcW w:w="3713" w:type="dxa"/>
            <w:noWrap w:val="0"/>
            <w:vAlign w:val="center"/>
          </w:tcPr>
          <w:p>
            <w:pPr>
              <w:jc w:val="center"/>
              <w:rPr>
                <w:rFonts w:ascii="黑体" w:hAnsi="黑体" w:eastAsia="黑体" w:cs="宋体"/>
                <w:szCs w:val="21"/>
              </w:rPr>
            </w:pPr>
            <w:r>
              <w:rPr>
                <w:rFonts w:hint="eastAsia" w:ascii="黑体" w:hAnsi="黑体" w:eastAsia="黑体"/>
                <w:szCs w:val="21"/>
              </w:rPr>
              <w:t>收费标准</w:t>
            </w:r>
          </w:p>
        </w:tc>
        <w:tc>
          <w:tcPr>
            <w:tcW w:w="2965" w:type="dxa"/>
            <w:noWrap w:val="0"/>
            <w:vAlign w:val="center"/>
          </w:tcPr>
          <w:p>
            <w:pPr>
              <w:jc w:val="center"/>
              <w:rPr>
                <w:rFonts w:ascii="黑体" w:hAnsi="黑体" w:eastAsia="黑体" w:cs="宋体"/>
                <w:szCs w:val="21"/>
              </w:rPr>
            </w:pPr>
            <w:r>
              <w:rPr>
                <w:rFonts w:hint="eastAsia" w:ascii="黑体" w:hAnsi="黑体" w:eastAsia="黑体"/>
                <w:szCs w:val="21"/>
              </w:rPr>
              <w:t>收费文件（文号）</w:t>
            </w:r>
          </w:p>
        </w:tc>
        <w:tc>
          <w:tcPr>
            <w:tcW w:w="974" w:type="dxa"/>
            <w:noWrap w:val="0"/>
            <w:vAlign w:val="center"/>
          </w:tcPr>
          <w:p>
            <w:pPr>
              <w:jc w:val="center"/>
              <w:rPr>
                <w:rFonts w:hint="eastAsia" w:ascii="黑体" w:hAnsi="黑体" w:eastAsia="黑体"/>
                <w:szCs w:val="21"/>
              </w:rPr>
            </w:pPr>
            <w:r>
              <w:rPr>
                <w:rFonts w:hint="eastAsia" w:ascii="黑体" w:hAnsi="黑体" w:eastAsia="黑体"/>
                <w:szCs w:val="21"/>
              </w:rPr>
              <w:t>定价</w:t>
            </w:r>
          </w:p>
          <w:p>
            <w:pPr>
              <w:jc w:val="center"/>
              <w:rPr>
                <w:rFonts w:ascii="黑体" w:hAnsi="黑体" w:eastAsia="黑体" w:cs="宋体"/>
                <w:szCs w:val="21"/>
              </w:rPr>
            </w:pPr>
            <w:r>
              <w:rPr>
                <w:rFonts w:hint="eastAsia" w:ascii="黑体" w:hAnsi="黑体" w:eastAsia="黑体"/>
                <w:szCs w:val="21"/>
              </w:rPr>
              <w:t>部门</w:t>
            </w:r>
          </w:p>
        </w:tc>
        <w:tc>
          <w:tcPr>
            <w:tcW w:w="878" w:type="dxa"/>
            <w:noWrap w:val="0"/>
            <w:tcMar>
              <w:left w:w="28" w:type="dxa"/>
              <w:right w:w="28" w:type="dxa"/>
            </w:tcMar>
            <w:vAlign w:val="center"/>
          </w:tcPr>
          <w:p>
            <w:pPr>
              <w:jc w:val="center"/>
              <w:rPr>
                <w:rFonts w:ascii="黑体" w:hAnsi="黑体" w:eastAsia="黑体" w:cs="宋体"/>
                <w:szCs w:val="21"/>
              </w:rPr>
            </w:pPr>
            <w:r>
              <w:rPr>
                <w:rFonts w:hint="eastAsia" w:ascii="黑体" w:hAnsi="黑体" w:eastAsia="黑体"/>
                <w:szCs w:val="21"/>
              </w:rPr>
              <w:t>行业主管部门</w:t>
            </w:r>
          </w:p>
        </w:tc>
        <w:tc>
          <w:tcPr>
            <w:tcW w:w="527" w:type="dxa"/>
            <w:noWrap w:val="0"/>
            <w:tcMar>
              <w:left w:w="28" w:type="dxa"/>
              <w:right w:w="28" w:type="dxa"/>
            </w:tcMar>
            <w:vAlign w:val="center"/>
          </w:tcPr>
          <w:p>
            <w:pPr>
              <w:jc w:val="center"/>
              <w:rPr>
                <w:rFonts w:hint="eastAsia" w:ascii="黑体" w:hAnsi="黑体" w:eastAsia="黑体"/>
                <w:szCs w:val="21"/>
                <w:lang w:eastAsia="zh-CN"/>
              </w:rPr>
            </w:pPr>
            <w:r>
              <w:rPr>
                <w:rFonts w:hint="eastAsia" w:ascii="黑体" w:hAnsi="黑体" w:eastAsia="黑体"/>
                <w:szCs w:val="21"/>
              </w:rPr>
              <w:t>是否</w:t>
            </w:r>
          </w:p>
          <w:p>
            <w:pPr>
              <w:jc w:val="center"/>
              <w:rPr>
                <w:rFonts w:ascii="黑体" w:hAnsi="黑体" w:eastAsia="黑体" w:cs="宋体"/>
                <w:szCs w:val="21"/>
              </w:rPr>
            </w:pPr>
            <w:r>
              <w:rPr>
                <w:rFonts w:hint="eastAsia" w:ascii="黑体" w:hAnsi="黑体" w:eastAsia="黑体"/>
                <w:szCs w:val="21"/>
              </w:rPr>
              <w:t>涉企</w:t>
            </w:r>
          </w:p>
        </w:tc>
        <w:tc>
          <w:tcPr>
            <w:tcW w:w="607" w:type="dxa"/>
            <w:noWrap w:val="0"/>
            <w:tcMar>
              <w:left w:w="28" w:type="dxa"/>
              <w:right w:w="28" w:type="dxa"/>
            </w:tcMar>
            <w:vAlign w:val="center"/>
          </w:tcPr>
          <w:p>
            <w:pPr>
              <w:spacing w:line="240" w:lineRule="exact"/>
              <w:jc w:val="center"/>
              <w:rPr>
                <w:rFonts w:ascii="黑体" w:hAnsi="黑体" w:eastAsia="黑体" w:cs="宋体"/>
                <w:szCs w:val="21"/>
              </w:rPr>
            </w:pPr>
            <w:r>
              <w:rPr>
                <w:rFonts w:hint="eastAsia" w:ascii="黑体" w:hAnsi="黑体" w:eastAsia="黑体"/>
                <w:szCs w:val="21"/>
              </w:rPr>
              <w:t>是否行政审批前置</w:t>
            </w:r>
          </w:p>
        </w:tc>
        <w:tc>
          <w:tcPr>
            <w:tcW w:w="593" w:type="dxa"/>
            <w:noWrap w:val="0"/>
            <w:tcMar>
              <w:left w:w="28" w:type="dxa"/>
              <w:right w:w="28" w:type="dxa"/>
            </w:tcMar>
            <w:vAlign w:val="center"/>
          </w:tcPr>
          <w:p>
            <w:pPr>
              <w:spacing w:line="240" w:lineRule="exact"/>
              <w:jc w:val="center"/>
              <w:rPr>
                <w:rFonts w:ascii="黑体" w:hAnsi="黑体" w:eastAsia="黑体" w:cs="宋体"/>
                <w:szCs w:val="21"/>
              </w:rPr>
            </w:pPr>
            <w:r>
              <w:rPr>
                <w:rFonts w:hint="eastAsia" w:ascii="黑体" w:hAnsi="黑体" w:eastAsia="黑体"/>
                <w:szCs w:val="21"/>
              </w:rPr>
              <w:t>是否涉进出口环节</w:t>
            </w:r>
          </w:p>
        </w:tc>
        <w:tc>
          <w:tcPr>
            <w:tcW w:w="879" w:type="dxa"/>
            <w:noWrap w:val="0"/>
            <w:vAlign w:val="center"/>
          </w:tcPr>
          <w:p>
            <w:pPr>
              <w:jc w:val="center"/>
              <w:rPr>
                <w:rFonts w:hint="eastAsia" w:ascii="黑体" w:hAnsi="黑体" w:eastAsia="黑体"/>
                <w:szCs w:val="21"/>
                <w:lang w:eastAsia="zh-CN"/>
              </w:rPr>
            </w:pPr>
            <w:r>
              <w:rPr>
                <w:rFonts w:hint="eastAsia" w:ascii="黑体" w:hAnsi="黑体" w:eastAsia="黑体"/>
                <w:szCs w:val="21"/>
              </w:rPr>
              <w:t>定价</w:t>
            </w:r>
          </w:p>
          <w:p>
            <w:pPr>
              <w:jc w:val="center"/>
              <w:rPr>
                <w:rFonts w:ascii="黑体" w:hAnsi="黑体" w:eastAsia="黑体" w:cs="宋体"/>
                <w:szCs w:val="21"/>
              </w:rPr>
            </w:pPr>
            <w:r>
              <w:rPr>
                <w:rFonts w:hint="eastAsia" w:ascii="黑体" w:hAnsi="黑体" w:eastAsia="黑体"/>
                <w:szCs w:val="21"/>
              </w:rPr>
              <w:t>方法</w:t>
            </w:r>
          </w:p>
        </w:tc>
        <w:tc>
          <w:tcPr>
            <w:tcW w:w="636" w:type="dxa"/>
            <w:noWrap w:val="0"/>
            <w:vAlign w:val="center"/>
          </w:tcPr>
          <w:p>
            <w:pPr>
              <w:jc w:val="center"/>
              <w:rPr>
                <w:rFonts w:ascii="黑体" w:hAnsi="黑体" w:eastAsia="黑体" w:cs="宋体"/>
                <w:szCs w:val="21"/>
              </w:rPr>
            </w:pPr>
            <w:r>
              <w:rPr>
                <w:rFonts w:hint="eastAsia" w:ascii="黑体" w:hAnsi="黑体" w:eastAsia="黑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4" w:hRule="atLeast"/>
          <w:jc w:val="center"/>
        </w:trPr>
        <w:tc>
          <w:tcPr>
            <w:tcW w:w="557" w:type="dxa"/>
            <w:vMerge w:val="restart"/>
            <w:noWrap w:val="0"/>
            <w:vAlign w:val="center"/>
          </w:tcPr>
          <w:p>
            <w:pPr>
              <w:jc w:val="center"/>
              <w:rPr>
                <w:szCs w:val="32"/>
              </w:rPr>
            </w:pPr>
            <w:r>
              <w:rPr>
                <w:rFonts w:hint="eastAsia"/>
              </w:rPr>
              <w:t>交通服务收费</w:t>
            </w:r>
          </w:p>
        </w:tc>
        <w:tc>
          <w:tcPr>
            <w:tcW w:w="1103" w:type="dxa"/>
            <w:vMerge w:val="restart"/>
            <w:noWrap w:val="0"/>
            <w:vAlign w:val="center"/>
          </w:tcPr>
          <w:p>
            <w:pPr>
              <w:jc w:val="center"/>
              <w:rPr>
                <w:szCs w:val="32"/>
              </w:rPr>
            </w:pPr>
            <w:r>
              <w:rPr>
                <w:rFonts w:hint="eastAsia"/>
              </w:rPr>
              <w:t>一、车辆通行费</w:t>
            </w:r>
          </w:p>
        </w:tc>
        <w:tc>
          <w:tcPr>
            <w:tcW w:w="1098" w:type="dxa"/>
            <w:noWrap w:val="0"/>
            <w:vAlign w:val="center"/>
          </w:tcPr>
          <w:p>
            <w:pPr>
              <w:jc w:val="center"/>
              <w:rPr>
                <w:szCs w:val="32"/>
              </w:rPr>
            </w:pPr>
            <w:r>
              <w:rPr>
                <w:rFonts w:hint="eastAsia"/>
              </w:rPr>
              <w:t>（一）经营性公路（含桥梁和隧道）通行费</w:t>
            </w:r>
          </w:p>
        </w:tc>
        <w:tc>
          <w:tcPr>
            <w:tcW w:w="3713" w:type="dxa"/>
            <w:noWrap w:val="0"/>
            <w:vAlign w:val="center"/>
          </w:tcPr>
          <w:p>
            <w:pPr>
              <w:rPr>
                <w:rFonts w:ascii="宋体" w:hAnsi="宋体" w:cs="宋体"/>
                <w:szCs w:val="21"/>
              </w:rPr>
            </w:pPr>
            <w:r>
              <w:rPr>
                <w:rFonts w:hint="eastAsia"/>
                <w:szCs w:val="21"/>
              </w:rPr>
              <w:t>基准收费标准：造价在6000万元/公里以下的四车道高速公路按车型收费为0.4元/车·公里，计重收费为0.08元/吨·公里；造价在6000万元/公里以上的四车道高速公路按车型收费的0.5元/车·公里，计重收费为0.09元/吨·公里；六车道高速公路按车型收费的0.5元/车·公里，计重收费为0.10元/吨·公里。货车改按车型收费：非差异化收费路段每车公里，1类0.4~0.5元，2类0.7~0.9元，3类1.14~1.48元，4类1.44~1.87元，5类1.59~1.92元，6类1.73~2.16元；差异化收费路段每车公里，1类0.32~0.45元，2类0.71~0.81元，3类1.21~1.44元，4类1.36~1.89元，5类1.45~1.96元，6类2.08~2.34元。具体收费标准见相关文件</w:t>
            </w:r>
          </w:p>
        </w:tc>
        <w:tc>
          <w:tcPr>
            <w:tcW w:w="2965" w:type="dxa"/>
            <w:noWrap w:val="0"/>
            <w:vAlign w:val="center"/>
          </w:tcPr>
          <w:p>
            <w:pPr>
              <w:jc w:val="center"/>
              <w:rPr>
                <w:rFonts w:hint="eastAsia" w:eastAsia="宋体"/>
                <w:color w:val="000000"/>
                <w:sz w:val="22"/>
                <w:szCs w:val="22"/>
                <w:lang w:eastAsia="zh-CN"/>
              </w:rPr>
            </w:pPr>
            <w:r>
              <w:rPr>
                <w:rFonts w:hint="eastAsia"/>
                <w:color w:val="000000"/>
                <w:sz w:val="22"/>
                <w:szCs w:val="22"/>
              </w:rPr>
              <w:t>湘政办函〔2013〕150号</w:t>
            </w:r>
          </w:p>
          <w:p>
            <w:pPr>
              <w:jc w:val="center"/>
              <w:rPr>
                <w:rFonts w:ascii="宋体" w:hAnsi="宋体" w:cs="宋体"/>
                <w:color w:val="000000"/>
                <w:sz w:val="22"/>
                <w:szCs w:val="22"/>
              </w:rPr>
            </w:pPr>
            <w:r>
              <w:rPr>
                <w:rFonts w:hint="eastAsia"/>
                <w:color w:val="000000"/>
                <w:sz w:val="22"/>
                <w:szCs w:val="22"/>
              </w:rPr>
              <w:t>湘政办函〔2021〕4号</w:t>
            </w:r>
          </w:p>
        </w:tc>
        <w:tc>
          <w:tcPr>
            <w:tcW w:w="974" w:type="dxa"/>
            <w:noWrap w:val="0"/>
            <w:vAlign w:val="center"/>
          </w:tcPr>
          <w:p>
            <w:pPr>
              <w:jc w:val="center"/>
              <w:rPr>
                <w:rFonts w:ascii="宋体" w:hAnsi="宋体" w:cs="宋体"/>
                <w:szCs w:val="21"/>
              </w:rPr>
            </w:pPr>
            <w:r>
              <w:rPr>
                <w:rFonts w:hint="eastAsia"/>
                <w:szCs w:val="21"/>
              </w:rPr>
              <w:t>省交通运输厅、省发展改革委</w:t>
            </w:r>
          </w:p>
        </w:tc>
        <w:tc>
          <w:tcPr>
            <w:tcW w:w="878" w:type="dxa"/>
            <w:noWrap w:val="0"/>
            <w:tcMar>
              <w:left w:w="28" w:type="dxa"/>
              <w:right w:w="28" w:type="dxa"/>
            </w:tcMar>
            <w:vAlign w:val="center"/>
          </w:tcPr>
          <w:p>
            <w:pPr>
              <w:jc w:val="center"/>
              <w:rPr>
                <w:rFonts w:ascii="宋体" w:hAnsi="宋体" w:cs="宋体"/>
                <w:szCs w:val="21"/>
              </w:rPr>
            </w:pPr>
            <w:r>
              <w:rPr>
                <w:rFonts w:hint="eastAsia"/>
                <w:szCs w:val="21"/>
              </w:rPr>
              <w:t>交通运输部门</w:t>
            </w:r>
          </w:p>
        </w:tc>
        <w:tc>
          <w:tcPr>
            <w:tcW w:w="527" w:type="dxa"/>
            <w:noWrap w:val="0"/>
            <w:tcMar>
              <w:left w:w="28" w:type="dxa"/>
              <w:right w:w="28" w:type="dxa"/>
            </w:tcMar>
            <w:vAlign w:val="center"/>
          </w:tcPr>
          <w:p>
            <w:pPr>
              <w:jc w:val="center"/>
              <w:rPr>
                <w:rFonts w:ascii="宋体" w:hAnsi="宋体" w:cs="宋体"/>
                <w:szCs w:val="21"/>
              </w:rPr>
            </w:pPr>
            <w:r>
              <w:rPr>
                <w:rFonts w:hint="eastAsia"/>
                <w:szCs w:val="21"/>
              </w:rPr>
              <w:t>是</w:t>
            </w:r>
          </w:p>
        </w:tc>
        <w:tc>
          <w:tcPr>
            <w:tcW w:w="607" w:type="dxa"/>
            <w:noWrap w:val="0"/>
            <w:tcMar>
              <w:left w:w="28" w:type="dxa"/>
              <w:right w:w="28" w:type="dxa"/>
            </w:tcMar>
            <w:vAlign w:val="center"/>
          </w:tcPr>
          <w:p>
            <w:pPr>
              <w:jc w:val="center"/>
              <w:rPr>
                <w:rFonts w:ascii="宋体" w:hAnsi="宋体" w:cs="宋体"/>
                <w:szCs w:val="21"/>
              </w:rPr>
            </w:pPr>
            <w:r>
              <w:rPr>
                <w:rFonts w:hint="eastAsia"/>
                <w:szCs w:val="21"/>
              </w:rPr>
              <w:t>否</w:t>
            </w:r>
          </w:p>
        </w:tc>
        <w:tc>
          <w:tcPr>
            <w:tcW w:w="593" w:type="dxa"/>
            <w:noWrap w:val="0"/>
            <w:tcMar>
              <w:left w:w="28" w:type="dxa"/>
              <w:right w:w="28" w:type="dxa"/>
            </w:tcMar>
            <w:vAlign w:val="center"/>
          </w:tcPr>
          <w:p>
            <w:pPr>
              <w:jc w:val="center"/>
              <w:rPr>
                <w:rFonts w:ascii="宋体" w:hAnsi="宋体" w:cs="宋体"/>
                <w:szCs w:val="21"/>
              </w:rPr>
            </w:pPr>
            <w:r>
              <w:rPr>
                <w:rFonts w:hint="eastAsia"/>
                <w:szCs w:val="21"/>
              </w:rPr>
              <w:t>否</w:t>
            </w:r>
          </w:p>
        </w:tc>
        <w:tc>
          <w:tcPr>
            <w:tcW w:w="879" w:type="dxa"/>
            <w:noWrap w:val="0"/>
            <w:vAlign w:val="center"/>
          </w:tcPr>
          <w:p>
            <w:pPr>
              <w:jc w:val="center"/>
              <w:rPr>
                <w:rFonts w:ascii="宋体" w:hAnsi="宋体" w:cs="宋体"/>
                <w:szCs w:val="21"/>
              </w:rPr>
            </w:pPr>
            <w:r>
              <w:rPr>
                <w:rFonts w:hint="eastAsia"/>
                <w:szCs w:val="21"/>
              </w:rPr>
              <w:t>准许成本加合理收益</w:t>
            </w:r>
          </w:p>
        </w:tc>
        <w:tc>
          <w:tcPr>
            <w:tcW w:w="636" w:type="dxa"/>
            <w:noWrap w:val="0"/>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jc w:val="center"/>
        </w:trPr>
        <w:tc>
          <w:tcPr>
            <w:tcW w:w="557" w:type="dxa"/>
            <w:vMerge w:val="continue"/>
            <w:noWrap w:val="0"/>
            <w:vAlign w:val="top"/>
          </w:tcPr>
          <w:p/>
        </w:tc>
        <w:tc>
          <w:tcPr>
            <w:tcW w:w="1103" w:type="dxa"/>
            <w:vMerge w:val="continue"/>
            <w:noWrap w:val="0"/>
            <w:vAlign w:val="center"/>
          </w:tcPr>
          <w:p>
            <w:pPr>
              <w:jc w:val="center"/>
            </w:pPr>
          </w:p>
        </w:tc>
        <w:tc>
          <w:tcPr>
            <w:tcW w:w="1098" w:type="dxa"/>
            <w:noWrap w:val="0"/>
            <w:vAlign w:val="center"/>
          </w:tcPr>
          <w:p>
            <w:pPr>
              <w:jc w:val="center"/>
              <w:rPr>
                <w:szCs w:val="32"/>
              </w:rPr>
            </w:pPr>
            <w:r>
              <w:rPr>
                <w:rFonts w:hint="eastAsia"/>
              </w:rPr>
              <w:t>（二）渡口通行费</w:t>
            </w:r>
          </w:p>
        </w:tc>
        <w:tc>
          <w:tcPr>
            <w:tcW w:w="3713" w:type="dxa"/>
            <w:noWrap w:val="0"/>
            <w:vAlign w:val="center"/>
          </w:tcPr>
          <w:p>
            <w:pPr>
              <w:rPr>
                <w:rFonts w:hint="eastAsia" w:ascii="宋体" w:hAnsi="宋体" w:eastAsia="宋体" w:cs="宋体"/>
                <w:color w:val="000000"/>
                <w:szCs w:val="21"/>
                <w:lang w:val="en-US" w:eastAsia="zh-CN"/>
              </w:rPr>
            </w:pPr>
            <w:r>
              <w:rPr>
                <w:rFonts w:hint="eastAsia"/>
                <w:color w:val="000000"/>
                <w:szCs w:val="21"/>
              </w:rPr>
              <w:t>每车每次</w:t>
            </w:r>
            <w:r>
              <w:rPr>
                <w:rFonts w:hint="eastAsia"/>
                <w:color w:val="000000"/>
                <w:szCs w:val="21"/>
                <w:lang w:val="en-US" w:eastAsia="zh-CN"/>
              </w:rPr>
              <w:t>8</w:t>
            </w:r>
            <w:r>
              <w:rPr>
                <w:rFonts w:hint="eastAsia"/>
                <w:color w:val="000000"/>
                <w:szCs w:val="21"/>
              </w:rPr>
              <w:t>元</w:t>
            </w:r>
            <w:r>
              <w:rPr>
                <w:rFonts w:hint="eastAsia"/>
                <w:szCs w:val="21"/>
              </w:rPr>
              <w:t>，</w:t>
            </w:r>
            <w:r>
              <w:rPr>
                <w:rFonts w:hint="eastAsia"/>
                <w:szCs w:val="21"/>
                <w:lang w:eastAsia="zh-CN"/>
              </w:rPr>
              <w:t>每人</w:t>
            </w:r>
            <w:r>
              <w:rPr>
                <w:rFonts w:hint="eastAsia"/>
                <w:szCs w:val="21"/>
              </w:rPr>
              <w:t>/</w:t>
            </w:r>
            <w:r>
              <w:rPr>
                <w:rFonts w:hint="eastAsia"/>
                <w:szCs w:val="21"/>
                <w:lang w:eastAsia="zh-CN"/>
              </w:rPr>
              <w:t>每次</w:t>
            </w:r>
            <w:r>
              <w:rPr>
                <w:rFonts w:hint="eastAsia"/>
                <w:szCs w:val="21"/>
                <w:lang w:val="en-US" w:eastAsia="zh-CN"/>
              </w:rPr>
              <w:t>1.5元。</w:t>
            </w:r>
          </w:p>
        </w:tc>
        <w:tc>
          <w:tcPr>
            <w:tcW w:w="2965" w:type="dxa"/>
            <w:noWrap w:val="0"/>
            <w:vAlign w:val="center"/>
          </w:tcPr>
          <w:p>
            <w:pPr>
              <w:jc w:val="center"/>
              <w:rPr>
                <w:rFonts w:hint="eastAsia"/>
                <w:szCs w:val="21"/>
              </w:rPr>
            </w:pPr>
            <w:r>
              <w:rPr>
                <w:rFonts w:hint="eastAsia"/>
                <w:szCs w:val="21"/>
              </w:rPr>
              <w:t>湘发改价调规〔2021〕131号</w:t>
            </w:r>
          </w:p>
          <w:p>
            <w:pPr>
              <w:jc w:val="center"/>
              <w:rPr>
                <w:rFonts w:hint="eastAsia"/>
                <w:szCs w:val="21"/>
              </w:rPr>
            </w:pPr>
            <w:r>
              <w:rPr>
                <w:rFonts w:hint="eastAsia"/>
                <w:szCs w:val="21"/>
                <w:lang w:eastAsia="zh-CN"/>
              </w:rPr>
              <w:t>桃价价</w:t>
            </w:r>
            <w:r>
              <w:rPr>
                <w:rFonts w:hint="eastAsia"/>
                <w:szCs w:val="21"/>
              </w:rPr>
              <w:t>〔20</w:t>
            </w:r>
            <w:r>
              <w:rPr>
                <w:rFonts w:hint="eastAsia"/>
                <w:szCs w:val="21"/>
                <w:lang w:val="en-US" w:eastAsia="zh-CN"/>
              </w:rPr>
              <w:t>15</w:t>
            </w:r>
            <w:r>
              <w:rPr>
                <w:rFonts w:hint="eastAsia"/>
                <w:szCs w:val="21"/>
              </w:rPr>
              <w:t>〕</w:t>
            </w:r>
            <w:r>
              <w:rPr>
                <w:rFonts w:hint="eastAsia"/>
                <w:szCs w:val="21"/>
                <w:lang w:val="en-US" w:eastAsia="zh-CN"/>
              </w:rPr>
              <w:t>19</w:t>
            </w:r>
            <w:r>
              <w:rPr>
                <w:rFonts w:hint="eastAsia"/>
                <w:szCs w:val="21"/>
              </w:rPr>
              <w:t>号</w:t>
            </w:r>
          </w:p>
          <w:p>
            <w:pPr>
              <w:jc w:val="center"/>
              <w:rPr>
                <w:rFonts w:hint="eastAsia"/>
                <w:szCs w:val="21"/>
              </w:rPr>
            </w:pPr>
            <w:r>
              <w:rPr>
                <w:rFonts w:hint="eastAsia"/>
                <w:szCs w:val="21"/>
                <w:lang w:eastAsia="zh-CN"/>
              </w:rPr>
              <w:t>桃发改价</w:t>
            </w:r>
            <w:r>
              <w:rPr>
                <w:rFonts w:hint="eastAsia"/>
                <w:szCs w:val="21"/>
              </w:rPr>
              <w:t>〔</w:t>
            </w:r>
            <w:r>
              <w:rPr>
                <w:rFonts w:hint="eastAsia"/>
                <w:szCs w:val="21"/>
                <w:lang w:val="en-US" w:eastAsia="zh-CN"/>
              </w:rPr>
              <w:t>2021</w:t>
            </w:r>
            <w:r>
              <w:rPr>
                <w:rFonts w:hint="eastAsia"/>
                <w:szCs w:val="21"/>
              </w:rPr>
              <w:t>〕</w:t>
            </w:r>
            <w:r>
              <w:rPr>
                <w:rFonts w:hint="eastAsia"/>
                <w:szCs w:val="21"/>
                <w:lang w:val="en-US" w:eastAsia="zh-CN"/>
              </w:rPr>
              <w:t>199</w:t>
            </w:r>
            <w:r>
              <w:rPr>
                <w:rFonts w:hint="eastAsia"/>
                <w:szCs w:val="21"/>
              </w:rPr>
              <w:t>号</w:t>
            </w:r>
          </w:p>
          <w:p>
            <w:pPr>
              <w:jc w:val="center"/>
              <w:rPr>
                <w:rFonts w:hint="eastAsia" w:eastAsia="宋体"/>
                <w:szCs w:val="21"/>
                <w:lang w:eastAsia="zh-CN"/>
              </w:rPr>
            </w:pPr>
          </w:p>
        </w:tc>
        <w:tc>
          <w:tcPr>
            <w:tcW w:w="974" w:type="dxa"/>
            <w:noWrap w:val="0"/>
            <w:vAlign w:val="center"/>
          </w:tcPr>
          <w:p>
            <w:pPr>
              <w:jc w:val="center"/>
              <w:rPr>
                <w:rFonts w:ascii="宋体" w:hAnsi="宋体" w:cs="宋体"/>
                <w:color w:val="000000"/>
                <w:szCs w:val="21"/>
              </w:rPr>
            </w:pPr>
            <w:r>
              <w:rPr>
                <w:rFonts w:hint="eastAsia"/>
                <w:color w:val="000000"/>
                <w:szCs w:val="21"/>
              </w:rPr>
              <w:t>县发改部门</w:t>
            </w:r>
          </w:p>
        </w:tc>
        <w:tc>
          <w:tcPr>
            <w:tcW w:w="878" w:type="dxa"/>
            <w:noWrap w:val="0"/>
            <w:tcMar>
              <w:left w:w="28" w:type="dxa"/>
              <w:right w:w="28" w:type="dxa"/>
            </w:tcMar>
            <w:vAlign w:val="center"/>
          </w:tcPr>
          <w:p>
            <w:pPr>
              <w:jc w:val="center"/>
              <w:rPr>
                <w:rFonts w:ascii="宋体" w:hAnsi="宋体" w:cs="宋体"/>
                <w:szCs w:val="21"/>
              </w:rPr>
            </w:pPr>
            <w:r>
              <w:rPr>
                <w:rFonts w:hint="eastAsia"/>
                <w:szCs w:val="21"/>
              </w:rPr>
              <w:t>交通运输部门</w:t>
            </w:r>
          </w:p>
        </w:tc>
        <w:tc>
          <w:tcPr>
            <w:tcW w:w="527" w:type="dxa"/>
            <w:noWrap w:val="0"/>
            <w:tcMar>
              <w:left w:w="28" w:type="dxa"/>
              <w:right w:w="28" w:type="dxa"/>
            </w:tcMar>
            <w:vAlign w:val="center"/>
          </w:tcPr>
          <w:p>
            <w:pPr>
              <w:jc w:val="center"/>
              <w:rPr>
                <w:rFonts w:ascii="宋体" w:hAnsi="宋体" w:cs="宋体"/>
                <w:szCs w:val="21"/>
              </w:rPr>
            </w:pPr>
            <w:r>
              <w:rPr>
                <w:rFonts w:hint="eastAsia"/>
                <w:szCs w:val="21"/>
              </w:rPr>
              <w:t>是</w:t>
            </w:r>
          </w:p>
        </w:tc>
        <w:tc>
          <w:tcPr>
            <w:tcW w:w="607" w:type="dxa"/>
            <w:noWrap w:val="0"/>
            <w:tcMar>
              <w:left w:w="28" w:type="dxa"/>
              <w:right w:w="28" w:type="dxa"/>
            </w:tcMar>
            <w:vAlign w:val="center"/>
          </w:tcPr>
          <w:p>
            <w:pPr>
              <w:jc w:val="center"/>
              <w:rPr>
                <w:rFonts w:ascii="宋体" w:hAnsi="宋体" w:cs="宋体"/>
                <w:szCs w:val="21"/>
              </w:rPr>
            </w:pPr>
            <w:r>
              <w:rPr>
                <w:rFonts w:hint="eastAsia"/>
                <w:szCs w:val="21"/>
              </w:rPr>
              <w:t>否</w:t>
            </w:r>
          </w:p>
        </w:tc>
        <w:tc>
          <w:tcPr>
            <w:tcW w:w="593" w:type="dxa"/>
            <w:noWrap w:val="0"/>
            <w:tcMar>
              <w:left w:w="28" w:type="dxa"/>
              <w:right w:w="28" w:type="dxa"/>
            </w:tcMar>
            <w:vAlign w:val="center"/>
          </w:tcPr>
          <w:p>
            <w:pPr>
              <w:jc w:val="center"/>
              <w:rPr>
                <w:rFonts w:ascii="宋体" w:hAnsi="宋体" w:cs="宋体"/>
                <w:szCs w:val="21"/>
              </w:rPr>
            </w:pPr>
            <w:r>
              <w:rPr>
                <w:rFonts w:hint="eastAsia"/>
                <w:szCs w:val="21"/>
              </w:rPr>
              <w:t>否</w:t>
            </w:r>
          </w:p>
        </w:tc>
        <w:tc>
          <w:tcPr>
            <w:tcW w:w="879" w:type="dxa"/>
            <w:noWrap w:val="0"/>
            <w:vAlign w:val="center"/>
          </w:tcPr>
          <w:p>
            <w:pPr>
              <w:jc w:val="center"/>
              <w:rPr>
                <w:rFonts w:ascii="宋体" w:hAnsi="宋体" w:cs="宋体"/>
                <w:szCs w:val="21"/>
              </w:rPr>
            </w:pPr>
            <w:r>
              <w:rPr>
                <w:rFonts w:hint="eastAsia"/>
                <w:szCs w:val="21"/>
              </w:rPr>
              <w:t>准许成本加合理收益</w:t>
            </w:r>
          </w:p>
        </w:tc>
        <w:tc>
          <w:tcPr>
            <w:tcW w:w="636" w:type="dxa"/>
            <w:noWrap w:val="0"/>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3" w:hRule="atLeast"/>
          <w:jc w:val="center"/>
        </w:trPr>
        <w:tc>
          <w:tcPr>
            <w:tcW w:w="557" w:type="dxa"/>
            <w:noWrap w:val="0"/>
            <w:vAlign w:val="center"/>
          </w:tcPr>
          <w:p>
            <w:pPr>
              <w:jc w:val="center"/>
            </w:pPr>
            <w:r>
              <w:rPr>
                <w:rFonts w:hint="eastAsia"/>
              </w:rPr>
              <w:t>交通服务收费</w:t>
            </w:r>
          </w:p>
        </w:tc>
        <w:tc>
          <w:tcPr>
            <w:tcW w:w="1103" w:type="dxa"/>
            <w:noWrap w:val="0"/>
            <w:vAlign w:val="center"/>
          </w:tcPr>
          <w:p>
            <w:pPr>
              <w:rPr>
                <w:szCs w:val="32"/>
              </w:rPr>
            </w:pPr>
            <w:r>
              <w:rPr>
                <w:rFonts w:hint="eastAsia"/>
              </w:rPr>
              <w:t>二、机动车停放服务收费</w:t>
            </w:r>
          </w:p>
        </w:tc>
        <w:tc>
          <w:tcPr>
            <w:tcW w:w="1098" w:type="dxa"/>
            <w:noWrap w:val="0"/>
            <w:vAlign w:val="center"/>
          </w:tcPr>
          <w:p>
            <w:pPr>
              <w:rPr>
                <w:szCs w:val="32"/>
              </w:rPr>
            </w:pPr>
            <w:r>
              <w:rPr>
                <w:rFonts w:hint="eastAsia"/>
              </w:rPr>
              <w:t>（一）公共文化、交通、体育、医疗、教育等公共设施配套停车场（库、泊位），具有垄断经营特征停车场（库、泊位）收费</w:t>
            </w:r>
          </w:p>
        </w:tc>
        <w:tc>
          <w:tcPr>
            <w:tcW w:w="3713" w:type="dxa"/>
            <w:noWrap w:val="0"/>
            <w:vAlign w:val="center"/>
          </w:tcPr>
          <w:p>
            <w:pPr>
              <w:rPr>
                <w:szCs w:val="32"/>
              </w:rPr>
            </w:pPr>
            <w:r>
              <w:rPr>
                <w:rFonts w:hint="eastAsia"/>
              </w:rPr>
              <w:t>机场航站楼配套停车场按次收计费每次10-15元。国家机关、社会团体及其他公益、公用事业单位白天每小时不超过5元，夜间每小时不超过1元。按次收费：白天每次不超过10元，夜间每次不超过5元。公立医院白天每小时不超过5元，夜间每小时不超过1元。车站、码头、公交枢纽站及轨道交通换乘站每小时不超过5元。旅游景点配套停车场停车服务费每小时不超过3元。停车不足半小时免费。每天收费最高限额50元。</w:t>
            </w:r>
          </w:p>
        </w:tc>
        <w:tc>
          <w:tcPr>
            <w:tcW w:w="2965" w:type="dxa"/>
            <w:noWrap w:val="0"/>
            <w:vAlign w:val="center"/>
          </w:tcPr>
          <w:p>
            <w:pPr>
              <w:spacing w:line="240" w:lineRule="exact"/>
              <w:jc w:val="left"/>
              <w:rPr>
                <w:rFonts w:hint="eastAsia"/>
              </w:rPr>
            </w:pPr>
            <w:r>
              <w:rPr>
                <w:rFonts w:hint="eastAsia"/>
                <w:lang w:eastAsia="zh-CN"/>
              </w:rPr>
              <w:t>桃发改价</w:t>
            </w:r>
            <w:r>
              <w:rPr>
                <w:rFonts w:hint="eastAsia"/>
              </w:rPr>
              <w:t>〔20</w:t>
            </w:r>
            <w:r>
              <w:rPr>
                <w:rFonts w:hint="eastAsia"/>
                <w:lang w:val="en-US" w:eastAsia="zh-CN"/>
              </w:rPr>
              <w:t>19</w:t>
            </w:r>
            <w:r>
              <w:rPr>
                <w:rFonts w:hint="eastAsia"/>
              </w:rPr>
              <w:t>〕</w:t>
            </w:r>
            <w:r>
              <w:rPr>
                <w:rFonts w:hint="eastAsia"/>
                <w:lang w:val="en-US" w:eastAsia="zh-CN"/>
              </w:rPr>
              <w:t>134</w:t>
            </w:r>
            <w:r>
              <w:rPr>
                <w:rFonts w:hint="eastAsia"/>
              </w:rPr>
              <w:t>号</w:t>
            </w:r>
          </w:p>
          <w:p>
            <w:pPr>
              <w:spacing w:line="240" w:lineRule="exact"/>
              <w:jc w:val="left"/>
              <w:rPr>
                <w:rFonts w:hint="eastAsia"/>
              </w:rPr>
            </w:pPr>
            <w:r>
              <w:rPr>
                <w:rFonts w:hint="eastAsia"/>
                <w:lang w:eastAsia="zh-CN"/>
              </w:rPr>
              <w:t>桃发改价</w:t>
            </w:r>
            <w:r>
              <w:rPr>
                <w:rFonts w:hint="eastAsia"/>
              </w:rPr>
              <w:t>〔201</w:t>
            </w:r>
            <w:r>
              <w:rPr>
                <w:rFonts w:hint="eastAsia"/>
                <w:lang w:val="en-US" w:eastAsia="zh-CN"/>
              </w:rPr>
              <w:t>9</w:t>
            </w:r>
            <w:r>
              <w:rPr>
                <w:rFonts w:hint="eastAsia"/>
              </w:rPr>
              <w:t>〕</w:t>
            </w:r>
            <w:r>
              <w:rPr>
                <w:rFonts w:hint="eastAsia"/>
                <w:lang w:val="en-US" w:eastAsia="zh-CN"/>
              </w:rPr>
              <w:t>455</w:t>
            </w:r>
            <w:r>
              <w:rPr>
                <w:rFonts w:hint="eastAsia"/>
              </w:rPr>
              <w:t>号</w:t>
            </w:r>
          </w:p>
          <w:p>
            <w:pPr>
              <w:spacing w:line="240" w:lineRule="exact"/>
              <w:jc w:val="left"/>
              <w:rPr>
                <w:rFonts w:hint="eastAsia"/>
              </w:rPr>
            </w:pPr>
            <w:r>
              <w:rPr>
                <w:rFonts w:hint="eastAsia"/>
                <w:lang w:eastAsia="zh-CN"/>
              </w:rPr>
              <w:t>桃发改价</w:t>
            </w:r>
            <w:r>
              <w:rPr>
                <w:rFonts w:hint="eastAsia"/>
              </w:rPr>
              <w:t>〔20</w:t>
            </w:r>
            <w:r>
              <w:rPr>
                <w:rFonts w:hint="eastAsia"/>
                <w:lang w:val="en-US" w:eastAsia="zh-CN"/>
              </w:rPr>
              <w:t>20</w:t>
            </w:r>
            <w:r>
              <w:rPr>
                <w:rFonts w:hint="eastAsia"/>
              </w:rPr>
              <w:t>〕</w:t>
            </w:r>
            <w:r>
              <w:rPr>
                <w:rFonts w:hint="eastAsia"/>
                <w:lang w:val="en-US" w:eastAsia="zh-CN"/>
              </w:rPr>
              <w:t>7</w:t>
            </w:r>
            <w:r>
              <w:rPr>
                <w:rFonts w:hint="eastAsia"/>
              </w:rPr>
              <w:t>号</w:t>
            </w:r>
          </w:p>
          <w:p>
            <w:pPr>
              <w:spacing w:line="240" w:lineRule="exact"/>
              <w:jc w:val="left"/>
              <w:rPr>
                <w:rFonts w:hint="eastAsia"/>
              </w:rPr>
            </w:pPr>
            <w:r>
              <w:rPr>
                <w:rFonts w:hint="eastAsia"/>
                <w:lang w:eastAsia="zh-CN"/>
              </w:rPr>
              <w:t>桃发改价</w:t>
            </w:r>
            <w:r>
              <w:rPr>
                <w:rFonts w:hint="eastAsia"/>
              </w:rPr>
              <w:t>〔20</w:t>
            </w:r>
            <w:r>
              <w:rPr>
                <w:rFonts w:hint="eastAsia"/>
                <w:lang w:val="en-US" w:eastAsia="zh-CN"/>
              </w:rPr>
              <w:t>20</w:t>
            </w:r>
            <w:r>
              <w:rPr>
                <w:rFonts w:hint="eastAsia"/>
              </w:rPr>
              <w:t>〕</w:t>
            </w:r>
            <w:r>
              <w:rPr>
                <w:rFonts w:hint="eastAsia"/>
                <w:lang w:val="en-US" w:eastAsia="zh-CN"/>
              </w:rPr>
              <w:t>90</w:t>
            </w:r>
            <w:r>
              <w:rPr>
                <w:rFonts w:hint="eastAsia"/>
              </w:rPr>
              <w:t>号</w:t>
            </w:r>
          </w:p>
          <w:p>
            <w:pPr>
              <w:spacing w:line="240" w:lineRule="exact"/>
              <w:jc w:val="left"/>
              <w:rPr>
                <w:rFonts w:hint="eastAsia"/>
              </w:rPr>
            </w:pPr>
            <w:r>
              <w:rPr>
                <w:rFonts w:hint="eastAsia"/>
                <w:lang w:eastAsia="zh-CN"/>
              </w:rPr>
              <w:t>桃发改价</w:t>
            </w:r>
            <w:r>
              <w:rPr>
                <w:rFonts w:hint="eastAsia"/>
              </w:rPr>
              <w:t>〔20</w:t>
            </w:r>
            <w:r>
              <w:rPr>
                <w:rFonts w:hint="eastAsia"/>
                <w:lang w:val="en-US" w:eastAsia="zh-CN"/>
              </w:rPr>
              <w:t>20</w:t>
            </w:r>
            <w:r>
              <w:rPr>
                <w:rFonts w:hint="eastAsia"/>
              </w:rPr>
              <w:t>〕</w:t>
            </w:r>
            <w:r>
              <w:rPr>
                <w:rFonts w:hint="eastAsia"/>
                <w:lang w:val="en-US" w:eastAsia="zh-CN"/>
              </w:rPr>
              <w:t>110</w:t>
            </w:r>
            <w:r>
              <w:rPr>
                <w:rFonts w:hint="eastAsia"/>
              </w:rPr>
              <w:t>号</w:t>
            </w:r>
          </w:p>
          <w:p>
            <w:pPr>
              <w:spacing w:line="240" w:lineRule="exact"/>
              <w:jc w:val="left"/>
              <w:rPr>
                <w:rFonts w:hint="eastAsia"/>
              </w:rPr>
            </w:pPr>
            <w:r>
              <w:rPr>
                <w:rFonts w:hint="eastAsia"/>
                <w:lang w:eastAsia="zh-CN"/>
              </w:rPr>
              <w:t>桃发改价</w:t>
            </w:r>
            <w:r>
              <w:rPr>
                <w:rFonts w:hint="eastAsia"/>
              </w:rPr>
              <w:t>〔20</w:t>
            </w:r>
            <w:r>
              <w:rPr>
                <w:rFonts w:hint="eastAsia"/>
                <w:lang w:val="en-US" w:eastAsia="zh-CN"/>
              </w:rPr>
              <w:t>20</w:t>
            </w:r>
            <w:r>
              <w:rPr>
                <w:rFonts w:hint="eastAsia"/>
              </w:rPr>
              <w:t>〕</w:t>
            </w:r>
            <w:r>
              <w:rPr>
                <w:rFonts w:hint="eastAsia"/>
                <w:lang w:val="en-US" w:eastAsia="zh-CN"/>
              </w:rPr>
              <w:t>111</w:t>
            </w:r>
            <w:r>
              <w:rPr>
                <w:rFonts w:hint="eastAsia"/>
              </w:rPr>
              <w:t>号</w:t>
            </w:r>
          </w:p>
          <w:p>
            <w:pPr>
              <w:spacing w:line="240" w:lineRule="exact"/>
              <w:jc w:val="left"/>
              <w:rPr>
                <w:rFonts w:hint="eastAsia"/>
              </w:rPr>
            </w:pPr>
            <w:r>
              <w:rPr>
                <w:rFonts w:hint="eastAsia"/>
                <w:lang w:eastAsia="zh-CN"/>
              </w:rPr>
              <w:t>桃发改价</w:t>
            </w:r>
            <w:r>
              <w:rPr>
                <w:rFonts w:hint="eastAsia"/>
              </w:rPr>
              <w:t>〔20</w:t>
            </w:r>
            <w:r>
              <w:rPr>
                <w:rFonts w:hint="eastAsia"/>
                <w:lang w:val="en-US" w:eastAsia="zh-CN"/>
              </w:rPr>
              <w:t>21</w:t>
            </w:r>
            <w:r>
              <w:rPr>
                <w:rFonts w:hint="eastAsia"/>
              </w:rPr>
              <w:t>〕</w:t>
            </w:r>
            <w:r>
              <w:rPr>
                <w:rFonts w:hint="eastAsia"/>
                <w:lang w:val="en-US" w:eastAsia="zh-CN"/>
              </w:rPr>
              <w:t>97</w:t>
            </w:r>
            <w:r>
              <w:rPr>
                <w:rFonts w:hint="eastAsia"/>
              </w:rPr>
              <w:t>号</w:t>
            </w:r>
          </w:p>
          <w:p>
            <w:pPr>
              <w:spacing w:line="240" w:lineRule="exact"/>
              <w:jc w:val="left"/>
              <w:rPr>
                <w:rFonts w:hint="eastAsia"/>
              </w:rPr>
            </w:pPr>
            <w:r>
              <w:rPr>
                <w:rFonts w:hint="eastAsia"/>
                <w:lang w:eastAsia="zh-CN"/>
              </w:rPr>
              <w:t>桃发改价</w:t>
            </w:r>
            <w:r>
              <w:rPr>
                <w:rFonts w:hint="eastAsia"/>
              </w:rPr>
              <w:t>〔20</w:t>
            </w:r>
            <w:r>
              <w:rPr>
                <w:rFonts w:hint="eastAsia"/>
                <w:lang w:val="en-US" w:eastAsia="zh-CN"/>
              </w:rPr>
              <w:t>21</w:t>
            </w:r>
            <w:r>
              <w:rPr>
                <w:rFonts w:hint="eastAsia"/>
              </w:rPr>
              <w:t>〕</w:t>
            </w:r>
            <w:r>
              <w:rPr>
                <w:rFonts w:hint="eastAsia"/>
                <w:lang w:val="en-US" w:eastAsia="zh-CN"/>
              </w:rPr>
              <w:t>198</w:t>
            </w:r>
            <w:r>
              <w:rPr>
                <w:rFonts w:hint="eastAsia"/>
              </w:rPr>
              <w:t>号</w:t>
            </w:r>
          </w:p>
          <w:p>
            <w:pPr>
              <w:spacing w:line="240" w:lineRule="exact"/>
              <w:jc w:val="left"/>
              <w:rPr>
                <w:rFonts w:hint="eastAsia"/>
              </w:rPr>
            </w:pPr>
          </w:p>
          <w:p>
            <w:pPr>
              <w:spacing w:line="240" w:lineRule="exact"/>
              <w:jc w:val="center"/>
              <w:rPr>
                <w:rFonts w:hint="eastAsia"/>
              </w:rPr>
            </w:pPr>
          </w:p>
          <w:p>
            <w:pPr>
              <w:spacing w:line="240" w:lineRule="exact"/>
              <w:jc w:val="center"/>
            </w:pPr>
          </w:p>
        </w:tc>
        <w:tc>
          <w:tcPr>
            <w:tcW w:w="974" w:type="dxa"/>
            <w:noWrap w:val="0"/>
            <w:vAlign w:val="center"/>
          </w:tcPr>
          <w:p>
            <w:pPr>
              <w:jc w:val="center"/>
              <w:rPr>
                <w:rFonts w:hint="eastAsia" w:eastAsia="宋体"/>
                <w:szCs w:val="32"/>
                <w:lang w:eastAsia="zh-CN"/>
              </w:rPr>
            </w:pPr>
            <w:r>
              <w:rPr>
                <w:rFonts w:hint="eastAsia"/>
                <w:lang w:eastAsia="zh-CN"/>
              </w:rPr>
              <w:t>县</w:t>
            </w:r>
            <w:r>
              <w:rPr>
                <w:rFonts w:hint="eastAsia"/>
              </w:rPr>
              <w:t>发展改革</w:t>
            </w:r>
            <w:r>
              <w:rPr>
                <w:rFonts w:hint="eastAsia"/>
                <w:lang w:eastAsia="zh-CN"/>
              </w:rPr>
              <w:t>局</w:t>
            </w:r>
          </w:p>
        </w:tc>
        <w:tc>
          <w:tcPr>
            <w:tcW w:w="878" w:type="dxa"/>
            <w:noWrap w:val="0"/>
            <w:tcMar>
              <w:left w:w="28" w:type="dxa"/>
              <w:right w:w="28" w:type="dxa"/>
            </w:tcMar>
            <w:vAlign w:val="center"/>
          </w:tcPr>
          <w:p>
            <w:pPr>
              <w:jc w:val="center"/>
              <w:rPr>
                <w:szCs w:val="32"/>
              </w:rPr>
            </w:pPr>
            <w:r>
              <w:rPr>
                <w:rFonts w:hint="eastAsia"/>
              </w:rPr>
              <w:t>公安交警部门、民用航空部门</w:t>
            </w:r>
          </w:p>
        </w:tc>
        <w:tc>
          <w:tcPr>
            <w:tcW w:w="527" w:type="dxa"/>
            <w:noWrap w:val="0"/>
            <w:tcMar>
              <w:left w:w="28" w:type="dxa"/>
              <w:right w:w="28" w:type="dxa"/>
            </w:tcMar>
            <w:vAlign w:val="center"/>
          </w:tcPr>
          <w:p>
            <w:pPr>
              <w:jc w:val="center"/>
              <w:rPr>
                <w:szCs w:val="32"/>
              </w:rPr>
            </w:pPr>
            <w:r>
              <w:rPr>
                <w:rFonts w:hint="eastAsia"/>
              </w:rPr>
              <w:t>是</w:t>
            </w:r>
          </w:p>
        </w:tc>
        <w:tc>
          <w:tcPr>
            <w:tcW w:w="607" w:type="dxa"/>
            <w:noWrap w:val="0"/>
            <w:tcMar>
              <w:left w:w="28" w:type="dxa"/>
              <w:right w:w="28" w:type="dxa"/>
            </w:tcMar>
            <w:vAlign w:val="center"/>
          </w:tcPr>
          <w:p>
            <w:pPr>
              <w:jc w:val="center"/>
              <w:rPr>
                <w:rFonts w:hint="eastAsia"/>
              </w:rPr>
            </w:pPr>
            <w:r>
              <w:rPr>
                <w:rFonts w:hint="eastAsia"/>
              </w:rPr>
              <w:t>否</w:t>
            </w:r>
          </w:p>
        </w:tc>
        <w:tc>
          <w:tcPr>
            <w:tcW w:w="593" w:type="dxa"/>
            <w:noWrap w:val="0"/>
            <w:tcMar>
              <w:left w:w="28" w:type="dxa"/>
              <w:right w:w="28" w:type="dxa"/>
            </w:tcMar>
            <w:vAlign w:val="center"/>
          </w:tcPr>
          <w:p>
            <w:pPr>
              <w:jc w:val="center"/>
              <w:rPr>
                <w:rFonts w:hint="eastAsia"/>
              </w:rPr>
            </w:pPr>
            <w:r>
              <w:rPr>
                <w:rFonts w:hint="eastAsia"/>
              </w:rPr>
              <w:t>否</w:t>
            </w:r>
          </w:p>
        </w:tc>
        <w:tc>
          <w:tcPr>
            <w:tcW w:w="879" w:type="dxa"/>
            <w:noWrap w:val="0"/>
            <w:vAlign w:val="center"/>
          </w:tcPr>
          <w:p>
            <w:pPr>
              <w:jc w:val="center"/>
              <w:rPr>
                <w:szCs w:val="32"/>
              </w:rPr>
            </w:pPr>
            <w:r>
              <w:rPr>
                <w:rFonts w:hint="eastAsia"/>
              </w:rPr>
              <w:t>准许成本加合理收益</w:t>
            </w:r>
          </w:p>
        </w:tc>
        <w:tc>
          <w:tcPr>
            <w:tcW w:w="636" w:type="dxa"/>
            <w:noWrap w:val="0"/>
            <w:vAlign w:val="center"/>
          </w:tcPr>
          <w:p>
            <w:pPr>
              <w:jc w:val="center"/>
              <w:rPr>
                <w:szCs w:val="32"/>
              </w:rPr>
            </w:pPr>
            <w:r>
              <w:rPr>
                <w:rFonts w:hint="eastAsia"/>
              </w:rPr>
              <w:t>停车收费标准若突破该收费标准上限，需经省发改委批准。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8" w:hRule="atLeast"/>
          <w:jc w:val="center"/>
        </w:trPr>
        <w:tc>
          <w:tcPr>
            <w:tcW w:w="557" w:type="dxa"/>
            <w:vMerge w:val="restart"/>
            <w:noWrap w:val="0"/>
            <w:vAlign w:val="center"/>
          </w:tcPr>
          <w:p>
            <w:pPr>
              <w:spacing w:line="280" w:lineRule="exact"/>
              <w:jc w:val="center"/>
            </w:pPr>
            <w:r>
              <w:rPr>
                <w:rFonts w:hint="eastAsia"/>
              </w:rPr>
              <w:t>交通服务收费</w:t>
            </w:r>
          </w:p>
        </w:tc>
        <w:tc>
          <w:tcPr>
            <w:tcW w:w="1103" w:type="dxa"/>
            <w:noWrap w:val="0"/>
            <w:vAlign w:val="top"/>
          </w:tcPr>
          <w:p>
            <w:pPr>
              <w:spacing w:line="280" w:lineRule="exact"/>
            </w:pPr>
          </w:p>
        </w:tc>
        <w:tc>
          <w:tcPr>
            <w:tcW w:w="1098" w:type="dxa"/>
            <w:noWrap w:val="0"/>
            <w:vAlign w:val="center"/>
          </w:tcPr>
          <w:p>
            <w:pPr>
              <w:spacing w:line="280" w:lineRule="exact"/>
              <w:rPr>
                <w:szCs w:val="32"/>
              </w:rPr>
            </w:pPr>
            <w:r>
              <w:rPr>
                <w:rFonts w:hint="eastAsia"/>
              </w:rPr>
              <w:t>（二）政府投资建设（设立）的停车场（库、泊位）收费</w:t>
            </w:r>
          </w:p>
        </w:tc>
        <w:tc>
          <w:tcPr>
            <w:tcW w:w="3713" w:type="dxa"/>
            <w:noWrap w:val="0"/>
            <w:vAlign w:val="center"/>
          </w:tcPr>
          <w:p>
            <w:pPr>
              <w:spacing w:line="280" w:lineRule="exact"/>
              <w:rPr>
                <w:szCs w:val="32"/>
              </w:rPr>
            </w:pPr>
            <w:r>
              <w:rPr>
                <w:rFonts w:hint="eastAsia"/>
              </w:rPr>
              <w:t>城市繁华区域白天每小时不超过5元，夜间每小时不超过2元。</w:t>
            </w:r>
          </w:p>
        </w:tc>
        <w:tc>
          <w:tcPr>
            <w:tcW w:w="2965" w:type="dxa"/>
            <w:noWrap w:val="0"/>
            <w:vAlign w:val="center"/>
          </w:tcPr>
          <w:p>
            <w:pPr>
              <w:spacing w:line="240" w:lineRule="exact"/>
              <w:jc w:val="left"/>
              <w:rPr>
                <w:rFonts w:hint="eastAsia"/>
              </w:rPr>
            </w:pPr>
            <w:r>
              <w:rPr>
                <w:rFonts w:hint="eastAsia"/>
                <w:lang w:eastAsia="zh-CN"/>
              </w:rPr>
              <w:t>桃发改价</w:t>
            </w:r>
            <w:r>
              <w:rPr>
                <w:rFonts w:hint="eastAsia"/>
              </w:rPr>
              <w:t>〔201</w:t>
            </w:r>
            <w:r>
              <w:rPr>
                <w:rFonts w:hint="eastAsia"/>
                <w:lang w:val="en-US" w:eastAsia="zh-CN"/>
              </w:rPr>
              <w:t>9</w:t>
            </w:r>
            <w:r>
              <w:rPr>
                <w:rFonts w:hint="eastAsia"/>
              </w:rPr>
              <w:t>〕</w:t>
            </w:r>
            <w:r>
              <w:rPr>
                <w:rFonts w:hint="eastAsia"/>
                <w:lang w:val="en-US" w:eastAsia="zh-CN"/>
              </w:rPr>
              <w:t>375</w:t>
            </w:r>
            <w:r>
              <w:rPr>
                <w:rFonts w:hint="eastAsia"/>
              </w:rPr>
              <w:t>号</w:t>
            </w:r>
          </w:p>
          <w:p>
            <w:pPr>
              <w:spacing w:line="240" w:lineRule="exact"/>
              <w:jc w:val="left"/>
              <w:rPr>
                <w:rFonts w:hint="eastAsia"/>
              </w:rPr>
            </w:pPr>
            <w:r>
              <w:rPr>
                <w:rFonts w:hint="eastAsia"/>
                <w:lang w:eastAsia="zh-CN"/>
              </w:rPr>
              <w:t>桃发改价</w:t>
            </w:r>
            <w:r>
              <w:rPr>
                <w:rFonts w:hint="eastAsia"/>
              </w:rPr>
              <w:t>〔20</w:t>
            </w:r>
            <w:r>
              <w:rPr>
                <w:rFonts w:hint="eastAsia"/>
                <w:lang w:val="en-US" w:eastAsia="zh-CN"/>
              </w:rPr>
              <w:t>20</w:t>
            </w:r>
            <w:r>
              <w:rPr>
                <w:rFonts w:hint="eastAsia"/>
              </w:rPr>
              <w:t>〕</w:t>
            </w:r>
            <w:r>
              <w:rPr>
                <w:rFonts w:hint="eastAsia"/>
                <w:lang w:val="en-US" w:eastAsia="zh-CN"/>
              </w:rPr>
              <w:t>150</w:t>
            </w:r>
            <w:r>
              <w:rPr>
                <w:rFonts w:hint="eastAsia"/>
              </w:rPr>
              <w:t>号</w:t>
            </w:r>
          </w:p>
          <w:p>
            <w:pPr>
              <w:spacing w:line="240" w:lineRule="exact"/>
              <w:jc w:val="left"/>
              <w:rPr>
                <w:rFonts w:hint="eastAsia"/>
              </w:rPr>
            </w:pPr>
            <w:r>
              <w:rPr>
                <w:rFonts w:hint="eastAsia"/>
                <w:lang w:eastAsia="zh-CN"/>
              </w:rPr>
              <w:t>桃发改价</w:t>
            </w:r>
            <w:r>
              <w:rPr>
                <w:rFonts w:hint="eastAsia"/>
              </w:rPr>
              <w:t>〔20</w:t>
            </w:r>
            <w:r>
              <w:rPr>
                <w:rFonts w:hint="eastAsia"/>
                <w:lang w:val="en-US" w:eastAsia="zh-CN"/>
              </w:rPr>
              <w:t>21</w:t>
            </w:r>
            <w:r>
              <w:rPr>
                <w:rFonts w:hint="eastAsia"/>
              </w:rPr>
              <w:t>〕</w:t>
            </w:r>
            <w:r>
              <w:rPr>
                <w:rFonts w:hint="eastAsia"/>
                <w:lang w:val="en-US" w:eastAsia="zh-CN"/>
              </w:rPr>
              <w:t>60</w:t>
            </w:r>
            <w:r>
              <w:rPr>
                <w:rFonts w:hint="eastAsia"/>
              </w:rPr>
              <w:t>号</w:t>
            </w:r>
          </w:p>
          <w:p>
            <w:pPr>
              <w:spacing w:line="280" w:lineRule="exact"/>
              <w:jc w:val="left"/>
              <w:rPr>
                <w:szCs w:val="32"/>
              </w:rPr>
            </w:pPr>
          </w:p>
        </w:tc>
        <w:tc>
          <w:tcPr>
            <w:tcW w:w="974" w:type="dxa"/>
            <w:noWrap w:val="0"/>
            <w:vAlign w:val="center"/>
          </w:tcPr>
          <w:p>
            <w:pPr>
              <w:spacing w:line="280" w:lineRule="exact"/>
              <w:jc w:val="center"/>
              <w:rPr>
                <w:rFonts w:hint="eastAsia" w:eastAsia="宋体"/>
                <w:szCs w:val="32"/>
                <w:lang w:eastAsia="zh-CN"/>
              </w:rPr>
            </w:pPr>
            <w:r>
              <w:rPr>
                <w:rFonts w:hint="eastAsia"/>
                <w:lang w:eastAsia="zh-CN"/>
              </w:rPr>
              <w:t>县发</w:t>
            </w:r>
            <w:r>
              <w:rPr>
                <w:rFonts w:hint="eastAsia"/>
              </w:rPr>
              <w:t>展</w:t>
            </w:r>
            <w:r>
              <w:rPr>
                <w:rFonts w:hint="eastAsia"/>
                <w:lang w:eastAsia="zh-CN"/>
              </w:rPr>
              <w:t>和</w:t>
            </w:r>
            <w:r>
              <w:rPr>
                <w:rFonts w:hint="eastAsia"/>
              </w:rPr>
              <w:t>改革</w:t>
            </w:r>
            <w:r>
              <w:rPr>
                <w:rFonts w:hint="eastAsia"/>
                <w:lang w:eastAsia="zh-CN"/>
              </w:rPr>
              <w:t>局</w:t>
            </w:r>
          </w:p>
        </w:tc>
        <w:tc>
          <w:tcPr>
            <w:tcW w:w="878" w:type="dxa"/>
            <w:noWrap w:val="0"/>
            <w:tcMar>
              <w:left w:w="28" w:type="dxa"/>
              <w:right w:w="28" w:type="dxa"/>
            </w:tcMar>
            <w:vAlign w:val="center"/>
          </w:tcPr>
          <w:p>
            <w:pPr>
              <w:spacing w:line="280" w:lineRule="exact"/>
              <w:jc w:val="center"/>
              <w:rPr>
                <w:szCs w:val="32"/>
              </w:rPr>
            </w:pPr>
            <w:r>
              <w:rPr>
                <w:rFonts w:hint="eastAsia"/>
              </w:rPr>
              <w:t>公安交警部门</w:t>
            </w:r>
          </w:p>
        </w:tc>
        <w:tc>
          <w:tcPr>
            <w:tcW w:w="527" w:type="dxa"/>
            <w:noWrap w:val="0"/>
            <w:tcMar>
              <w:left w:w="28" w:type="dxa"/>
              <w:right w:w="28" w:type="dxa"/>
            </w:tcMar>
            <w:vAlign w:val="center"/>
          </w:tcPr>
          <w:p>
            <w:pPr>
              <w:spacing w:line="280" w:lineRule="exact"/>
              <w:jc w:val="center"/>
              <w:rPr>
                <w:szCs w:val="32"/>
              </w:rPr>
            </w:pPr>
            <w:r>
              <w:rPr>
                <w:rFonts w:hint="eastAsia"/>
              </w:rPr>
              <w:t>是</w:t>
            </w:r>
          </w:p>
        </w:tc>
        <w:tc>
          <w:tcPr>
            <w:tcW w:w="607" w:type="dxa"/>
            <w:noWrap w:val="0"/>
            <w:tcMar>
              <w:left w:w="28" w:type="dxa"/>
              <w:right w:w="28" w:type="dxa"/>
            </w:tcMar>
            <w:vAlign w:val="center"/>
          </w:tcPr>
          <w:p>
            <w:pPr>
              <w:spacing w:line="280" w:lineRule="exact"/>
              <w:jc w:val="center"/>
              <w:rPr>
                <w:rFonts w:hint="eastAsia"/>
              </w:rPr>
            </w:pPr>
            <w:r>
              <w:rPr>
                <w:rFonts w:hint="eastAsia"/>
              </w:rPr>
              <w:t>否</w:t>
            </w:r>
          </w:p>
        </w:tc>
        <w:tc>
          <w:tcPr>
            <w:tcW w:w="593" w:type="dxa"/>
            <w:noWrap w:val="0"/>
            <w:tcMar>
              <w:left w:w="28" w:type="dxa"/>
              <w:right w:w="28" w:type="dxa"/>
            </w:tcMar>
            <w:vAlign w:val="center"/>
          </w:tcPr>
          <w:p>
            <w:pPr>
              <w:spacing w:line="280" w:lineRule="exact"/>
              <w:jc w:val="center"/>
              <w:rPr>
                <w:rFonts w:hint="eastAsia"/>
              </w:rPr>
            </w:pPr>
            <w:r>
              <w:rPr>
                <w:rFonts w:hint="eastAsia"/>
              </w:rPr>
              <w:t>否</w:t>
            </w:r>
          </w:p>
        </w:tc>
        <w:tc>
          <w:tcPr>
            <w:tcW w:w="879" w:type="dxa"/>
            <w:noWrap w:val="0"/>
            <w:vAlign w:val="center"/>
          </w:tcPr>
          <w:p>
            <w:pPr>
              <w:spacing w:line="280" w:lineRule="exact"/>
              <w:jc w:val="center"/>
              <w:rPr>
                <w:szCs w:val="32"/>
              </w:rPr>
            </w:pPr>
            <w:r>
              <w:rPr>
                <w:rFonts w:hint="eastAsia"/>
              </w:rPr>
              <w:t>准许成本加合理收益</w:t>
            </w:r>
          </w:p>
        </w:tc>
        <w:tc>
          <w:tcPr>
            <w:tcW w:w="636" w:type="dxa"/>
            <w:noWrap w:val="0"/>
            <w:vAlign w:val="center"/>
          </w:tcPr>
          <w:p>
            <w:pPr>
              <w:spacing w:line="28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1" w:hRule="atLeast"/>
          <w:jc w:val="center"/>
        </w:trPr>
        <w:tc>
          <w:tcPr>
            <w:tcW w:w="557" w:type="dxa"/>
            <w:vMerge w:val="continue"/>
            <w:noWrap w:val="0"/>
            <w:vAlign w:val="top"/>
          </w:tcPr>
          <w:p>
            <w:pPr>
              <w:spacing w:line="280" w:lineRule="exact"/>
            </w:pPr>
          </w:p>
        </w:tc>
        <w:tc>
          <w:tcPr>
            <w:tcW w:w="1103" w:type="dxa"/>
            <w:vMerge w:val="restart"/>
            <w:noWrap w:val="0"/>
            <w:vAlign w:val="center"/>
          </w:tcPr>
          <w:p>
            <w:pPr>
              <w:spacing w:line="280" w:lineRule="exact"/>
            </w:pPr>
            <w:r>
              <w:rPr>
                <w:rFonts w:hint="eastAsia"/>
              </w:rPr>
              <w:t>三、高速公路清障救援服务费</w:t>
            </w:r>
          </w:p>
        </w:tc>
        <w:tc>
          <w:tcPr>
            <w:tcW w:w="1098" w:type="dxa"/>
            <w:noWrap w:val="0"/>
            <w:vAlign w:val="center"/>
          </w:tcPr>
          <w:p>
            <w:pPr>
              <w:spacing w:line="280" w:lineRule="exact"/>
              <w:rPr>
                <w:rFonts w:ascii="宋体" w:hAnsi="宋体" w:cs="宋体"/>
                <w:szCs w:val="21"/>
              </w:rPr>
            </w:pPr>
            <w:r>
              <w:rPr>
                <w:rFonts w:hint="eastAsia"/>
                <w:szCs w:val="21"/>
              </w:rPr>
              <w:t>（一）拖车费</w:t>
            </w:r>
          </w:p>
        </w:tc>
        <w:tc>
          <w:tcPr>
            <w:tcW w:w="3713" w:type="dxa"/>
            <w:noWrap w:val="0"/>
            <w:vAlign w:val="center"/>
          </w:tcPr>
          <w:p>
            <w:pPr>
              <w:spacing w:line="280" w:lineRule="exact"/>
              <w:rPr>
                <w:rFonts w:ascii="宋体" w:hAnsi="宋体" w:cs="宋体"/>
                <w:szCs w:val="21"/>
              </w:rPr>
            </w:pPr>
            <w:r>
              <w:rPr>
                <w:rFonts w:hint="eastAsia"/>
                <w:szCs w:val="21"/>
              </w:rPr>
              <w:t>按照不同车型基价每次280元-580元。每增加一公里加收标准15元-27元。放空费按被拖相应车型基价的50%收取。具体收费标准见相关文件。</w:t>
            </w:r>
          </w:p>
        </w:tc>
        <w:tc>
          <w:tcPr>
            <w:tcW w:w="2965" w:type="dxa"/>
            <w:noWrap w:val="0"/>
            <w:vAlign w:val="center"/>
          </w:tcPr>
          <w:p>
            <w:pPr>
              <w:spacing w:line="280" w:lineRule="exact"/>
              <w:jc w:val="left"/>
              <w:rPr>
                <w:rFonts w:hint="eastAsia"/>
                <w:szCs w:val="21"/>
              </w:rPr>
            </w:pPr>
            <w:r>
              <w:rPr>
                <w:rFonts w:hint="eastAsia"/>
                <w:szCs w:val="21"/>
              </w:rPr>
              <w:t>湘发改价调〔2019〕706号</w:t>
            </w:r>
          </w:p>
          <w:p>
            <w:pPr>
              <w:spacing w:line="280" w:lineRule="exact"/>
              <w:jc w:val="left"/>
              <w:rPr>
                <w:rFonts w:ascii="宋体" w:hAnsi="宋体" w:cs="宋体"/>
                <w:szCs w:val="21"/>
              </w:rPr>
            </w:pPr>
            <w:r>
              <w:rPr>
                <w:rFonts w:hint="eastAsia"/>
                <w:szCs w:val="21"/>
              </w:rPr>
              <w:t>湘发改价调〔2018〕951号</w:t>
            </w:r>
          </w:p>
        </w:tc>
        <w:tc>
          <w:tcPr>
            <w:tcW w:w="974" w:type="dxa"/>
            <w:noWrap w:val="0"/>
            <w:vAlign w:val="center"/>
          </w:tcPr>
          <w:p>
            <w:pPr>
              <w:spacing w:line="280" w:lineRule="exact"/>
              <w:jc w:val="center"/>
              <w:rPr>
                <w:rFonts w:ascii="宋体" w:hAnsi="宋体" w:cs="宋体"/>
                <w:szCs w:val="21"/>
              </w:rPr>
            </w:pPr>
            <w:r>
              <w:rPr>
                <w:rFonts w:hint="eastAsia"/>
                <w:szCs w:val="21"/>
              </w:rPr>
              <w:t>省发展改革委、省交通运输厅</w:t>
            </w:r>
          </w:p>
        </w:tc>
        <w:tc>
          <w:tcPr>
            <w:tcW w:w="878" w:type="dxa"/>
            <w:noWrap w:val="0"/>
            <w:tcMar>
              <w:left w:w="28" w:type="dxa"/>
              <w:right w:w="28" w:type="dxa"/>
            </w:tcMar>
            <w:vAlign w:val="center"/>
          </w:tcPr>
          <w:p>
            <w:pPr>
              <w:spacing w:line="280" w:lineRule="exact"/>
              <w:jc w:val="center"/>
              <w:rPr>
                <w:rFonts w:ascii="宋体" w:hAnsi="宋体" w:cs="宋体"/>
                <w:szCs w:val="21"/>
              </w:rPr>
            </w:pPr>
            <w:r>
              <w:rPr>
                <w:rFonts w:hint="eastAsia"/>
                <w:szCs w:val="21"/>
              </w:rPr>
              <w:t>交通运输部门</w:t>
            </w:r>
          </w:p>
        </w:tc>
        <w:tc>
          <w:tcPr>
            <w:tcW w:w="527" w:type="dxa"/>
            <w:noWrap w:val="0"/>
            <w:tcMar>
              <w:left w:w="28" w:type="dxa"/>
              <w:right w:w="28" w:type="dxa"/>
            </w:tcMar>
            <w:vAlign w:val="center"/>
          </w:tcPr>
          <w:p>
            <w:pPr>
              <w:spacing w:line="280" w:lineRule="exact"/>
              <w:jc w:val="center"/>
              <w:rPr>
                <w:rFonts w:ascii="宋体" w:hAnsi="宋体" w:cs="宋体"/>
                <w:szCs w:val="21"/>
              </w:rPr>
            </w:pPr>
            <w:r>
              <w:rPr>
                <w:rFonts w:hint="eastAsia"/>
                <w:szCs w:val="21"/>
              </w:rPr>
              <w:t>是</w:t>
            </w:r>
          </w:p>
        </w:tc>
        <w:tc>
          <w:tcPr>
            <w:tcW w:w="607" w:type="dxa"/>
            <w:noWrap w:val="0"/>
            <w:tcMar>
              <w:left w:w="28" w:type="dxa"/>
              <w:right w:w="28" w:type="dxa"/>
            </w:tcMar>
            <w:vAlign w:val="center"/>
          </w:tcPr>
          <w:p>
            <w:pPr>
              <w:spacing w:line="280" w:lineRule="exact"/>
              <w:jc w:val="center"/>
              <w:rPr>
                <w:rFonts w:ascii="宋体" w:hAnsi="宋体" w:cs="宋体"/>
                <w:szCs w:val="21"/>
              </w:rPr>
            </w:pPr>
            <w:r>
              <w:rPr>
                <w:rFonts w:hint="eastAsia"/>
                <w:szCs w:val="21"/>
              </w:rPr>
              <w:t>否</w:t>
            </w:r>
          </w:p>
        </w:tc>
        <w:tc>
          <w:tcPr>
            <w:tcW w:w="593" w:type="dxa"/>
            <w:noWrap w:val="0"/>
            <w:tcMar>
              <w:left w:w="28" w:type="dxa"/>
              <w:right w:w="28" w:type="dxa"/>
            </w:tcMar>
            <w:vAlign w:val="center"/>
          </w:tcPr>
          <w:p>
            <w:pPr>
              <w:spacing w:line="280" w:lineRule="exact"/>
              <w:jc w:val="center"/>
              <w:rPr>
                <w:rFonts w:ascii="宋体" w:hAnsi="宋体" w:cs="宋体"/>
                <w:szCs w:val="21"/>
              </w:rPr>
            </w:pPr>
            <w:r>
              <w:rPr>
                <w:rFonts w:hint="eastAsia"/>
                <w:szCs w:val="21"/>
              </w:rPr>
              <w:t>否</w:t>
            </w:r>
          </w:p>
        </w:tc>
        <w:tc>
          <w:tcPr>
            <w:tcW w:w="879" w:type="dxa"/>
            <w:noWrap w:val="0"/>
            <w:vAlign w:val="center"/>
          </w:tcPr>
          <w:p>
            <w:pPr>
              <w:spacing w:line="280" w:lineRule="exact"/>
              <w:jc w:val="center"/>
              <w:rPr>
                <w:rFonts w:ascii="宋体" w:hAnsi="宋体" w:cs="宋体"/>
                <w:szCs w:val="21"/>
              </w:rPr>
            </w:pPr>
            <w:r>
              <w:rPr>
                <w:rFonts w:hint="eastAsia"/>
                <w:szCs w:val="21"/>
              </w:rPr>
              <w:t>准许成本加合理收益</w:t>
            </w:r>
          </w:p>
        </w:tc>
        <w:tc>
          <w:tcPr>
            <w:tcW w:w="636" w:type="dxa"/>
            <w:noWrap w:val="0"/>
            <w:vAlign w:val="center"/>
          </w:tcPr>
          <w:p>
            <w:pPr>
              <w:spacing w:line="28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3" w:hRule="atLeast"/>
          <w:jc w:val="center"/>
        </w:trPr>
        <w:tc>
          <w:tcPr>
            <w:tcW w:w="557" w:type="dxa"/>
            <w:vMerge w:val="continue"/>
            <w:noWrap w:val="0"/>
            <w:vAlign w:val="top"/>
          </w:tcPr>
          <w:p>
            <w:pPr>
              <w:spacing w:line="280" w:lineRule="exact"/>
            </w:pPr>
          </w:p>
        </w:tc>
        <w:tc>
          <w:tcPr>
            <w:tcW w:w="1103" w:type="dxa"/>
            <w:vMerge w:val="continue"/>
            <w:noWrap w:val="0"/>
            <w:vAlign w:val="center"/>
          </w:tcPr>
          <w:p>
            <w:pPr>
              <w:spacing w:line="280" w:lineRule="exact"/>
            </w:pPr>
          </w:p>
        </w:tc>
        <w:tc>
          <w:tcPr>
            <w:tcW w:w="1098" w:type="dxa"/>
            <w:noWrap w:val="0"/>
            <w:vAlign w:val="center"/>
          </w:tcPr>
          <w:p>
            <w:pPr>
              <w:spacing w:line="280" w:lineRule="exact"/>
              <w:rPr>
                <w:rFonts w:ascii="宋体" w:hAnsi="宋体" w:cs="宋体"/>
                <w:szCs w:val="21"/>
              </w:rPr>
            </w:pPr>
            <w:r>
              <w:rPr>
                <w:rFonts w:hint="eastAsia"/>
                <w:szCs w:val="21"/>
              </w:rPr>
              <w:t>（二）吊车费</w:t>
            </w:r>
          </w:p>
        </w:tc>
        <w:tc>
          <w:tcPr>
            <w:tcW w:w="3713" w:type="dxa"/>
            <w:noWrap w:val="0"/>
            <w:vAlign w:val="center"/>
          </w:tcPr>
          <w:p>
            <w:pPr>
              <w:spacing w:line="280" w:lineRule="exact"/>
              <w:rPr>
                <w:rFonts w:ascii="宋体" w:hAnsi="宋体" w:cs="宋体"/>
                <w:szCs w:val="21"/>
              </w:rPr>
            </w:pPr>
            <w:r>
              <w:rPr>
                <w:rFonts w:hint="eastAsia"/>
                <w:szCs w:val="21"/>
              </w:rPr>
              <w:t>按照不同车型每车、次1000元-2500元。具体收费标准见相关文件。</w:t>
            </w:r>
          </w:p>
        </w:tc>
        <w:tc>
          <w:tcPr>
            <w:tcW w:w="2965" w:type="dxa"/>
            <w:noWrap w:val="0"/>
            <w:vAlign w:val="center"/>
          </w:tcPr>
          <w:p>
            <w:pPr>
              <w:spacing w:line="280" w:lineRule="exact"/>
              <w:jc w:val="left"/>
              <w:rPr>
                <w:rFonts w:hint="eastAsia"/>
                <w:szCs w:val="21"/>
              </w:rPr>
            </w:pPr>
            <w:r>
              <w:rPr>
                <w:rFonts w:hint="eastAsia"/>
                <w:szCs w:val="21"/>
              </w:rPr>
              <w:t>湘发改价调〔2019〕706号</w:t>
            </w:r>
          </w:p>
          <w:p>
            <w:pPr>
              <w:spacing w:line="280" w:lineRule="exact"/>
              <w:jc w:val="left"/>
              <w:rPr>
                <w:rFonts w:ascii="宋体" w:hAnsi="宋体" w:cs="宋体"/>
                <w:szCs w:val="21"/>
              </w:rPr>
            </w:pPr>
            <w:r>
              <w:rPr>
                <w:rFonts w:hint="eastAsia"/>
                <w:szCs w:val="21"/>
              </w:rPr>
              <w:t>湘发改价调〔2018〕951号</w:t>
            </w:r>
          </w:p>
        </w:tc>
        <w:tc>
          <w:tcPr>
            <w:tcW w:w="974" w:type="dxa"/>
            <w:noWrap w:val="0"/>
            <w:vAlign w:val="center"/>
          </w:tcPr>
          <w:p>
            <w:pPr>
              <w:spacing w:line="280" w:lineRule="exact"/>
              <w:jc w:val="center"/>
              <w:rPr>
                <w:rFonts w:ascii="宋体" w:hAnsi="宋体" w:cs="宋体"/>
                <w:szCs w:val="21"/>
              </w:rPr>
            </w:pPr>
            <w:r>
              <w:rPr>
                <w:rFonts w:hint="eastAsia"/>
                <w:szCs w:val="21"/>
              </w:rPr>
              <w:t>省发展改革委、省交通运输厅</w:t>
            </w:r>
          </w:p>
        </w:tc>
        <w:tc>
          <w:tcPr>
            <w:tcW w:w="878" w:type="dxa"/>
            <w:noWrap w:val="0"/>
            <w:tcMar>
              <w:left w:w="28" w:type="dxa"/>
              <w:right w:w="28" w:type="dxa"/>
            </w:tcMar>
            <w:vAlign w:val="center"/>
          </w:tcPr>
          <w:p>
            <w:pPr>
              <w:spacing w:line="280" w:lineRule="exact"/>
              <w:jc w:val="center"/>
              <w:rPr>
                <w:rFonts w:ascii="宋体" w:hAnsi="宋体" w:cs="宋体"/>
                <w:szCs w:val="21"/>
              </w:rPr>
            </w:pPr>
            <w:r>
              <w:rPr>
                <w:rFonts w:hint="eastAsia"/>
                <w:szCs w:val="21"/>
              </w:rPr>
              <w:t>交通运输部门</w:t>
            </w:r>
          </w:p>
        </w:tc>
        <w:tc>
          <w:tcPr>
            <w:tcW w:w="527" w:type="dxa"/>
            <w:noWrap w:val="0"/>
            <w:tcMar>
              <w:left w:w="28" w:type="dxa"/>
              <w:right w:w="28" w:type="dxa"/>
            </w:tcMar>
            <w:vAlign w:val="center"/>
          </w:tcPr>
          <w:p>
            <w:pPr>
              <w:spacing w:line="280" w:lineRule="exact"/>
              <w:jc w:val="center"/>
              <w:rPr>
                <w:rFonts w:ascii="宋体" w:hAnsi="宋体" w:cs="宋体"/>
                <w:szCs w:val="21"/>
              </w:rPr>
            </w:pPr>
            <w:r>
              <w:rPr>
                <w:rFonts w:hint="eastAsia"/>
                <w:szCs w:val="21"/>
              </w:rPr>
              <w:t>是</w:t>
            </w:r>
          </w:p>
        </w:tc>
        <w:tc>
          <w:tcPr>
            <w:tcW w:w="607" w:type="dxa"/>
            <w:noWrap w:val="0"/>
            <w:tcMar>
              <w:left w:w="28" w:type="dxa"/>
              <w:right w:w="28" w:type="dxa"/>
            </w:tcMar>
            <w:vAlign w:val="center"/>
          </w:tcPr>
          <w:p>
            <w:pPr>
              <w:spacing w:line="280" w:lineRule="exact"/>
              <w:jc w:val="center"/>
              <w:rPr>
                <w:rFonts w:ascii="宋体" w:hAnsi="宋体" w:cs="宋体"/>
                <w:szCs w:val="21"/>
              </w:rPr>
            </w:pPr>
            <w:r>
              <w:rPr>
                <w:rFonts w:hint="eastAsia"/>
                <w:szCs w:val="21"/>
              </w:rPr>
              <w:t>否</w:t>
            </w:r>
          </w:p>
        </w:tc>
        <w:tc>
          <w:tcPr>
            <w:tcW w:w="593" w:type="dxa"/>
            <w:noWrap w:val="0"/>
            <w:tcMar>
              <w:left w:w="28" w:type="dxa"/>
              <w:right w:w="28" w:type="dxa"/>
            </w:tcMar>
            <w:vAlign w:val="center"/>
          </w:tcPr>
          <w:p>
            <w:pPr>
              <w:spacing w:line="280" w:lineRule="exact"/>
              <w:jc w:val="center"/>
              <w:rPr>
                <w:rFonts w:ascii="宋体" w:hAnsi="宋体" w:cs="宋体"/>
                <w:szCs w:val="21"/>
              </w:rPr>
            </w:pPr>
            <w:r>
              <w:rPr>
                <w:rFonts w:hint="eastAsia"/>
                <w:szCs w:val="21"/>
              </w:rPr>
              <w:t>否</w:t>
            </w:r>
          </w:p>
        </w:tc>
        <w:tc>
          <w:tcPr>
            <w:tcW w:w="879" w:type="dxa"/>
            <w:noWrap w:val="0"/>
            <w:vAlign w:val="center"/>
          </w:tcPr>
          <w:p>
            <w:pPr>
              <w:spacing w:line="280" w:lineRule="exact"/>
              <w:jc w:val="center"/>
              <w:rPr>
                <w:rFonts w:ascii="宋体" w:hAnsi="宋体" w:cs="宋体"/>
                <w:szCs w:val="21"/>
              </w:rPr>
            </w:pPr>
            <w:r>
              <w:rPr>
                <w:rFonts w:hint="eastAsia"/>
                <w:szCs w:val="21"/>
              </w:rPr>
              <w:t>准许成本加合理收益</w:t>
            </w:r>
          </w:p>
        </w:tc>
        <w:tc>
          <w:tcPr>
            <w:tcW w:w="636" w:type="dxa"/>
            <w:noWrap w:val="0"/>
            <w:vAlign w:val="center"/>
          </w:tcPr>
          <w:p>
            <w:pPr>
              <w:spacing w:line="28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6" w:hRule="atLeast"/>
          <w:jc w:val="center"/>
        </w:trPr>
        <w:tc>
          <w:tcPr>
            <w:tcW w:w="557" w:type="dxa"/>
            <w:vMerge w:val="continue"/>
            <w:noWrap w:val="0"/>
            <w:vAlign w:val="top"/>
          </w:tcPr>
          <w:p>
            <w:pPr>
              <w:spacing w:line="280" w:lineRule="exact"/>
            </w:pPr>
          </w:p>
        </w:tc>
        <w:tc>
          <w:tcPr>
            <w:tcW w:w="1103" w:type="dxa"/>
            <w:vMerge w:val="restart"/>
            <w:noWrap w:val="0"/>
            <w:vAlign w:val="center"/>
          </w:tcPr>
          <w:p>
            <w:pPr>
              <w:spacing w:line="280" w:lineRule="exact"/>
            </w:pPr>
            <w:r>
              <w:rPr>
                <w:rFonts w:hint="eastAsia"/>
              </w:rPr>
              <w:t>四、汽车客运站服务收费</w:t>
            </w:r>
          </w:p>
        </w:tc>
        <w:tc>
          <w:tcPr>
            <w:tcW w:w="1098" w:type="dxa"/>
            <w:noWrap w:val="0"/>
            <w:vAlign w:val="center"/>
          </w:tcPr>
          <w:p>
            <w:pPr>
              <w:spacing w:line="280" w:lineRule="exact"/>
              <w:rPr>
                <w:rFonts w:ascii="宋体" w:hAnsi="宋体" w:cs="宋体"/>
                <w:color w:val="000000"/>
                <w:szCs w:val="21"/>
              </w:rPr>
            </w:pPr>
            <w:r>
              <w:rPr>
                <w:rFonts w:hint="eastAsia"/>
                <w:color w:val="000000"/>
                <w:szCs w:val="21"/>
              </w:rPr>
              <w:t>（一）车辆站务基本服务收费</w:t>
            </w:r>
          </w:p>
        </w:tc>
        <w:tc>
          <w:tcPr>
            <w:tcW w:w="3713" w:type="dxa"/>
            <w:noWrap w:val="0"/>
            <w:vAlign w:val="center"/>
          </w:tcPr>
          <w:p>
            <w:pPr>
              <w:spacing w:line="280" w:lineRule="exact"/>
              <w:rPr>
                <w:rFonts w:ascii="宋体" w:hAnsi="宋体" w:cs="宋体"/>
                <w:color w:val="000000"/>
                <w:szCs w:val="21"/>
              </w:rPr>
            </w:pPr>
            <w:r>
              <w:rPr>
                <w:rFonts w:hint="eastAsia"/>
                <w:color w:val="000000"/>
                <w:szCs w:val="21"/>
              </w:rPr>
              <w:t>客运站客运代理收费按客运运费的比例及客运站等级，一甲10%，二甲8%，三甲6%。一乙9.5%，二乙7.5%，三乙5.5%。一丙9%，二丙7%，三丙、四级、五级和简易站5%。停车费：每次5-20元。</w:t>
            </w:r>
          </w:p>
        </w:tc>
        <w:tc>
          <w:tcPr>
            <w:tcW w:w="2965" w:type="dxa"/>
            <w:noWrap w:val="0"/>
            <w:vAlign w:val="center"/>
          </w:tcPr>
          <w:p>
            <w:pPr>
              <w:spacing w:line="280" w:lineRule="exact"/>
              <w:jc w:val="left"/>
              <w:rPr>
                <w:rFonts w:ascii="宋体" w:hAnsi="宋体" w:cs="宋体"/>
                <w:szCs w:val="21"/>
              </w:rPr>
            </w:pPr>
            <w:r>
              <w:rPr>
                <w:rFonts w:hint="eastAsia"/>
                <w:szCs w:val="21"/>
              </w:rPr>
              <w:t>湘发改价费规〔2021〕107号常发改价调〔2017〕601号</w:t>
            </w:r>
          </w:p>
        </w:tc>
        <w:tc>
          <w:tcPr>
            <w:tcW w:w="974" w:type="dxa"/>
            <w:noWrap w:val="0"/>
            <w:vAlign w:val="center"/>
          </w:tcPr>
          <w:p>
            <w:pPr>
              <w:spacing w:line="280" w:lineRule="exact"/>
              <w:jc w:val="center"/>
              <w:rPr>
                <w:rFonts w:ascii="宋体" w:hAnsi="宋体" w:cs="宋体"/>
                <w:szCs w:val="21"/>
              </w:rPr>
            </w:pPr>
            <w:r>
              <w:rPr>
                <w:rFonts w:hint="eastAsia"/>
                <w:szCs w:val="21"/>
              </w:rPr>
              <w:t>市发展改革委</w:t>
            </w:r>
          </w:p>
        </w:tc>
        <w:tc>
          <w:tcPr>
            <w:tcW w:w="878" w:type="dxa"/>
            <w:noWrap w:val="0"/>
            <w:tcMar>
              <w:left w:w="28" w:type="dxa"/>
              <w:right w:w="28" w:type="dxa"/>
            </w:tcMar>
            <w:vAlign w:val="center"/>
          </w:tcPr>
          <w:p>
            <w:pPr>
              <w:spacing w:line="280" w:lineRule="exact"/>
              <w:jc w:val="center"/>
              <w:rPr>
                <w:rFonts w:ascii="宋体" w:hAnsi="宋体" w:cs="宋体"/>
                <w:szCs w:val="21"/>
              </w:rPr>
            </w:pPr>
            <w:r>
              <w:rPr>
                <w:rFonts w:hint="eastAsia"/>
                <w:szCs w:val="21"/>
              </w:rPr>
              <w:t>交通运输部门</w:t>
            </w:r>
          </w:p>
        </w:tc>
        <w:tc>
          <w:tcPr>
            <w:tcW w:w="527" w:type="dxa"/>
            <w:noWrap w:val="0"/>
            <w:tcMar>
              <w:left w:w="28" w:type="dxa"/>
              <w:right w:w="28" w:type="dxa"/>
            </w:tcMar>
            <w:vAlign w:val="center"/>
          </w:tcPr>
          <w:p>
            <w:pPr>
              <w:spacing w:line="280" w:lineRule="exact"/>
              <w:jc w:val="center"/>
              <w:rPr>
                <w:rFonts w:ascii="宋体" w:hAnsi="宋体" w:cs="宋体"/>
                <w:color w:val="000000"/>
                <w:szCs w:val="21"/>
              </w:rPr>
            </w:pPr>
            <w:r>
              <w:rPr>
                <w:rFonts w:hint="eastAsia"/>
                <w:color w:val="000000"/>
                <w:szCs w:val="21"/>
              </w:rPr>
              <w:t>是</w:t>
            </w:r>
          </w:p>
        </w:tc>
        <w:tc>
          <w:tcPr>
            <w:tcW w:w="607" w:type="dxa"/>
            <w:noWrap w:val="0"/>
            <w:tcMar>
              <w:left w:w="28" w:type="dxa"/>
              <w:right w:w="28" w:type="dxa"/>
            </w:tcMar>
            <w:vAlign w:val="center"/>
          </w:tcPr>
          <w:p>
            <w:pPr>
              <w:spacing w:line="280" w:lineRule="exact"/>
              <w:jc w:val="center"/>
              <w:rPr>
                <w:rFonts w:ascii="宋体" w:hAnsi="宋体" w:cs="宋体"/>
                <w:color w:val="000000"/>
                <w:szCs w:val="21"/>
              </w:rPr>
            </w:pPr>
            <w:r>
              <w:rPr>
                <w:rFonts w:hint="eastAsia"/>
                <w:color w:val="000000"/>
                <w:szCs w:val="21"/>
              </w:rPr>
              <w:t>否</w:t>
            </w:r>
          </w:p>
        </w:tc>
        <w:tc>
          <w:tcPr>
            <w:tcW w:w="593" w:type="dxa"/>
            <w:noWrap w:val="0"/>
            <w:tcMar>
              <w:left w:w="28" w:type="dxa"/>
              <w:right w:w="28" w:type="dxa"/>
            </w:tcMar>
            <w:vAlign w:val="center"/>
          </w:tcPr>
          <w:p>
            <w:pPr>
              <w:spacing w:line="280" w:lineRule="exact"/>
              <w:jc w:val="center"/>
              <w:rPr>
                <w:rFonts w:ascii="宋体" w:hAnsi="宋体" w:cs="宋体"/>
                <w:color w:val="000000"/>
                <w:szCs w:val="21"/>
              </w:rPr>
            </w:pPr>
            <w:r>
              <w:rPr>
                <w:rFonts w:hint="eastAsia"/>
                <w:color w:val="000000"/>
                <w:szCs w:val="21"/>
              </w:rPr>
              <w:t>否</w:t>
            </w:r>
          </w:p>
        </w:tc>
        <w:tc>
          <w:tcPr>
            <w:tcW w:w="879" w:type="dxa"/>
            <w:noWrap w:val="0"/>
            <w:vAlign w:val="center"/>
          </w:tcPr>
          <w:p>
            <w:pPr>
              <w:spacing w:line="280" w:lineRule="exact"/>
              <w:jc w:val="center"/>
              <w:rPr>
                <w:rFonts w:ascii="宋体" w:hAnsi="宋体" w:cs="宋体"/>
                <w:color w:val="000000"/>
                <w:szCs w:val="21"/>
              </w:rPr>
            </w:pPr>
            <w:r>
              <w:rPr>
                <w:rFonts w:hint="eastAsia"/>
                <w:color w:val="000000"/>
                <w:szCs w:val="21"/>
              </w:rPr>
              <w:t>准许成本加合理收益</w:t>
            </w:r>
          </w:p>
        </w:tc>
        <w:tc>
          <w:tcPr>
            <w:tcW w:w="636" w:type="dxa"/>
            <w:noWrap w:val="0"/>
            <w:vAlign w:val="center"/>
          </w:tcPr>
          <w:p>
            <w:pPr>
              <w:spacing w:line="280" w:lineRule="exact"/>
              <w:jc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1" w:hRule="atLeast"/>
          <w:jc w:val="center"/>
        </w:trPr>
        <w:tc>
          <w:tcPr>
            <w:tcW w:w="557" w:type="dxa"/>
            <w:vMerge w:val="continue"/>
            <w:noWrap w:val="0"/>
            <w:vAlign w:val="top"/>
          </w:tcPr>
          <w:p>
            <w:pPr>
              <w:spacing w:line="280" w:lineRule="exact"/>
            </w:pPr>
          </w:p>
        </w:tc>
        <w:tc>
          <w:tcPr>
            <w:tcW w:w="1103" w:type="dxa"/>
            <w:vMerge w:val="continue"/>
            <w:noWrap w:val="0"/>
            <w:vAlign w:val="center"/>
          </w:tcPr>
          <w:p>
            <w:pPr>
              <w:spacing w:line="280" w:lineRule="exact"/>
            </w:pPr>
          </w:p>
        </w:tc>
        <w:tc>
          <w:tcPr>
            <w:tcW w:w="1098" w:type="dxa"/>
            <w:noWrap w:val="0"/>
            <w:vAlign w:val="center"/>
          </w:tcPr>
          <w:p>
            <w:pPr>
              <w:spacing w:line="280" w:lineRule="exact"/>
              <w:rPr>
                <w:rFonts w:ascii="宋体" w:hAnsi="宋体" w:cs="宋体"/>
                <w:color w:val="000000"/>
                <w:szCs w:val="21"/>
              </w:rPr>
            </w:pPr>
            <w:r>
              <w:rPr>
                <w:rFonts w:hint="eastAsia"/>
                <w:color w:val="000000"/>
                <w:szCs w:val="21"/>
              </w:rPr>
              <w:t>（二）旅客基本服务收费</w:t>
            </w:r>
          </w:p>
        </w:tc>
        <w:tc>
          <w:tcPr>
            <w:tcW w:w="3713" w:type="dxa"/>
            <w:noWrap w:val="0"/>
            <w:vAlign w:val="center"/>
          </w:tcPr>
          <w:p>
            <w:pPr>
              <w:spacing w:line="280" w:lineRule="exact"/>
              <w:rPr>
                <w:rFonts w:ascii="宋体" w:hAnsi="宋体" w:cs="宋体"/>
                <w:szCs w:val="21"/>
              </w:rPr>
            </w:pPr>
            <w:r>
              <w:rPr>
                <w:rFonts w:hint="eastAsia"/>
                <w:szCs w:val="21"/>
              </w:rPr>
              <w:t>旅客站务费：微机售票100公里以下（含100公里）每人次1元，100公里以上每人次2元。不提供微机售票或不在窗口售票的，不得收取旅客站务费。</w:t>
            </w:r>
          </w:p>
        </w:tc>
        <w:tc>
          <w:tcPr>
            <w:tcW w:w="2965" w:type="dxa"/>
            <w:noWrap w:val="0"/>
            <w:vAlign w:val="center"/>
          </w:tcPr>
          <w:p>
            <w:pPr>
              <w:spacing w:line="280" w:lineRule="exact"/>
              <w:jc w:val="left"/>
              <w:rPr>
                <w:rFonts w:ascii="宋体" w:hAnsi="宋体" w:cs="宋体"/>
                <w:color w:val="000000"/>
                <w:szCs w:val="21"/>
              </w:rPr>
            </w:pPr>
            <w:r>
              <w:rPr>
                <w:rFonts w:hint="eastAsia"/>
                <w:color w:val="000000"/>
                <w:szCs w:val="21"/>
              </w:rPr>
              <w:t>常价函〔2015〕8号</w:t>
            </w:r>
          </w:p>
        </w:tc>
        <w:tc>
          <w:tcPr>
            <w:tcW w:w="974" w:type="dxa"/>
            <w:noWrap w:val="0"/>
            <w:vAlign w:val="center"/>
          </w:tcPr>
          <w:p>
            <w:pPr>
              <w:spacing w:line="280" w:lineRule="exact"/>
              <w:jc w:val="center"/>
              <w:rPr>
                <w:rFonts w:ascii="宋体" w:hAnsi="宋体" w:cs="宋体"/>
                <w:szCs w:val="21"/>
              </w:rPr>
            </w:pPr>
            <w:r>
              <w:rPr>
                <w:rFonts w:hint="eastAsia"/>
                <w:szCs w:val="21"/>
              </w:rPr>
              <w:t>市发展改革委</w:t>
            </w:r>
          </w:p>
        </w:tc>
        <w:tc>
          <w:tcPr>
            <w:tcW w:w="878" w:type="dxa"/>
            <w:noWrap w:val="0"/>
            <w:tcMar>
              <w:left w:w="28" w:type="dxa"/>
              <w:right w:w="28" w:type="dxa"/>
            </w:tcMar>
            <w:vAlign w:val="center"/>
          </w:tcPr>
          <w:p>
            <w:pPr>
              <w:spacing w:line="280" w:lineRule="exact"/>
              <w:jc w:val="center"/>
              <w:rPr>
                <w:rFonts w:ascii="宋体" w:hAnsi="宋体" w:cs="宋体"/>
                <w:szCs w:val="21"/>
              </w:rPr>
            </w:pPr>
            <w:r>
              <w:rPr>
                <w:rFonts w:hint="eastAsia"/>
                <w:szCs w:val="21"/>
              </w:rPr>
              <w:t>交通运输部门</w:t>
            </w:r>
          </w:p>
        </w:tc>
        <w:tc>
          <w:tcPr>
            <w:tcW w:w="527" w:type="dxa"/>
            <w:noWrap w:val="0"/>
            <w:tcMar>
              <w:left w:w="28" w:type="dxa"/>
              <w:right w:w="28" w:type="dxa"/>
            </w:tcMar>
            <w:vAlign w:val="center"/>
          </w:tcPr>
          <w:p>
            <w:pPr>
              <w:spacing w:line="280" w:lineRule="exact"/>
              <w:jc w:val="center"/>
              <w:rPr>
                <w:rFonts w:ascii="宋体" w:hAnsi="宋体" w:cs="宋体"/>
                <w:color w:val="000000"/>
                <w:szCs w:val="21"/>
              </w:rPr>
            </w:pPr>
            <w:r>
              <w:rPr>
                <w:rFonts w:hint="eastAsia"/>
                <w:color w:val="000000"/>
                <w:szCs w:val="21"/>
              </w:rPr>
              <w:t>否</w:t>
            </w:r>
          </w:p>
        </w:tc>
        <w:tc>
          <w:tcPr>
            <w:tcW w:w="607" w:type="dxa"/>
            <w:noWrap w:val="0"/>
            <w:tcMar>
              <w:left w:w="28" w:type="dxa"/>
              <w:right w:w="28" w:type="dxa"/>
            </w:tcMar>
            <w:vAlign w:val="center"/>
          </w:tcPr>
          <w:p>
            <w:pPr>
              <w:spacing w:line="280" w:lineRule="exact"/>
              <w:jc w:val="center"/>
              <w:rPr>
                <w:rFonts w:ascii="宋体" w:hAnsi="宋体" w:cs="宋体"/>
                <w:color w:val="000000"/>
                <w:szCs w:val="21"/>
              </w:rPr>
            </w:pPr>
            <w:r>
              <w:rPr>
                <w:rFonts w:hint="eastAsia"/>
                <w:color w:val="000000"/>
                <w:szCs w:val="21"/>
              </w:rPr>
              <w:t>否</w:t>
            </w:r>
          </w:p>
        </w:tc>
        <w:tc>
          <w:tcPr>
            <w:tcW w:w="593" w:type="dxa"/>
            <w:noWrap w:val="0"/>
            <w:tcMar>
              <w:left w:w="28" w:type="dxa"/>
              <w:right w:w="28" w:type="dxa"/>
            </w:tcMar>
            <w:vAlign w:val="center"/>
          </w:tcPr>
          <w:p>
            <w:pPr>
              <w:spacing w:line="280" w:lineRule="exact"/>
              <w:jc w:val="center"/>
              <w:rPr>
                <w:rFonts w:ascii="宋体" w:hAnsi="宋体" w:cs="宋体"/>
                <w:color w:val="000000"/>
                <w:szCs w:val="21"/>
              </w:rPr>
            </w:pPr>
            <w:r>
              <w:rPr>
                <w:rFonts w:hint="eastAsia"/>
                <w:color w:val="000000"/>
                <w:szCs w:val="21"/>
              </w:rPr>
              <w:t>否</w:t>
            </w:r>
          </w:p>
        </w:tc>
        <w:tc>
          <w:tcPr>
            <w:tcW w:w="879" w:type="dxa"/>
            <w:noWrap w:val="0"/>
            <w:vAlign w:val="center"/>
          </w:tcPr>
          <w:p>
            <w:pPr>
              <w:spacing w:line="280" w:lineRule="exact"/>
              <w:jc w:val="center"/>
              <w:rPr>
                <w:rFonts w:ascii="宋体" w:hAnsi="宋体" w:cs="宋体"/>
                <w:color w:val="000000"/>
                <w:szCs w:val="21"/>
              </w:rPr>
            </w:pPr>
            <w:r>
              <w:rPr>
                <w:rFonts w:hint="eastAsia"/>
                <w:color w:val="000000"/>
                <w:szCs w:val="21"/>
              </w:rPr>
              <w:t>准许成本加合理收益</w:t>
            </w:r>
          </w:p>
        </w:tc>
        <w:tc>
          <w:tcPr>
            <w:tcW w:w="636" w:type="dxa"/>
            <w:noWrap w:val="0"/>
            <w:vAlign w:val="center"/>
          </w:tcPr>
          <w:p>
            <w:pPr>
              <w:spacing w:line="280" w:lineRule="exact"/>
              <w:jc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1" w:hRule="atLeast"/>
          <w:jc w:val="center"/>
        </w:trPr>
        <w:tc>
          <w:tcPr>
            <w:tcW w:w="557" w:type="dxa"/>
            <w:vMerge w:val="restart"/>
            <w:noWrap w:val="0"/>
            <w:vAlign w:val="center"/>
          </w:tcPr>
          <w:p>
            <w:pPr>
              <w:jc w:val="center"/>
            </w:pPr>
            <w:r>
              <w:rPr>
                <w:rFonts w:hint="eastAsia"/>
              </w:rPr>
              <w:t>公用事业服务收费</w:t>
            </w:r>
          </w:p>
        </w:tc>
        <w:tc>
          <w:tcPr>
            <w:tcW w:w="1103" w:type="dxa"/>
            <w:noWrap w:val="0"/>
            <w:vAlign w:val="center"/>
          </w:tcPr>
          <w:p>
            <w:pPr>
              <w:rPr>
                <w:rFonts w:ascii="宋体" w:hAnsi="宋体" w:cs="宋体"/>
                <w:szCs w:val="21"/>
              </w:rPr>
            </w:pPr>
            <w:r>
              <w:rPr>
                <w:rFonts w:hint="eastAsia"/>
                <w:szCs w:val="21"/>
              </w:rPr>
              <w:t>五、居民燃气工程安装费</w:t>
            </w:r>
          </w:p>
        </w:tc>
        <w:tc>
          <w:tcPr>
            <w:tcW w:w="1098" w:type="dxa"/>
            <w:noWrap w:val="0"/>
            <w:vAlign w:val="center"/>
          </w:tcPr>
          <w:p>
            <w:pPr>
              <w:rPr>
                <w:rFonts w:ascii="宋体" w:hAnsi="宋体" w:cs="宋体"/>
                <w:szCs w:val="21"/>
              </w:rPr>
            </w:pPr>
            <w:r>
              <w:rPr>
                <w:rFonts w:hint="eastAsia"/>
                <w:szCs w:val="21"/>
              </w:rPr>
              <w:t>　</w:t>
            </w:r>
          </w:p>
        </w:tc>
        <w:tc>
          <w:tcPr>
            <w:tcW w:w="3713" w:type="dxa"/>
            <w:noWrap w:val="0"/>
            <w:vAlign w:val="center"/>
          </w:tcPr>
          <w:p>
            <w:pPr>
              <w:rPr>
                <w:rFonts w:ascii="宋体" w:hAnsi="宋体" w:cs="宋体"/>
                <w:szCs w:val="21"/>
              </w:rPr>
            </w:pPr>
            <w:r>
              <w:rPr>
                <w:rFonts w:hint="eastAsia"/>
                <w:szCs w:val="21"/>
              </w:rPr>
              <w:t>市城区（含江南城区、德山、柳叶湖）每户不超过1800元；区县市机械表用户每户不超过1960元，智能表用户每户不超过2160元；低密度住宅用户按工程造价协议收取。</w:t>
            </w:r>
          </w:p>
        </w:tc>
        <w:tc>
          <w:tcPr>
            <w:tcW w:w="2965" w:type="dxa"/>
            <w:noWrap w:val="0"/>
            <w:vAlign w:val="center"/>
          </w:tcPr>
          <w:p>
            <w:pPr>
              <w:rPr>
                <w:rFonts w:hint="eastAsia" w:eastAsia="宋体"/>
                <w:szCs w:val="21"/>
                <w:lang w:eastAsia="zh-CN"/>
              </w:rPr>
            </w:pPr>
            <w:r>
              <w:rPr>
                <w:rFonts w:hint="eastAsia"/>
                <w:szCs w:val="21"/>
              </w:rPr>
              <w:t>常发改价商〔2019〕48号、常发改价商〔2019〕407号</w:t>
            </w:r>
          </w:p>
          <w:p>
            <w:pPr>
              <w:rPr>
                <w:rFonts w:hint="eastAsia"/>
                <w:szCs w:val="21"/>
              </w:rPr>
            </w:pPr>
            <w:r>
              <w:rPr>
                <w:rFonts w:hint="eastAsia"/>
                <w:szCs w:val="21"/>
              </w:rPr>
              <w:t>常发改价调〔2021〕402号</w:t>
            </w:r>
          </w:p>
          <w:p>
            <w:pPr>
              <w:rPr>
                <w:rFonts w:hint="eastAsia" w:eastAsia="宋体"/>
                <w:szCs w:val="21"/>
                <w:lang w:eastAsia="zh-CN"/>
              </w:rPr>
            </w:pPr>
            <w:r>
              <w:rPr>
                <w:rFonts w:hint="eastAsia"/>
                <w:szCs w:val="21"/>
                <w:lang w:eastAsia="zh-CN"/>
              </w:rPr>
              <w:t>桃发改价</w:t>
            </w:r>
            <w:r>
              <w:rPr>
                <w:rFonts w:hint="eastAsia"/>
                <w:szCs w:val="21"/>
              </w:rPr>
              <w:t>〔202</w:t>
            </w:r>
            <w:r>
              <w:rPr>
                <w:rFonts w:hint="eastAsia"/>
                <w:szCs w:val="21"/>
                <w:lang w:val="en-US" w:eastAsia="zh-CN"/>
              </w:rPr>
              <w:t>0</w:t>
            </w:r>
            <w:r>
              <w:rPr>
                <w:rFonts w:hint="eastAsia"/>
                <w:szCs w:val="21"/>
              </w:rPr>
              <w:t>〕</w:t>
            </w:r>
            <w:r>
              <w:rPr>
                <w:rFonts w:hint="eastAsia"/>
                <w:szCs w:val="21"/>
                <w:lang w:val="en-US" w:eastAsia="zh-CN"/>
              </w:rPr>
              <w:t>10</w:t>
            </w:r>
            <w:r>
              <w:rPr>
                <w:rFonts w:hint="eastAsia"/>
                <w:szCs w:val="21"/>
              </w:rPr>
              <w:t>号</w:t>
            </w:r>
          </w:p>
        </w:tc>
        <w:tc>
          <w:tcPr>
            <w:tcW w:w="974" w:type="dxa"/>
            <w:noWrap w:val="0"/>
            <w:vAlign w:val="center"/>
          </w:tcPr>
          <w:p>
            <w:pPr>
              <w:jc w:val="center"/>
              <w:rPr>
                <w:rFonts w:hint="eastAsia"/>
                <w:szCs w:val="21"/>
              </w:rPr>
            </w:pPr>
            <w:r>
              <w:rPr>
                <w:rFonts w:hint="eastAsia"/>
                <w:szCs w:val="21"/>
              </w:rPr>
              <w:t>市发展</w:t>
            </w:r>
          </w:p>
          <w:p>
            <w:pPr>
              <w:jc w:val="center"/>
              <w:rPr>
                <w:rFonts w:ascii="宋体" w:hAnsi="宋体" w:cs="宋体"/>
                <w:szCs w:val="21"/>
              </w:rPr>
            </w:pPr>
            <w:r>
              <w:rPr>
                <w:rFonts w:hint="eastAsia"/>
                <w:szCs w:val="21"/>
              </w:rPr>
              <w:t>改革委</w:t>
            </w:r>
          </w:p>
        </w:tc>
        <w:tc>
          <w:tcPr>
            <w:tcW w:w="878" w:type="dxa"/>
            <w:noWrap w:val="0"/>
            <w:tcMar>
              <w:left w:w="28" w:type="dxa"/>
              <w:right w:w="28" w:type="dxa"/>
            </w:tcMar>
            <w:vAlign w:val="center"/>
          </w:tcPr>
          <w:p>
            <w:pPr>
              <w:jc w:val="center"/>
              <w:rPr>
                <w:rFonts w:ascii="宋体" w:hAnsi="宋体" w:cs="宋体"/>
                <w:szCs w:val="21"/>
              </w:rPr>
            </w:pPr>
            <w:r>
              <w:rPr>
                <w:rFonts w:hint="eastAsia"/>
                <w:szCs w:val="21"/>
              </w:rPr>
              <w:t>住房和城乡建设部门</w:t>
            </w:r>
          </w:p>
        </w:tc>
        <w:tc>
          <w:tcPr>
            <w:tcW w:w="527" w:type="dxa"/>
            <w:noWrap w:val="0"/>
            <w:tcMar>
              <w:left w:w="28" w:type="dxa"/>
              <w:right w:w="28" w:type="dxa"/>
            </w:tcMar>
            <w:vAlign w:val="center"/>
          </w:tcPr>
          <w:p>
            <w:pPr>
              <w:jc w:val="center"/>
              <w:rPr>
                <w:rFonts w:ascii="宋体" w:hAnsi="宋体" w:cs="宋体"/>
                <w:szCs w:val="21"/>
              </w:rPr>
            </w:pPr>
            <w:r>
              <w:rPr>
                <w:rFonts w:hint="eastAsia"/>
                <w:szCs w:val="21"/>
              </w:rPr>
              <w:t>是</w:t>
            </w:r>
          </w:p>
        </w:tc>
        <w:tc>
          <w:tcPr>
            <w:tcW w:w="607" w:type="dxa"/>
            <w:noWrap w:val="0"/>
            <w:tcMar>
              <w:left w:w="28" w:type="dxa"/>
              <w:right w:w="28" w:type="dxa"/>
            </w:tcMar>
            <w:vAlign w:val="center"/>
          </w:tcPr>
          <w:p>
            <w:pPr>
              <w:jc w:val="center"/>
              <w:rPr>
                <w:rFonts w:ascii="宋体" w:hAnsi="宋体" w:cs="宋体"/>
                <w:szCs w:val="21"/>
              </w:rPr>
            </w:pPr>
            <w:r>
              <w:rPr>
                <w:rFonts w:hint="eastAsia"/>
                <w:szCs w:val="21"/>
              </w:rPr>
              <w:t>否</w:t>
            </w:r>
          </w:p>
        </w:tc>
        <w:tc>
          <w:tcPr>
            <w:tcW w:w="593" w:type="dxa"/>
            <w:noWrap w:val="0"/>
            <w:tcMar>
              <w:left w:w="28" w:type="dxa"/>
              <w:right w:w="28" w:type="dxa"/>
            </w:tcMar>
            <w:vAlign w:val="center"/>
          </w:tcPr>
          <w:p>
            <w:pPr>
              <w:jc w:val="center"/>
              <w:rPr>
                <w:rFonts w:ascii="宋体" w:hAnsi="宋体" w:cs="宋体"/>
                <w:szCs w:val="21"/>
              </w:rPr>
            </w:pPr>
            <w:r>
              <w:rPr>
                <w:rFonts w:hint="eastAsia"/>
                <w:szCs w:val="21"/>
              </w:rPr>
              <w:t>否</w:t>
            </w:r>
          </w:p>
        </w:tc>
        <w:tc>
          <w:tcPr>
            <w:tcW w:w="879" w:type="dxa"/>
            <w:noWrap w:val="0"/>
            <w:vAlign w:val="center"/>
          </w:tcPr>
          <w:p>
            <w:pPr>
              <w:rPr>
                <w:rFonts w:ascii="宋体" w:hAnsi="宋体" w:cs="宋体"/>
                <w:szCs w:val="21"/>
              </w:rPr>
            </w:pPr>
            <w:r>
              <w:rPr>
                <w:rFonts w:hint="eastAsia"/>
                <w:szCs w:val="21"/>
              </w:rPr>
              <w:t>准许成本加合理收益</w:t>
            </w:r>
          </w:p>
        </w:tc>
        <w:tc>
          <w:tcPr>
            <w:tcW w:w="636" w:type="dxa"/>
            <w:noWrap w:val="0"/>
            <w:vAlign w:val="center"/>
          </w:tcPr>
          <w:p>
            <w:pPr>
              <w:rPr>
                <w:rFonts w:ascii="宋体" w:hAnsi="宋体" w:cs="宋体"/>
                <w:szCs w:val="21"/>
              </w:rPr>
            </w:pPr>
            <w:r>
              <w:rPr>
                <w:rFonts w:hint="eastAsia"/>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6" w:hRule="atLeast"/>
          <w:jc w:val="center"/>
        </w:trPr>
        <w:tc>
          <w:tcPr>
            <w:tcW w:w="557" w:type="dxa"/>
            <w:vMerge w:val="continue"/>
            <w:noWrap w:val="0"/>
            <w:vAlign w:val="top"/>
          </w:tcPr>
          <w:p/>
        </w:tc>
        <w:tc>
          <w:tcPr>
            <w:tcW w:w="1103" w:type="dxa"/>
            <w:vMerge w:val="restart"/>
            <w:noWrap w:val="0"/>
            <w:vAlign w:val="center"/>
          </w:tcPr>
          <w:p>
            <w:pPr>
              <w:jc w:val="left"/>
            </w:pPr>
            <w:r>
              <w:rPr>
                <w:rFonts w:hint="eastAsia"/>
              </w:rPr>
              <w:t>六、</w:t>
            </w:r>
            <w:r>
              <w:rPr>
                <w:rFonts w:hint="eastAsia" w:ascii="Times New Roman" w:hAnsi="Times New Roman" w:eastAsia="宋体" w:cs="Times New Roman"/>
                <w:szCs w:val="21"/>
              </w:rPr>
              <w:t>污水处理</w:t>
            </w:r>
            <w:r>
              <w:rPr>
                <w:rFonts w:hint="eastAsia" w:ascii="Times New Roman" w:hAnsi="Times New Roman" w:eastAsia="宋体" w:cs="Times New Roman"/>
                <w:szCs w:val="21"/>
                <w:lang w:eastAsia="zh-CN"/>
              </w:rPr>
              <w:t>费</w:t>
            </w:r>
            <w:r>
              <w:rPr>
                <w:rFonts w:hint="eastAsia" w:ascii="Times New Roman" w:hAnsi="Times New Roman" w:eastAsia="宋体" w:cs="Times New Roman"/>
                <w:szCs w:val="21"/>
              </w:rPr>
              <w:t>（按经营服务性收费管理的）</w:t>
            </w:r>
          </w:p>
        </w:tc>
        <w:tc>
          <w:tcPr>
            <w:tcW w:w="1098" w:type="dxa"/>
            <w:noWrap w:val="0"/>
            <w:vAlign w:val="center"/>
          </w:tcPr>
          <w:p>
            <w:pPr>
              <w:rPr>
                <w:rFonts w:ascii="宋体" w:hAnsi="宋体" w:cs="宋体"/>
                <w:szCs w:val="21"/>
              </w:rPr>
            </w:pPr>
            <w:r>
              <w:rPr>
                <w:rFonts w:hint="eastAsia"/>
                <w:szCs w:val="21"/>
              </w:rPr>
              <w:t>（一）居民污水处理费</w:t>
            </w:r>
          </w:p>
        </w:tc>
        <w:tc>
          <w:tcPr>
            <w:tcW w:w="3713" w:type="dxa"/>
            <w:noWrap w:val="0"/>
            <w:vAlign w:val="center"/>
          </w:tcPr>
          <w:p>
            <w:pPr>
              <w:rPr>
                <w:rFonts w:ascii="宋体" w:hAnsi="宋体" w:cs="宋体"/>
                <w:szCs w:val="21"/>
              </w:rPr>
            </w:pPr>
            <w:r>
              <w:rPr>
                <w:rFonts w:hint="eastAsia"/>
                <w:szCs w:val="21"/>
              </w:rPr>
              <w:t>随水计征,每立方米0.</w:t>
            </w:r>
            <w:r>
              <w:rPr>
                <w:rFonts w:hint="eastAsia"/>
                <w:szCs w:val="21"/>
                <w:lang w:val="en-US" w:eastAsia="zh-CN"/>
              </w:rPr>
              <w:t>85</w:t>
            </w:r>
            <w:r>
              <w:rPr>
                <w:rFonts w:hint="eastAsia"/>
                <w:szCs w:val="21"/>
              </w:rPr>
              <w:t>元。</w:t>
            </w:r>
          </w:p>
        </w:tc>
        <w:tc>
          <w:tcPr>
            <w:tcW w:w="2965" w:type="dxa"/>
            <w:noWrap w:val="0"/>
            <w:vAlign w:val="center"/>
          </w:tcPr>
          <w:p>
            <w:pPr>
              <w:rPr>
                <w:rFonts w:ascii="宋体" w:hAnsi="宋体" w:cs="宋体"/>
                <w:szCs w:val="21"/>
              </w:rPr>
            </w:pPr>
            <w:r>
              <w:rPr>
                <w:rFonts w:hint="eastAsia" w:ascii="宋体" w:hAnsi="宋体"/>
                <w:szCs w:val="21"/>
              </w:rPr>
              <w:t>桃发改价〔2016〕160号</w:t>
            </w:r>
            <w:r>
              <w:rPr>
                <w:rFonts w:hint="eastAsia" w:ascii="宋体" w:hAnsi="宋体"/>
                <w:szCs w:val="21"/>
                <w:lang w:eastAsia="zh-CN"/>
              </w:rPr>
              <w:t>，</w:t>
            </w:r>
            <w:r>
              <w:rPr>
                <w:rFonts w:hint="eastAsia" w:ascii="宋体" w:hAnsi="宋体"/>
                <w:szCs w:val="21"/>
              </w:rPr>
              <w:t>桃发改价</w:t>
            </w:r>
            <w:r>
              <w:rPr>
                <w:rFonts w:hint="eastAsia" w:ascii="宋体" w:hAnsi="宋体"/>
                <w:szCs w:val="21"/>
                <w:lang w:eastAsia="zh-CN"/>
              </w:rPr>
              <w:t>费</w:t>
            </w:r>
            <w:r>
              <w:rPr>
                <w:rFonts w:hint="eastAsia" w:ascii="宋体" w:hAnsi="宋体"/>
                <w:szCs w:val="21"/>
              </w:rPr>
              <w:t>〔20</w:t>
            </w:r>
            <w:r>
              <w:rPr>
                <w:rFonts w:hint="eastAsia" w:ascii="宋体" w:hAnsi="宋体"/>
                <w:szCs w:val="21"/>
                <w:lang w:val="en-US" w:eastAsia="zh-CN"/>
              </w:rPr>
              <w:t>21</w:t>
            </w:r>
            <w:r>
              <w:rPr>
                <w:rFonts w:hint="eastAsia" w:ascii="宋体" w:hAnsi="宋体"/>
                <w:szCs w:val="21"/>
              </w:rPr>
              <w:t>〕1</w:t>
            </w:r>
            <w:r>
              <w:rPr>
                <w:rFonts w:hint="eastAsia" w:ascii="宋体" w:hAnsi="宋体"/>
                <w:szCs w:val="21"/>
                <w:lang w:val="en-US" w:eastAsia="zh-CN"/>
              </w:rPr>
              <w:t>65</w:t>
            </w:r>
            <w:r>
              <w:rPr>
                <w:rFonts w:hint="eastAsia" w:ascii="宋体" w:hAnsi="宋体"/>
                <w:szCs w:val="21"/>
              </w:rPr>
              <w:t>号</w:t>
            </w:r>
          </w:p>
        </w:tc>
        <w:tc>
          <w:tcPr>
            <w:tcW w:w="974" w:type="dxa"/>
            <w:noWrap w:val="0"/>
            <w:vAlign w:val="center"/>
          </w:tcPr>
          <w:p>
            <w:pPr>
              <w:jc w:val="center"/>
              <w:rPr>
                <w:rFonts w:hint="eastAsia"/>
                <w:szCs w:val="21"/>
              </w:rPr>
            </w:pPr>
            <w:r>
              <w:rPr>
                <w:rFonts w:hint="eastAsia"/>
                <w:szCs w:val="21"/>
                <w:lang w:eastAsia="zh-CN"/>
              </w:rPr>
              <w:t>县</w:t>
            </w:r>
            <w:r>
              <w:rPr>
                <w:rFonts w:hint="eastAsia"/>
                <w:szCs w:val="21"/>
              </w:rPr>
              <w:t>发展</w:t>
            </w:r>
          </w:p>
          <w:p>
            <w:pPr>
              <w:jc w:val="center"/>
              <w:rPr>
                <w:rFonts w:hint="eastAsia" w:ascii="宋体" w:hAnsi="宋体" w:eastAsia="宋体" w:cs="宋体"/>
                <w:szCs w:val="21"/>
                <w:lang w:eastAsia="zh-CN"/>
              </w:rPr>
            </w:pPr>
            <w:r>
              <w:rPr>
                <w:rFonts w:hint="eastAsia"/>
                <w:szCs w:val="21"/>
                <w:lang w:eastAsia="zh-CN"/>
              </w:rPr>
              <w:t>和</w:t>
            </w:r>
            <w:r>
              <w:rPr>
                <w:rFonts w:hint="eastAsia"/>
                <w:szCs w:val="21"/>
              </w:rPr>
              <w:t>改革</w:t>
            </w:r>
            <w:r>
              <w:rPr>
                <w:rFonts w:hint="eastAsia"/>
                <w:szCs w:val="21"/>
                <w:lang w:eastAsia="zh-CN"/>
              </w:rPr>
              <w:t>局</w:t>
            </w:r>
          </w:p>
        </w:tc>
        <w:tc>
          <w:tcPr>
            <w:tcW w:w="878" w:type="dxa"/>
            <w:noWrap w:val="0"/>
            <w:tcMar>
              <w:left w:w="28" w:type="dxa"/>
              <w:right w:w="28" w:type="dxa"/>
            </w:tcMar>
            <w:vAlign w:val="center"/>
          </w:tcPr>
          <w:p>
            <w:pPr>
              <w:jc w:val="center"/>
              <w:rPr>
                <w:rFonts w:ascii="宋体" w:hAnsi="宋体" w:cs="宋体"/>
                <w:szCs w:val="21"/>
              </w:rPr>
            </w:pPr>
            <w:r>
              <w:rPr>
                <w:rFonts w:hint="eastAsia"/>
                <w:szCs w:val="21"/>
              </w:rPr>
              <w:t>住房和城乡建设部门</w:t>
            </w:r>
          </w:p>
        </w:tc>
        <w:tc>
          <w:tcPr>
            <w:tcW w:w="527" w:type="dxa"/>
            <w:noWrap w:val="0"/>
            <w:tcMar>
              <w:left w:w="28" w:type="dxa"/>
              <w:right w:w="28" w:type="dxa"/>
            </w:tcMar>
            <w:vAlign w:val="center"/>
          </w:tcPr>
          <w:p>
            <w:pPr>
              <w:jc w:val="center"/>
              <w:rPr>
                <w:rFonts w:ascii="宋体" w:hAnsi="宋体" w:cs="宋体"/>
                <w:szCs w:val="21"/>
              </w:rPr>
            </w:pPr>
            <w:r>
              <w:rPr>
                <w:rFonts w:hint="eastAsia"/>
                <w:szCs w:val="21"/>
              </w:rPr>
              <w:t>否</w:t>
            </w:r>
          </w:p>
        </w:tc>
        <w:tc>
          <w:tcPr>
            <w:tcW w:w="607" w:type="dxa"/>
            <w:noWrap w:val="0"/>
            <w:tcMar>
              <w:left w:w="28" w:type="dxa"/>
              <w:right w:w="28" w:type="dxa"/>
            </w:tcMar>
            <w:vAlign w:val="center"/>
          </w:tcPr>
          <w:p>
            <w:pPr>
              <w:jc w:val="center"/>
              <w:rPr>
                <w:rFonts w:ascii="宋体" w:hAnsi="宋体" w:cs="宋体"/>
                <w:szCs w:val="21"/>
              </w:rPr>
            </w:pPr>
            <w:r>
              <w:rPr>
                <w:rFonts w:hint="eastAsia"/>
                <w:szCs w:val="21"/>
              </w:rPr>
              <w:t>否</w:t>
            </w:r>
          </w:p>
        </w:tc>
        <w:tc>
          <w:tcPr>
            <w:tcW w:w="593" w:type="dxa"/>
            <w:noWrap w:val="0"/>
            <w:tcMar>
              <w:left w:w="28" w:type="dxa"/>
              <w:right w:w="28" w:type="dxa"/>
            </w:tcMar>
            <w:vAlign w:val="center"/>
          </w:tcPr>
          <w:p>
            <w:pPr>
              <w:jc w:val="center"/>
              <w:rPr>
                <w:rFonts w:ascii="宋体" w:hAnsi="宋体" w:cs="宋体"/>
                <w:szCs w:val="21"/>
              </w:rPr>
            </w:pPr>
            <w:r>
              <w:rPr>
                <w:rFonts w:hint="eastAsia"/>
                <w:szCs w:val="21"/>
              </w:rPr>
              <w:t>否</w:t>
            </w:r>
          </w:p>
        </w:tc>
        <w:tc>
          <w:tcPr>
            <w:tcW w:w="879" w:type="dxa"/>
            <w:noWrap w:val="0"/>
            <w:vAlign w:val="center"/>
          </w:tcPr>
          <w:p>
            <w:pPr>
              <w:rPr>
                <w:rFonts w:ascii="宋体" w:hAnsi="宋体" w:cs="宋体"/>
                <w:szCs w:val="21"/>
              </w:rPr>
            </w:pPr>
            <w:r>
              <w:rPr>
                <w:rFonts w:hint="eastAsia"/>
                <w:szCs w:val="21"/>
              </w:rPr>
              <w:t>准许成本加合理收益</w:t>
            </w:r>
          </w:p>
        </w:tc>
        <w:tc>
          <w:tcPr>
            <w:tcW w:w="636" w:type="dxa"/>
            <w:noWrap w:val="0"/>
            <w:vAlign w:val="center"/>
          </w:tcPr>
          <w:p>
            <w:pPr>
              <w:rPr>
                <w:rFonts w:ascii="宋体" w:hAnsi="宋体" w:cs="宋体"/>
                <w:szCs w:val="21"/>
              </w:rPr>
            </w:pPr>
            <w:r>
              <w:rPr>
                <w:rFonts w:hint="eastAsia"/>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9" w:hRule="atLeast"/>
          <w:jc w:val="center"/>
        </w:trPr>
        <w:tc>
          <w:tcPr>
            <w:tcW w:w="557" w:type="dxa"/>
            <w:vMerge w:val="continue"/>
            <w:noWrap w:val="0"/>
            <w:vAlign w:val="top"/>
          </w:tcPr>
          <w:p/>
        </w:tc>
        <w:tc>
          <w:tcPr>
            <w:tcW w:w="1103" w:type="dxa"/>
            <w:vMerge w:val="continue"/>
            <w:noWrap w:val="0"/>
            <w:vAlign w:val="top"/>
          </w:tcPr>
          <w:p/>
        </w:tc>
        <w:tc>
          <w:tcPr>
            <w:tcW w:w="1098" w:type="dxa"/>
            <w:noWrap w:val="0"/>
            <w:vAlign w:val="center"/>
          </w:tcPr>
          <w:p>
            <w:pPr>
              <w:rPr>
                <w:rFonts w:ascii="宋体" w:hAnsi="宋体" w:cs="宋体"/>
                <w:szCs w:val="21"/>
              </w:rPr>
            </w:pPr>
            <w:r>
              <w:rPr>
                <w:rFonts w:hint="eastAsia"/>
                <w:szCs w:val="21"/>
              </w:rPr>
              <w:t>（二）非居民污水处理费</w:t>
            </w:r>
          </w:p>
        </w:tc>
        <w:tc>
          <w:tcPr>
            <w:tcW w:w="3713" w:type="dxa"/>
            <w:noWrap w:val="0"/>
            <w:vAlign w:val="center"/>
          </w:tcPr>
          <w:p>
            <w:pPr>
              <w:rPr>
                <w:rFonts w:ascii="宋体" w:hAnsi="宋体" w:cs="宋体"/>
                <w:szCs w:val="21"/>
              </w:rPr>
            </w:pPr>
            <w:r>
              <w:rPr>
                <w:rFonts w:hint="eastAsia"/>
                <w:szCs w:val="21"/>
              </w:rPr>
              <w:t>随水计征,每立方米1.</w:t>
            </w:r>
            <w:r>
              <w:rPr>
                <w:rFonts w:hint="eastAsia"/>
                <w:szCs w:val="21"/>
                <w:lang w:val="en-US" w:eastAsia="zh-CN"/>
              </w:rPr>
              <w:t>2</w:t>
            </w:r>
            <w:r>
              <w:rPr>
                <w:rFonts w:hint="eastAsia"/>
                <w:szCs w:val="21"/>
              </w:rPr>
              <w:t>元。</w:t>
            </w:r>
          </w:p>
        </w:tc>
        <w:tc>
          <w:tcPr>
            <w:tcW w:w="2965" w:type="dxa"/>
            <w:noWrap w:val="0"/>
            <w:vAlign w:val="center"/>
          </w:tcPr>
          <w:p>
            <w:pPr>
              <w:rPr>
                <w:rFonts w:ascii="宋体" w:hAnsi="宋体" w:cs="宋体"/>
                <w:szCs w:val="21"/>
              </w:rPr>
            </w:pPr>
            <w:r>
              <w:rPr>
                <w:rFonts w:hint="eastAsia" w:ascii="宋体" w:hAnsi="宋体"/>
                <w:szCs w:val="21"/>
              </w:rPr>
              <w:t>桃发改价〔2016〕160号</w:t>
            </w:r>
            <w:r>
              <w:rPr>
                <w:rFonts w:hint="eastAsia" w:ascii="宋体" w:hAnsi="宋体"/>
                <w:szCs w:val="21"/>
                <w:lang w:eastAsia="zh-CN"/>
              </w:rPr>
              <w:t>，</w:t>
            </w:r>
            <w:r>
              <w:rPr>
                <w:rFonts w:hint="eastAsia" w:ascii="宋体" w:hAnsi="宋体"/>
                <w:szCs w:val="21"/>
              </w:rPr>
              <w:t>桃发改价</w:t>
            </w:r>
            <w:r>
              <w:rPr>
                <w:rFonts w:hint="eastAsia" w:ascii="宋体" w:hAnsi="宋体"/>
                <w:szCs w:val="21"/>
                <w:lang w:eastAsia="zh-CN"/>
              </w:rPr>
              <w:t>费</w:t>
            </w:r>
            <w:r>
              <w:rPr>
                <w:rFonts w:hint="eastAsia" w:ascii="宋体" w:hAnsi="宋体"/>
                <w:szCs w:val="21"/>
              </w:rPr>
              <w:t>〔20</w:t>
            </w:r>
            <w:r>
              <w:rPr>
                <w:rFonts w:hint="eastAsia" w:ascii="宋体" w:hAnsi="宋体"/>
                <w:szCs w:val="21"/>
                <w:lang w:val="en-US" w:eastAsia="zh-CN"/>
              </w:rPr>
              <w:t>21</w:t>
            </w:r>
            <w:r>
              <w:rPr>
                <w:rFonts w:hint="eastAsia" w:ascii="宋体" w:hAnsi="宋体"/>
                <w:szCs w:val="21"/>
              </w:rPr>
              <w:t>〕1</w:t>
            </w:r>
            <w:r>
              <w:rPr>
                <w:rFonts w:hint="eastAsia" w:ascii="宋体" w:hAnsi="宋体"/>
                <w:szCs w:val="21"/>
                <w:lang w:val="en-US" w:eastAsia="zh-CN"/>
              </w:rPr>
              <w:t>65</w:t>
            </w:r>
            <w:r>
              <w:rPr>
                <w:rFonts w:hint="eastAsia" w:ascii="宋体" w:hAnsi="宋体"/>
                <w:szCs w:val="21"/>
              </w:rPr>
              <w:t>号</w:t>
            </w:r>
          </w:p>
        </w:tc>
        <w:tc>
          <w:tcPr>
            <w:tcW w:w="974" w:type="dxa"/>
            <w:noWrap w:val="0"/>
            <w:vAlign w:val="center"/>
          </w:tcPr>
          <w:p>
            <w:pPr>
              <w:jc w:val="center"/>
              <w:rPr>
                <w:rFonts w:hint="eastAsia"/>
                <w:szCs w:val="21"/>
              </w:rPr>
            </w:pPr>
            <w:r>
              <w:rPr>
                <w:rFonts w:hint="eastAsia"/>
                <w:szCs w:val="21"/>
                <w:lang w:eastAsia="zh-CN"/>
              </w:rPr>
              <w:t>县</w:t>
            </w:r>
            <w:r>
              <w:rPr>
                <w:rFonts w:hint="eastAsia"/>
                <w:szCs w:val="21"/>
              </w:rPr>
              <w:t>发展</w:t>
            </w:r>
          </w:p>
          <w:p>
            <w:pPr>
              <w:jc w:val="center"/>
              <w:rPr>
                <w:rFonts w:ascii="宋体" w:hAnsi="宋体" w:cs="宋体"/>
                <w:szCs w:val="21"/>
              </w:rPr>
            </w:pPr>
            <w:r>
              <w:rPr>
                <w:rFonts w:hint="eastAsia"/>
                <w:szCs w:val="21"/>
                <w:lang w:eastAsia="zh-CN"/>
              </w:rPr>
              <w:t>和</w:t>
            </w:r>
            <w:r>
              <w:rPr>
                <w:rFonts w:hint="eastAsia"/>
                <w:szCs w:val="21"/>
              </w:rPr>
              <w:t>改革</w:t>
            </w:r>
            <w:r>
              <w:rPr>
                <w:rFonts w:hint="eastAsia"/>
                <w:szCs w:val="21"/>
                <w:lang w:eastAsia="zh-CN"/>
              </w:rPr>
              <w:t>局</w:t>
            </w:r>
          </w:p>
        </w:tc>
        <w:tc>
          <w:tcPr>
            <w:tcW w:w="878" w:type="dxa"/>
            <w:noWrap w:val="0"/>
            <w:tcMar>
              <w:left w:w="28" w:type="dxa"/>
              <w:right w:w="28" w:type="dxa"/>
            </w:tcMar>
            <w:vAlign w:val="center"/>
          </w:tcPr>
          <w:p>
            <w:pPr>
              <w:jc w:val="center"/>
              <w:rPr>
                <w:rFonts w:ascii="宋体" w:hAnsi="宋体" w:cs="宋体"/>
                <w:szCs w:val="21"/>
              </w:rPr>
            </w:pPr>
            <w:r>
              <w:rPr>
                <w:rFonts w:hint="eastAsia"/>
                <w:szCs w:val="21"/>
              </w:rPr>
              <w:t>住房和城乡建设部门</w:t>
            </w:r>
          </w:p>
        </w:tc>
        <w:tc>
          <w:tcPr>
            <w:tcW w:w="527" w:type="dxa"/>
            <w:noWrap w:val="0"/>
            <w:tcMar>
              <w:left w:w="28" w:type="dxa"/>
              <w:right w:w="28" w:type="dxa"/>
            </w:tcMar>
            <w:vAlign w:val="center"/>
          </w:tcPr>
          <w:p>
            <w:pPr>
              <w:jc w:val="center"/>
              <w:rPr>
                <w:rFonts w:ascii="宋体" w:hAnsi="宋体" w:cs="宋体"/>
                <w:szCs w:val="21"/>
              </w:rPr>
            </w:pPr>
            <w:r>
              <w:rPr>
                <w:rFonts w:hint="eastAsia"/>
                <w:szCs w:val="21"/>
              </w:rPr>
              <w:t>是</w:t>
            </w:r>
          </w:p>
        </w:tc>
        <w:tc>
          <w:tcPr>
            <w:tcW w:w="607" w:type="dxa"/>
            <w:noWrap w:val="0"/>
            <w:tcMar>
              <w:left w:w="28" w:type="dxa"/>
              <w:right w:w="28" w:type="dxa"/>
            </w:tcMar>
            <w:vAlign w:val="center"/>
          </w:tcPr>
          <w:p>
            <w:pPr>
              <w:jc w:val="center"/>
              <w:rPr>
                <w:rFonts w:ascii="宋体" w:hAnsi="宋体" w:cs="宋体"/>
                <w:szCs w:val="21"/>
              </w:rPr>
            </w:pPr>
            <w:r>
              <w:rPr>
                <w:rFonts w:hint="eastAsia"/>
                <w:szCs w:val="21"/>
              </w:rPr>
              <w:t>否</w:t>
            </w:r>
          </w:p>
        </w:tc>
        <w:tc>
          <w:tcPr>
            <w:tcW w:w="593" w:type="dxa"/>
            <w:noWrap w:val="0"/>
            <w:tcMar>
              <w:left w:w="28" w:type="dxa"/>
              <w:right w:w="28" w:type="dxa"/>
            </w:tcMar>
            <w:vAlign w:val="center"/>
          </w:tcPr>
          <w:p>
            <w:pPr>
              <w:jc w:val="center"/>
              <w:rPr>
                <w:rFonts w:ascii="宋体" w:hAnsi="宋体" w:cs="宋体"/>
                <w:szCs w:val="21"/>
              </w:rPr>
            </w:pPr>
            <w:r>
              <w:rPr>
                <w:rFonts w:hint="eastAsia"/>
                <w:szCs w:val="21"/>
              </w:rPr>
              <w:t>否</w:t>
            </w:r>
          </w:p>
        </w:tc>
        <w:tc>
          <w:tcPr>
            <w:tcW w:w="879" w:type="dxa"/>
            <w:noWrap w:val="0"/>
            <w:vAlign w:val="center"/>
          </w:tcPr>
          <w:p>
            <w:pPr>
              <w:rPr>
                <w:rFonts w:ascii="宋体" w:hAnsi="宋体" w:cs="宋体"/>
                <w:szCs w:val="21"/>
              </w:rPr>
            </w:pPr>
            <w:r>
              <w:rPr>
                <w:rFonts w:hint="eastAsia"/>
                <w:szCs w:val="21"/>
              </w:rPr>
              <w:t>准许成本加合理收益</w:t>
            </w:r>
          </w:p>
        </w:tc>
        <w:tc>
          <w:tcPr>
            <w:tcW w:w="636" w:type="dxa"/>
            <w:noWrap w:val="0"/>
            <w:vAlign w:val="center"/>
          </w:tcPr>
          <w:p>
            <w:pPr>
              <w:rPr>
                <w:rFonts w:ascii="宋体" w:hAnsi="宋体" w:cs="宋体"/>
                <w:szCs w:val="21"/>
              </w:rPr>
            </w:pPr>
            <w:r>
              <w:rPr>
                <w:rFonts w:hint="eastAsia"/>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2" w:hRule="atLeast"/>
          <w:jc w:val="center"/>
        </w:trPr>
        <w:tc>
          <w:tcPr>
            <w:tcW w:w="557" w:type="dxa"/>
            <w:vMerge w:val="continue"/>
            <w:noWrap w:val="0"/>
            <w:vAlign w:val="top"/>
          </w:tcPr>
          <w:p/>
        </w:tc>
        <w:tc>
          <w:tcPr>
            <w:tcW w:w="1103" w:type="dxa"/>
            <w:noWrap w:val="0"/>
            <w:vAlign w:val="center"/>
          </w:tcPr>
          <w:p>
            <w:pPr>
              <w:rPr>
                <w:rFonts w:ascii="宋体" w:hAnsi="宋体" w:cs="宋体"/>
                <w:szCs w:val="21"/>
              </w:rPr>
            </w:pPr>
            <w:r>
              <w:rPr>
                <w:rFonts w:hint="eastAsia"/>
                <w:szCs w:val="21"/>
              </w:rPr>
              <w:t>七、生活垃圾处理收费</w:t>
            </w:r>
            <w:r>
              <w:rPr>
                <w:rFonts w:hint="eastAsia"/>
                <w:sz w:val="22"/>
                <w:szCs w:val="22"/>
              </w:rPr>
              <w:t>（按经营服务性收费管理的）</w:t>
            </w:r>
          </w:p>
        </w:tc>
        <w:tc>
          <w:tcPr>
            <w:tcW w:w="1098" w:type="dxa"/>
            <w:noWrap w:val="0"/>
            <w:vAlign w:val="center"/>
          </w:tcPr>
          <w:p>
            <w:pPr>
              <w:rPr>
                <w:rFonts w:ascii="宋体" w:hAnsi="宋体" w:cs="宋体"/>
                <w:szCs w:val="21"/>
              </w:rPr>
            </w:pPr>
            <w:r>
              <w:rPr>
                <w:rFonts w:hint="eastAsia"/>
                <w:szCs w:val="21"/>
              </w:rPr>
              <w:t>　</w:t>
            </w:r>
          </w:p>
        </w:tc>
        <w:tc>
          <w:tcPr>
            <w:tcW w:w="3713" w:type="dxa"/>
            <w:noWrap w:val="0"/>
            <w:vAlign w:val="center"/>
          </w:tcPr>
          <w:p>
            <w:pPr>
              <w:rPr>
                <w:rFonts w:ascii="宋体" w:hAnsi="宋体" w:cs="宋体"/>
                <w:szCs w:val="21"/>
              </w:rPr>
            </w:pPr>
            <w:r>
              <w:rPr>
                <w:rFonts w:hint="eastAsia"/>
                <w:szCs w:val="21"/>
                <w:lang w:eastAsia="zh-CN"/>
              </w:rPr>
              <w:t>见文件</w:t>
            </w:r>
            <w:r>
              <w:rPr>
                <w:rFonts w:hint="eastAsia"/>
                <w:szCs w:val="21"/>
              </w:rPr>
              <w:t>。</w:t>
            </w:r>
          </w:p>
        </w:tc>
        <w:tc>
          <w:tcPr>
            <w:tcW w:w="2965" w:type="dxa"/>
            <w:noWrap w:val="0"/>
            <w:vAlign w:val="center"/>
          </w:tcPr>
          <w:p>
            <w:pPr>
              <w:rPr>
                <w:rFonts w:hint="eastAsia"/>
                <w:szCs w:val="21"/>
              </w:rPr>
            </w:pPr>
            <w:r>
              <w:rPr>
                <w:rFonts w:hint="eastAsia" w:ascii="宋体" w:hAnsi="宋体"/>
                <w:szCs w:val="21"/>
              </w:rPr>
              <w:t>桃价价〔2014〕18号</w:t>
            </w:r>
            <w:r>
              <w:rPr>
                <w:rFonts w:hint="eastAsia"/>
                <w:szCs w:val="21"/>
              </w:rPr>
              <w:t xml:space="preserve"> </w:t>
            </w:r>
          </w:p>
        </w:tc>
        <w:tc>
          <w:tcPr>
            <w:tcW w:w="974" w:type="dxa"/>
            <w:noWrap w:val="0"/>
            <w:vAlign w:val="center"/>
          </w:tcPr>
          <w:p>
            <w:pPr>
              <w:jc w:val="center"/>
              <w:rPr>
                <w:rFonts w:hint="eastAsia"/>
                <w:szCs w:val="21"/>
              </w:rPr>
            </w:pPr>
            <w:r>
              <w:rPr>
                <w:rFonts w:hint="eastAsia"/>
                <w:szCs w:val="21"/>
                <w:lang w:eastAsia="zh-CN"/>
              </w:rPr>
              <w:t>县</w:t>
            </w:r>
            <w:r>
              <w:rPr>
                <w:rFonts w:hint="eastAsia"/>
                <w:szCs w:val="21"/>
              </w:rPr>
              <w:t>发展</w:t>
            </w:r>
          </w:p>
          <w:p>
            <w:pPr>
              <w:jc w:val="center"/>
              <w:rPr>
                <w:rFonts w:ascii="宋体" w:hAnsi="宋体" w:cs="宋体"/>
                <w:szCs w:val="21"/>
              </w:rPr>
            </w:pPr>
            <w:r>
              <w:rPr>
                <w:rFonts w:hint="eastAsia"/>
                <w:szCs w:val="21"/>
                <w:lang w:eastAsia="zh-CN"/>
              </w:rPr>
              <w:t>和</w:t>
            </w:r>
            <w:r>
              <w:rPr>
                <w:rFonts w:hint="eastAsia"/>
                <w:szCs w:val="21"/>
              </w:rPr>
              <w:t>改革</w:t>
            </w:r>
            <w:r>
              <w:rPr>
                <w:rFonts w:hint="eastAsia"/>
                <w:szCs w:val="21"/>
                <w:lang w:eastAsia="zh-CN"/>
              </w:rPr>
              <w:t>局</w:t>
            </w:r>
          </w:p>
        </w:tc>
        <w:tc>
          <w:tcPr>
            <w:tcW w:w="878" w:type="dxa"/>
            <w:noWrap w:val="0"/>
            <w:tcMar>
              <w:left w:w="28" w:type="dxa"/>
              <w:right w:w="28" w:type="dxa"/>
            </w:tcMar>
            <w:vAlign w:val="center"/>
          </w:tcPr>
          <w:p>
            <w:pPr>
              <w:jc w:val="center"/>
              <w:rPr>
                <w:rFonts w:ascii="宋体" w:hAnsi="宋体" w:cs="宋体"/>
                <w:szCs w:val="21"/>
              </w:rPr>
            </w:pPr>
            <w:r>
              <w:rPr>
                <w:rFonts w:hint="eastAsia"/>
                <w:szCs w:val="21"/>
              </w:rPr>
              <w:t>住房和城乡建设部门</w:t>
            </w:r>
          </w:p>
        </w:tc>
        <w:tc>
          <w:tcPr>
            <w:tcW w:w="527" w:type="dxa"/>
            <w:noWrap w:val="0"/>
            <w:tcMar>
              <w:left w:w="28" w:type="dxa"/>
              <w:right w:w="28" w:type="dxa"/>
            </w:tcMar>
            <w:vAlign w:val="center"/>
          </w:tcPr>
          <w:p>
            <w:pPr>
              <w:jc w:val="center"/>
              <w:rPr>
                <w:rFonts w:ascii="宋体" w:hAnsi="宋体" w:cs="宋体"/>
                <w:szCs w:val="21"/>
              </w:rPr>
            </w:pPr>
            <w:r>
              <w:rPr>
                <w:rFonts w:hint="eastAsia"/>
                <w:szCs w:val="21"/>
              </w:rPr>
              <w:t>是</w:t>
            </w:r>
          </w:p>
        </w:tc>
        <w:tc>
          <w:tcPr>
            <w:tcW w:w="607" w:type="dxa"/>
            <w:noWrap w:val="0"/>
            <w:tcMar>
              <w:left w:w="28" w:type="dxa"/>
              <w:right w:w="28" w:type="dxa"/>
            </w:tcMar>
            <w:vAlign w:val="center"/>
          </w:tcPr>
          <w:p>
            <w:pPr>
              <w:jc w:val="center"/>
              <w:rPr>
                <w:rFonts w:ascii="宋体" w:hAnsi="宋体" w:cs="宋体"/>
                <w:szCs w:val="21"/>
              </w:rPr>
            </w:pPr>
            <w:r>
              <w:rPr>
                <w:rFonts w:hint="eastAsia"/>
                <w:szCs w:val="21"/>
              </w:rPr>
              <w:t>否</w:t>
            </w:r>
          </w:p>
        </w:tc>
        <w:tc>
          <w:tcPr>
            <w:tcW w:w="593" w:type="dxa"/>
            <w:noWrap w:val="0"/>
            <w:tcMar>
              <w:left w:w="28" w:type="dxa"/>
              <w:right w:w="28" w:type="dxa"/>
            </w:tcMar>
            <w:vAlign w:val="center"/>
          </w:tcPr>
          <w:p>
            <w:pPr>
              <w:jc w:val="center"/>
              <w:rPr>
                <w:rFonts w:ascii="宋体" w:hAnsi="宋体" w:cs="宋体"/>
                <w:szCs w:val="21"/>
              </w:rPr>
            </w:pPr>
            <w:r>
              <w:rPr>
                <w:rFonts w:hint="eastAsia"/>
                <w:szCs w:val="21"/>
              </w:rPr>
              <w:t>否</w:t>
            </w:r>
          </w:p>
        </w:tc>
        <w:tc>
          <w:tcPr>
            <w:tcW w:w="879" w:type="dxa"/>
            <w:noWrap w:val="0"/>
            <w:vAlign w:val="center"/>
          </w:tcPr>
          <w:p>
            <w:pPr>
              <w:rPr>
                <w:rFonts w:ascii="宋体" w:hAnsi="宋体" w:cs="宋体"/>
                <w:szCs w:val="21"/>
              </w:rPr>
            </w:pPr>
            <w:r>
              <w:rPr>
                <w:rFonts w:hint="eastAsia"/>
                <w:szCs w:val="21"/>
              </w:rPr>
              <w:t>准许成本加合理收益</w:t>
            </w:r>
          </w:p>
        </w:tc>
        <w:tc>
          <w:tcPr>
            <w:tcW w:w="636" w:type="dxa"/>
            <w:noWrap w:val="0"/>
            <w:vAlign w:val="center"/>
          </w:tcPr>
          <w:p>
            <w:pPr>
              <w:rPr>
                <w:rFonts w:ascii="宋体" w:hAnsi="宋体" w:cs="宋体"/>
                <w:szCs w:val="21"/>
              </w:rPr>
            </w:pPr>
            <w:r>
              <w:rPr>
                <w:rFonts w:hint="eastAsia"/>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9" w:hRule="atLeast"/>
          <w:jc w:val="center"/>
        </w:trPr>
        <w:tc>
          <w:tcPr>
            <w:tcW w:w="557" w:type="dxa"/>
            <w:vMerge w:val="continue"/>
            <w:noWrap w:val="0"/>
            <w:vAlign w:val="top"/>
          </w:tcPr>
          <w:p/>
        </w:tc>
        <w:tc>
          <w:tcPr>
            <w:tcW w:w="1103" w:type="dxa"/>
            <w:noWrap w:val="0"/>
            <w:vAlign w:val="center"/>
          </w:tcPr>
          <w:p>
            <w:pPr>
              <w:rPr>
                <w:rFonts w:ascii="宋体" w:hAnsi="宋体" w:cs="宋体"/>
                <w:color w:val="000000"/>
                <w:szCs w:val="21"/>
              </w:rPr>
            </w:pPr>
            <w:r>
              <w:rPr>
                <w:rFonts w:hint="eastAsia"/>
                <w:color w:val="000000"/>
                <w:szCs w:val="21"/>
              </w:rPr>
              <w:t>八、有线数字电视基本收视维护费</w:t>
            </w:r>
          </w:p>
        </w:tc>
        <w:tc>
          <w:tcPr>
            <w:tcW w:w="1098" w:type="dxa"/>
            <w:noWrap w:val="0"/>
            <w:vAlign w:val="center"/>
          </w:tcPr>
          <w:p>
            <w:pPr>
              <w:rPr>
                <w:rFonts w:ascii="宋体" w:hAnsi="宋体" w:cs="宋体"/>
                <w:color w:val="000000"/>
                <w:szCs w:val="21"/>
              </w:rPr>
            </w:pPr>
            <w:r>
              <w:rPr>
                <w:rFonts w:hint="eastAsia"/>
                <w:color w:val="000000"/>
                <w:szCs w:val="21"/>
              </w:rPr>
              <w:t>　</w:t>
            </w:r>
          </w:p>
        </w:tc>
        <w:tc>
          <w:tcPr>
            <w:tcW w:w="3713" w:type="dxa"/>
            <w:noWrap w:val="0"/>
            <w:vAlign w:val="center"/>
          </w:tcPr>
          <w:p>
            <w:pPr>
              <w:rPr>
                <w:rFonts w:ascii="宋体" w:hAnsi="宋体" w:cs="宋体"/>
                <w:color w:val="000000"/>
                <w:szCs w:val="21"/>
              </w:rPr>
            </w:pPr>
            <w:r>
              <w:rPr>
                <w:rFonts w:hint="eastAsia"/>
                <w:color w:val="000000"/>
                <w:szCs w:val="21"/>
              </w:rPr>
              <w:t>主机基本收视费：长沙、株洲、湘潭城区24.5元/月，国家和省级贫困县23.5元/月，其他市县区24元/月。</w:t>
            </w:r>
          </w:p>
        </w:tc>
        <w:tc>
          <w:tcPr>
            <w:tcW w:w="2965" w:type="dxa"/>
            <w:noWrap w:val="0"/>
            <w:vAlign w:val="center"/>
          </w:tcPr>
          <w:p>
            <w:pPr>
              <w:rPr>
                <w:rFonts w:ascii="宋体" w:hAnsi="宋体" w:cs="宋体"/>
                <w:color w:val="000000"/>
                <w:szCs w:val="21"/>
              </w:rPr>
            </w:pPr>
            <w:r>
              <w:rPr>
                <w:rFonts w:hint="eastAsia"/>
                <w:color w:val="000000"/>
                <w:szCs w:val="21"/>
              </w:rPr>
              <w:t>湘发改价服〔2019〕747号</w:t>
            </w:r>
          </w:p>
        </w:tc>
        <w:tc>
          <w:tcPr>
            <w:tcW w:w="974" w:type="dxa"/>
            <w:noWrap w:val="0"/>
            <w:vAlign w:val="center"/>
          </w:tcPr>
          <w:p>
            <w:pPr>
              <w:jc w:val="center"/>
              <w:rPr>
                <w:rFonts w:hint="eastAsia"/>
                <w:szCs w:val="21"/>
              </w:rPr>
            </w:pPr>
            <w:r>
              <w:rPr>
                <w:rFonts w:hint="eastAsia"/>
                <w:szCs w:val="21"/>
              </w:rPr>
              <w:t>省发展</w:t>
            </w:r>
          </w:p>
          <w:p>
            <w:pPr>
              <w:jc w:val="center"/>
              <w:rPr>
                <w:rFonts w:ascii="宋体" w:hAnsi="宋体" w:cs="宋体"/>
                <w:szCs w:val="21"/>
              </w:rPr>
            </w:pPr>
            <w:r>
              <w:rPr>
                <w:rFonts w:hint="eastAsia"/>
                <w:szCs w:val="21"/>
              </w:rPr>
              <w:t>改革委</w:t>
            </w:r>
          </w:p>
        </w:tc>
        <w:tc>
          <w:tcPr>
            <w:tcW w:w="878" w:type="dxa"/>
            <w:noWrap w:val="0"/>
            <w:tcMar>
              <w:left w:w="28" w:type="dxa"/>
              <w:right w:w="28" w:type="dxa"/>
            </w:tcMar>
            <w:vAlign w:val="center"/>
          </w:tcPr>
          <w:p>
            <w:pPr>
              <w:jc w:val="center"/>
              <w:rPr>
                <w:rFonts w:ascii="宋体" w:hAnsi="宋体" w:cs="宋体"/>
                <w:color w:val="000000"/>
                <w:szCs w:val="21"/>
              </w:rPr>
            </w:pPr>
            <w:r>
              <w:rPr>
                <w:rFonts w:hint="eastAsia"/>
                <w:color w:val="000000"/>
                <w:szCs w:val="21"/>
              </w:rPr>
              <w:t>广播电视部门</w:t>
            </w:r>
          </w:p>
        </w:tc>
        <w:tc>
          <w:tcPr>
            <w:tcW w:w="527" w:type="dxa"/>
            <w:noWrap w:val="0"/>
            <w:tcMar>
              <w:left w:w="28" w:type="dxa"/>
              <w:right w:w="28" w:type="dxa"/>
            </w:tcMar>
            <w:vAlign w:val="center"/>
          </w:tcPr>
          <w:p>
            <w:pPr>
              <w:jc w:val="center"/>
              <w:rPr>
                <w:rFonts w:ascii="宋体" w:hAnsi="宋体" w:cs="宋体"/>
                <w:color w:val="000000"/>
                <w:szCs w:val="21"/>
              </w:rPr>
            </w:pPr>
            <w:r>
              <w:rPr>
                <w:rFonts w:hint="eastAsia"/>
                <w:color w:val="000000"/>
                <w:szCs w:val="21"/>
              </w:rPr>
              <w:t>否</w:t>
            </w:r>
          </w:p>
        </w:tc>
        <w:tc>
          <w:tcPr>
            <w:tcW w:w="607" w:type="dxa"/>
            <w:noWrap w:val="0"/>
            <w:tcMar>
              <w:left w:w="28" w:type="dxa"/>
              <w:right w:w="28" w:type="dxa"/>
            </w:tcMar>
            <w:vAlign w:val="center"/>
          </w:tcPr>
          <w:p>
            <w:pPr>
              <w:jc w:val="center"/>
              <w:rPr>
                <w:rFonts w:ascii="宋体" w:hAnsi="宋体" w:cs="宋体"/>
                <w:color w:val="000000"/>
                <w:szCs w:val="21"/>
              </w:rPr>
            </w:pPr>
            <w:r>
              <w:rPr>
                <w:rFonts w:hint="eastAsia"/>
                <w:color w:val="000000"/>
                <w:szCs w:val="21"/>
              </w:rPr>
              <w:t>否</w:t>
            </w:r>
          </w:p>
        </w:tc>
        <w:tc>
          <w:tcPr>
            <w:tcW w:w="593" w:type="dxa"/>
            <w:noWrap w:val="0"/>
            <w:tcMar>
              <w:left w:w="28" w:type="dxa"/>
              <w:right w:w="28" w:type="dxa"/>
            </w:tcMar>
            <w:vAlign w:val="center"/>
          </w:tcPr>
          <w:p>
            <w:pPr>
              <w:jc w:val="center"/>
              <w:rPr>
                <w:rFonts w:ascii="宋体" w:hAnsi="宋体" w:cs="宋体"/>
                <w:color w:val="000000"/>
                <w:szCs w:val="21"/>
              </w:rPr>
            </w:pPr>
            <w:r>
              <w:rPr>
                <w:rFonts w:hint="eastAsia"/>
                <w:color w:val="000000"/>
                <w:szCs w:val="21"/>
              </w:rPr>
              <w:t>否</w:t>
            </w:r>
          </w:p>
        </w:tc>
        <w:tc>
          <w:tcPr>
            <w:tcW w:w="879" w:type="dxa"/>
            <w:noWrap w:val="0"/>
            <w:vAlign w:val="center"/>
          </w:tcPr>
          <w:p>
            <w:pPr>
              <w:rPr>
                <w:rFonts w:ascii="宋体" w:hAnsi="宋体" w:cs="宋体"/>
                <w:color w:val="000000"/>
                <w:szCs w:val="21"/>
              </w:rPr>
            </w:pPr>
            <w:r>
              <w:rPr>
                <w:rFonts w:hint="eastAsia"/>
                <w:color w:val="000000"/>
                <w:szCs w:val="21"/>
              </w:rPr>
              <w:t>准许成本加合理收益</w:t>
            </w:r>
          </w:p>
        </w:tc>
        <w:tc>
          <w:tcPr>
            <w:tcW w:w="636" w:type="dxa"/>
            <w:noWrap w:val="0"/>
            <w:vAlign w:val="center"/>
          </w:tcPr>
          <w:p>
            <w:pPr>
              <w:rPr>
                <w:rFonts w:ascii="宋体" w:hAnsi="宋体" w:cs="宋体"/>
                <w:color w:val="000000"/>
                <w:szCs w:val="21"/>
              </w:rPr>
            </w:pPr>
            <w:r>
              <w:rPr>
                <w:rFonts w:hint="eastAsia"/>
                <w:color w:val="00000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0" w:hRule="atLeast"/>
          <w:jc w:val="center"/>
        </w:trPr>
        <w:tc>
          <w:tcPr>
            <w:tcW w:w="557" w:type="dxa"/>
            <w:vMerge w:val="restart"/>
            <w:noWrap w:val="0"/>
            <w:vAlign w:val="center"/>
          </w:tcPr>
          <w:p>
            <w:pPr>
              <w:jc w:val="center"/>
            </w:pPr>
            <w:r>
              <w:rPr>
                <w:rFonts w:hint="eastAsia"/>
              </w:rPr>
              <w:t>其他特定服务收费</w:t>
            </w:r>
          </w:p>
        </w:tc>
        <w:tc>
          <w:tcPr>
            <w:tcW w:w="1103" w:type="dxa"/>
            <w:noWrap w:val="0"/>
            <w:vAlign w:val="center"/>
          </w:tcPr>
          <w:p>
            <w:pPr>
              <w:rPr>
                <w:rFonts w:ascii="宋体" w:hAnsi="宋体" w:cs="宋体"/>
                <w:color w:val="000000"/>
                <w:szCs w:val="21"/>
              </w:rPr>
            </w:pPr>
            <w:r>
              <w:rPr>
                <w:rFonts w:hint="eastAsia"/>
                <w:color w:val="000000"/>
                <w:szCs w:val="21"/>
              </w:rPr>
              <w:t>九、垄断性交易平台服务收费</w:t>
            </w:r>
          </w:p>
        </w:tc>
        <w:tc>
          <w:tcPr>
            <w:tcW w:w="1098" w:type="dxa"/>
            <w:noWrap w:val="0"/>
            <w:vAlign w:val="center"/>
          </w:tcPr>
          <w:p>
            <w:pPr>
              <w:rPr>
                <w:rFonts w:ascii="宋体" w:hAnsi="宋体" w:cs="宋体"/>
                <w:color w:val="000000"/>
                <w:szCs w:val="21"/>
              </w:rPr>
            </w:pPr>
            <w:r>
              <w:rPr>
                <w:rFonts w:hint="eastAsia"/>
                <w:color w:val="000000"/>
                <w:szCs w:val="21"/>
              </w:rPr>
              <w:t>　</w:t>
            </w:r>
          </w:p>
        </w:tc>
        <w:tc>
          <w:tcPr>
            <w:tcW w:w="3713" w:type="dxa"/>
            <w:noWrap w:val="0"/>
            <w:vAlign w:val="center"/>
          </w:tcPr>
          <w:p>
            <w:pPr>
              <w:rPr>
                <w:rFonts w:ascii="宋体" w:hAnsi="宋体" w:cs="宋体"/>
                <w:color w:val="000000"/>
                <w:szCs w:val="21"/>
              </w:rPr>
            </w:pPr>
            <w:r>
              <w:rPr>
                <w:rFonts w:hint="eastAsia"/>
                <w:color w:val="000000"/>
                <w:szCs w:val="21"/>
              </w:rPr>
              <w:t>公共资源交易中招标、挂牌、拍卖出让转让地（矿）产交易服务：按成交额分段差额累计：每宗国有建设用地使用权1.1%~0.03；每宗矿业权1.85%~0.03%。公共资源交易中建设工程的施工、装饰装修以及与项目有关的材料设备采购；建设工程项目勘察、设计、监理、代建管理和其他服务等交易服务：按中标额：每宗1000元~50000元；公共资源交易中产权交易服务：按照中标额：每宗2000元~100000元。具体收费标准见相关文件。</w:t>
            </w:r>
          </w:p>
        </w:tc>
        <w:tc>
          <w:tcPr>
            <w:tcW w:w="2965" w:type="dxa"/>
            <w:noWrap w:val="0"/>
            <w:vAlign w:val="center"/>
          </w:tcPr>
          <w:p>
            <w:pPr>
              <w:rPr>
                <w:rFonts w:ascii="宋体" w:hAnsi="宋体" w:cs="宋体"/>
                <w:color w:val="000000"/>
                <w:szCs w:val="21"/>
              </w:rPr>
            </w:pPr>
            <w:r>
              <w:rPr>
                <w:rFonts w:hint="eastAsia"/>
                <w:color w:val="000000"/>
                <w:szCs w:val="21"/>
              </w:rPr>
              <w:t>湘发改价费〔2019〕366号</w:t>
            </w:r>
          </w:p>
        </w:tc>
        <w:tc>
          <w:tcPr>
            <w:tcW w:w="974" w:type="dxa"/>
            <w:noWrap w:val="0"/>
            <w:vAlign w:val="center"/>
          </w:tcPr>
          <w:p>
            <w:pPr>
              <w:jc w:val="center"/>
              <w:rPr>
                <w:rFonts w:hint="eastAsia"/>
                <w:color w:val="000000"/>
                <w:szCs w:val="21"/>
              </w:rPr>
            </w:pPr>
            <w:r>
              <w:rPr>
                <w:rFonts w:hint="eastAsia"/>
                <w:color w:val="000000"/>
                <w:szCs w:val="21"/>
              </w:rPr>
              <w:t>省发展</w:t>
            </w:r>
          </w:p>
          <w:p>
            <w:pPr>
              <w:jc w:val="center"/>
              <w:rPr>
                <w:rFonts w:ascii="宋体" w:hAnsi="宋体" w:cs="宋体"/>
                <w:color w:val="000000"/>
                <w:szCs w:val="21"/>
              </w:rPr>
            </w:pPr>
            <w:r>
              <w:rPr>
                <w:rFonts w:hint="eastAsia"/>
                <w:color w:val="000000"/>
                <w:szCs w:val="21"/>
              </w:rPr>
              <w:t>改革委</w:t>
            </w:r>
          </w:p>
        </w:tc>
        <w:tc>
          <w:tcPr>
            <w:tcW w:w="878" w:type="dxa"/>
            <w:noWrap w:val="0"/>
            <w:tcMar>
              <w:left w:w="28" w:type="dxa"/>
              <w:right w:w="28" w:type="dxa"/>
            </w:tcMar>
            <w:vAlign w:val="center"/>
          </w:tcPr>
          <w:p>
            <w:pPr>
              <w:jc w:val="center"/>
              <w:rPr>
                <w:rFonts w:ascii="宋体" w:hAnsi="宋体" w:cs="宋体"/>
                <w:color w:val="000000"/>
                <w:szCs w:val="21"/>
              </w:rPr>
            </w:pPr>
            <w:r>
              <w:rPr>
                <w:rFonts w:hint="eastAsia"/>
                <w:color w:val="000000"/>
                <w:szCs w:val="21"/>
              </w:rPr>
              <w:t>发展改革部门</w:t>
            </w:r>
          </w:p>
        </w:tc>
        <w:tc>
          <w:tcPr>
            <w:tcW w:w="527" w:type="dxa"/>
            <w:noWrap w:val="0"/>
            <w:tcMar>
              <w:left w:w="28" w:type="dxa"/>
              <w:right w:w="28" w:type="dxa"/>
            </w:tcMar>
            <w:vAlign w:val="center"/>
          </w:tcPr>
          <w:p>
            <w:pPr>
              <w:jc w:val="center"/>
              <w:rPr>
                <w:rFonts w:ascii="宋体" w:hAnsi="宋体" w:cs="宋体"/>
                <w:color w:val="000000"/>
                <w:szCs w:val="21"/>
              </w:rPr>
            </w:pPr>
            <w:r>
              <w:rPr>
                <w:rFonts w:hint="eastAsia"/>
                <w:color w:val="000000"/>
                <w:szCs w:val="21"/>
              </w:rPr>
              <w:t>是</w:t>
            </w:r>
          </w:p>
        </w:tc>
        <w:tc>
          <w:tcPr>
            <w:tcW w:w="607" w:type="dxa"/>
            <w:noWrap w:val="0"/>
            <w:tcMar>
              <w:left w:w="28" w:type="dxa"/>
              <w:right w:w="28" w:type="dxa"/>
            </w:tcMar>
            <w:vAlign w:val="center"/>
          </w:tcPr>
          <w:p>
            <w:pPr>
              <w:jc w:val="center"/>
              <w:rPr>
                <w:rFonts w:ascii="宋体" w:hAnsi="宋体" w:cs="宋体"/>
                <w:color w:val="000000"/>
                <w:szCs w:val="21"/>
              </w:rPr>
            </w:pPr>
            <w:r>
              <w:rPr>
                <w:rFonts w:hint="eastAsia"/>
                <w:color w:val="000000"/>
                <w:szCs w:val="21"/>
              </w:rPr>
              <w:t>否</w:t>
            </w:r>
          </w:p>
        </w:tc>
        <w:tc>
          <w:tcPr>
            <w:tcW w:w="593" w:type="dxa"/>
            <w:noWrap w:val="0"/>
            <w:tcMar>
              <w:left w:w="28" w:type="dxa"/>
              <w:right w:w="28" w:type="dxa"/>
            </w:tcMar>
            <w:vAlign w:val="center"/>
          </w:tcPr>
          <w:p>
            <w:pPr>
              <w:jc w:val="center"/>
              <w:rPr>
                <w:rFonts w:ascii="宋体" w:hAnsi="宋体" w:cs="宋体"/>
                <w:color w:val="000000"/>
                <w:szCs w:val="21"/>
              </w:rPr>
            </w:pPr>
            <w:r>
              <w:rPr>
                <w:rFonts w:hint="eastAsia"/>
                <w:color w:val="000000"/>
                <w:szCs w:val="21"/>
              </w:rPr>
              <w:t>否</w:t>
            </w:r>
          </w:p>
        </w:tc>
        <w:tc>
          <w:tcPr>
            <w:tcW w:w="879" w:type="dxa"/>
            <w:noWrap w:val="0"/>
            <w:vAlign w:val="center"/>
          </w:tcPr>
          <w:p>
            <w:pPr>
              <w:rPr>
                <w:rFonts w:ascii="宋体" w:hAnsi="宋体" w:cs="宋体"/>
                <w:color w:val="000000"/>
                <w:szCs w:val="21"/>
              </w:rPr>
            </w:pPr>
            <w:r>
              <w:rPr>
                <w:rFonts w:hint="eastAsia"/>
                <w:color w:val="000000"/>
                <w:szCs w:val="21"/>
              </w:rPr>
              <w:t>准许成本加合理收益</w:t>
            </w:r>
          </w:p>
        </w:tc>
        <w:tc>
          <w:tcPr>
            <w:tcW w:w="636" w:type="dxa"/>
            <w:noWrap w:val="0"/>
            <w:vAlign w:val="center"/>
          </w:tcPr>
          <w:p>
            <w:pPr>
              <w:jc w:val="center"/>
              <w:rPr>
                <w:rFonts w:ascii="宋体" w:hAnsi="宋体" w:cs="宋体"/>
                <w:color w:val="000000"/>
                <w:szCs w:val="21"/>
              </w:rPr>
            </w:pPr>
            <w:r>
              <w:rPr>
                <w:rFonts w:hint="eastAsia"/>
                <w:color w:val="00000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7" w:type="dxa"/>
            <w:vMerge w:val="continue"/>
            <w:noWrap w:val="0"/>
            <w:vAlign w:val="top"/>
          </w:tcPr>
          <w:p/>
        </w:tc>
        <w:tc>
          <w:tcPr>
            <w:tcW w:w="1103" w:type="dxa"/>
            <w:vMerge w:val="restart"/>
            <w:noWrap w:val="0"/>
            <w:vAlign w:val="center"/>
          </w:tcPr>
          <w:p>
            <w:r>
              <w:rPr>
                <w:rFonts w:hint="eastAsia"/>
              </w:rPr>
              <w:t>十、公证服务收费</w:t>
            </w:r>
          </w:p>
        </w:tc>
        <w:tc>
          <w:tcPr>
            <w:tcW w:w="1098" w:type="dxa"/>
            <w:noWrap w:val="0"/>
            <w:vAlign w:val="center"/>
          </w:tcPr>
          <w:p>
            <w:pPr>
              <w:rPr>
                <w:rFonts w:ascii="宋体" w:hAnsi="宋体" w:cs="宋体"/>
                <w:color w:val="000000"/>
                <w:szCs w:val="21"/>
              </w:rPr>
            </w:pPr>
            <w:r>
              <w:rPr>
                <w:rFonts w:hint="eastAsia"/>
                <w:color w:val="000000"/>
                <w:szCs w:val="21"/>
              </w:rPr>
              <w:t>（一）证明文件文书类公证收费</w:t>
            </w:r>
          </w:p>
        </w:tc>
        <w:tc>
          <w:tcPr>
            <w:tcW w:w="3713" w:type="dxa"/>
            <w:noWrap w:val="0"/>
            <w:vAlign w:val="center"/>
          </w:tcPr>
          <w:p>
            <w:pPr>
              <w:rPr>
                <w:rFonts w:ascii="宋体" w:hAnsi="宋体" w:cs="宋体"/>
                <w:color w:val="000000"/>
                <w:szCs w:val="21"/>
              </w:rPr>
            </w:pPr>
            <w:r>
              <w:rPr>
                <w:rFonts w:hint="eastAsia"/>
                <w:color w:val="000000"/>
                <w:szCs w:val="21"/>
              </w:rPr>
              <w:t>具体收费标准见相关文件。</w:t>
            </w:r>
          </w:p>
        </w:tc>
        <w:tc>
          <w:tcPr>
            <w:tcW w:w="2965" w:type="dxa"/>
            <w:noWrap w:val="0"/>
            <w:vAlign w:val="center"/>
          </w:tcPr>
          <w:p>
            <w:pPr>
              <w:jc w:val="left"/>
              <w:rPr>
                <w:rFonts w:hint="eastAsia" w:eastAsia="宋体"/>
                <w:szCs w:val="21"/>
                <w:lang w:eastAsia="zh-CN"/>
              </w:rPr>
            </w:pPr>
            <w:r>
              <w:rPr>
                <w:rFonts w:hint="eastAsia"/>
                <w:szCs w:val="21"/>
              </w:rPr>
              <w:t>湘发改价费规〔2020〕818号</w:t>
            </w:r>
          </w:p>
          <w:p>
            <w:pPr>
              <w:jc w:val="left"/>
              <w:rPr>
                <w:rFonts w:ascii="宋体" w:hAnsi="宋体" w:cs="宋体"/>
                <w:szCs w:val="21"/>
              </w:rPr>
            </w:pPr>
            <w:r>
              <w:rPr>
                <w:rFonts w:hint="eastAsia"/>
                <w:szCs w:val="21"/>
              </w:rPr>
              <w:t>湘发改价费规〔2021〕799号</w:t>
            </w:r>
          </w:p>
        </w:tc>
        <w:tc>
          <w:tcPr>
            <w:tcW w:w="974" w:type="dxa"/>
            <w:noWrap w:val="0"/>
            <w:vAlign w:val="center"/>
          </w:tcPr>
          <w:p>
            <w:pPr>
              <w:rPr>
                <w:rFonts w:ascii="宋体" w:hAnsi="宋体" w:cs="宋体"/>
                <w:szCs w:val="21"/>
              </w:rPr>
            </w:pPr>
            <w:r>
              <w:rPr>
                <w:rFonts w:hint="eastAsia"/>
                <w:szCs w:val="21"/>
              </w:rPr>
              <w:t>省发展改革委、省司法厅</w:t>
            </w:r>
          </w:p>
        </w:tc>
        <w:tc>
          <w:tcPr>
            <w:tcW w:w="878" w:type="dxa"/>
            <w:noWrap w:val="0"/>
            <w:tcMar>
              <w:left w:w="28" w:type="dxa"/>
              <w:right w:w="28" w:type="dxa"/>
            </w:tcMar>
            <w:vAlign w:val="center"/>
          </w:tcPr>
          <w:p>
            <w:pPr>
              <w:jc w:val="center"/>
              <w:rPr>
                <w:rFonts w:hint="eastAsia"/>
                <w:szCs w:val="21"/>
                <w:lang w:eastAsia="zh-CN"/>
              </w:rPr>
            </w:pPr>
            <w:r>
              <w:rPr>
                <w:rFonts w:hint="eastAsia"/>
                <w:szCs w:val="21"/>
                <w:lang w:eastAsia="zh-CN"/>
              </w:rPr>
              <w:t>司法</w:t>
            </w:r>
          </w:p>
          <w:p>
            <w:pPr>
              <w:jc w:val="center"/>
              <w:rPr>
                <w:rFonts w:hint="eastAsia" w:eastAsia="宋体"/>
                <w:szCs w:val="21"/>
                <w:lang w:val="en-US" w:eastAsia="zh-CN"/>
              </w:rPr>
            </w:pPr>
            <w:r>
              <w:rPr>
                <w:rFonts w:hint="eastAsia"/>
                <w:szCs w:val="21"/>
                <w:lang w:eastAsia="zh-CN"/>
              </w:rPr>
              <w:t>行政</w:t>
            </w:r>
          </w:p>
          <w:p>
            <w:pPr>
              <w:jc w:val="center"/>
              <w:rPr>
                <w:rFonts w:ascii="宋体" w:hAnsi="宋体" w:cs="宋体"/>
                <w:szCs w:val="21"/>
              </w:rPr>
            </w:pPr>
            <w:r>
              <w:rPr>
                <w:rFonts w:hint="eastAsia"/>
                <w:szCs w:val="21"/>
              </w:rPr>
              <w:t>部门</w:t>
            </w:r>
          </w:p>
        </w:tc>
        <w:tc>
          <w:tcPr>
            <w:tcW w:w="527" w:type="dxa"/>
            <w:noWrap w:val="0"/>
            <w:tcMar>
              <w:left w:w="28" w:type="dxa"/>
              <w:right w:w="28" w:type="dxa"/>
            </w:tcMar>
            <w:vAlign w:val="center"/>
          </w:tcPr>
          <w:p>
            <w:pPr>
              <w:jc w:val="center"/>
              <w:rPr>
                <w:rFonts w:ascii="宋体" w:hAnsi="宋体" w:cs="宋体"/>
                <w:color w:val="000000"/>
                <w:szCs w:val="21"/>
              </w:rPr>
            </w:pPr>
            <w:r>
              <w:rPr>
                <w:rFonts w:hint="eastAsia"/>
                <w:color w:val="000000"/>
                <w:szCs w:val="21"/>
              </w:rPr>
              <w:t>是</w:t>
            </w:r>
          </w:p>
        </w:tc>
        <w:tc>
          <w:tcPr>
            <w:tcW w:w="607" w:type="dxa"/>
            <w:noWrap w:val="0"/>
            <w:tcMar>
              <w:left w:w="28" w:type="dxa"/>
              <w:right w:w="28" w:type="dxa"/>
            </w:tcMar>
            <w:vAlign w:val="center"/>
          </w:tcPr>
          <w:p>
            <w:pPr>
              <w:jc w:val="center"/>
              <w:rPr>
                <w:rFonts w:ascii="宋体" w:hAnsi="宋体" w:cs="宋体"/>
                <w:color w:val="000000"/>
                <w:szCs w:val="21"/>
              </w:rPr>
            </w:pPr>
            <w:r>
              <w:rPr>
                <w:rFonts w:hint="eastAsia"/>
                <w:color w:val="000000"/>
                <w:szCs w:val="21"/>
              </w:rPr>
              <w:t>否</w:t>
            </w:r>
          </w:p>
        </w:tc>
        <w:tc>
          <w:tcPr>
            <w:tcW w:w="593" w:type="dxa"/>
            <w:noWrap w:val="0"/>
            <w:tcMar>
              <w:left w:w="28" w:type="dxa"/>
              <w:right w:w="28" w:type="dxa"/>
            </w:tcMar>
            <w:vAlign w:val="center"/>
          </w:tcPr>
          <w:p>
            <w:pPr>
              <w:jc w:val="center"/>
              <w:rPr>
                <w:rFonts w:ascii="宋体" w:hAnsi="宋体" w:cs="宋体"/>
                <w:color w:val="000000"/>
                <w:szCs w:val="21"/>
              </w:rPr>
            </w:pPr>
            <w:r>
              <w:rPr>
                <w:rFonts w:hint="eastAsia"/>
                <w:color w:val="000000"/>
                <w:szCs w:val="21"/>
              </w:rPr>
              <w:t>否</w:t>
            </w:r>
          </w:p>
        </w:tc>
        <w:tc>
          <w:tcPr>
            <w:tcW w:w="879" w:type="dxa"/>
            <w:noWrap w:val="0"/>
            <w:vAlign w:val="center"/>
          </w:tcPr>
          <w:p>
            <w:pPr>
              <w:rPr>
                <w:rFonts w:ascii="宋体" w:hAnsi="宋体" w:cs="宋体"/>
                <w:color w:val="000000"/>
                <w:szCs w:val="21"/>
              </w:rPr>
            </w:pPr>
            <w:r>
              <w:rPr>
                <w:rFonts w:hint="eastAsia"/>
                <w:color w:val="000000"/>
                <w:szCs w:val="21"/>
              </w:rPr>
              <w:t>准许成本加合理收益</w:t>
            </w:r>
          </w:p>
        </w:tc>
        <w:tc>
          <w:tcPr>
            <w:tcW w:w="636" w:type="dxa"/>
            <w:noWrap w:val="0"/>
            <w:vAlign w:val="center"/>
          </w:tcPr>
          <w:p>
            <w:pPr>
              <w:rPr>
                <w:rFonts w:ascii="宋体" w:hAnsi="宋体" w:cs="宋体"/>
                <w:color w:val="000000"/>
                <w:szCs w:val="21"/>
              </w:rPr>
            </w:pPr>
            <w:r>
              <w:rPr>
                <w:rFonts w:hint="eastAsia"/>
                <w:color w:val="00000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7" w:type="dxa"/>
            <w:vMerge w:val="continue"/>
            <w:noWrap w:val="0"/>
            <w:vAlign w:val="top"/>
          </w:tcPr>
          <w:p/>
        </w:tc>
        <w:tc>
          <w:tcPr>
            <w:tcW w:w="1103" w:type="dxa"/>
            <w:vMerge w:val="continue"/>
            <w:noWrap w:val="0"/>
            <w:vAlign w:val="top"/>
          </w:tcPr>
          <w:p/>
        </w:tc>
        <w:tc>
          <w:tcPr>
            <w:tcW w:w="1098" w:type="dxa"/>
            <w:noWrap w:val="0"/>
            <w:vAlign w:val="center"/>
          </w:tcPr>
          <w:p>
            <w:pPr>
              <w:rPr>
                <w:rFonts w:ascii="宋体" w:hAnsi="宋体" w:cs="宋体"/>
                <w:color w:val="000000"/>
                <w:szCs w:val="21"/>
              </w:rPr>
            </w:pPr>
            <w:r>
              <w:rPr>
                <w:rFonts w:hint="eastAsia"/>
                <w:color w:val="000000"/>
                <w:szCs w:val="21"/>
              </w:rPr>
              <w:t>（二）证明法律事实类公证收费</w:t>
            </w:r>
          </w:p>
        </w:tc>
        <w:tc>
          <w:tcPr>
            <w:tcW w:w="3713" w:type="dxa"/>
            <w:noWrap w:val="0"/>
            <w:vAlign w:val="center"/>
          </w:tcPr>
          <w:p>
            <w:pPr>
              <w:rPr>
                <w:rFonts w:ascii="宋体" w:hAnsi="宋体" w:cs="宋体"/>
                <w:color w:val="000000"/>
                <w:szCs w:val="21"/>
              </w:rPr>
            </w:pPr>
            <w:r>
              <w:rPr>
                <w:rFonts w:hint="eastAsia"/>
                <w:color w:val="000000"/>
                <w:szCs w:val="21"/>
              </w:rPr>
              <w:t>具体收费标准见相关文件。</w:t>
            </w:r>
          </w:p>
        </w:tc>
        <w:tc>
          <w:tcPr>
            <w:tcW w:w="2965" w:type="dxa"/>
            <w:noWrap w:val="0"/>
            <w:vAlign w:val="center"/>
          </w:tcPr>
          <w:p>
            <w:pPr>
              <w:jc w:val="left"/>
              <w:rPr>
                <w:rFonts w:hint="eastAsia" w:eastAsia="宋体"/>
                <w:szCs w:val="21"/>
                <w:lang w:eastAsia="zh-CN"/>
              </w:rPr>
            </w:pPr>
            <w:r>
              <w:rPr>
                <w:rFonts w:hint="eastAsia"/>
                <w:szCs w:val="21"/>
              </w:rPr>
              <w:t>湘发改价费规〔2020〕818号</w:t>
            </w:r>
          </w:p>
          <w:p>
            <w:pPr>
              <w:jc w:val="left"/>
              <w:rPr>
                <w:rFonts w:ascii="宋体" w:hAnsi="宋体" w:cs="宋体"/>
                <w:szCs w:val="21"/>
              </w:rPr>
            </w:pPr>
            <w:r>
              <w:rPr>
                <w:rFonts w:hint="eastAsia"/>
                <w:szCs w:val="21"/>
              </w:rPr>
              <w:t>湘发改价费规〔2021〕799号</w:t>
            </w:r>
          </w:p>
        </w:tc>
        <w:tc>
          <w:tcPr>
            <w:tcW w:w="974" w:type="dxa"/>
            <w:noWrap w:val="0"/>
            <w:vAlign w:val="center"/>
          </w:tcPr>
          <w:p>
            <w:pPr>
              <w:rPr>
                <w:rFonts w:ascii="宋体" w:hAnsi="宋体" w:cs="宋体"/>
                <w:szCs w:val="21"/>
              </w:rPr>
            </w:pPr>
            <w:r>
              <w:rPr>
                <w:rFonts w:hint="eastAsia"/>
                <w:szCs w:val="21"/>
              </w:rPr>
              <w:t>省发展改革委、省司法厅</w:t>
            </w:r>
          </w:p>
        </w:tc>
        <w:tc>
          <w:tcPr>
            <w:tcW w:w="878" w:type="dxa"/>
            <w:noWrap w:val="0"/>
            <w:tcMar>
              <w:left w:w="28" w:type="dxa"/>
              <w:right w:w="28" w:type="dxa"/>
            </w:tcMar>
            <w:vAlign w:val="center"/>
          </w:tcPr>
          <w:p>
            <w:pPr>
              <w:jc w:val="center"/>
              <w:rPr>
                <w:rFonts w:hint="eastAsia"/>
                <w:szCs w:val="21"/>
              </w:rPr>
            </w:pPr>
            <w:r>
              <w:rPr>
                <w:rFonts w:hint="eastAsia"/>
                <w:szCs w:val="21"/>
              </w:rPr>
              <w:t>司法</w:t>
            </w:r>
          </w:p>
          <w:p>
            <w:pPr>
              <w:jc w:val="center"/>
              <w:rPr>
                <w:rFonts w:hint="eastAsia" w:eastAsia="宋体"/>
                <w:szCs w:val="21"/>
                <w:lang w:eastAsia="zh-CN"/>
              </w:rPr>
            </w:pPr>
            <w:r>
              <w:rPr>
                <w:rFonts w:hint="eastAsia"/>
                <w:szCs w:val="21"/>
                <w:lang w:eastAsia="zh-CN"/>
              </w:rPr>
              <w:t>行政</w:t>
            </w:r>
          </w:p>
          <w:p>
            <w:pPr>
              <w:jc w:val="center"/>
              <w:rPr>
                <w:rFonts w:ascii="宋体" w:hAnsi="宋体" w:cs="宋体"/>
                <w:szCs w:val="21"/>
              </w:rPr>
            </w:pPr>
            <w:r>
              <w:rPr>
                <w:rFonts w:hint="eastAsia"/>
                <w:szCs w:val="21"/>
              </w:rPr>
              <w:t>部门</w:t>
            </w:r>
          </w:p>
        </w:tc>
        <w:tc>
          <w:tcPr>
            <w:tcW w:w="527" w:type="dxa"/>
            <w:noWrap w:val="0"/>
            <w:tcMar>
              <w:left w:w="28" w:type="dxa"/>
              <w:right w:w="28" w:type="dxa"/>
            </w:tcMar>
            <w:vAlign w:val="center"/>
          </w:tcPr>
          <w:p>
            <w:pPr>
              <w:jc w:val="center"/>
              <w:rPr>
                <w:rFonts w:ascii="宋体" w:hAnsi="宋体" w:cs="宋体"/>
                <w:color w:val="000000"/>
                <w:szCs w:val="21"/>
              </w:rPr>
            </w:pPr>
            <w:r>
              <w:rPr>
                <w:rFonts w:hint="eastAsia"/>
                <w:color w:val="000000"/>
                <w:szCs w:val="21"/>
              </w:rPr>
              <w:t>是</w:t>
            </w:r>
          </w:p>
        </w:tc>
        <w:tc>
          <w:tcPr>
            <w:tcW w:w="607" w:type="dxa"/>
            <w:noWrap w:val="0"/>
            <w:tcMar>
              <w:left w:w="28" w:type="dxa"/>
              <w:right w:w="28" w:type="dxa"/>
            </w:tcMar>
            <w:vAlign w:val="center"/>
          </w:tcPr>
          <w:p>
            <w:pPr>
              <w:jc w:val="center"/>
              <w:rPr>
                <w:rFonts w:ascii="宋体" w:hAnsi="宋体" w:cs="宋体"/>
                <w:color w:val="000000"/>
                <w:szCs w:val="21"/>
              </w:rPr>
            </w:pPr>
            <w:r>
              <w:rPr>
                <w:rFonts w:hint="eastAsia"/>
                <w:color w:val="000000"/>
                <w:szCs w:val="21"/>
              </w:rPr>
              <w:t>否</w:t>
            </w:r>
          </w:p>
        </w:tc>
        <w:tc>
          <w:tcPr>
            <w:tcW w:w="593" w:type="dxa"/>
            <w:noWrap w:val="0"/>
            <w:tcMar>
              <w:left w:w="28" w:type="dxa"/>
              <w:right w:w="28" w:type="dxa"/>
            </w:tcMar>
            <w:vAlign w:val="center"/>
          </w:tcPr>
          <w:p>
            <w:pPr>
              <w:jc w:val="center"/>
              <w:rPr>
                <w:rFonts w:ascii="宋体" w:hAnsi="宋体" w:cs="宋体"/>
                <w:color w:val="000000"/>
                <w:szCs w:val="21"/>
              </w:rPr>
            </w:pPr>
            <w:r>
              <w:rPr>
                <w:rFonts w:hint="eastAsia"/>
                <w:color w:val="000000"/>
                <w:szCs w:val="21"/>
              </w:rPr>
              <w:t>否</w:t>
            </w:r>
          </w:p>
        </w:tc>
        <w:tc>
          <w:tcPr>
            <w:tcW w:w="879" w:type="dxa"/>
            <w:noWrap w:val="0"/>
            <w:vAlign w:val="center"/>
          </w:tcPr>
          <w:p>
            <w:pPr>
              <w:rPr>
                <w:rFonts w:ascii="宋体" w:hAnsi="宋体" w:cs="宋体"/>
                <w:color w:val="000000"/>
                <w:szCs w:val="21"/>
              </w:rPr>
            </w:pPr>
            <w:r>
              <w:rPr>
                <w:rFonts w:hint="eastAsia"/>
                <w:color w:val="000000"/>
                <w:szCs w:val="21"/>
              </w:rPr>
              <w:t>准许成本加合理收益</w:t>
            </w:r>
          </w:p>
        </w:tc>
        <w:tc>
          <w:tcPr>
            <w:tcW w:w="636" w:type="dxa"/>
            <w:noWrap w:val="0"/>
            <w:vAlign w:val="center"/>
          </w:tcPr>
          <w:p>
            <w:pPr>
              <w:rPr>
                <w:rFonts w:ascii="宋体" w:hAnsi="宋体" w:cs="宋体"/>
                <w:color w:val="000000"/>
                <w:szCs w:val="21"/>
              </w:rPr>
            </w:pPr>
            <w:r>
              <w:rPr>
                <w:rFonts w:hint="eastAsia"/>
                <w:color w:val="00000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7" w:type="dxa"/>
            <w:vMerge w:val="continue"/>
            <w:noWrap w:val="0"/>
            <w:vAlign w:val="top"/>
          </w:tcPr>
          <w:p/>
        </w:tc>
        <w:tc>
          <w:tcPr>
            <w:tcW w:w="1103" w:type="dxa"/>
            <w:vMerge w:val="restart"/>
            <w:noWrap w:val="0"/>
            <w:vAlign w:val="center"/>
          </w:tcPr>
          <w:p>
            <w:r>
              <w:rPr>
                <w:rFonts w:hint="eastAsia"/>
              </w:rPr>
              <w:t>十一、司法鉴定服务收费</w:t>
            </w:r>
          </w:p>
        </w:tc>
        <w:tc>
          <w:tcPr>
            <w:tcW w:w="1098" w:type="dxa"/>
            <w:noWrap w:val="0"/>
            <w:vAlign w:val="center"/>
          </w:tcPr>
          <w:p>
            <w:pPr>
              <w:rPr>
                <w:rFonts w:ascii="宋体" w:hAnsi="宋体" w:cs="宋体"/>
                <w:color w:val="000000"/>
                <w:szCs w:val="21"/>
              </w:rPr>
            </w:pPr>
            <w:r>
              <w:rPr>
                <w:rFonts w:hint="eastAsia"/>
                <w:color w:val="000000"/>
                <w:szCs w:val="21"/>
              </w:rPr>
              <w:t>（一）法医类司法鉴定收费</w:t>
            </w:r>
          </w:p>
        </w:tc>
        <w:tc>
          <w:tcPr>
            <w:tcW w:w="3713" w:type="dxa"/>
            <w:noWrap w:val="0"/>
            <w:vAlign w:val="center"/>
          </w:tcPr>
          <w:p>
            <w:pPr>
              <w:rPr>
                <w:rFonts w:ascii="宋体" w:hAnsi="宋体" w:cs="宋体"/>
                <w:color w:val="000000"/>
                <w:szCs w:val="21"/>
              </w:rPr>
            </w:pPr>
            <w:r>
              <w:rPr>
                <w:rFonts w:hint="eastAsia"/>
                <w:color w:val="000000"/>
                <w:szCs w:val="21"/>
              </w:rPr>
              <w:t>具体收费标准见相关文件。</w:t>
            </w:r>
          </w:p>
        </w:tc>
        <w:tc>
          <w:tcPr>
            <w:tcW w:w="2965" w:type="dxa"/>
            <w:noWrap w:val="0"/>
            <w:vAlign w:val="center"/>
          </w:tcPr>
          <w:p>
            <w:pPr>
              <w:jc w:val="left"/>
              <w:rPr>
                <w:rFonts w:ascii="宋体" w:hAnsi="宋体" w:cs="宋体"/>
                <w:color w:val="000000"/>
                <w:szCs w:val="21"/>
              </w:rPr>
            </w:pPr>
            <w:r>
              <w:rPr>
                <w:rFonts w:hint="eastAsia"/>
                <w:color w:val="000000"/>
                <w:szCs w:val="21"/>
              </w:rPr>
              <w:t>湘发改价费规〔2021〕798号</w:t>
            </w:r>
          </w:p>
        </w:tc>
        <w:tc>
          <w:tcPr>
            <w:tcW w:w="974" w:type="dxa"/>
            <w:noWrap w:val="0"/>
            <w:vAlign w:val="center"/>
          </w:tcPr>
          <w:p>
            <w:pPr>
              <w:rPr>
                <w:rFonts w:ascii="宋体" w:hAnsi="宋体" w:cs="宋体"/>
                <w:szCs w:val="21"/>
              </w:rPr>
            </w:pPr>
            <w:r>
              <w:rPr>
                <w:rFonts w:hint="eastAsia"/>
                <w:szCs w:val="21"/>
              </w:rPr>
              <w:t>省发展改革委、省司法厅</w:t>
            </w:r>
          </w:p>
        </w:tc>
        <w:tc>
          <w:tcPr>
            <w:tcW w:w="878" w:type="dxa"/>
            <w:noWrap w:val="0"/>
            <w:tcMar>
              <w:left w:w="28" w:type="dxa"/>
              <w:right w:w="28" w:type="dxa"/>
            </w:tcMar>
            <w:vAlign w:val="center"/>
          </w:tcPr>
          <w:p>
            <w:pPr>
              <w:jc w:val="center"/>
              <w:rPr>
                <w:rFonts w:hint="eastAsia"/>
                <w:szCs w:val="21"/>
              </w:rPr>
            </w:pPr>
            <w:r>
              <w:rPr>
                <w:rFonts w:hint="eastAsia"/>
                <w:szCs w:val="21"/>
              </w:rPr>
              <w:t>司法</w:t>
            </w:r>
          </w:p>
          <w:p>
            <w:pPr>
              <w:jc w:val="center"/>
              <w:rPr>
                <w:rFonts w:hint="eastAsia" w:eastAsia="宋体"/>
                <w:szCs w:val="21"/>
                <w:lang w:eastAsia="zh-CN"/>
              </w:rPr>
            </w:pPr>
            <w:r>
              <w:rPr>
                <w:rFonts w:hint="eastAsia"/>
                <w:szCs w:val="21"/>
                <w:lang w:eastAsia="zh-CN"/>
              </w:rPr>
              <w:t>行政</w:t>
            </w:r>
          </w:p>
          <w:p>
            <w:pPr>
              <w:jc w:val="center"/>
              <w:rPr>
                <w:rFonts w:ascii="宋体" w:hAnsi="宋体" w:cs="宋体"/>
                <w:szCs w:val="21"/>
              </w:rPr>
            </w:pPr>
            <w:r>
              <w:rPr>
                <w:rFonts w:hint="eastAsia"/>
                <w:szCs w:val="21"/>
              </w:rPr>
              <w:t>部门</w:t>
            </w:r>
          </w:p>
        </w:tc>
        <w:tc>
          <w:tcPr>
            <w:tcW w:w="527" w:type="dxa"/>
            <w:noWrap w:val="0"/>
            <w:tcMar>
              <w:left w:w="28" w:type="dxa"/>
              <w:right w:w="28" w:type="dxa"/>
            </w:tcMar>
            <w:vAlign w:val="center"/>
          </w:tcPr>
          <w:p>
            <w:pPr>
              <w:jc w:val="center"/>
              <w:rPr>
                <w:rFonts w:ascii="宋体" w:hAnsi="宋体" w:cs="宋体"/>
                <w:color w:val="000000"/>
                <w:szCs w:val="21"/>
              </w:rPr>
            </w:pPr>
            <w:r>
              <w:rPr>
                <w:rFonts w:hint="eastAsia"/>
                <w:color w:val="000000"/>
                <w:szCs w:val="21"/>
              </w:rPr>
              <w:t>是</w:t>
            </w:r>
          </w:p>
        </w:tc>
        <w:tc>
          <w:tcPr>
            <w:tcW w:w="607" w:type="dxa"/>
            <w:noWrap w:val="0"/>
            <w:tcMar>
              <w:left w:w="28" w:type="dxa"/>
              <w:right w:w="28" w:type="dxa"/>
            </w:tcMar>
            <w:vAlign w:val="center"/>
          </w:tcPr>
          <w:p>
            <w:pPr>
              <w:jc w:val="center"/>
              <w:rPr>
                <w:rFonts w:ascii="宋体" w:hAnsi="宋体" w:cs="宋体"/>
                <w:color w:val="000000"/>
                <w:szCs w:val="21"/>
              </w:rPr>
            </w:pPr>
            <w:r>
              <w:rPr>
                <w:rFonts w:hint="eastAsia"/>
                <w:color w:val="000000"/>
                <w:szCs w:val="21"/>
              </w:rPr>
              <w:t>否</w:t>
            </w:r>
          </w:p>
        </w:tc>
        <w:tc>
          <w:tcPr>
            <w:tcW w:w="593" w:type="dxa"/>
            <w:noWrap w:val="0"/>
            <w:tcMar>
              <w:left w:w="28" w:type="dxa"/>
              <w:right w:w="28" w:type="dxa"/>
            </w:tcMar>
            <w:vAlign w:val="center"/>
          </w:tcPr>
          <w:p>
            <w:pPr>
              <w:jc w:val="center"/>
              <w:rPr>
                <w:rFonts w:ascii="宋体" w:hAnsi="宋体" w:cs="宋体"/>
                <w:color w:val="000000"/>
                <w:szCs w:val="21"/>
              </w:rPr>
            </w:pPr>
            <w:r>
              <w:rPr>
                <w:rFonts w:hint="eastAsia"/>
                <w:color w:val="000000"/>
                <w:szCs w:val="21"/>
              </w:rPr>
              <w:t>否</w:t>
            </w:r>
          </w:p>
        </w:tc>
        <w:tc>
          <w:tcPr>
            <w:tcW w:w="879" w:type="dxa"/>
            <w:noWrap w:val="0"/>
            <w:vAlign w:val="center"/>
          </w:tcPr>
          <w:p>
            <w:pPr>
              <w:rPr>
                <w:rFonts w:ascii="宋体" w:hAnsi="宋体" w:cs="宋体"/>
                <w:color w:val="000000"/>
                <w:szCs w:val="21"/>
              </w:rPr>
            </w:pPr>
            <w:r>
              <w:rPr>
                <w:rFonts w:hint="eastAsia"/>
                <w:color w:val="000000"/>
                <w:szCs w:val="21"/>
              </w:rPr>
              <w:t>准许成本加合理收益</w:t>
            </w:r>
          </w:p>
        </w:tc>
        <w:tc>
          <w:tcPr>
            <w:tcW w:w="636" w:type="dxa"/>
            <w:noWrap w:val="0"/>
            <w:vAlign w:val="center"/>
          </w:tcPr>
          <w:p>
            <w:pPr>
              <w:jc w:val="center"/>
              <w:rPr>
                <w:rFonts w:ascii="宋体" w:hAnsi="宋体" w:cs="宋体"/>
                <w:color w:val="000000"/>
                <w:szCs w:val="21"/>
              </w:rPr>
            </w:pPr>
            <w:r>
              <w:rPr>
                <w:rFonts w:hint="eastAsia"/>
                <w:color w:val="00000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jc w:val="center"/>
        </w:trPr>
        <w:tc>
          <w:tcPr>
            <w:tcW w:w="557" w:type="dxa"/>
            <w:vMerge w:val="restart"/>
            <w:noWrap w:val="0"/>
            <w:vAlign w:val="center"/>
          </w:tcPr>
          <w:p>
            <w:pPr>
              <w:jc w:val="center"/>
            </w:pPr>
            <w:r>
              <w:rPr>
                <w:rFonts w:hint="eastAsia"/>
              </w:rPr>
              <w:t>其他特定服务收费</w:t>
            </w:r>
          </w:p>
        </w:tc>
        <w:tc>
          <w:tcPr>
            <w:tcW w:w="1103" w:type="dxa"/>
            <w:vMerge w:val="continue"/>
            <w:noWrap w:val="0"/>
            <w:vAlign w:val="top"/>
          </w:tcPr>
          <w:p/>
        </w:tc>
        <w:tc>
          <w:tcPr>
            <w:tcW w:w="1098" w:type="dxa"/>
            <w:noWrap w:val="0"/>
            <w:vAlign w:val="center"/>
          </w:tcPr>
          <w:p>
            <w:pPr>
              <w:rPr>
                <w:rFonts w:ascii="宋体" w:hAnsi="宋体" w:cs="宋体"/>
                <w:color w:val="000000"/>
                <w:szCs w:val="21"/>
              </w:rPr>
            </w:pPr>
            <w:r>
              <w:rPr>
                <w:rFonts w:hint="eastAsia"/>
                <w:color w:val="000000"/>
                <w:szCs w:val="21"/>
              </w:rPr>
              <w:t>（二）物证类司法鉴定收费</w:t>
            </w:r>
          </w:p>
        </w:tc>
        <w:tc>
          <w:tcPr>
            <w:tcW w:w="3713" w:type="dxa"/>
            <w:noWrap w:val="0"/>
            <w:vAlign w:val="center"/>
          </w:tcPr>
          <w:p>
            <w:pPr>
              <w:rPr>
                <w:rFonts w:ascii="宋体" w:hAnsi="宋体" w:cs="宋体"/>
                <w:color w:val="000000"/>
                <w:szCs w:val="21"/>
              </w:rPr>
            </w:pPr>
            <w:r>
              <w:rPr>
                <w:rFonts w:hint="eastAsia"/>
                <w:color w:val="000000"/>
                <w:szCs w:val="21"/>
              </w:rPr>
              <w:t>具体收费标准见相关文件。</w:t>
            </w:r>
          </w:p>
        </w:tc>
        <w:tc>
          <w:tcPr>
            <w:tcW w:w="2965" w:type="dxa"/>
            <w:noWrap w:val="0"/>
            <w:vAlign w:val="center"/>
          </w:tcPr>
          <w:p>
            <w:pPr>
              <w:rPr>
                <w:rFonts w:ascii="宋体" w:hAnsi="宋体" w:cs="宋体"/>
                <w:color w:val="000000"/>
                <w:szCs w:val="21"/>
              </w:rPr>
            </w:pPr>
            <w:r>
              <w:rPr>
                <w:rFonts w:hint="eastAsia"/>
                <w:color w:val="000000"/>
                <w:szCs w:val="21"/>
              </w:rPr>
              <w:t>湘发改价费规〔2021〕798号</w:t>
            </w:r>
          </w:p>
        </w:tc>
        <w:tc>
          <w:tcPr>
            <w:tcW w:w="974" w:type="dxa"/>
            <w:noWrap w:val="0"/>
            <w:vAlign w:val="center"/>
          </w:tcPr>
          <w:p>
            <w:pPr>
              <w:rPr>
                <w:rFonts w:ascii="宋体" w:hAnsi="宋体" w:cs="宋体"/>
                <w:szCs w:val="21"/>
              </w:rPr>
            </w:pPr>
            <w:r>
              <w:rPr>
                <w:rFonts w:hint="eastAsia"/>
                <w:szCs w:val="21"/>
              </w:rPr>
              <w:t>省发展改革委、省司法厅</w:t>
            </w:r>
          </w:p>
        </w:tc>
        <w:tc>
          <w:tcPr>
            <w:tcW w:w="878" w:type="dxa"/>
            <w:noWrap w:val="0"/>
            <w:tcMar>
              <w:left w:w="28" w:type="dxa"/>
              <w:right w:w="28" w:type="dxa"/>
            </w:tcMar>
            <w:vAlign w:val="center"/>
          </w:tcPr>
          <w:p>
            <w:pPr>
              <w:jc w:val="center"/>
              <w:rPr>
                <w:rFonts w:hint="eastAsia"/>
                <w:szCs w:val="21"/>
              </w:rPr>
            </w:pPr>
            <w:r>
              <w:rPr>
                <w:rFonts w:hint="eastAsia"/>
                <w:szCs w:val="21"/>
              </w:rPr>
              <w:t>司法</w:t>
            </w:r>
          </w:p>
          <w:p>
            <w:pPr>
              <w:jc w:val="center"/>
              <w:rPr>
                <w:rFonts w:hint="eastAsia" w:eastAsia="宋体"/>
                <w:szCs w:val="21"/>
                <w:lang w:eastAsia="zh-CN"/>
              </w:rPr>
            </w:pPr>
            <w:r>
              <w:rPr>
                <w:rFonts w:hint="eastAsia"/>
                <w:szCs w:val="21"/>
                <w:lang w:eastAsia="zh-CN"/>
              </w:rPr>
              <w:t>行政</w:t>
            </w:r>
          </w:p>
          <w:p>
            <w:pPr>
              <w:jc w:val="center"/>
              <w:rPr>
                <w:rFonts w:ascii="宋体" w:hAnsi="宋体" w:cs="宋体"/>
                <w:szCs w:val="21"/>
              </w:rPr>
            </w:pPr>
            <w:r>
              <w:rPr>
                <w:rFonts w:hint="eastAsia"/>
                <w:szCs w:val="21"/>
              </w:rPr>
              <w:t>部门</w:t>
            </w:r>
          </w:p>
        </w:tc>
        <w:tc>
          <w:tcPr>
            <w:tcW w:w="527" w:type="dxa"/>
            <w:noWrap w:val="0"/>
            <w:tcMar>
              <w:left w:w="28" w:type="dxa"/>
              <w:right w:w="28" w:type="dxa"/>
            </w:tcMar>
            <w:vAlign w:val="center"/>
          </w:tcPr>
          <w:p>
            <w:pPr>
              <w:jc w:val="center"/>
              <w:rPr>
                <w:rFonts w:ascii="宋体" w:hAnsi="宋体" w:cs="宋体"/>
                <w:color w:val="000000"/>
                <w:szCs w:val="21"/>
              </w:rPr>
            </w:pPr>
            <w:r>
              <w:rPr>
                <w:rFonts w:hint="eastAsia"/>
                <w:color w:val="000000"/>
                <w:szCs w:val="21"/>
              </w:rPr>
              <w:t>是</w:t>
            </w:r>
          </w:p>
        </w:tc>
        <w:tc>
          <w:tcPr>
            <w:tcW w:w="607" w:type="dxa"/>
            <w:noWrap w:val="0"/>
            <w:tcMar>
              <w:left w:w="28" w:type="dxa"/>
              <w:right w:w="28" w:type="dxa"/>
            </w:tcMar>
            <w:vAlign w:val="center"/>
          </w:tcPr>
          <w:p>
            <w:pPr>
              <w:jc w:val="center"/>
              <w:rPr>
                <w:rFonts w:ascii="宋体" w:hAnsi="宋体" w:cs="宋体"/>
                <w:color w:val="000000"/>
                <w:szCs w:val="21"/>
              </w:rPr>
            </w:pPr>
            <w:r>
              <w:rPr>
                <w:rFonts w:hint="eastAsia"/>
                <w:color w:val="000000"/>
                <w:szCs w:val="21"/>
              </w:rPr>
              <w:t>否</w:t>
            </w:r>
          </w:p>
        </w:tc>
        <w:tc>
          <w:tcPr>
            <w:tcW w:w="593" w:type="dxa"/>
            <w:noWrap w:val="0"/>
            <w:tcMar>
              <w:left w:w="28" w:type="dxa"/>
              <w:right w:w="28" w:type="dxa"/>
            </w:tcMar>
            <w:vAlign w:val="center"/>
          </w:tcPr>
          <w:p>
            <w:pPr>
              <w:jc w:val="center"/>
              <w:rPr>
                <w:rFonts w:ascii="宋体" w:hAnsi="宋体" w:cs="宋体"/>
                <w:color w:val="000000"/>
                <w:szCs w:val="21"/>
              </w:rPr>
            </w:pPr>
            <w:r>
              <w:rPr>
                <w:rFonts w:hint="eastAsia"/>
                <w:color w:val="000000"/>
                <w:szCs w:val="21"/>
              </w:rPr>
              <w:t>否</w:t>
            </w:r>
          </w:p>
        </w:tc>
        <w:tc>
          <w:tcPr>
            <w:tcW w:w="879" w:type="dxa"/>
            <w:noWrap w:val="0"/>
            <w:vAlign w:val="center"/>
          </w:tcPr>
          <w:p>
            <w:pPr>
              <w:rPr>
                <w:rFonts w:ascii="宋体" w:hAnsi="宋体" w:cs="宋体"/>
                <w:color w:val="000000"/>
                <w:szCs w:val="21"/>
              </w:rPr>
            </w:pPr>
            <w:r>
              <w:rPr>
                <w:rFonts w:hint="eastAsia"/>
                <w:color w:val="000000"/>
                <w:szCs w:val="21"/>
              </w:rPr>
              <w:t>准许成本加合理收益</w:t>
            </w:r>
          </w:p>
        </w:tc>
        <w:tc>
          <w:tcPr>
            <w:tcW w:w="636" w:type="dxa"/>
            <w:noWrap w:val="0"/>
            <w:vAlign w:val="center"/>
          </w:tcPr>
          <w:p>
            <w:pPr>
              <w:rPr>
                <w:rFonts w:ascii="宋体" w:hAnsi="宋体" w:cs="宋体"/>
                <w:color w:val="000000"/>
                <w:szCs w:val="21"/>
              </w:rPr>
            </w:pPr>
            <w:r>
              <w:rPr>
                <w:rFonts w:hint="eastAsia"/>
                <w:color w:val="00000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4" w:hRule="atLeast"/>
          <w:jc w:val="center"/>
        </w:trPr>
        <w:tc>
          <w:tcPr>
            <w:tcW w:w="557" w:type="dxa"/>
            <w:vMerge w:val="continue"/>
            <w:noWrap w:val="0"/>
            <w:vAlign w:val="top"/>
          </w:tcPr>
          <w:p/>
        </w:tc>
        <w:tc>
          <w:tcPr>
            <w:tcW w:w="1103" w:type="dxa"/>
            <w:vMerge w:val="continue"/>
            <w:noWrap w:val="0"/>
            <w:vAlign w:val="top"/>
          </w:tcPr>
          <w:p/>
        </w:tc>
        <w:tc>
          <w:tcPr>
            <w:tcW w:w="1098" w:type="dxa"/>
            <w:noWrap w:val="0"/>
            <w:vAlign w:val="center"/>
          </w:tcPr>
          <w:p>
            <w:pPr>
              <w:rPr>
                <w:rFonts w:ascii="宋体" w:hAnsi="宋体" w:cs="宋体"/>
                <w:color w:val="000000"/>
                <w:szCs w:val="21"/>
              </w:rPr>
            </w:pPr>
            <w:r>
              <w:rPr>
                <w:rFonts w:hint="eastAsia"/>
                <w:color w:val="000000"/>
                <w:szCs w:val="21"/>
              </w:rPr>
              <w:t>（三）声像资料类司法鉴定收费</w:t>
            </w:r>
          </w:p>
        </w:tc>
        <w:tc>
          <w:tcPr>
            <w:tcW w:w="3713" w:type="dxa"/>
            <w:noWrap w:val="0"/>
            <w:vAlign w:val="center"/>
          </w:tcPr>
          <w:p>
            <w:pPr>
              <w:rPr>
                <w:rFonts w:ascii="宋体" w:hAnsi="宋体" w:cs="宋体"/>
                <w:color w:val="000000"/>
                <w:szCs w:val="21"/>
              </w:rPr>
            </w:pPr>
            <w:r>
              <w:rPr>
                <w:rFonts w:hint="eastAsia"/>
                <w:color w:val="000000"/>
                <w:szCs w:val="21"/>
              </w:rPr>
              <w:t>具体收费标准见相关文件。</w:t>
            </w:r>
          </w:p>
        </w:tc>
        <w:tc>
          <w:tcPr>
            <w:tcW w:w="2965" w:type="dxa"/>
            <w:noWrap w:val="0"/>
            <w:vAlign w:val="center"/>
          </w:tcPr>
          <w:p>
            <w:pPr>
              <w:rPr>
                <w:rFonts w:ascii="宋体" w:hAnsi="宋体" w:cs="宋体"/>
                <w:color w:val="000000"/>
                <w:szCs w:val="21"/>
              </w:rPr>
            </w:pPr>
            <w:r>
              <w:rPr>
                <w:rFonts w:hint="eastAsia"/>
                <w:color w:val="000000"/>
                <w:szCs w:val="21"/>
              </w:rPr>
              <w:t>湘发改价费规〔2021〕798号</w:t>
            </w:r>
          </w:p>
        </w:tc>
        <w:tc>
          <w:tcPr>
            <w:tcW w:w="974" w:type="dxa"/>
            <w:noWrap w:val="0"/>
            <w:vAlign w:val="center"/>
          </w:tcPr>
          <w:p>
            <w:pPr>
              <w:rPr>
                <w:rFonts w:ascii="宋体" w:hAnsi="宋体" w:cs="宋体"/>
                <w:szCs w:val="21"/>
              </w:rPr>
            </w:pPr>
            <w:r>
              <w:rPr>
                <w:rFonts w:hint="eastAsia"/>
                <w:szCs w:val="21"/>
              </w:rPr>
              <w:t>省发展改革委、省司法厅</w:t>
            </w:r>
          </w:p>
        </w:tc>
        <w:tc>
          <w:tcPr>
            <w:tcW w:w="878" w:type="dxa"/>
            <w:noWrap w:val="0"/>
            <w:tcMar>
              <w:left w:w="28" w:type="dxa"/>
              <w:right w:w="28" w:type="dxa"/>
            </w:tcMar>
            <w:vAlign w:val="center"/>
          </w:tcPr>
          <w:p>
            <w:pPr>
              <w:jc w:val="center"/>
              <w:rPr>
                <w:rFonts w:hint="eastAsia"/>
                <w:szCs w:val="21"/>
              </w:rPr>
            </w:pPr>
            <w:r>
              <w:rPr>
                <w:rFonts w:hint="eastAsia"/>
                <w:szCs w:val="21"/>
              </w:rPr>
              <w:t>司法</w:t>
            </w:r>
          </w:p>
          <w:p>
            <w:pPr>
              <w:jc w:val="center"/>
              <w:rPr>
                <w:rFonts w:hint="eastAsia" w:eastAsia="宋体"/>
                <w:szCs w:val="21"/>
                <w:lang w:eastAsia="zh-CN"/>
              </w:rPr>
            </w:pPr>
            <w:r>
              <w:rPr>
                <w:rFonts w:hint="eastAsia"/>
                <w:szCs w:val="21"/>
                <w:lang w:eastAsia="zh-CN"/>
              </w:rPr>
              <w:t>行政</w:t>
            </w:r>
          </w:p>
          <w:p>
            <w:pPr>
              <w:jc w:val="center"/>
              <w:rPr>
                <w:rFonts w:ascii="宋体" w:hAnsi="宋体" w:cs="宋体"/>
                <w:szCs w:val="21"/>
              </w:rPr>
            </w:pPr>
            <w:r>
              <w:rPr>
                <w:rFonts w:hint="eastAsia"/>
                <w:szCs w:val="21"/>
              </w:rPr>
              <w:t>部门</w:t>
            </w:r>
          </w:p>
        </w:tc>
        <w:tc>
          <w:tcPr>
            <w:tcW w:w="527" w:type="dxa"/>
            <w:noWrap w:val="0"/>
            <w:tcMar>
              <w:left w:w="28" w:type="dxa"/>
              <w:right w:w="28" w:type="dxa"/>
            </w:tcMar>
            <w:vAlign w:val="center"/>
          </w:tcPr>
          <w:p>
            <w:pPr>
              <w:jc w:val="center"/>
              <w:rPr>
                <w:rFonts w:ascii="宋体" w:hAnsi="宋体" w:cs="宋体"/>
                <w:color w:val="000000"/>
                <w:szCs w:val="21"/>
              </w:rPr>
            </w:pPr>
            <w:r>
              <w:rPr>
                <w:rFonts w:hint="eastAsia"/>
                <w:color w:val="000000"/>
                <w:szCs w:val="21"/>
              </w:rPr>
              <w:t>是</w:t>
            </w:r>
          </w:p>
        </w:tc>
        <w:tc>
          <w:tcPr>
            <w:tcW w:w="607" w:type="dxa"/>
            <w:noWrap w:val="0"/>
            <w:tcMar>
              <w:left w:w="28" w:type="dxa"/>
              <w:right w:w="28" w:type="dxa"/>
            </w:tcMar>
            <w:vAlign w:val="center"/>
          </w:tcPr>
          <w:p>
            <w:pPr>
              <w:jc w:val="center"/>
              <w:rPr>
                <w:rFonts w:ascii="宋体" w:hAnsi="宋体" w:cs="宋体"/>
                <w:color w:val="000000"/>
                <w:szCs w:val="21"/>
              </w:rPr>
            </w:pPr>
            <w:r>
              <w:rPr>
                <w:rFonts w:hint="eastAsia"/>
                <w:color w:val="000000"/>
                <w:szCs w:val="21"/>
              </w:rPr>
              <w:t>否</w:t>
            </w:r>
          </w:p>
        </w:tc>
        <w:tc>
          <w:tcPr>
            <w:tcW w:w="593" w:type="dxa"/>
            <w:noWrap w:val="0"/>
            <w:tcMar>
              <w:left w:w="28" w:type="dxa"/>
              <w:right w:w="28" w:type="dxa"/>
            </w:tcMar>
            <w:vAlign w:val="center"/>
          </w:tcPr>
          <w:p>
            <w:pPr>
              <w:jc w:val="center"/>
              <w:rPr>
                <w:rFonts w:ascii="宋体" w:hAnsi="宋体" w:cs="宋体"/>
                <w:color w:val="000000"/>
                <w:szCs w:val="21"/>
              </w:rPr>
            </w:pPr>
            <w:r>
              <w:rPr>
                <w:rFonts w:hint="eastAsia"/>
                <w:color w:val="000000"/>
                <w:szCs w:val="21"/>
              </w:rPr>
              <w:t>否</w:t>
            </w:r>
          </w:p>
        </w:tc>
        <w:tc>
          <w:tcPr>
            <w:tcW w:w="879" w:type="dxa"/>
            <w:noWrap w:val="0"/>
            <w:vAlign w:val="center"/>
          </w:tcPr>
          <w:p>
            <w:pPr>
              <w:rPr>
                <w:rFonts w:ascii="宋体" w:hAnsi="宋体" w:cs="宋体"/>
                <w:color w:val="000000"/>
                <w:szCs w:val="21"/>
              </w:rPr>
            </w:pPr>
            <w:r>
              <w:rPr>
                <w:rFonts w:hint="eastAsia"/>
                <w:color w:val="000000"/>
                <w:szCs w:val="21"/>
              </w:rPr>
              <w:t>准许成本加合理收益</w:t>
            </w:r>
          </w:p>
        </w:tc>
        <w:tc>
          <w:tcPr>
            <w:tcW w:w="636" w:type="dxa"/>
            <w:noWrap w:val="0"/>
            <w:vAlign w:val="center"/>
          </w:tcPr>
          <w:p>
            <w:pPr>
              <w:rPr>
                <w:rFonts w:ascii="宋体" w:hAnsi="宋体" w:cs="宋体"/>
                <w:color w:val="000000"/>
                <w:szCs w:val="21"/>
              </w:rPr>
            </w:pPr>
            <w:r>
              <w:rPr>
                <w:rFonts w:hint="eastAsia"/>
                <w:color w:val="00000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jc w:val="center"/>
        </w:trPr>
        <w:tc>
          <w:tcPr>
            <w:tcW w:w="557" w:type="dxa"/>
            <w:vMerge w:val="continue"/>
            <w:noWrap w:val="0"/>
            <w:vAlign w:val="top"/>
          </w:tcPr>
          <w:p/>
        </w:tc>
        <w:tc>
          <w:tcPr>
            <w:tcW w:w="1103" w:type="dxa"/>
            <w:noWrap w:val="0"/>
            <w:vAlign w:val="center"/>
          </w:tcPr>
          <w:p>
            <w:pPr>
              <w:rPr>
                <w:rFonts w:ascii="宋体" w:hAnsi="宋体" w:cs="宋体"/>
                <w:color w:val="000000"/>
                <w:szCs w:val="21"/>
              </w:rPr>
            </w:pPr>
            <w:r>
              <w:rPr>
                <w:rFonts w:hint="eastAsia"/>
                <w:color w:val="000000"/>
                <w:szCs w:val="21"/>
              </w:rPr>
              <w:t>十二、住房物业管理费</w:t>
            </w:r>
          </w:p>
        </w:tc>
        <w:tc>
          <w:tcPr>
            <w:tcW w:w="1098" w:type="dxa"/>
            <w:noWrap w:val="0"/>
            <w:vAlign w:val="center"/>
          </w:tcPr>
          <w:p>
            <w:pPr>
              <w:rPr>
                <w:rFonts w:ascii="宋体" w:hAnsi="宋体" w:cs="宋体"/>
                <w:szCs w:val="21"/>
              </w:rPr>
            </w:pPr>
            <w:r>
              <w:rPr>
                <w:rFonts w:hint="eastAsia"/>
                <w:szCs w:val="21"/>
              </w:rPr>
              <w:t>前期物业服务收费</w:t>
            </w:r>
          </w:p>
        </w:tc>
        <w:tc>
          <w:tcPr>
            <w:tcW w:w="3713" w:type="dxa"/>
            <w:noWrap w:val="0"/>
            <w:vAlign w:val="center"/>
          </w:tcPr>
          <w:p>
            <w:pPr>
              <w:rPr>
                <w:rFonts w:ascii="宋体" w:hAnsi="宋体" w:cs="宋体"/>
                <w:szCs w:val="21"/>
              </w:rPr>
            </w:pPr>
            <w:r>
              <w:rPr>
                <w:rFonts w:hint="eastAsia"/>
                <w:szCs w:val="21"/>
              </w:rPr>
              <w:t>具体收费标准见相关文件。</w:t>
            </w:r>
          </w:p>
        </w:tc>
        <w:tc>
          <w:tcPr>
            <w:tcW w:w="2965" w:type="dxa"/>
            <w:noWrap w:val="0"/>
            <w:vAlign w:val="center"/>
          </w:tcPr>
          <w:p>
            <w:pPr>
              <w:rPr>
                <w:rFonts w:hint="eastAsia" w:eastAsia="宋体"/>
                <w:szCs w:val="21"/>
                <w:lang w:eastAsia="zh-CN"/>
              </w:rPr>
            </w:pPr>
            <w:r>
              <w:rPr>
                <w:rFonts w:hint="eastAsia"/>
                <w:color w:val="auto"/>
                <w:szCs w:val="21"/>
                <w:lang w:eastAsia="zh-CN"/>
              </w:rPr>
              <w:t>桃发改价</w:t>
            </w:r>
            <w:r>
              <w:rPr>
                <w:rFonts w:hint="eastAsia"/>
                <w:color w:val="auto"/>
                <w:szCs w:val="21"/>
              </w:rPr>
              <w:t>〔2021〕</w:t>
            </w:r>
            <w:r>
              <w:rPr>
                <w:rFonts w:hint="eastAsia"/>
                <w:color w:val="auto"/>
                <w:szCs w:val="21"/>
                <w:lang w:val="en-US" w:eastAsia="zh-CN"/>
              </w:rPr>
              <w:t>206</w:t>
            </w:r>
            <w:r>
              <w:rPr>
                <w:rFonts w:hint="eastAsia"/>
                <w:color w:val="auto"/>
                <w:szCs w:val="21"/>
              </w:rPr>
              <w:t>号</w:t>
            </w:r>
          </w:p>
        </w:tc>
        <w:tc>
          <w:tcPr>
            <w:tcW w:w="974" w:type="dxa"/>
            <w:noWrap w:val="0"/>
            <w:vAlign w:val="center"/>
          </w:tcPr>
          <w:p>
            <w:pPr>
              <w:jc w:val="center"/>
              <w:rPr>
                <w:rFonts w:hint="eastAsia" w:ascii="宋体" w:hAnsi="宋体" w:eastAsia="宋体" w:cs="宋体"/>
                <w:szCs w:val="21"/>
                <w:lang w:eastAsia="zh-CN"/>
              </w:rPr>
            </w:pPr>
            <w:r>
              <w:rPr>
                <w:rFonts w:hint="eastAsia"/>
                <w:szCs w:val="21"/>
                <w:lang w:eastAsia="zh-CN"/>
              </w:rPr>
              <w:t>县</w:t>
            </w:r>
            <w:r>
              <w:rPr>
                <w:rFonts w:hint="eastAsia"/>
                <w:szCs w:val="21"/>
              </w:rPr>
              <w:t>发展</w:t>
            </w:r>
            <w:r>
              <w:rPr>
                <w:rFonts w:hint="eastAsia"/>
                <w:szCs w:val="21"/>
                <w:lang w:eastAsia="zh-CN"/>
              </w:rPr>
              <w:t>和</w:t>
            </w:r>
            <w:r>
              <w:rPr>
                <w:rFonts w:hint="eastAsia"/>
                <w:szCs w:val="21"/>
              </w:rPr>
              <w:t>改革</w:t>
            </w:r>
            <w:r>
              <w:rPr>
                <w:rFonts w:hint="eastAsia"/>
                <w:szCs w:val="21"/>
                <w:lang w:eastAsia="zh-CN"/>
              </w:rPr>
              <w:t>局</w:t>
            </w:r>
          </w:p>
        </w:tc>
        <w:tc>
          <w:tcPr>
            <w:tcW w:w="878" w:type="dxa"/>
            <w:noWrap w:val="0"/>
            <w:tcMar>
              <w:left w:w="28" w:type="dxa"/>
              <w:right w:w="28" w:type="dxa"/>
            </w:tcMar>
            <w:vAlign w:val="center"/>
          </w:tcPr>
          <w:p>
            <w:pPr>
              <w:jc w:val="center"/>
              <w:rPr>
                <w:rFonts w:ascii="宋体" w:hAnsi="宋体" w:cs="宋体"/>
                <w:szCs w:val="21"/>
              </w:rPr>
            </w:pPr>
            <w:r>
              <w:rPr>
                <w:rFonts w:hint="eastAsia"/>
                <w:szCs w:val="21"/>
              </w:rPr>
              <w:t>住房和城乡建设部门</w:t>
            </w:r>
          </w:p>
        </w:tc>
        <w:tc>
          <w:tcPr>
            <w:tcW w:w="527" w:type="dxa"/>
            <w:noWrap w:val="0"/>
            <w:tcMar>
              <w:left w:w="28" w:type="dxa"/>
              <w:right w:w="28" w:type="dxa"/>
            </w:tcMar>
            <w:vAlign w:val="center"/>
          </w:tcPr>
          <w:p>
            <w:pPr>
              <w:jc w:val="center"/>
              <w:rPr>
                <w:rFonts w:ascii="宋体" w:hAnsi="宋体" w:cs="宋体"/>
                <w:color w:val="000000"/>
                <w:szCs w:val="21"/>
              </w:rPr>
            </w:pPr>
            <w:r>
              <w:rPr>
                <w:rFonts w:hint="eastAsia"/>
                <w:color w:val="000000"/>
                <w:szCs w:val="21"/>
              </w:rPr>
              <w:t>是</w:t>
            </w:r>
          </w:p>
        </w:tc>
        <w:tc>
          <w:tcPr>
            <w:tcW w:w="607" w:type="dxa"/>
            <w:noWrap w:val="0"/>
            <w:tcMar>
              <w:left w:w="28" w:type="dxa"/>
              <w:right w:w="28" w:type="dxa"/>
            </w:tcMar>
            <w:vAlign w:val="center"/>
          </w:tcPr>
          <w:p>
            <w:pPr>
              <w:jc w:val="center"/>
              <w:rPr>
                <w:rFonts w:ascii="宋体" w:hAnsi="宋体" w:cs="宋体"/>
                <w:color w:val="000000"/>
                <w:szCs w:val="21"/>
              </w:rPr>
            </w:pPr>
            <w:r>
              <w:rPr>
                <w:rFonts w:hint="eastAsia"/>
                <w:color w:val="000000"/>
                <w:szCs w:val="21"/>
              </w:rPr>
              <w:t>否</w:t>
            </w:r>
          </w:p>
        </w:tc>
        <w:tc>
          <w:tcPr>
            <w:tcW w:w="593" w:type="dxa"/>
            <w:noWrap w:val="0"/>
            <w:tcMar>
              <w:left w:w="28" w:type="dxa"/>
              <w:right w:w="28" w:type="dxa"/>
            </w:tcMar>
            <w:vAlign w:val="center"/>
          </w:tcPr>
          <w:p>
            <w:pPr>
              <w:jc w:val="center"/>
              <w:rPr>
                <w:rFonts w:ascii="宋体" w:hAnsi="宋体" w:cs="宋体"/>
                <w:color w:val="000000"/>
                <w:szCs w:val="21"/>
              </w:rPr>
            </w:pPr>
            <w:r>
              <w:rPr>
                <w:rFonts w:hint="eastAsia"/>
                <w:color w:val="000000"/>
                <w:szCs w:val="21"/>
              </w:rPr>
              <w:t>否</w:t>
            </w:r>
          </w:p>
        </w:tc>
        <w:tc>
          <w:tcPr>
            <w:tcW w:w="879" w:type="dxa"/>
            <w:noWrap w:val="0"/>
            <w:vAlign w:val="center"/>
          </w:tcPr>
          <w:p>
            <w:pPr>
              <w:rPr>
                <w:rFonts w:ascii="宋体" w:hAnsi="宋体" w:cs="宋体"/>
                <w:color w:val="000000"/>
                <w:szCs w:val="21"/>
              </w:rPr>
            </w:pPr>
            <w:r>
              <w:rPr>
                <w:rFonts w:hint="eastAsia"/>
                <w:color w:val="000000"/>
                <w:szCs w:val="21"/>
              </w:rPr>
              <w:t>准许成本加合理收益</w:t>
            </w:r>
          </w:p>
        </w:tc>
        <w:tc>
          <w:tcPr>
            <w:tcW w:w="636" w:type="dxa"/>
            <w:noWrap w:val="0"/>
            <w:vAlign w:val="center"/>
          </w:tcPr>
          <w:p>
            <w:pPr>
              <w:rPr>
                <w:rFonts w:ascii="宋体" w:hAnsi="宋体" w:cs="宋体"/>
                <w:color w:val="000000"/>
                <w:szCs w:val="21"/>
              </w:rPr>
            </w:pPr>
            <w:r>
              <w:rPr>
                <w:rFonts w:hint="eastAsia"/>
                <w:color w:val="00000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2" w:hRule="atLeast"/>
          <w:jc w:val="center"/>
        </w:trPr>
        <w:tc>
          <w:tcPr>
            <w:tcW w:w="557" w:type="dxa"/>
            <w:vMerge w:val="continue"/>
            <w:noWrap w:val="0"/>
            <w:vAlign w:val="top"/>
          </w:tcPr>
          <w:p/>
        </w:tc>
        <w:tc>
          <w:tcPr>
            <w:tcW w:w="1103" w:type="dxa"/>
            <w:vMerge w:val="restart"/>
            <w:noWrap w:val="0"/>
            <w:vAlign w:val="center"/>
          </w:tcPr>
          <w:p>
            <w:r>
              <w:rPr>
                <w:rFonts w:hint="eastAsia"/>
              </w:rPr>
              <w:t>十三、危险废物处置费</w:t>
            </w:r>
          </w:p>
        </w:tc>
        <w:tc>
          <w:tcPr>
            <w:tcW w:w="1098" w:type="dxa"/>
            <w:noWrap w:val="0"/>
            <w:vAlign w:val="center"/>
          </w:tcPr>
          <w:p>
            <w:pPr>
              <w:rPr>
                <w:rFonts w:ascii="宋体" w:hAnsi="宋体" w:cs="宋体"/>
                <w:szCs w:val="21"/>
              </w:rPr>
            </w:pPr>
            <w:r>
              <w:rPr>
                <w:rFonts w:hint="eastAsia"/>
                <w:szCs w:val="21"/>
              </w:rPr>
              <w:t>（一）医疗废物处置费</w:t>
            </w:r>
          </w:p>
        </w:tc>
        <w:tc>
          <w:tcPr>
            <w:tcW w:w="3713" w:type="dxa"/>
            <w:noWrap w:val="0"/>
            <w:vAlign w:val="center"/>
          </w:tcPr>
          <w:p>
            <w:pPr>
              <w:rPr>
                <w:rFonts w:ascii="宋体" w:hAnsi="宋体" w:cs="宋体"/>
                <w:szCs w:val="21"/>
              </w:rPr>
            </w:pPr>
            <w:r>
              <w:rPr>
                <w:rFonts w:hint="eastAsia"/>
                <w:szCs w:val="21"/>
              </w:rPr>
              <w:t>①有固定床位的医疗机构：2.6元/床、日；②无固定床位的医疗机构按所产生的医疗废弃物量定额收取：100至1000元/月；③其他产生医疗废物的单位：3800元/吨。</w:t>
            </w:r>
          </w:p>
        </w:tc>
        <w:tc>
          <w:tcPr>
            <w:tcW w:w="2965" w:type="dxa"/>
            <w:noWrap w:val="0"/>
            <w:vAlign w:val="center"/>
          </w:tcPr>
          <w:p>
            <w:pPr>
              <w:rPr>
                <w:rFonts w:ascii="宋体" w:hAnsi="宋体" w:cs="宋体"/>
                <w:szCs w:val="21"/>
              </w:rPr>
            </w:pPr>
            <w:r>
              <w:rPr>
                <w:rFonts w:hint="eastAsia"/>
                <w:szCs w:val="21"/>
              </w:rPr>
              <w:t>常发改价服〔2019〕242号</w:t>
            </w:r>
          </w:p>
        </w:tc>
        <w:tc>
          <w:tcPr>
            <w:tcW w:w="974" w:type="dxa"/>
            <w:noWrap w:val="0"/>
            <w:vAlign w:val="center"/>
          </w:tcPr>
          <w:p>
            <w:pPr>
              <w:jc w:val="center"/>
              <w:rPr>
                <w:rFonts w:ascii="宋体" w:hAnsi="宋体" w:cs="宋体"/>
                <w:szCs w:val="21"/>
              </w:rPr>
            </w:pPr>
            <w:r>
              <w:rPr>
                <w:rFonts w:hint="eastAsia"/>
                <w:szCs w:val="21"/>
              </w:rPr>
              <w:t>市发展改革委</w:t>
            </w:r>
          </w:p>
        </w:tc>
        <w:tc>
          <w:tcPr>
            <w:tcW w:w="878" w:type="dxa"/>
            <w:noWrap w:val="0"/>
            <w:tcMar>
              <w:left w:w="28" w:type="dxa"/>
              <w:right w:w="28" w:type="dxa"/>
            </w:tcMar>
            <w:vAlign w:val="center"/>
          </w:tcPr>
          <w:p>
            <w:pPr>
              <w:jc w:val="center"/>
              <w:rPr>
                <w:rFonts w:ascii="宋体" w:hAnsi="宋体" w:cs="宋体"/>
                <w:szCs w:val="21"/>
              </w:rPr>
            </w:pPr>
            <w:r>
              <w:rPr>
                <w:rFonts w:hint="eastAsia"/>
                <w:szCs w:val="21"/>
              </w:rPr>
              <w:t>生态环境部门</w:t>
            </w:r>
          </w:p>
        </w:tc>
        <w:tc>
          <w:tcPr>
            <w:tcW w:w="527" w:type="dxa"/>
            <w:noWrap w:val="0"/>
            <w:tcMar>
              <w:left w:w="28" w:type="dxa"/>
              <w:right w:w="28" w:type="dxa"/>
            </w:tcMar>
            <w:vAlign w:val="center"/>
          </w:tcPr>
          <w:p>
            <w:pPr>
              <w:jc w:val="center"/>
              <w:rPr>
                <w:rFonts w:ascii="宋体" w:hAnsi="宋体" w:cs="宋体"/>
                <w:szCs w:val="21"/>
              </w:rPr>
            </w:pPr>
            <w:r>
              <w:rPr>
                <w:rFonts w:hint="eastAsia"/>
                <w:szCs w:val="21"/>
              </w:rPr>
              <w:t>是</w:t>
            </w:r>
          </w:p>
        </w:tc>
        <w:tc>
          <w:tcPr>
            <w:tcW w:w="607" w:type="dxa"/>
            <w:noWrap w:val="0"/>
            <w:tcMar>
              <w:left w:w="28" w:type="dxa"/>
              <w:right w:w="28" w:type="dxa"/>
            </w:tcMar>
            <w:vAlign w:val="center"/>
          </w:tcPr>
          <w:p>
            <w:pPr>
              <w:jc w:val="center"/>
              <w:rPr>
                <w:rFonts w:ascii="宋体" w:hAnsi="宋体" w:cs="宋体"/>
                <w:szCs w:val="21"/>
              </w:rPr>
            </w:pPr>
            <w:r>
              <w:rPr>
                <w:rFonts w:hint="eastAsia"/>
                <w:szCs w:val="21"/>
              </w:rPr>
              <w:t>否</w:t>
            </w:r>
          </w:p>
        </w:tc>
        <w:tc>
          <w:tcPr>
            <w:tcW w:w="593" w:type="dxa"/>
            <w:noWrap w:val="0"/>
            <w:tcMar>
              <w:left w:w="28" w:type="dxa"/>
              <w:right w:w="28" w:type="dxa"/>
            </w:tcMar>
            <w:vAlign w:val="center"/>
          </w:tcPr>
          <w:p>
            <w:pPr>
              <w:jc w:val="center"/>
              <w:rPr>
                <w:rFonts w:ascii="宋体" w:hAnsi="宋体" w:cs="宋体"/>
                <w:szCs w:val="21"/>
              </w:rPr>
            </w:pPr>
            <w:r>
              <w:rPr>
                <w:rFonts w:hint="eastAsia"/>
                <w:szCs w:val="21"/>
              </w:rPr>
              <w:t>否</w:t>
            </w:r>
          </w:p>
        </w:tc>
        <w:tc>
          <w:tcPr>
            <w:tcW w:w="879" w:type="dxa"/>
            <w:noWrap w:val="0"/>
            <w:vAlign w:val="center"/>
          </w:tcPr>
          <w:p>
            <w:pPr>
              <w:rPr>
                <w:rFonts w:ascii="宋体" w:hAnsi="宋体" w:cs="宋体"/>
                <w:szCs w:val="21"/>
              </w:rPr>
            </w:pPr>
            <w:r>
              <w:rPr>
                <w:rFonts w:hint="eastAsia"/>
                <w:szCs w:val="21"/>
              </w:rPr>
              <w:t>准许成本加合理收益</w:t>
            </w:r>
          </w:p>
        </w:tc>
        <w:tc>
          <w:tcPr>
            <w:tcW w:w="636" w:type="dxa"/>
            <w:noWrap w:val="0"/>
            <w:vAlign w:val="center"/>
          </w:tcPr>
          <w:p>
            <w:pPr>
              <w:rPr>
                <w:rFonts w:ascii="宋体" w:hAnsi="宋体" w:cs="宋体"/>
                <w:szCs w:val="21"/>
              </w:rPr>
            </w:pPr>
            <w:r>
              <w:rPr>
                <w:rFonts w:hint="eastAsia"/>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2" w:hRule="atLeast"/>
          <w:jc w:val="center"/>
        </w:trPr>
        <w:tc>
          <w:tcPr>
            <w:tcW w:w="557" w:type="dxa"/>
            <w:vMerge w:val="continue"/>
            <w:noWrap w:val="0"/>
            <w:vAlign w:val="top"/>
          </w:tcPr>
          <w:p/>
        </w:tc>
        <w:tc>
          <w:tcPr>
            <w:tcW w:w="1103" w:type="dxa"/>
            <w:vMerge w:val="continue"/>
            <w:noWrap w:val="0"/>
            <w:vAlign w:val="top"/>
          </w:tcPr>
          <w:p/>
        </w:tc>
        <w:tc>
          <w:tcPr>
            <w:tcW w:w="1098" w:type="dxa"/>
            <w:noWrap w:val="0"/>
            <w:vAlign w:val="center"/>
          </w:tcPr>
          <w:p>
            <w:pPr>
              <w:rPr>
                <w:rFonts w:ascii="宋体" w:hAnsi="宋体" w:cs="宋体"/>
                <w:szCs w:val="21"/>
              </w:rPr>
            </w:pPr>
            <w:r>
              <w:rPr>
                <w:rFonts w:hint="eastAsia"/>
                <w:szCs w:val="21"/>
              </w:rPr>
              <w:t>（二）其他废物处置费</w:t>
            </w:r>
          </w:p>
        </w:tc>
        <w:tc>
          <w:tcPr>
            <w:tcW w:w="3713" w:type="dxa"/>
            <w:noWrap w:val="0"/>
            <w:vAlign w:val="center"/>
          </w:tcPr>
          <w:p>
            <w:pPr>
              <w:rPr>
                <w:rFonts w:ascii="宋体" w:hAnsi="宋体" w:cs="宋体"/>
                <w:szCs w:val="21"/>
              </w:rPr>
            </w:pPr>
            <w:r>
              <w:rPr>
                <w:rFonts w:hint="eastAsia"/>
                <w:szCs w:val="21"/>
              </w:rPr>
              <w:t>高温焚烧处置每公斤3元；固化安全填埋每公斤1.8元；物化处理填埋每公斤2.9元。</w:t>
            </w:r>
          </w:p>
        </w:tc>
        <w:tc>
          <w:tcPr>
            <w:tcW w:w="2965" w:type="dxa"/>
            <w:noWrap w:val="0"/>
            <w:vAlign w:val="center"/>
          </w:tcPr>
          <w:p>
            <w:pPr>
              <w:rPr>
                <w:rFonts w:hint="eastAsia"/>
                <w:szCs w:val="21"/>
              </w:rPr>
            </w:pPr>
            <w:r>
              <w:rPr>
                <w:rFonts w:hint="eastAsia"/>
                <w:szCs w:val="21"/>
              </w:rPr>
              <w:t>湘发改价费〔2018〕658号</w:t>
            </w:r>
          </w:p>
          <w:p>
            <w:pPr>
              <w:rPr>
                <w:rFonts w:hint="eastAsia"/>
                <w:szCs w:val="21"/>
              </w:rPr>
            </w:pPr>
            <w:r>
              <w:rPr>
                <w:rFonts w:hint="eastAsia"/>
                <w:szCs w:val="21"/>
              </w:rPr>
              <w:t>湘发改价费〔2018〕1080号</w:t>
            </w:r>
          </w:p>
          <w:p>
            <w:pPr>
              <w:rPr>
                <w:rFonts w:ascii="宋体" w:hAnsi="宋体" w:cs="宋体"/>
                <w:szCs w:val="21"/>
              </w:rPr>
            </w:pPr>
            <w:r>
              <w:rPr>
                <w:rFonts w:hint="eastAsia"/>
                <w:szCs w:val="21"/>
              </w:rPr>
              <w:t>湘发改价费〔2018〕1081号</w:t>
            </w:r>
          </w:p>
        </w:tc>
        <w:tc>
          <w:tcPr>
            <w:tcW w:w="974" w:type="dxa"/>
            <w:noWrap w:val="0"/>
            <w:vAlign w:val="center"/>
          </w:tcPr>
          <w:p>
            <w:pPr>
              <w:rPr>
                <w:rFonts w:ascii="宋体" w:hAnsi="宋体" w:cs="宋体"/>
                <w:szCs w:val="21"/>
              </w:rPr>
            </w:pPr>
            <w:r>
              <w:rPr>
                <w:rFonts w:hint="eastAsia"/>
                <w:szCs w:val="21"/>
              </w:rPr>
              <w:t>省发展改革委、省生态环境厅</w:t>
            </w:r>
          </w:p>
        </w:tc>
        <w:tc>
          <w:tcPr>
            <w:tcW w:w="878" w:type="dxa"/>
            <w:noWrap w:val="0"/>
            <w:tcMar>
              <w:left w:w="28" w:type="dxa"/>
              <w:right w:w="28" w:type="dxa"/>
            </w:tcMar>
            <w:vAlign w:val="center"/>
          </w:tcPr>
          <w:p>
            <w:pPr>
              <w:jc w:val="center"/>
              <w:rPr>
                <w:rFonts w:ascii="宋体" w:hAnsi="宋体" w:cs="宋体"/>
                <w:szCs w:val="21"/>
              </w:rPr>
            </w:pPr>
            <w:r>
              <w:rPr>
                <w:rFonts w:hint="eastAsia"/>
                <w:szCs w:val="21"/>
              </w:rPr>
              <w:t>生态环境部门</w:t>
            </w:r>
          </w:p>
        </w:tc>
        <w:tc>
          <w:tcPr>
            <w:tcW w:w="527" w:type="dxa"/>
            <w:noWrap w:val="0"/>
            <w:tcMar>
              <w:left w:w="28" w:type="dxa"/>
              <w:right w:w="28" w:type="dxa"/>
            </w:tcMar>
            <w:vAlign w:val="center"/>
          </w:tcPr>
          <w:p>
            <w:pPr>
              <w:jc w:val="center"/>
              <w:rPr>
                <w:rFonts w:ascii="宋体" w:hAnsi="宋体" w:cs="宋体"/>
                <w:szCs w:val="21"/>
              </w:rPr>
            </w:pPr>
            <w:r>
              <w:rPr>
                <w:rFonts w:hint="eastAsia"/>
                <w:szCs w:val="21"/>
              </w:rPr>
              <w:t>是</w:t>
            </w:r>
          </w:p>
        </w:tc>
        <w:tc>
          <w:tcPr>
            <w:tcW w:w="607" w:type="dxa"/>
            <w:noWrap w:val="0"/>
            <w:tcMar>
              <w:left w:w="28" w:type="dxa"/>
              <w:right w:w="28" w:type="dxa"/>
            </w:tcMar>
            <w:vAlign w:val="center"/>
          </w:tcPr>
          <w:p>
            <w:pPr>
              <w:jc w:val="center"/>
              <w:rPr>
                <w:rFonts w:ascii="宋体" w:hAnsi="宋体" w:cs="宋体"/>
                <w:szCs w:val="21"/>
              </w:rPr>
            </w:pPr>
            <w:r>
              <w:rPr>
                <w:rFonts w:hint="eastAsia"/>
                <w:szCs w:val="21"/>
              </w:rPr>
              <w:t>否</w:t>
            </w:r>
          </w:p>
        </w:tc>
        <w:tc>
          <w:tcPr>
            <w:tcW w:w="593" w:type="dxa"/>
            <w:noWrap w:val="0"/>
            <w:tcMar>
              <w:left w:w="28" w:type="dxa"/>
              <w:right w:w="28" w:type="dxa"/>
            </w:tcMar>
            <w:vAlign w:val="center"/>
          </w:tcPr>
          <w:p>
            <w:pPr>
              <w:jc w:val="center"/>
              <w:rPr>
                <w:rFonts w:ascii="宋体" w:hAnsi="宋体" w:cs="宋体"/>
                <w:szCs w:val="21"/>
              </w:rPr>
            </w:pPr>
            <w:r>
              <w:rPr>
                <w:rFonts w:hint="eastAsia"/>
                <w:szCs w:val="21"/>
              </w:rPr>
              <w:t>否</w:t>
            </w:r>
          </w:p>
        </w:tc>
        <w:tc>
          <w:tcPr>
            <w:tcW w:w="879" w:type="dxa"/>
            <w:noWrap w:val="0"/>
            <w:vAlign w:val="center"/>
          </w:tcPr>
          <w:p>
            <w:pPr>
              <w:rPr>
                <w:rFonts w:ascii="宋体" w:hAnsi="宋体" w:cs="宋体"/>
                <w:szCs w:val="21"/>
              </w:rPr>
            </w:pPr>
            <w:r>
              <w:rPr>
                <w:rFonts w:hint="eastAsia"/>
                <w:szCs w:val="21"/>
              </w:rPr>
              <w:t>准许成本加合理收益</w:t>
            </w:r>
          </w:p>
        </w:tc>
        <w:tc>
          <w:tcPr>
            <w:tcW w:w="636" w:type="dxa"/>
            <w:noWrap w:val="0"/>
            <w:vAlign w:val="center"/>
          </w:tcPr>
          <w:p>
            <w:pPr>
              <w:rPr>
                <w:rFonts w:ascii="宋体" w:hAnsi="宋体" w:cs="宋体"/>
                <w:szCs w:val="21"/>
              </w:rPr>
            </w:pPr>
            <w:r>
              <w:rPr>
                <w:rFonts w:hint="eastAsia"/>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7" w:hRule="atLeast"/>
          <w:jc w:val="center"/>
        </w:trPr>
        <w:tc>
          <w:tcPr>
            <w:tcW w:w="557" w:type="dxa"/>
            <w:noWrap w:val="0"/>
            <w:vAlign w:val="center"/>
          </w:tcPr>
          <w:p>
            <w:pPr>
              <w:jc w:val="center"/>
            </w:pPr>
            <w:r>
              <w:rPr>
                <w:rFonts w:hint="eastAsia"/>
              </w:rPr>
              <w:t>其他特定服务收费</w:t>
            </w:r>
          </w:p>
        </w:tc>
        <w:tc>
          <w:tcPr>
            <w:tcW w:w="1103" w:type="dxa"/>
            <w:noWrap w:val="0"/>
            <w:vAlign w:val="center"/>
          </w:tcPr>
          <w:p>
            <w:pPr>
              <w:rPr>
                <w:rFonts w:ascii="宋体" w:hAnsi="宋体" w:cs="宋体"/>
                <w:szCs w:val="21"/>
              </w:rPr>
            </w:pPr>
            <w:r>
              <w:rPr>
                <w:rFonts w:hint="eastAsia"/>
                <w:szCs w:val="21"/>
              </w:rPr>
              <w:t>十四、电动汽车充换电服务收费</w:t>
            </w:r>
          </w:p>
        </w:tc>
        <w:tc>
          <w:tcPr>
            <w:tcW w:w="1098" w:type="dxa"/>
            <w:noWrap w:val="0"/>
            <w:vAlign w:val="center"/>
          </w:tcPr>
          <w:p>
            <w:pPr>
              <w:rPr>
                <w:rFonts w:ascii="宋体" w:hAnsi="宋体" w:cs="宋体"/>
                <w:szCs w:val="21"/>
              </w:rPr>
            </w:pPr>
            <w:r>
              <w:rPr>
                <w:rFonts w:hint="eastAsia"/>
                <w:szCs w:val="21"/>
              </w:rPr>
              <w:t>　</w:t>
            </w:r>
          </w:p>
        </w:tc>
        <w:tc>
          <w:tcPr>
            <w:tcW w:w="3713" w:type="dxa"/>
            <w:noWrap w:val="0"/>
            <w:vAlign w:val="center"/>
          </w:tcPr>
          <w:p>
            <w:pPr>
              <w:rPr>
                <w:rFonts w:ascii="宋体" w:hAnsi="宋体" w:cs="宋体"/>
                <w:szCs w:val="21"/>
              </w:rPr>
            </w:pPr>
            <w:r>
              <w:rPr>
                <w:rFonts w:hint="eastAsia"/>
                <w:szCs w:val="21"/>
              </w:rPr>
              <w:t>每千瓦时不超过0.7元。</w:t>
            </w:r>
          </w:p>
        </w:tc>
        <w:tc>
          <w:tcPr>
            <w:tcW w:w="2965" w:type="dxa"/>
            <w:noWrap w:val="0"/>
            <w:vAlign w:val="center"/>
          </w:tcPr>
          <w:p>
            <w:pPr>
              <w:rPr>
                <w:rFonts w:hint="eastAsia"/>
                <w:szCs w:val="21"/>
              </w:rPr>
            </w:pPr>
            <w:r>
              <w:rPr>
                <w:rFonts w:hint="eastAsia"/>
                <w:szCs w:val="21"/>
              </w:rPr>
              <w:t>常发改函〔2018〕2号</w:t>
            </w:r>
          </w:p>
          <w:p>
            <w:pPr>
              <w:rPr>
                <w:rFonts w:hint="eastAsia"/>
                <w:szCs w:val="21"/>
              </w:rPr>
            </w:pPr>
            <w:r>
              <w:rPr>
                <w:rFonts w:hint="eastAsia"/>
                <w:szCs w:val="21"/>
              </w:rPr>
              <w:t>常发改函〔2019〕9号</w:t>
            </w:r>
          </w:p>
          <w:p>
            <w:pPr>
              <w:rPr>
                <w:rFonts w:ascii="宋体" w:hAnsi="宋体" w:cs="宋体"/>
                <w:szCs w:val="21"/>
              </w:rPr>
            </w:pPr>
            <w:r>
              <w:rPr>
                <w:rFonts w:hint="eastAsia"/>
                <w:szCs w:val="21"/>
              </w:rPr>
              <w:t>常发改函〔2021〕3号</w:t>
            </w:r>
          </w:p>
        </w:tc>
        <w:tc>
          <w:tcPr>
            <w:tcW w:w="974" w:type="dxa"/>
            <w:noWrap w:val="0"/>
            <w:vAlign w:val="center"/>
          </w:tcPr>
          <w:p>
            <w:pPr>
              <w:jc w:val="center"/>
              <w:rPr>
                <w:rFonts w:ascii="宋体" w:hAnsi="宋体" w:cs="宋体"/>
                <w:szCs w:val="21"/>
              </w:rPr>
            </w:pPr>
            <w:r>
              <w:rPr>
                <w:rFonts w:hint="eastAsia"/>
                <w:szCs w:val="21"/>
              </w:rPr>
              <w:t>市发展改革委</w:t>
            </w:r>
          </w:p>
        </w:tc>
        <w:tc>
          <w:tcPr>
            <w:tcW w:w="878" w:type="dxa"/>
            <w:noWrap w:val="0"/>
            <w:tcMar>
              <w:left w:w="28" w:type="dxa"/>
              <w:right w:w="28" w:type="dxa"/>
            </w:tcMar>
            <w:vAlign w:val="center"/>
          </w:tcPr>
          <w:p>
            <w:pPr>
              <w:jc w:val="center"/>
              <w:rPr>
                <w:rFonts w:ascii="宋体" w:hAnsi="宋体" w:cs="宋体"/>
                <w:szCs w:val="21"/>
              </w:rPr>
            </w:pPr>
            <w:r>
              <w:rPr>
                <w:rFonts w:hint="eastAsia"/>
                <w:szCs w:val="21"/>
              </w:rPr>
              <w:t>发展改革部门</w:t>
            </w:r>
          </w:p>
        </w:tc>
        <w:tc>
          <w:tcPr>
            <w:tcW w:w="527" w:type="dxa"/>
            <w:noWrap w:val="0"/>
            <w:tcMar>
              <w:left w:w="28" w:type="dxa"/>
              <w:right w:w="28" w:type="dxa"/>
            </w:tcMar>
            <w:vAlign w:val="center"/>
          </w:tcPr>
          <w:p>
            <w:pPr>
              <w:jc w:val="center"/>
              <w:rPr>
                <w:rFonts w:ascii="宋体" w:hAnsi="宋体" w:cs="宋体"/>
                <w:szCs w:val="21"/>
              </w:rPr>
            </w:pPr>
            <w:r>
              <w:rPr>
                <w:rFonts w:hint="eastAsia"/>
                <w:szCs w:val="21"/>
              </w:rPr>
              <w:t>是</w:t>
            </w:r>
          </w:p>
        </w:tc>
        <w:tc>
          <w:tcPr>
            <w:tcW w:w="607" w:type="dxa"/>
            <w:noWrap w:val="0"/>
            <w:tcMar>
              <w:left w:w="28" w:type="dxa"/>
              <w:right w:w="28" w:type="dxa"/>
            </w:tcMar>
            <w:vAlign w:val="center"/>
          </w:tcPr>
          <w:p>
            <w:pPr>
              <w:jc w:val="center"/>
              <w:rPr>
                <w:rFonts w:ascii="宋体" w:hAnsi="宋体" w:cs="宋体"/>
                <w:szCs w:val="21"/>
              </w:rPr>
            </w:pPr>
            <w:r>
              <w:rPr>
                <w:rFonts w:hint="eastAsia"/>
                <w:szCs w:val="21"/>
              </w:rPr>
              <w:t>否</w:t>
            </w:r>
          </w:p>
        </w:tc>
        <w:tc>
          <w:tcPr>
            <w:tcW w:w="593" w:type="dxa"/>
            <w:noWrap w:val="0"/>
            <w:tcMar>
              <w:left w:w="28" w:type="dxa"/>
              <w:right w:w="28" w:type="dxa"/>
            </w:tcMar>
            <w:vAlign w:val="center"/>
          </w:tcPr>
          <w:p>
            <w:pPr>
              <w:jc w:val="center"/>
              <w:rPr>
                <w:rFonts w:ascii="宋体" w:hAnsi="宋体" w:cs="宋体"/>
                <w:szCs w:val="21"/>
              </w:rPr>
            </w:pPr>
            <w:r>
              <w:rPr>
                <w:rFonts w:hint="eastAsia"/>
                <w:szCs w:val="21"/>
              </w:rPr>
              <w:t>否</w:t>
            </w:r>
          </w:p>
        </w:tc>
        <w:tc>
          <w:tcPr>
            <w:tcW w:w="879" w:type="dxa"/>
            <w:noWrap w:val="0"/>
            <w:vAlign w:val="center"/>
          </w:tcPr>
          <w:p>
            <w:pPr>
              <w:rPr>
                <w:rFonts w:ascii="宋体" w:hAnsi="宋体" w:cs="宋体"/>
                <w:szCs w:val="21"/>
              </w:rPr>
            </w:pPr>
            <w:r>
              <w:rPr>
                <w:rFonts w:hint="eastAsia"/>
                <w:szCs w:val="21"/>
              </w:rPr>
              <w:t>准许成本加合理收益</w:t>
            </w:r>
          </w:p>
        </w:tc>
        <w:tc>
          <w:tcPr>
            <w:tcW w:w="636" w:type="dxa"/>
            <w:noWrap w:val="0"/>
            <w:vAlign w:val="center"/>
          </w:tcPr>
          <w:p>
            <w:pPr>
              <w:rPr>
                <w:rFonts w:ascii="宋体" w:hAnsi="宋体" w:cs="宋体"/>
                <w:szCs w:val="21"/>
              </w:rPr>
            </w:pPr>
            <w:r>
              <w:rPr>
                <w:rFonts w:hint="eastAsia"/>
                <w:szCs w:val="21"/>
              </w:rPr>
              <w:t>　</w:t>
            </w:r>
          </w:p>
        </w:tc>
      </w:tr>
    </w:tbl>
    <w:p>
      <w:pPr>
        <w:spacing w:line="420" w:lineRule="exact"/>
        <w:ind w:firstLine="420" w:firstLineChars="200"/>
        <w:rPr>
          <w:rFonts w:hint="eastAsia" w:ascii="宋体" w:hAnsi="宋体"/>
          <w:szCs w:val="21"/>
        </w:rPr>
      </w:pPr>
      <w:r>
        <w:rPr>
          <w:rFonts w:hint="eastAsia" w:ascii="宋体" w:hAnsi="宋体"/>
          <w:szCs w:val="21"/>
        </w:rPr>
        <w:t>说明：</w:t>
      </w:r>
    </w:p>
    <w:p>
      <w:pPr>
        <w:spacing w:line="420" w:lineRule="exact"/>
        <w:ind w:firstLine="420" w:firstLineChars="200"/>
        <w:rPr>
          <w:rFonts w:hint="eastAsia" w:ascii="宋体" w:hAnsi="宋体"/>
          <w:szCs w:val="21"/>
        </w:rPr>
      </w:pPr>
      <w:r>
        <w:rPr>
          <w:rFonts w:hint="eastAsia" w:ascii="宋体" w:hAnsi="宋体"/>
          <w:szCs w:val="21"/>
        </w:rPr>
        <w:t xml:space="preserve">    1.政府定价的经营服务性收费目录清单根据收费政策的变化实行动态调整；</w:t>
      </w:r>
    </w:p>
    <w:p>
      <w:pPr>
        <w:spacing w:line="420" w:lineRule="exact"/>
        <w:rPr>
          <w:rFonts w:hint="eastAsia" w:ascii="宋体" w:hAnsi="宋体"/>
          <w:szCs w:val="21"/>
        </w:rPr>
      </w:pPr>
      <w:r>
        <w:rPr>
          <w:rFonts w:hint="eastAsia" w:ascii="宋体" w:hAnsi="宋体"/>
          <w:szCs w:val="21"/>
        </w:rPr>
        <w:t xml:space="preserve">        2.本目录清单限于政府定价的经营服务性收费项目；</w:t>
      </w:r>
    </w:p>
    <w:p>
      <w:pPr>
        <w:spacing w:line="420" w:lineRule="exact"/>
        <w:ind w:firstLine="420" w:firstLineChars="200"/>
        <w:rPr>
          <w:rFonts w:ascii="宋体" w:hAnsi="宋体"/>
          <w:szCs w:val="21"/>
        </w:rPr>
      </w:pPr>
      <w:r>
        <w:rPr>
          <w:rFonts w:hint="eastAsia" w:ascii="宋体" w:hAnsi="宋体"/>
          <w:szCs w:val="21"/>
        </w:rPr>
        <w:t xml:space="preserve">    3.上述政府定价经营服务性收费项目和标准，更新时间截止到2021年1</w:t>
      </w:r>
      <w:r>
        <w:rPr>
          <w:rFonts w:hint="eastAsia" w:ascii="宋体" w:hAnsi="宋体"/>
          <w:szCs w:val="21"/>
          <w:lang w:val="en-US" w:eastAsia="zh-CN"/>
        </w:rPr>
        <w:t>2</w:t>
      </w:r>
      <w:r>
        <w:rPr>
          <w:rFonts w:hint="eastAsia" w:ascii="宋体" w:hAnsi="宋体"/>
          <w:szCs w:val="21"/>
        </w:rPr>
        <w:t>月底。</w:t>
      </w:r>
    </w:p>
    <w:p>
      <w:pPr>
        <w:spacing w:line="600" w:lineRule="exact"/>
        <w:ind w:firstLine="640" w:firstLineChars="200"/>
        <w:rPr>
          <w:rFonts w:eastAsia="仿宋"/>
          <w:sz w:val="32"/>
          <w:szCs w:val="32"/>
        </w:rPr>
      </w:pPr>
    </w:p>
    <w:p>
      <w:pPr>
        <w:keepNext w:val="0"/>
        <w:keepLines w:val="0"/>
        <w:pageBreakBefore w:val="0"/>
        <w:widowControl w:val="0"/>
        <w:kinsoku/>
        <w:wordWrap/>
        <w:overflowPunct/>
        <w:topLinePunct w:val="0"/>
        <w:autoSpaceDE/>
        <w:autoSpaceDN/>
        <w:bidi w:val="0"/>
        <w:adjustRightInd/>
        <w:snapToGrid/>
        <w:spacing w:line="600" w:lineRule="auto"/>
        <w:ind w:right="0" w:firstLine="320" w:firstLineChars="100"/>
        <w:textAlignment w:val="auto"/>
        <w:rPr>
          <w:rFonts w:hint="default" w:ascii="Times New Roman" w:hAnsi="Times New Roman" w:eastAsia="仿宋_GB2312" w:cs="Times New Roman"/>
          <w:sz w:val="32"/>
          <w:szCs w:val="32"/>
        </w:rPr>
      </w:pPr>
    </w:p>
    <w:p/>
    <w:sectPr>
      <w:headerReference r:id="rId3" w:type="default"/>
      <w:footerReference r:id="rId4" w:type="default"/>
      <w:pgSz w:w="16838" w:h="11906" w:orient="landscape"/>
      <w:pgMar w:top="1519" w:right="1440" w:bottom="1519"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altName w:val="黑体"/>
    <w:panose1 w:val="02000000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黑体简体">
    <w:altName w:val="微软雅黑"/>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1835F7"/>
    <w:rsid w:val="481835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2021-12-09T07:55:00Z</dcterms:created>
  <dc:creator>珍惜</dc:creator>
  <cp:lastModifiedBy>珍惜</cp:lastModifiedBy>
  <dcterms:modified xsi:type="dcterms:W3CDTF">2021-12-09T07:57:07Z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70C27FBA0FAE49658550042E71CBD41F</vt:lpwstr>
  </property>
</Properties>
</file>