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
          <w:bCs/>
          <w:sz w:val="52"/>
          <w:szCs w:val="52"/>
        </w:rPr>
      </w:pPr>
    </w:p>
    <w:p>
      <w:pPr>
        <w:jc w:val="center"/>
        <w:rPr>
          <w:rFonts w:asciiTheme="majorEastAsia" w:hAnsiTheme="majorEastAsia" w:eastAsiaTheme="majorEastAsia" w:cstheme="majorEastAsia"/>
          <w:b/>
          <w:bCs/>
          <w:sz w:val="52"/>
          <w:szCs w:val="52"/>
        </w:rPr>
      </w:pPr>
      <w:r>
        <w:rPr>
          <w:rFonts w:hint="eastAsia" w:asciiTheme="majorEastAsia" w:hAnsiTheme="majorEastAsia" w:eastAsiaTheme="majorEastAsia" w:cstheme="majorEastAsia"/>
          <w:b/>
          <w:bCs/>
          <w:sz w:val="52"/>
          <w:szCs w:val="52"/>
        </w:rPr>
        <w:t>桃源县农村生活污水治理专项规划</w:t>
      </w:r>
    </w:p>
    <w:p>
      <w:pPr>
        <w:jc w:val="center"/>
        <w:rPr>
          <w:rFonts w:asciiTheme="majorEastAsia" w:hAnsiTheme="majorEastAsia" w:eastAsiaTheme="majorEastAsia" w:cstheme="majorEastAsia"/>
          <w:b/>
          <w:bCs/>
          <w:sz w:val="52"/>
          <w:szCs w:val="52"/>
        </w:rPr>
      </w:pPr>
      <w:r>
        <w:rPr>
          <w:rFonts w:hint="eastAsia" w:asciiTheme="majorEastAsia" w:hAnsiTheme="majorEastAsia" w:eastAsiaTheme="majorEastAsia" w:cstheme="majorEastAsia"/>
          <w:b/>
          <w:bCs/>
          <w:sz w:val="52"/>
          <w:szCs w:val="52"/>
        </w:rPr>
        <w:t>（2020-2030）</w:t>
      </w:r>
    </w:p>
    <w:p>
      <w:pPr>
        <w:jc w:val="center"/>
        <w:rPr>
          <w:rFonts w:asciiTheme="majorEastAsia" w:hAnsiTheme="majorEastAsia" w:eastAsiaTheme="majorEastAsia" w:cstheme="majorEastAsia"/>
          <w:b/>
          <w:bCs/>
          <w:sz w:val="44"/>
          <w:szCs w:val="44"/>
        </w:rPr>
      </w:pPr>
    </w:p>
    <w:p>
      <w:pPr>
        <w:jc w:val="center"/>
        <w:rPr>
          <w:rFonts w:asciiTheme="majorEastAsia" w:hAnsiTheme="majorEastAsia" w:eastAsiaTheme="majorEastAsia" w:cstheme="majorEastAsia"/>
          <w:b/>
          <w:bCs/>
          <w:sz w:val="44"/>
          <w:szCs w:val="44"/>
        </w:rPr>
      </w:pPr>
    </w:p>
    <w:p>
      <w:pPr>
        <w:jc w:val="center"/>
        <w:rPr>
          <w:rFonts w:asciiTheme="majorEastAsia" w:hAnsiTheme="majorEastAsia" w:eastAsiaTheme="majorEastAsia" w:cstheme="majorEastAsia"/>
          <w:b/>
          <w:bCs/>
          <w:sz w:val="44"/>
          <w:szCs w:val="44"/>
        </w:rPr>
      </w:pPr>
      <w:bookmarkStart w:id="0" w:name="_GoBack"/>
      <w:bookmarkEnd w:id="0"/>
    </w:p>
    <w:p>
      <w:pPr>
        <w:jc w:val="center"/>
        <w:rPr>
          <w:rFonts w:asciiTheme="majorEastAsia" w:hAnsiTheme="majorEastAsia" w:eastAsiaTheme="majorEastAsia" w:cstheme="majorEastAsia"/>
          <w:b/>
          <w:bCs/>
          <w:sz w:val="44"/>
          <w:szCs w:val="44"/>
        </w:rPr>
      </w:pPr>
    </w:p>
    <w:p>
      <w:pPr>
        <w:jc w:val="center"/>
        <w:rPr>
          <w:rFonts w:asciiTheme="majorEastAsia" w:hAnsiTheme="majorEastAsia" w:eastAsiaTheme="majorEastAsia" w:cstheme="majorEastAsia"/>
          <w:b/>
          <w:bCs/>
          <w:sz w:val="44"/>
          <w:szCs w:val="44"/>
        </w:rPr>
      </w:pPr>
    </w:p>
    <w:p>
      <w:pPr>
        <w:jc w:val="center"/>
        <w:rPr>
          <w:rFonts w:asciiTheme="majorEastAsia" w:hAnsiTheme="majorEastAsia" w:eastAsiaTheme="majorEastAsia" w:cstheme="majorEastAsia"/>
          <w:b/>
          <w:bCs/>
          <w:sz w:val="44"/>
          <w:szCs w:val="44"/>
        </w:rPr>
      </w:pPr>
    </w:p>
    <w:p>
      <w:pPr>
        <w:jc w:val="center"/>
        <w:rPr>
          <w:rFonts w:asciiTheme="majorEastAsia" w:hAnsiTheme="majorEastAsia" w:eastAsiaTheme="majorEastAsia" w:cstheme="majorEastAsia"/>
          <w:b/>
          <w:bCs/>
          <w:sz w:val="44"/>
          <w:szCs w:val="44"/>
        </w:rPr>
      </w:pPr>
    </w:p>
    <w:p>
      <w:pPr>
        <w:jc w:val="center"/>
        <w:rPr>
          <w:rFonts w:asciiTheme="majorEastAsia" w:hAnsiTheme="majorEastAsia" w:eastAsiaTheme="majorEastAsia" w:cstheme="majorEastAsia"/>
          <w:b/>
          <w:bCs/>
          <w:sz w:val="44"/>
          <w:szCs w:val="44"/>
        </w:rPr>
      </w:pPr>
    </w:p>
    <w:p>
      <w:pPr>
        <w:jc w:val="center"/>
        <w:rPr>
          <w:rFonts w:asciiTheme="majorEastAsia" w:hAnsiTheme="majorEastAsia" w:eastAsiaTheme="majorEastAsia" w:cstheme="majorEastAsia"/>
          <w:b/>
          <w:bCs/>
          <w:sz w:val="44"/>
          <w:szCs w:val="44"/>
        </w:rPr>
      </w:pPr>
    </w:p>
    <w:p>
      <w:pPr>
        <w:jc w:val="center"/>
        <w:rPr>
          <w:rFonts w:asciiTheme="majorEastAsia" w:hAnsiTheme="majorEastAsia" w:eastAsiaTheme="majorEastAsia" w:cstheme="majorEastAsia"/>
          <w:b/>
          <w:bCs/>
          <w:sz w:val="44"/>
          <w:szCs w:val="44"/>
        </w:rPr>
      </w:pPr>
    </w:p>
    <w:p>
      <w:pPr>
        <w:jc w:val="center"/>
        <w:rPr>
          <w:rFonts w:asciiTheme="majorEastAsia" w:hAnsiTheme="majorEastAsia" w:eastAsiaTheme="majorEastAsia" w:cstheme="majorEastAsia"/>
          <w:b/>
          <w:bCs/>
          <w:sz w:val="44"/>
          <w:szCs w:val="44"/>
        </w:rPr>
      </w:pPr>
    </w:p>
    <w:p>
      <w:pPr>
        <w:jc w:val="center"/>
        <w:rPr>
          <w:rFonts w:asciiTheme="majorEastAsia" w:hAnsiTheme="majorEastAsia" w:eastAsiaTheme="majorEastAsia" w:cstheme="majorEastAsia"/>
          <w:b/>
          <w:bCs/>
          <w:sz w:val="44"/>
          <w:szCs w:val="44"/>
        </w:rPr>
      </w:pPr>
    </w:p>
    <w:p>
      <w:pPr>
        <w:jc w:val="center"/>
        <w:rPr>
          <w:rFonts w:asciiTheme="majorEastAsia" w:hAnsiTheme="majorEastAsia" w:eastAsiaTheme="majorEastAsia" w:cstheme="majorEastAsia"/>
          <w:b/>
          <w:bCs/>
          <w:sz w:val="44"/>
          <w:szCs w:val="44"/>
        </w:rPr>
      </w:pPr>
    </w:p>
    <w:p>
      <w:pPr>
        <w:jc w:val="center"/>
        <w:rPr>
          <w:rFonts w:asciiTheme="majorEastAsia" w:hAnsiTheme="majorEastAsia" w:eastAsiaTheme="majorEastAsia" w:cstheme="majorEastAsia"/>
          <w:b/>
          <w:bCs/>
          <w:sz w:val="44"/>
          <w:szCs w:val="44"/>
        </w:rPr>
      </w:pPr>
    </w:p>
    <w:p>
      <w:pPr>
        <w:jc w:val="center"/>
        <w:rPr>
          <w:rFonts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桃源县人民政府</w:t>
      </w:r>
    </w:p>
    <w:p>
      <w:pPr>
        <w:jc w:val="center"/>
        <w:rPr>
          <w:rFonts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二○二○年八月</w:t>
      </w:r>
    </w:p>
    <w:p>
      <w:pPr>
        <w:jc w:val="center"/>
        <w:rPr>
          <w:rFonts w:asciiTheme="majorEastAsia" w:hAnsiTheme="majorEastAsia" w:eastAsiaTheme="majorEastAsia" w:cstheme="majorEastAsia"/>
          <w:b/>
          <w:bCs/>
          <w:sz w:val="44"/>
          <w:szCs w:val="44"/>
        </w:rPr>
      </w:pPr>
    </w:p>
    <w:p>
      <w:pPr>
        <w:jc w:val="center"/>
        <w:rPr>
          <w:rFonts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目   录</w:t>
      </w:r>
    </w:p>
    <w:p>
      <w:pPr>
        <w:rPr>
          <w:rFonts w:asciiTheme="majorEastAsia" w:hAnsiTheme="majorEastAsia" w:eastAsiaTheme="majorEastAsia" w:cstheme="majorEastAsia"/>
          <w:sz w:val="32"/>
          <w:szCs w:val="32"/>
        </w:rPr>
      </w:pPr>
    </w:p>
    <w:p>
      <w:pPr>
        <w:spacing w:line="540" w:lineRule="exact"/>
        <w:jc w:val="distribute"/>
        <w:rPr>
          <w:rFonts w:ascii="黑体" w:hAnsi="黑体" w:eastAsia="黑体" w:cs="黑体"/>
          <w:b/>
          <w:bCs/>
          <w:sz w:val="28"/>
          <w:szCs w:val="28"/>
        </w:rPr>
      </w:pPr>
      <w:r>
        <w:rPr>
          <w:rFonts w:hint="eastAsia" w:ascii="黑体" w:hAnsi="黑体" w:eastAsia="黑体" w:cs="黑体"/>
          <w:b/>
          <w:bCs/>
          <w:sz w:val="28"/>
          <w:szCs w:val="28"/>
        </w:rPr>
        <w:t>第1章 总则………………………………………………………………………1</w:t>
      </w:r>
    </w:p>
    <w:p>
      <w:pPr>
        <w:spacing w:line="540" w:lineRule="exact"/>
        <w:ind w:firstLine="560" w:firstLineChars="200"/>
        <w:jc w:val="distribute"/>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1.1 规划背景………………………………………………………………1</w:t>
      </w:r>
    </w:p>
    <w:p>
      <w:pPr>
        <w:spacing w:line="540" w:lineRule="exact"/>
        <w:ind w:firstLine="560" w:firstLineChars="200"/>
        <w:jc w:val="distribute"/>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1.2 编制依据………………………………………………………………1</w:t>
      </w:r>
    </w:p>
    <w:p>
      <w:pPr>
        <w:spacing w:line="540" w:lineRule="exact"/>
        <w:ind w:firstLine="560" w:firstLineChars="200"/>
        <w:jc w:val="distribute"/>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1.3 规划原则………………………………………………………………5</w:t>
      </w:r>
    </w:p>
    <w:p>
      <w:pPr>
        <w:spacing w:line="540" w:lineRule="exact"/>
        <w:ind w:firstLine="560" w:firstLineChars="200"/>
        <w:jc w:val="distribute"/>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1.4 规划范围………………………………………………………………6</w:t>
      </w:r>
    </w:p>
    <w:p>
      <w:pPr>
        <w:spacing w:line="540" w:lineRule="exact"/>
        <w:ind w:firstLine="560" w:firstLineChars="200"/>
        <w:jc w:val="distribute"/>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1.5 规划期限………………………………………………………………6</w:t>
      </w:r>
    </w:p>
    <w:p>
      <w:pPr>
        <w:spacing w:line="540" w:lineRule="exact"/>
        <w:ind w:firstLine="560" w:firstLineChars="200"/>
        <w:jc w:val="distribute"/>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1.6 规划目标………………………………………………………………6</w:t>
      </w:r>
    </w:p>
    <w:p>
      <w:pPr>
        <w:spacing w:line="540" w:lineRule="exact"/>
        <w:jc w:val="distribute"/>
        <w:rPr>
          <w:rFonts w:ascii="黑体" w:hAnsi="黑体" w:eastAsia="黑体" w:cs="黑体"/>
          <w:b/>
          <w:bCs/>
          <w:sz w:val="28"/>
          <w:szCs w:val="28"/>
        </w:rPr>
      </w:pPr>
      <w:r>
        <w:rPr>
          <w:rFonts w:hint="eastAsia" w:ascii="黑体" w:hAnsi="黑体" w:eastAsia="黑体" w:cs="黑体"/>
          <w:b/>
          <w:bCs/>
          <w:sz w:val="28"/>
          <w:szCs w:val="28"/>
        </w:rPr>
        <w:t>第2章 区域概况………………………………………………………………7</w:t>
      </w:r>
    </w:p>
    <w:p>
      <w:pPr>
        <w:spacing w:line="540" w:lineRule="exact"/>
        <w:ind w:firstLine="560" w:firstLineChars="200"/>
        <w:jc w:val="distribute"/>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2.1 地理位置………………………………………………………………7</w:t>
      </w:r>
    </w:p>
    <w:p>
      <w:pPr>
        <w:spacing w:line="540" w:lineRule="exact"/>
        <w:ind w:firstLine="560" w:firstLineChars="200"/>
        <w:jc w:val="distribute"/>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2.2 自然气候条件…………………………………………………………8</w:t>
      </w:r>
    </w:p>
    <w:p>
      <w:pPr>
        <w:spacing w:line="540" w:lineRule="exact"/>
        <w:ind w:firstLine="560" w:firstLineChars="200"/>
        <w:jc w:val="distribute"/>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2.3 社会经济状况………………………………………………………10</w:t>
      </w:r>
    </w:p>
    <w:p>
      <w:pPr>
        <w:spacing w:line="540" w:lineRule="exact"/>
        <w:ind w:firstLine="560" w:firstLineChars="200"/>
        <w:jc w:val="distribute"/>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2.4 生态环境保护状况…………………………………………………16</w:t>
      </w:r>
    </w:p>
    <w:p>
      <w:pPr>
        <w:spacing w:line="540" w:lineRule="exact"/>
        <w:jc w:val="distribute"/>
        <w:rPr>
          <w:rFonts w:ascii="黑体" w:hAnsi="黑体" w:eastAsia="黑体" w:cs="黑体"/>
          <w:b/>
          <w:bCs/>
          <w:sz w:val="28"/>
          <w:szCs w:val="28"/>
        </w:rPr>
      </w:pPr>
      <w:r>
        <w:rPr>
          <w:rFonts w:hint="eastAsia" w:ascii="黑体" w:hAnsi="黑体" w:eastAsia="黑体" w:cs="黑体"/>
          <w:b/>
          <w:bCs/>
          <w:sz w:val="28"/>
          <w:szCs w:val="28"/>
        </w:rPr>
        <w:t>第3章 污染源分析……………………………………………………………19</w:t>
      </w:r>
    </w:p>
    <w:p>
      <w:pPr>
        <w:spacing w:line="540" w:lineRule="exact"/>
        <w:ind w:firstLine="560" w:firstLineChars="200"/>
        <w:jc w:val="distribute"/>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3.1 用水情况……………………………………………………………19</w:t>
      </w:r>
    </w:p>
    <w:p>
      <w:pPr>
        <w:spacing w:line="540" w:lineRule="exact"/>
        <w:ind w:firstLine="560" w:firstLineChars="200"/>
        <w:jc w:val="distribute"/>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3.2 排水情况……………………………………………………………19</w:t>
      </w:r>
    </w:p>
    <w:p>
      <w:pPr>
        <w:spacing w:line="540" w:lineRule="exact"/>
        <w:ind w:firstLine="560" w:firstLineChars="200"/>
        <w:jc w:val="distribute"/>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3.3 农户改厕普及情况…………………………………………………19</w:t>
      </w:r>
    </w:p>
    <w:p>
      <w:pPr>
        <w:spacing w:line="540" w:lineRule="exact"/>
        <w:ind w:firstLine="560" w:firstLineChars="200"/>
        <w:jc w:val="distribute"/>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3.4 农村生活污水处理设施建设和运行现状…………………………20</w:t>
      </w:r>
    </w:p>
    <w:p>
      <w:pPr>
        <w:spacing w:line="540" w:lineRule="exact"/>
        <w:ind w:firstLine="560" w:firstLineChars="200"/>
        <w:jc w:val="distribute"/>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3.5 污染负荷量预测……………………………………………………21</w:t>
      </w:r>
    </w:p>
    <w:p>
      <w:pPr>
        <w:spacing w:line="540" w:lineRule="exact"/>
        <w:jc w:val="distribute"/>
        <w:rPr>
          <w:rFonts w:ascii="黑体" w:hAnsi="黑体" w:eastAsia="黑体" w:cs="黑体"/>
          <w:b/>
          <w:bCs/>
          <w:sz w:val="28"/>
          <w:szCs w:val="28"/>
        </w:rPr>
      </w:pPr>
      <w:r>
        <w:rPr>
          <w:rFonts w:hint="eastAsia" w:ascii="黑体" w:hAnsi="黑体" w:eastAsia="黑体" w:cs="黑体"/>
          <w:b/>
          <w:bCs/>
          <w:sz w:val="28"/>
          <w:szCs w:val="28"/>
        </w:rPr>
        <w:t>第4章 污水处理设施建设…………………………………………………23</w:t>
      </w:r>
    </w:p>
    <w:p>
      <w:pPr>
        <w:spacing w:line="540" w:lineRule="exact"/>
        <w:ind w:firstLine="560" w:firstLineChars="200"/>
        <w:jc w:val="distribute"/>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4.1 治理方式选择………………………………………………………23</w:t>
      </w:r>
    </w:p>
    <w:p>
      <w:pPr>
        <w:spacing w:line="540" w:lineRule="exact"/>
        <w:ind w:firstLine="560" w:firstLineChars="200"/>
        <w:jc w:val="distribute"/>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4.2 设施布局选址………………………………………………………23</w:t>
      </w:r>
    </w:p>
    <w:p>
      <w:pPr>
        <w:spacing w:line="540" w:lineRule="exact"/>
        <w:ind w:firstLine="560" w:firstLineChars="200"/>
        <w:jc w:val="distribute"/>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4.3 污水收集系统建设…………………………………………………28</w:t>
      </w:r>
    </w:p>
    <w:p>
      <w:pPr>
        <w:spacing w:line="540" w:lineRule="exact"/>
        <w:ind w:firstLine="560" w:firstLineChars="200"/>
        <w:jc w:val="distribute"/>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4.4 污水处理技术工艺选择……………………………………………30</w:t>
      </w:r>
    </w:p>
    <w:p>
      <w:pPr>
        <w:spacing w:line="540" w:lineRule="exact"/>
        <w:ind w:firstLine="560" w:firstLineChars="200"/>
        <w:jc w:val="distribute"/>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4.5 设施出水排放要求…………………………………………………31</w:t>
      </w:r>
    </w:p>
    <w:p>
      <w:pPr>
        <w:spacing w:line="540" w:lineRule="exact"/>
        <w:ind w:firstLine="560" w:firstLineChars="200"/>
        <w:jc w:val="distribute"/>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4.6 固体废物处理处置…………………………………………………35</w:t>
      </w:r>
    </w:p>
    <w:p>
      <w:pPr>
        <w:spacing w:line="540" w:lineRule="exact"/>
        <w:ind w:firstLine="560" w:firstLineChars="200"/>
        <w:jc w:val="distribute"/>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4.7 验收移交……………………………………………………………36</w:t>
      </w:r>
    </w:p>
    <w:p>
      <w:pPr>
        <w:spacing w:line="540" w:lineRule="exact"/>
        <w:jc w:val="distribute"/>
        <w:rPr>
          <w:rFonts w:ascii="黑体" w:hAnsi="黑体" w:eastAsia="黑体" w:cs="黑体"/>
          <w:b/>
          <w:bCs/>
          <w:sz w:val="28"/>
          <w:szCs w:val="28"/>
        </w:rPr>
      </w:pPr>
      <w:r>
        <w:rPr>
          <w:rFonts w:hint="eastAsia" w:ascii="黑体" w:hAnsi="黑体" w:eastAsia="黑体" w:cs="黑体"/>
          <w:b/>
          <w:bCs/>
          <w:sz w:val="28"/>
          <w:szCs w:val="28"/>
        </w:rPr>
        <w:t>第5章 设施运行管理…………………………………………………………37</w:t>
      </w:r>
    </w:p>
    <w:p>
      <w:pPr>
        <w:spacing w:line="540" w:lineRule="exact"/>
        <w:ind w:firstLine="560" w:firstLineChars="200"/>
        <w:jc w:val="distribute"/>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5.1 运维管理……………………………………………………………37</w:t>
      </w:r>
    </w:p>
    <w:p>
      <w:pPr>
        <w:spacing w:line="540" w:lineRule="exact"/>
        <w:ind w:firstLine="560" w:firstLineChars="200"/>
        <w:jc w:val="distribute"/>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5.2 环境监管……………………………………………………………39</w:t>
      </w:r>
    </w:p>
    <w:p>
      <w:pPr>
        <w:spacing w:line="540" w:lineRule="exact"/>
        <w:jc w:val="distribute"/>
        <w:rPr>
          <w:rFonts w:ascii="黑体" w:hAnsi="黑体" w:eastAsia="黑体" w:cs="黑体"/>
          <w:b/>
          <w:bCs/>
          <w:sz w:val="28"/>
          <w:szCs w:val="28"/>
        </w:rPr>
      </w:pPr>
      <w:r>
        <w:rPr>
          <w:rFonts w:hint="eastAsia" w:ascii="黑体" w:hAnsi="黑体" w:eastAsia="黑体" w:cs="黑体"/>
          <w:b/>
          <w:bCs/>
          <w:sz w:val="28"/>
          <w:szCs w:val="28"/>
        </w:rPr>
        <w:t>第6章 工程估算与资金筹措…………………………………………………41</w:t>
      </w:r>
    </w:p>
    <w:p>
      <w:pPr>
        <w:spacing w:line="540" w:lineRule="exact"/>
        <w:ind w:firstLine="560" w:firstLineChars="200"/>
        <w:jc w:val="distribute"/>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6.1 工程概况……………………………………………………………41</w:t>
      </w:r>
    </w:p>
    <w:p>
      <w:pPr>
        <w:spacing w:line="540" w:lineRule="exact"/>
        <w:ind w:firstLine="560" w:firstLineChars="200"/>
        <w:jc w:val="distribute"/>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6.2 工程建设投资估算…………………………………………………41</w:t>
      </w:r>
    </w:p>
    <w:p>
      <w:pPr>
        <w:spacing w:line="540" w:lineRule="exact"/>
        <w:ind w:firstLine="560" w:firstLineChars="200"/>
        <w:jc w:val="distribute"/>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6.3 运维资金估算………………………………………………………42</w:t>
      </w:r>
    </w:p>
    <w:p>
      <w:pPr>
        <w:spacing w:line="540" w:lineRule="exact"/>
        <w:ind w:firstLine="560" w:firstLineChars="200"/>
        <w:jc w:val="distribute"/>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6.4 资金筹措……………………………………………………………44</w:t>
      </w:r>
    </w:p>
    <w:p>
      <w:pPr>
        <w:spacing w:line="540" w:lineRule="exact"/>
        <w:jc w:val="distribute"/>
        <w:rPr>
          <w:rFonts w:ascii="黑体" w:hAnsi="黑体" w:eastAsia="黑体" w:cs="黑体"/>
          <w:b/>
          <w:bCs/>
          <w:sz w:val="28"/>
          <w:szCs w:val="28"/>
        </w:rPr>
      </w:pPr>
      <w:r>
        <w:rPr>
          <w:rFonts w:hint="eastAsia" w:ascii="黑体" w:hAnsi="黑体" w:eastAsia="黑体" w:cs="黑体"/>
          <w:b/>
          <w:bCs/>
          <w:sz w:val="28"/>
          <w:szCs w:val="28"/>
        </w:rPr>
        <w:t>第7章 效益分析……………………………………………………………45</w:t>
      </w:r>
    </w:p>
    <w:p>
      <w:pPr>
        <w:spacing w:line="540" w:lineRule="exact"/>
        <w:ind w:firstLine="560" w:firstLineChars="200"/>
        <w:jc w:val="distribute"/>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7.1 环境效益分析………………………………………………………45</w:t>
      </w:r>
    </w:p>
    <w:p>
      <w:pPr>
        <w:spacing w:line="540" w:lineRule="exact"/>
        <w:ind w:firstLine="560" w:firstLineChars="200"/>
        <w:jc w:val="distribute"/>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7.2 社会效益分析………………………………………………………45</w:t>
      </w:r>
    </w:p>
    <w:p>
      <w:pPr>
        <w:spacing w:line="540" w:lineRule="exact"/>
        <w:ind w:firstLine="560" w:firstLineChars="200"/>
        <w:jc w:val="distribute"/>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7.3 经济效益分析………………………………………………………46</w:t>
      </w:r>
    </w:p>
    <w:p>
      <w:pPr>
        <w:spacing w:line="540" w:lineRule="exact"/>
        <w:jc w:val="distribute"/>
        <w:rPr>
          <w:rFonts w:ascii="黑体" w:hAnsi="黑体" w:eastAsia="黑体" w:cs="黑体"/>
          <w:b/>
          <w:bCs/>
          <w:sz w:val="28"/>
          <w:szCs w:val="28"/>
        </w:rPr>
      </w:pPr>
      <w:r>
        <w:rPr>
          <w:rFonts w:hint="eastAsia" w:ascii="黑体" w:hAnsi="黑体" w:eastAsia="黑体" w:cs="黑体"/>
          <w:b/>
          <w:bCs/>
          <w:sz w:val="28"/>
          <w:szCs w:val="28"/>
        </w:rPr>
        <w:t>第8章 保障措施………………………………………………………………47</w:t>
      </w:r>
    </w:p>
    <w:p>
      <w:pPr>
        <w:spacing w:line="540" w:lineRule="exact"/>
        <w:ind w:firstLine="560" w:firstLineChars="200"/>
        <w:jc w:val="distribute"/>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8.1 组织保障……………………………………………………………47</w:t>
      </w:r>
    </w:p>
    <w:p>
      <w:pPr>
        <w:spacing w:line="540" w:lineRule="exact"/>
        <w:ind w:firstLine="560" w:firstLineChars="200"/>
        <w:jc w:val="distribute"/>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8.2 资金保障……………………………………………………………47</w:t>
      </w:r>
    </w:p>
    <w:p>
      <w:pPr>
        <w:spacing w:line="540" w:lineRule="exact"/>
        <w:ind w:firstLine="560" w:firstLineChars="200"/>
        <w:jc w:val="distribute"/>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8.3 技术保障……………………………………………………………47</w:t>
      </w:r>
    </w:p>
    <w:p>
      <w:pPr>
        <w:spacing w:line="540" w:lineRule="exact"/>
        <w:ind w:firstLine="560" w:firstLineChars="200"/>
        <w:jc w:val="distribute"/>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8.4 建设质量保障………………………………………………………48</w:t>
      </w:r>
    </w:p>
    <w:p>
      <w:pPr>
        <w:spacing w:line="540" w:lineRule="exact"/>
        <w:ind w:firstLine="560" w:firstLineChars="200"/>
        <w:jc w:val="distribute"/>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8.5 监管保障……………………………………………………………48</w:t>
      </w:r>
    </w:p>
    <w:p>
      <w:pPr>
        <w:spacing w:line="540" w:lineRule="exact"/>
        <w:ind w:firstLine="560" w:firstLineChars="200"/>
        <w:jc w:val="distribute"/>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8.6 公众参与……………………………………………………………48</w:t>
      </w:r>
    </w:p>
    <w:p>
      <w:pPr>
        <w:jc w:val="center"/>
        <w:rPr>
          <w:rFonts w:asciiTheme="majorEastAsia" w:hAnsiTheme="majorEastAsia" w:eastAsiaTheme="majorEastAsia" w:cstheme="majorEastAsia"/>
          <w:b/>
          <w:bCs/>
          <w:sz w:val="44"/>
          <w:szCs w:val="44"/>
        </w:rPr>
      </w:pPr>
    </w:p>
    <w:p>
      <w:pPr>
        <w:jc w:val="center"/>
        <w:rPr>
          <w:rFonts w:asciiTheme="majorEastAsia" w:hAnsiTheme="majorEastAsia" w:eastAsiaTheme="majorEastAsia" w:cstheme="majorEastAsia"/>
          <w:b/>
          <w:bCs/>
          <w:sz w:val="44"/>
          <w:szCs w:val="44"/>
        </w:rPr>
        <w:sectPr>
          <w:pgSz w:w="11906" w:h="16838"/>
          <w:pgMar w:top="1701" w:right="1247" w:bottom="1701" w:left="1247" w:header="851" w:footer="992" w:gutter="0"/>
          <w:cols w:space="0" w:num="1"/>
          <w:docGrid w:type="lines" w:linePitch="312" w:charSpace="0"/>
        </w:sectPr>
      </w:pPr>
    </w:p>
    <w:p>
      <w:pPr>
        <w:jc w:val="center"/>
        <w:rPr>
          <w:rFonts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第1章</w:t>
      </w:r>
      <w:r>
        <w:rPr>
          <w:rFonts w:hint="eastAsia" w:asciiTheme="majorEastAsia" w:hAnsiTheme="majorEastAsia" w:eastAsiaTheme="majorEastAsia" w:cstheme="majorEastAsia"/>
          <w:b/>
          <w:bCs/>
          <w:sz w:val="44"/>
          <w:szCs w:val="44"/>
        </w:rPr>
        <w:tab/>
      </w:r>
      <w:r>
        <w:rPr>
          <w:rFonts w:hint="eastAsia" w:asciiTheme="majorEastAsia" w:hAnsiTheme="majorEastAsia" w:eastAsiaTheme="majorEastAsia" w:cstheme="majorEastAsia"/>
          <w:b/>
          <w:bCs/>
          <w:sz w:val="44"/>
          <w:szCs w:val="44"/>
        </w:rPr>
        <w:t>总则</w:t>
      </w:r>
    </w:p>
    <w:p>
      <w:pPr>
        <w:rPr>
          <w:rFonts w:ascii="黑体" w:hAnsi="黑体" w:eastAsia="黑体" w:cs="黑体"/>
          <w:sz w:val="30"/>
          <w:szCs w:val="30"/>
        </w:rPr>
      </w:pPr>
    </w:p>
    <w:p>
      <w:pPr>
        <w:spacing w:line="560" w:lineRule="exact"/>
        <w:rPr>
          <w:rFonts w:ascii="黑体" w:hAnsi="黑体" w:eastAsia="黑体" w:cs="黑体"/>
          <w:b/>
          <w:bCs/>
          <w:sz w:val="30"/>
          <w:szCs w:val="30"/>
        </w:rPr>
      </w:pPr>
      <w:r>
        <w:rPr>
          <w:rFonts w:hint="eastAsia" w:ascii="黑体" w:hAnsi="黑体" w:eastAsia="黑体" w:cs="黑体"/>
          <w:b/>
          <w:bCs/>
          <w:sz w:val="30"/>
          <w:szCs w:val="30"/>
        </w:rPr>
        <w:t>1.1  规划背景</w:t>
      </w:r>
    </w:p>
    <w:p>
      <w:pPr>
        <w:spacing w:line="560" w:lineRule="exact"/>
        <w:ind w:firstLine="440"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为贯彻落实中央《农村人居环境整治三年行动方案》和《湖南省农村人居环境整治三年行动实施方案（2018-2020年）》精神，以习近平新时代中国特色社会主义思想为指导，按照实施乡村振兴战略的总要求，依据《县域农村生活污水治理专项规划编制指南（试行）》，编制本规划。以指导桃源县农村污水治理，提高农村污水治理水平，改善农村人居环境，加快生态宜居的美丽乡村建设，促进生态环境健康发展。</w:t>
      </w:r>
    </w:p>
    <w:p>
      <w:pPr>
        <w:spacing w:line="560" w:lineRule="exact"/>
        <w:ind w:firstLine="440"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本规划范围为桃源县全县2个街道、22个镇、4个乡，共涉及413个行政村（居）。规划共分为 远期，现状基准年2019年，近期规划至2022年，中期规划至2025年，远期规划至2030年。</w:t>
      </w:r>
    </w:p>
    <w:p>
      <w:pPr>
        <w:spacing w:line="560" w:lineRule="exact"/>
        <w:ind w:firstLine="440"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在此背景下，受常德市生态环境局桃源分局委托，我单位规划编制项目组人员对桃源县的农村生活污水治理现状开展了深入细致的资料调研、现场踏勘以及部门走访。项目组在相关规划、图件 和资料的基础上，进行了《桃源县农村生活污水处理专项规划》现状梳理并行成了正式方案稿。</w:t>
      </w:r>
    </w:p>
    <w:p>
      <w:pPr>
        <w:spacing w:line="560" w:lineRule="exact"/>
        <w:rPr>
          <w:rFonts w:ascii="黑体" w:hAnsi="黑体" w:eastAsia="黑体" w:cs="黑体"/>
          <w:b/>
          <w:bCs/>
          <w:sz w:val="30"/>
          <w:szCs w:val="30"/>
        </w:rPr>
      </w:pPr>
      <w:r>
        <w:rPr>
          <w:rFonts w:hint="eastAsia" w:ascii="黑体" w:hAnsi="黑体" w:eastAsia="黑体" w:cs="黑体"/>
          <w:b/>
          <w:bCs/>
          <w:sz w:val="30"/>
          <w:szCs w:val="30"/>
        </w:rPr>
        <w:t>1.2  编制依据</w:t>
      </w:r>
    </w:p>
    <w:p>
      <w:pPr>
        <w:spacing w:line="560" w:lineRule="exact"/>
        <w:rPr>
          <w:rFonts w:ascii="黑体" w:hAnsi="黑体" w:eastAsia="黑体" w:cs="黑体"/>
          <w:b/>
          <w:bCs/>
          <w:sz w:val="28"/>
          <w:szCs w:val="28"/>
        </w:rPr>
      </w:pPr>
      <w:r>
        <w:rPr>
          <w:rFonts w:hint="eastAsia" w:ascii="黑体" w:hAnsi="黑体" w:eastAsia="黑体" w:cs="黑体"/>
          <w:b/>
          <w:bCs/>
          <w:sz w:val="28"/>
          <w:szCs w:val="28"/>
        </w:rPr>
        <w:t>1.2.1  法律法规</w:t>
      </w:r>
    </w:p>
    <w:p>
      <w:pPr>
        <w:spacing w:line="560" w:lineRule="exact"/>
        <w:ind w:firstLine="440"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（1）《中华人民共和国城乡规划法》（2019年修正）</w:t>
      </w:r>
    </w:p>
    <w:p>
      <w:pPr>
        <w:spacing w:line="560" w:lineRule="exact"/>
        <w:ind w:firstLine="440"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（2）《中华人民共和国环境保护法》（2014年修订）</w:t>
      </w:r>
    </w:p>
    <w:p>
      <w:pPr>
        <w:spacing w:line="560" w:lineRule="exact"/>
        <w:ind w:firstLine="440"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（3）《中华人民共和国水法》（2016年修订）</w:t>
      </w:r>
    </w:p>
    <w:p>
      <w:pPr>
        <w:spacing w:line="560" w:lineRule="exact"/>
        <w:ind w:firstLine="440"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（4）《中华人民共和国水土保持法实施条例》（2011年1月8日修正）</w:t>
      </w:r>
    </w:p>
    <w:p>
      <w:pPr>
        <w:spacing w:line="560" w:lineRule="exact"/>
        <w:ind w:firstLine="440"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（5）《中华人民共和国水污染防治法》（2017年修正）</w:t>
      </w:r>
    </w:p>
    <w:p>
      <w:pPr>
        <w:spacing w:line="560" w:lineRule="exact"/>
        <w:ind w:firstLine="440"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（6）《中华人民共和国固体废物污染环境防治法》（2016年11月7日修正）</w:t>
      </w:r>
    </w:p>
    <w:p>
      <w:pPr>
        <w:spacing w:line="560" w:lineRule="exact"/>
        <w:ind w:firstLine="440"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（7）《建设项目环境保护管理条例》（2017年）</w:t>
      </w:r>
    </w:p>
    <w:p>
      <w:pPr>
        <w:spacing w:line="560" w:lineRule="exact"/>
        <w:ind w:firstLine="440"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（8）其他相关法律法规</w:t>
      </w:r>
    </w:p>
    <w:p>
      <w:pPr>
        <w:rPr>
          <w:rFonts w:asciiTheme="majorEastAsia" w:hAnsiTheme="majorEastAsia" w:eastAsiaTheme="majorEastAsia" w:cstheme="majorEastAsia"/>
          <w:sz w:val="22"/>
          <w:szCs w:val="22"/>
        </w:rPr>
      </w:pPr>
    </w:p>
    <w:p>
      <w:pPr>
        <w:spacing w:line="560" w:lineRule="exact"/>
        <w:rPr>
          <w:rFonts w:ascii="黑体" w:hAnsi="黑体" w:eastAsia="黑体" w:cs="黑体"/>
          <w:b/>
          <w:bCs/>
          <w:sz w:val="28"/>
          <w:szCs w:val="28"/>
        </w:rPr>
      </w:pPr>
      <w:r>
        <w:rPr>
          <w:rFonts w:hint="eastAsia" w:ascii="黑体" w:hAnsi="黑体" w:eastAsia="黑体" w:cs="黑体"/>
          <w:b/>
          <w:bCs/>
          <w:sz w:val="28"/>
          <w:szCs w:val="28"/>
        </w:rPr>
        <w:t>1.2.2  国家及地方标准和规范</w:t>
      </w:r>
    </w:p>
    <w:p>
      <w:pPr>
        <w:spacing w:line="360" w:lineRule="auto"/>
        <w:ind w:firstLine="440"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（1）《地表水环境质量标准》（GB3838-2002）</w:t>
      </w:r>
    </w:p>
    <w:p>
      <w:pPr>
        <w:spacing w:line="360" w:lineRule="auto"/>
        <w:ind w:firstLine="440"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（2）《农用污泥污染物控制标准》（GB4284-2018）</w:t>
      </w:r>
    </w:p>
    <w:p>
      <w:pPr>
        <w:spacing w:line="360" w:lineRule="auto"/>
        <w:ind w:firstLine="440"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（3）《农田灌溉水质标准》（GB5084-2005）</w:t>
      </w:r>
    </w:p>
    <w:p>
      <w:pPr>
        <w:spacing w:line="360" w:lineRule="auto"/>
        <w:ind w:firstLine="440"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（4）《渔业水质标准》（GB11607-89）</w:t>
      </w:r>
    </w:p>
    <w:p>
      <w:pPr>
        <w:spacing w:line="360" w:lineRule="auto"/>
        <w:ind w:firstLine="440"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（5）《污水综合排放标准》（GB8978-1996）</w:t>
      </w:r>
    </w:p>
    <w:p>
      <w:pPr>
        <w:spacing w:line="360" w:lineRule="auto"/>
        <w:ind w:firstLine="440"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（6）《城镇污水处理厂污染物排放标准》（GB18918-2002）</w:t>
      </w:r>
    </w:p>
    <w:p>
      <w:pPr>
        <w:spacing w:line="360" w:lineRule="auto"/>
        <w:ind w:firstLine="440"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（7）《污水排入城镇下水道水质标准》（GB/T31962-2015）</w:t>
      </w:r>
    </w:p>
    <w:p>
      <w:pPr>
        <w:spacing w:line="360" w:lineRule="auto"/>
        <w:ind w:firstLine="440"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（8）《湖南省城镇污水处理厂主要水污染物排放标准》（DB43/T  1546-2018）</w:t>
      </w:r>
    </w:p>
    <w:p>
      <w:pPr>
        <w:spacing w:line="360" w:lineRule="auto"/>
        <w:ind w:firstLine="440"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（9）《农村生活污水处理设施水污染物排放标准》（DB43/1665-2019）</w:t>
      </w:r>
    </w:p>
    <w:p>
      <w:pPr>
        <w:spacing w:line="360" w:lineRule="auto"/>
        <w:ind w:firstLine="440"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（10）《声环境质量标准》（GB3096-2008）</w:t>
      </w:r>
    </w:p>
    <w:p>
      <w:pPr>
        <w:spacing w:line="360" w:lineRule="auto"/>
        <w:ind w:firstLine="440"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（11）《环境空气质量标准》（GB3095-2012）</w:t>
      </w:r>
    </w:p>
    <w:p>
      <w:pPr>
        <w:spacing w:line="360" w:lineRule="auto"/>
        <w:ind w:firstLine="440"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（12）《恶臭污染物排放标准》（GB14554-93）</w:t>
      </w:r>
    </w:p>
    <w:p>
      <w:pPr>
        <w:spacing w:line="360" w:lineRule="auto"/>
        <w:ind w:firstLine="440"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（13）《防洪标准》（GB50201-2014）</w:t>
      </w:r>
    </w:p>
    <w:p>
      <w:pPr>
        <w:spacing w:line="360" w:lineRule="auto"/>
        <w:ind w:firstLine="440"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（14）《城市污水再生利用 景观环境用水水质》（GB/T18921-2002）</w:t>
      </w:r>
    </w:p>
    <w:p>
      <w:pPr>
        <w:spacing w:line="360" w:lineRule="auto"/>
        <w:ind w:firstLine="440"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（15）《城镇污水处理厂污泥处置园林绿化用泥质》（GB/T23486-2009）</w:t>
      </w:r>
    </w:p>
    <w:p>
      <w:pPr>
        <w:spacing w:line="360" w:lineRule="auto"/>
        <w:ind w:firstLine="440"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（16）《农村生活污水处理工程技术标准》（GB/T51347-2019）</w:t>
      </w:r>
    </w:p>
    <w:p>
      <w:pPr>
        <w:spacing w:line="360" w:lineRule="auto"/>
        <w:ind w:firstLine="440"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（17）《农村生活污水处理项目建设与投资指南》（环发〔2013〕130号）</w:t>
      </w:r>
    </w:p>
    <w:p>
      <w:pPr>
        <w:spacing w:line="360" w:lineRule="auto"/>
        <w:ind w:firstLine="440"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（18）《小城镇污水处理工程建设标准》（建标 148-2010）</w:t>
      </w:r>
    </w:p>
    <w:p>
      <w:pPr>
        <w:spacing w:line="360" w:lineRule="auto"/>
        <w:ind w:firstLine="440"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（19）《城市给水工程规划规范》（GB50282-2016）</w:t>
      </w:r>
    </w:p>
    <w:p>
      <w:pPr>
        <w:spacing w:line="360" w:lineRule="auto"/>
        <w:ind w:firstLine="440"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（20）《城市排水工程规范》（GB50318-2017）</w:t>
      </w:r>
    </w:p>
    <w:p>
      <w:pPr>
        <w:spacing w:line="360" w:lineRule="auto"/>
        <w:ind w:firstLine="440"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（21）《城市水系规划规范》（GB50513-2009）</w:t>
      </w:r>
    </w:p>
    <w:p>
      <w:pPr>
        <w:spacing w:line="360" w:lineRule="auto"/>
        <w:ind w:firstLine="440"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（22）《室外排水设计规范》（GB50014-2016）</w:t>
      </w:r>
    </w:p>
    <w:p>
      <w:pPr>
        <w:spacing w:line="360" w:lineRule="auto"/>
        <w:ind w:firstLine="440"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（23）《室外给水设计规范》（GB50013-2018）</w:t>
      </w:r>
    </w:p>
    <w:p>
      <w:pPr>
        <w:spacing w:line="360" w:lineRule="auto"/>
        <w:ind w:firstLine="440"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（24）《建筑给水排水设计标准》（GB50015-2019）</w:t>
      </w:r>
    </w:p>
    <w:p>
      <w:pPr>
        <w:spacing w:line="360" w:lineRule="auto"/>
        <w:ind w:firstLine="440"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（25）《村庄整治技术规范》（GB50445-2008）</w:t>
      </w:r>
    </w:p>
    <w:p>
      <w:pPr>
        <w:spacing w:line="360" w:lineRule="auto"/>
        <w:ind w:firstLine="440"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（26）《农村生活污染控制技术规范》（HJ574-2010）</w:t>
      </w:r>
    </w:p>
    <w:p>
      <w:pPr>
        <w:spacing w:line="360" w:lineRule="auto"/>
        <w:ind w:firstLine="440" w:firstLineChars="200"/>
        <w:rPr>
          <w:rFonts w:asciiTheme="majorEastAsia" w:hAnsiTheme="majorEastAsia" w:eastAsiaTheme="majorEastAsia" w:cstheme="majorEastAsia"/>
          <w:sz w:val="22"/>
          <w:szCs w:val="22"/>
        </w:rPr>
      </w:pPr>
    </w:p>
    <w:p>
      <w:pPr>
        <w:spacing w:line="360" w:lineRule="auto"/>
        <w:ind w:firstLine="440"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（27）《泵站设计规范》（GB/50265-2010）</w:t>
      </w:r>
    </w:p>
    <w:p>
      <w:pPr>
        <w:spacing w:line="360" w:lineRule="auto"/>
        <w:ind w:firstLine="440"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（28）《含油污水处理工程技术规范》（HJ580-2010）</w:t>
      </w:r>
    </w:p>
    <w:p>
      <w:pPr>
        <w:spacing w:line="360" w:lineRule="auto"/>
        <w:ind w:firstLine="440"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（29）《人工湿地污水处理工程技术规范》（HJ2005-2010）</w:t>
      </w:r>
    </w:p>
    <w:p>
      <w:pPr>
        <w:spacing w:line="360" w:lineRule="auto"/>
        <w:ind w:firstLine="440"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（30）《生物接触氧化法工程技术规范》（HJ2009-2011）</w:t>
      </w:r>
    </w:p>
    <w:p>
      <w:pPr>
        <w:spacing w:line="360" w:lineRule="auto"/>
        <w:ind w:firstLine="440"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（31）《生物滤池法工程技术规范》（HJ2014-2012）</w:t>
      </w:r>
    </w:p>
    <w:p>
      <w:pPr>
        <w:spacing w:line="360" w:lineRule="auto"/>
        <w:ind w:firstLine="440"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（32）《污水自然处理工程技术规范》（CJJ/T54-2017）</w:t>
      </w:r>
    </w:p>
    <w:p>
      <w:pPr>
        <w:spacing w:line="360" w:lineRule="auto"/>
        <w:ind w:firstLine="440"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（33）《给水排水管道工程施工及验收规范》（GB50268-2008）</w:t>
      </w:r>
    </w:p>
    <w:p>
      <w:pPr>
        <w:spacing w:line="360" w:lineRule="auto"/>
        <w:ind w:firstLine="440"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（34）《给水排水构筑物工程施工及验收规范》（GB50141-2008）</w:t>
      </w:r>
    </w:p>
    <w:p>
      <w:pPr>
        <w:spacing w:line="360" w:lineRule="auto"/>
        <w:ind w:firstLine="440"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（35）《混凝土结构工程施工质量验收规范》（GB50204-2015）</w:t>
      </w:r>
    </w:p>
    <w:p>
      <w:pPr>
        <w:spacing w:line="360" w:lineRule="auto"/>
        <w:ind w:firstLine="440"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（36）《砌体结构工程施工质量验收规范》（GB50203-2011）</w:t>
      </w:r>
    </w:p>
    <w:p>
      <w:pPr>
        <w:spacing w:line="360" w:lineRule="auto"/>
        <w:ind w:firstLine="440"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（37）《县（市）域城乡污水统筹治理导则（试行）》（建村〔2014〕6号）</w:t>
      </w:r>
    </w:p>
    <w:p>
      <w:pPr>
        <w:spacing w:line="360" w:lineRule="auto"/>
        <w:ind w:firstLine="440"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（38）其他相关标准规范</w:t>
      </w:r>
    </w:p>
    <w:p>
      <w:pPr>
        <w:spacing w:line="560" w:lineRule="exact"/>
        <w:rPr>
          <w:rFonts w:ascii="黑体" w:hAnsi="黑体" w:eastAsia="黑体" w:cs="黑体"/>
          <w:b/>
          <w:bCs/>
          <w:sz w:val="28"/>
          <w:szCs w:val="28"/>
        </w:rPr>
      </w:pPr>
      <w:r>
        <w:rPr>
          <w:rFonts w:hint="eastAsia" w:ascii="黑体" w:hAnsi="黑体" w:eastAsia="黑体" w:cs="黑体"/>
          <w:b/>
          <w:bCs/>
          <w:sz w:val="28"/>
          <w:szCs w:val="28"/>
        </w:rPr>
        <w:t>1.2.3  相关的政策文件</w:t>
      </w:r>
    </w:p>
    <w:p>
      <w:pPr>
        <w:spacing w:line="360" w:lineRule="auto"/>
        <w:ind w:firstLine="440"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（1）《国务院关于印发水污染防治行动计划的通知》（国发〔2015〕17号）</w:t>
      </w:r>
    </w:p>
    <w:p>
      <w:pPr>
        <w:spacing w:line="360" w:lineRule="auto"/>
        <w:ind w:firstLine="440"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（2）《中共中央国务院印发&lt;乡村振兴战略规划（2018-2022年）&gt;》（中发〔2018〕1号）</w:t>
      </w:r>
    </w:p>
    <w:p>
      <w:pPr>
        <w:spacing w:line="360" w:lineRule="auto"/>
        <w:ind w:firstLine="440"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（3）《中共中央办公厅国务院办公厅关于印发&lt;农村人居环境整治三年行动方案&gt;的通知》（中 办发〔2018〕5号）</w:t>
      </w:r>
    </w:p>
    <w:p>
      <w:pPr>
        <w:spacing w:line="360" w:lineRule="auto"/>
        <w:ind w:firstLine="440"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（4）《中央农村工作领导小组办公室、农业农村部、生态环境部、住房城乡建设部、水利部、 科技部、国家发展改革委、财政部、银保监会关于推进农村生活污水治理的指导意见》（中农发〔2019〕</w:t>
      </w:r>
    </w:p>
    <w:p>
      <w:pPr>
        <w:spacing w:line="360" w:lineRule="auto"/>
        <w:ind w:firstLine="440"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14号）</w:t>
      </w:r>
    </w:p>
    <w:p>
      <w:pPr>
        <w:spacing w:line="360" w:lineRule="auto"/>
        <w:ind w:firstLine="440"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（5）《生态环境部农业农村部&lt;关于印发农业农村污染治理攻坚战行动计划&gt;的通知》（环土 壤〔2018〕143号）</w:t>
      </w:r>
    </w:p>
    <w:p>
      <w:pPr>
        <w:spacing w:line="360" w:lineRule="auto"/>
        <w:ind w:firstLine="440"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（6）《关于印发〈县域农村生活污水治理专项规划编制指南（试行）〉的通知》（环办土壤 函〔2019〕756号）</w:t>
      </w:r>
    </w:p>
    <w:p>
      <w:pPr>
        <w:spacing w:line="360" w:lineRule="auto"/>
        <w:ind w:firstLine="440"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（7）《关于进一步加强农业农村生态环境工作的指导意见》（环办土壤〔2019〕24号）</w:t>
      </w:r>
    </w:p>
    <w:p>
      <w:pPr>
        <w:spacing w:line="360" w:lineRule="auto"/>
        <w:ind w:firstLine="440"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（8）《洞庭湖生态环境专项整治三年行动计划（2018-2020年）》（湘政办发〔2017〕83号）</w:t>
      </w:r>
    </w:p>
    <w:p>
      <w:pPr>
        <w:spacing w:line="360" w:lineRule="auto"/>
        <w:ind w:firstLine="440"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（9）《湖南省洞庭湖水环境综合治理规划实施方案（2018—2025年）》</w:t>
      </w:r>
    </w:p>
    <w:p>
      <w:pPr>
        <w:spacing w:line="360" w:lineRule="auto"/>
        <w:ind w:firstLine="440" w:firstLineChars="200"/>
        <w:rPr>
          <w:rFonts w:asciiTheme="majorEastAsia" w:hAnsiTheme="majorEastAsia" w:eastAsiaTheme="majorEastAsia" w:cstheme="majorEastAsia"/>
          <w:sz w:val="22"/>
          <w:szCs w:val="22"/>
        </w:rPr>
      </w:pPr>
    </w:p>
    <w:p>
      <w:pPr>
        <w:spacing w:line="540" w:lineRule="exact"/>
        <w:ind w:firstLine="440"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（10）《关于推进农村生活污水治理的实施意见（》湘农联〔2019〕106号）</w:t>
      </w:r>
    </w:p>
    <w:p>
      <w:pPr>
        <w:spacing w:line="540" w:lineRule="exact"/>
        <w:ind w:firstLine="440"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（11）《湖南省污染防治攻坚战三年行动计划（2018-2020年）》（湘政发〔2018〕17号）</w:t>
      </w:r>
    </w:p>
    <w:p>
      <w:pPr>
        <w:spacing w:line="540" w:lineRule="exact"/>
        <w:ind w:firstLine="440"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（12）《湖南省农村生活污水治理专项规划指导意见》湘环办〔2020〕40 号</w:t>
      </w:r>
    </w:p>
    <w:p>
      <w:pPr>
        <w:spacing w:line="540" w:lineRule="exact"/>
        <w:ind w:firstLine="440"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（13）《湖南省农村生活污水治理村考核暂行办法》</w:t>
      </w:r>
    </w:p>
    <w:p>
      <w:pPr>
        <w:spacing w:line="540" w:lineRule="exact"/>
        <w:ind w:firstLine="440"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（14）《&lt;桃源县农村人居环境整治三年行动实施方案（2018—2020年）&gt;的通知》（桃办发【2019】2 号）</w:t>
      </w:r>
    </w:p>
    <w:p>
      <w:pPr>
        <w:spacing w:line="560" w:lineRule="exact"/>
        <w:rPr>
          <w:rFonts w:ascii="黑体" w:hAnsi="黑体" w:eastAsia="黑体" w:cs="黑体"/>
          <w:b/>
          <w:bCs/>
          <w:sz w:val="28"/>
          <w:szCs w:val="28"/>
        </w:rPr>
      </w:pPr>
      <w:r>
        <w:rPr>
          <w:rFonts w:hint="eastAsia" w:ascii="黑体" w:hAnsi="黑体" w:eastAsia="黑体" w:cs="黑体"/>
          <w:b/>
          <w:bCs/>
          <w:sz w:val="28"/>
          <w:szCs w:val="28"/>
        </w:rPr>
        <w:t>1.2.4  相关规划和报告</w:t>
      </w:r>
    </w:p>
    <w:p>
      <w:pPr>
        <w:spacing w:line="540" w:lineRule="exact"/>
        <w:ind w:firstLine="440"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（1）《湖南省农村生活污水治理专项规划（2020-2030）》</w:t>
      </w:r>
    </w:p>
    <w:p>
      <w:pPr>
        <w:spacing w:line="540" w:lineRule="exact"/>
        <w:ind w:firstLine="440"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（2）《桃源县城市总体规划（2001-2020）》（2011年修改）</w:t>
      </w:r>
    </w:p>
    <w:p>
      <w:pPr>
        <w:spacing w:line="540" w:lineRule="exact"/>
        <w:ind w:firstLine="440"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（3）《桃源县土地利用总体规划（2006-2020年）》（2016年修订版）</w:t>
      </w:r>
    </w:p>
    <w:p>
      <w:pPr>
        <w:spacing w:line="540" w:lineRule="exact"/>
        <w:ind w:firstLine="440"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（4）《常德市水功能区划》（2014年）</w:t>
      </w:r>
    </w:p>
    <w:p>
      <w:pPr>
        <w:spacing w:line="540" w:lineRule="exact"/>
        <w:ind w:firstLine="440"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（5）《桃源生态县建设规划（修编）（2013-2020）》</w:t>
      </w:r>
    </w:p>
    <w:p>
      <w:pPr>
        <w:spacing w:line="540" w:lineRule="exact"/>
        <w:ind w:firstLine="440"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（6）《桃源县城市总体规划-环境保护专项规划》（2014年）</w:t>
      </w:r>
    </w:p>
    <w:p>
      <w:pPr>
        <w:spacing w:line="540" w:lineRule="exact"/>
        <w:ind w:firstLine="440"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（7）《桃源县城规划区黑臭水体识别及综合整治专项规划》（2018年）</w:t>
      </w:r>
    </w:p>
    <w:p>
      <w:pPr>
        <w:spacing w:line="540" w:lineRule="exact"/>
        <w:ind w:firstLine="440"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（8）《桃源县旅游业发展总体规划》（2010年）</w:t>
      </w:r>
    </w:p>
    <w:p>
      <w:pPr>
        <w:spacing w:line="540" w:lineRule="exact"/>
        <w:ind w:firstLine="440"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（9）《湖南乌云界国家级自然保护区总体规划》（2006年）</w:t>
      </w:r>
    </w:p>
    <w:p>
      <w:pPr>
        <w:spacing w:line="540" w:lineRule="exact"/>
        <w:ind w:firstLine="440"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（10）《桃花源国家级风景名胜区总体规划（2012-2020）》</w:t>
      </w:r>
    </w:p>
    <w:p>
      <w:pPr>
        <w:spacing w:line="540" w:lineRule="exact"/>
        <w:ind w:firstLine="440"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（11）《湖南桃源沅水湿地公园总体规划（2011-2018）》</w:t>
      </w:r>
    </w:p>
    <w:p>
      <w:pPr>
        <w:spacing w:line="540" w:lineRule="exact"/>
        <w:ind w:firstLine="440"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（12）《桃源县“千吨万人”以上集中式饮用水水源保护区规范化建设和环境问题整治项目实 施方案》（2019年）</w:t>
      </w:r>
    </w:p>
    <w:p>
      <w:pPr>
        <w:spacing w:line="540" w:lineRule="exact"/>
        <w:ind w:firstLine="440"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（13）桃源县各乡镇总体规划、排水规划及相关专项规划</w:t>
      </w:r>
    </w:p>
    <w:p>
      <w:pPr>
        <w:spacing w:line="540" w:lineRule="exact"/>
        <w:ind w:firstLine="440"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（14）其他相关规范和报告</w:t>
      </w:r>
    </w:p>
    <w:p>
      <w:pPr>
        <w:spacing w:line="560" w:lineRule="exact"/>
        <w:rPr>
          <w:rFonts w:ascii="黑体" w:hAnsi="黑体" w:eastAsia="黑体" w:cs="黑体"/>
          <w:b/>
          <w:bCs/>
          <w:sz w:val="30"/>
          <w:szCs w:val="30"/>
        </w:rPr>
      </w:pPr>
      <w:r>
        <w:rPr>
          <w:rFonts w:hint="eastAsia" w:ascii="黑体" w:hAnsi="黑体" w:eastAsia="黑体" w:cs="黑体"/>
          <w:b/>
          <w:bCs/>
          <w:sz w:val="28"/>
          <w:szCs w:val="28"/>
        </w:rPr>
        <w:t>1.2.5  其它基础资料</w:t>
      </w:r>
    </w:p>
    <w:p>
      <w:pPr>
        <w:spacing w:line="560" w:lineRule="exact"/>
        <w:ind w:firstLine="440"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（1）桃源县各部门、乡镇、街道提供的相关资料。</w:t>
      </w:r>
    </w:p>
    <w:p>
      <w:pPr>
        <w:spacing w:line="560" w:lineRule="exact"/>
        <w:rPr>
          <w:rFonts w:ascii="黑体" w:hAnsi="黑体" w:eastAsia="黑体" w:cs="黑体"/>
          <w:b/>
          <w:bCs/>
          <w:sz w:val="30"/>
          <w:szCs w:val="30"/>
        </w:rPr>
      </w:pPr>
      <w:r>
        <w:rPr>
          <w:rFonts w:hint="eastAsia" w:ascii="黑体" w:hAnsi="黑体" w:eastAsia="黑体" w:cs="黑体"/>
          <w:b/>
          <w:bCs/>
          <w:sz w:val="30"/>
          <w:szCs w:val="30"/>
        </w:rPr>
        <w:t>1.3  规划原则</w:t>
      </w:r>
    </w:p>
    <w:p>
      <w:pPr>
        <w:spacing w:line="360" w:lineRule="auto"/>
        <w:ind w:firstLine="442" w:firstLineChars="200"/>
        <w:rPr>
          <w:rFonts w:asciiTheme="majorEastAsia" w:hAnsiTheme="majorEastAsia" w:eastAsiaTheme="majorEastAsia" w:cstheme="majorEastAsia"/>
          <w:b/>
          <w:bCs/>
          <w:sz w:val="22"/>
          <w:szCs w:val="22"/>
        </w:rPr>
      </w:pPr>
      <w:r>
        <w:rPr>
          <w:rFonts w:hint="eastAsia" w:asciiTheme="majorEastAsia" w:hAnsiTheme="majorEastAsia" w:eastAsiaTheme="majorEastAsia" w:cstheme="majorEastAsia"/>
          <w:b/>
          <w:bCs/>
          <w:sz w:val="22"/>
          <w:szCs w:val="22"/>
        </w:rPr>
        <w:t>（1）科学规划，统筹安排</w:t>
      </w:r>
    </w:p>
    <w:p>
      <w:pPr>
        <w:spacing w:line="360" w:lineRule="auto"/>
        <w:ind w:firstLine="440"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以县域总体规划为先导，结合生态保护红线、村庄规划、水环境功能区划、给排水、改厕和黑臭水体治理等工作，充分考虑农村经济 社会状况、生活污水产排规律、环境容量、村民意愿等因 素，以污水减量化、分类就地处理、循环利用为导向，科学规划和安排农村生活污水治理工作。</w:t>
      </w:r>
    </w:p>
    <w:p>
      <w:pPr>
        <w:spacing w:line="360" w:lineRule="auto"/>
        <w:ind w:firstLine="442" w:firstLineChars="200"/>
        <w:rPr>
          <w:rFonts w:asciiTheme="majorEastAsia" w:hAnsiTheme="majorEastAsia" w:eastAsiaTheme="majorEastAsia" w:cstheme="majorEastAsia"/>
          <w:b/>
          <w:bCs/>
          <w:sz w:val="22"/>
          <w:szCs w:val="22"/>
        </w:rPr>
      </w:pPr>
      <w:r>
        <w:rPr>
          <w:rFonts w:hint="eastAsia" w:asciiTheme="majorEastAsia" w:hAnsiTheme="majorEastAsia" w:eastAsiaTheme="majorEastAsia" w:cstheme="majorEastAsia"/>
          <w:b/>
          <w:bCs/>
          <w:sz w:val="22"/>
          <w:szCs w:val="22"/>
        </w:rPr>
        <w:t>（2）突出重点，梯次推进</w:t>
      </w:r>
    </w:p>
    <w:p>
      <w:pPr>
        <w:spacing w:line="360" w:lineRule="auto"/>
        <w:ind w:firstLine="440"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坚持短期目标与长远规划相结合，既尽力而为，又量力而行。综合考虑现阶段城乡发展趋势、财政投入能力、农民接受程度等，合理确定污水治理任务目标。优先整治生态环境敏感、人口集聚、发展乡 村旅游以及水质需改善控制单元范围内的村庄，通过试点示范不断探索，梯次推进，全面覆盖。</w:t>
      </w:r>
    </w:p>
    <w:p>
      <w:pPr>
        <w:spacing w:line="360" w:lineRule="auto"/>
        <w:ind w:firstLine="442" w:firstLineChars="200"/>
        <w:rPr>
          <w:rFonts w:asciiTheme="majorEastAsia" w:hAnsiTheme="majorEastAsia" w:eastAsiaTheme="majorEastAsia" w:cstheme="majorEastAsia"/>
          <w:b/>
          <w:bCs/>
          <w:sz w:val="22"/>
          <w:szCs w:val="22"/>
        </w:rPr>
      </w:pPr>
      <w:r>
        <w:rPr>
          <w:rFonts w:hint="eastAsia" w:asciiTheme="majorEastAsia" w:hAnsiTheme="majorEastAsia" w:eastAsiaTheme="majorEastAsia" w:cstheme="majorEastAsia"/>
          <w:b/>
          <w:bCs/>
          <w:sz w:val="22"/>
          <w:szCs w:val="22"/>
        </w:rPr>
        <w:t>（3）因地制宜，分类治理</w:t>
      </w:r>
    </w:p>
    <w:p>
      <w:pPr>
        <w:spacing w:line="360" w:lineRule="auto"/>
        <w:ind w:firstLine="440"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综合考虑村庄自然禀赋、经济社会发展、污水产排状况、生态环 境敏感程度、受纳水体环境 容量等，科学确定本地区农村生活污水治理方式。靠近城镇、有条件的村庄，生活污水纳入城镇污 水管网统一处理。人口集聚、利用空间不足、经济条件较好的村庄，可采取管网收集-集中处理- 达标排放的治理方式。污水产生量较少、居住较为分散、地形地貌复杂的村庄，优先采用资源化利 用的治理方式。</w:t>
      </w:r>
    </w:p>
    <w:p>
      <w:pPr>
        <w:numPr>
          <w:ilvl w:val="0"/>
          <w:numId w:val="1"/>
        </w:numPr>
        <w:spacing w:line="360" w:lineRule="auto"/>
        <w:ind w:firstLine="442" w:firstLineChars="200"/>
        <w:rPr>
          <w:rFonts w:asciiTheme="majorEastAsia" w:hAnsiTheme="majorEastAsia" w:eastAsiaTheme="majorEastAsia" w:cstheme="majorEastAsia"/>
          <w:b/>
          <w:bCs/>
          <w:sz w:val="22"/>
          <w:szCs w:val="22"/>
        </w:rPr>
      </w:pPr>
      <w:r>
        <w:rPr>
          <w:rFonts w:hint="eastAsia" w:asciiTheme="majorEastAsia" w:hAnsiTheme="majorEastAsia" w:eastAsiaTheme="majorEastAsia" w:cstheme="majorEastAsia"/>
          <w:b/>
          <w:bCs/>
          <w:sz w:val="22"/>
          <w:szCs w:val="22"/>
        </w:rPr>
        <w:t>建管并重，长效运行</w:t>
      </w:r>
    </w:p>
    <w:p>
      <w:pPr>
        <w:numPr>
          <w:ilvl w:val="0"/>
          <w:numId w:val="1"/>
        </w:numPr>
        <w:spacing w:line="360" w:lineRule="auto"/>
        <w:ind w:firstLine="440"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坚持先建机制、后建工程，推动以县级行政区域为单元，实行农村生活污水处理统一规划、统一建设、统一运行、统一管理。鼓励规模化、专业化、社会化建设和运行管理。有条件的地区，探 索建立污水处理受益农户付费制度和多元化的运行保障机制，确保治理长效。</w:t>
      </w:r>
    </w:p>
    <w:p>
      <w:pPr>
        <w:spacing w:line="360" w:lineRule="auto"/>
        <w:ind w:firstLine="442"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b/>
          <w:bCs/>
          <w:sz w:val="22"/>
          <w:szCs w:val="22"/>
        </w:rPr>
        <w:t>（5）经济实用，易于推广</w:t>
      </w:r>
      <w:r>
        <w:rPr>
          <w:rFonts w:hint="eastAsia" w:asciiTheme="majorEastAsia" w:hAnsiTheme="majorEastAsia" w:eastAsiaTheme="majorEastAsia" w:cstheme="majorEastAsia"/>
          <w:sz w:val="22"/>
          <w:szCs w:val="22"/>
        </w:rPr>
        <w:t xml:space="preserve"> 充分调查农村水环境质量、污水排放现状和治理需求，考虑当地经济发展水平、污水产生规模</w:t>
      </w:r>
    </w:p>
    <w:p>
      <w:pPr>
        <w:spacing w:line="360" w:lineRule="auto"/>
        <w:ind w:firstLine="440"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和农民生产生活习惯，综合评判农村生活污水治理的环境效益、经济效益和社会效益，选择技术成熟、经济 实用、管理方便、运行稳定的农村生活污水治理手段和途径。</w:t>
      </w:r>
    </w:p>
    <w:p>
      <w:pPr>
        <w:spacing w:line="360" w:lineRule="auto"/>
        <w:ind w:firstLine="442"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b/>
          <w:bCs/>
          <w:sz w:val="22"/>
          <w:szCs w:val="22"/>
        </w:rPr>
        <w:t>（6）政府主导，社会参与</w:t>
      </w:r>
      <w:r>
        <w:rPr>
          <w:rFonts w:hint="eastAsia" w:asciiTheme="majorEastAsia" w:hAnsiTheme="majorEastAsia" w:eastAsiaTheme="majorEastAsia" w:cstheme="majorEastAsia"/>
          <w:sz w:val="22"/>
          <w:szCs w:val="22"/>
        </w:rPr>
        <w:t xml:space="preserve"> </w:t>
      </w:r>
    </w:p>
    <w:p>
      <w:pPr>
        <w:spacing w:line="360" w:lineRule="auto"/>
        <w:ind w:firstLine="440"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强化地方政府主体责任，加大财政资金投入力度，引导农民以投工投劳等方式参与设施建设、运行和管理，鼓励采用政府和社会资本合作（PPP）等方式，引导企业和金融机构积极参与，推动 农村生活 污水第三方治理。</w:t>
      </w:r>
    </w:p>
    <w:p>
      <w:pPr>
        <w:spacing w:line="560" w:lineRule="exact"/>
        <w:rPr>
          <w:rFonts w:ascii="黑体" w:hAnsi="黑体" w:eastAsia="黑体" w:cs="黑体"/>
          <w:b/>
          <w:bCs/>
          <w:sz w:val="30"/>
          <w:szCs w:val="30"/>
        </w:rPr>
      </w:pPr>
      <w:r>
        <w:rPr>
          <w:rFonts w:hint="eastAsia" w:ascii="黑体" w:hAnsi="黑体" w:eastAsia="黑体" w:cs="黑体"/>
          <w:b/>
          <w:bCs/>
          <w:sz w:val="30"/>
          <w:szCs w:val="30"/>
        </w:rPr>
        <w:t>1.4  规划范围</w:t>
      </w:r>
    </w:p>
    <w:p>
      <w:pPr>
        <w:spacing w:line="360" w:lineRule="auto"/>
        <w:ind w:firstLine="440"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 xml:space="preserve">本规划范围为桃源县行政辖区内的村庄和国有农牧场。 </w:t>
      </w:r>
    </w:p>
    <w:p>
      <w:pPr>
        <w:spacing w:line="360" w:lineRule="auto"/>
        <w:ind w:firstLine="440"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桃源县辖2个街道、22个镇、4个乡，规划共涉及行政村（居）413个，其中已规划全部纳入城镇污水处理厂的行政村（居）为54个，拟治理的行政村（居）为359个，农村人口704677人，户数220731户。</w:t>
      </w:r>
    </w:p>
    <w:p>
      <w:pPr>
        <w:spacing w:line="560" w:lineRule="exact"/>
        <w:rPr>
          <w:rFonts w:ascii="黑体" w:hAnsi="黑体" w:eastAsia="黑体" w:cs="黑体"/>
          <w:b/>
          <w:bCs/>
          <w:sz w:val="30"/>
          <w:szCs w:val="30"/>
        </w:rPr>
      </w:pPr>
      <w:r>
        <w:rPr>
          <w:rFonts w:hint="eastAsia" w:ascii="黑体" w:hAnsi="黑体" w:eastAsia="黑体" w:cs="黑体"/>
          <w:b/>
          <w:bCs/>
          <w:sz w:val="30"/>
          <w:szCs w:val="30"/>
        </w:rPr>
        <w:t>1.5  规划期限</w:t>
      </w:r>
    </w:p>
    <w:p>
      <w:pPr>
        <w:spacing w:line="360" w:lineRule="auto"/>
        <w:ind w:firstLine="440"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本规划现状基准年 2019年，近期至 2022年，中期至 2025年，远期至 2030年。</w:t>
      </w:r>
    </w:p>
    <w:p>
      <w:pPr>
        <w:spacing w:line="560" w:lineRule="exact"/>
        <w:rPr>
          <w:rFonts w:ascii="黑体" w:hAnsi="黑体" w:eastAsia="黑体" w:cs="黑体"/>
          <w:b/>
          <w:bCs/>
          <w:sz w:val="30"/>
          <w:szCs w:val="30"/>
        </w:rPr>
      </w:pPr>
      <w:r>
        <w:rPr>
          <w:rFonts w:hint="eastAsia" w:ascii="黑体" w:hAnsi="黑体" w:eastAsia="黑体" w:cs="黑体"/>
          <w:b/>
          <w:bCs/>
          <w:sz w:val="30"/>
          <w:szCs w:val="30"/>
        </w:rPr>
        <w:t>1.6  规划目标</w:t>
      </w:r>
    </w:p>
    <w:p>
      <w:pPr>
        <w:spacing w:line="360" w:lineRule="auto"/>
        <w:ind w:firstLine="440"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根据《湖南省农村生活污水治理专项规划（2020-2030）》，桃源县为湖南省洞庭湖地区二类县。</w:t>
      </w:r>
    </w:p>
    <w:p>
      <w:pPr>
        <w:numPr>
          <w:ilvl w:val="0"/>
          <w:numId w:val="2"/>
        </w:numPr>
        <w:spacing w:line="360" w:lineRule="auto"/>
        <w:ind w:firstLine="442" w:firstLineChars="200"/>
        <w:rPr>
          <w:rFonts w:asciiTheme="majorEastAsia" w:hAnsiTheme="majorEastAsia" w:eastAsiaTheme="majorEastAsia" w:cstheme="majorEastAsia"/>
          <w:b/>
          <w:bCs/>
          <w:sz w:val="22"/>
          <w:szCs w:val="22"/>
        </w:rPr>
      </w:pPr>
      <w:r>
        <w:rPr>
          <w:rFonts w:hint="eastAsia" w:asciiTheme="majorEastAsia" w:hAnsiTheme="majorEastAsia" w:eastAsiaTheme="majorEastAsia" w:cstheme="majorEastAsia"/>
          <w:b/>
          <w:bCs/>
          <w:sz w:val="22"/>
          <w:szCs w:val="22"/>
        </w:rPr>
        <w:t>近期</w:t>
      </w:r>
    </w:p>
    <w:p>
      <w:pPr>
        <w:spacing w:line="360" w:lineRule="auto"/>
        <w:ind w:firstLine="440"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到2022年，农村生活污水治理率明显提高。建有污水治理设施（包括资源化利用）的行政村达到306个，行政村（居）覆盖率不低于85%；建有污水治理设施（包括资源化利用）的农户数达到12.11万户，覆盖率不低于55%；全县农村污水处理设施达标率不低于75%。</w:t>
      </w:r>
    </w:p>
    <w:p>
      <w:pPr>
        <w:spacing w:line="360" w:lineRule="auto"/>
        <w:ind w:firstLine="442" w:firstLineChars="200"/>
        <w:rPr>
          <w:rFonts w:asciiTheme="majorEastAsia" w:hAnsiTheme="majorEastAsia" w:eastAsiaTheme="majorEastAsia" w:cstheme="majorEastAsia"/>
          <w:b/>
          <w:bCs/>
          <w:sz w:val="22"/>
          <w:szCs w:val="22"/>
        </w:rPr>
      </w:pPr>
      <w:r>
        <w:rPr>
          <w:rFonts w:hint="eastAsia" w:asciiTheme="majorEastAsia" w:hAnsiTheme="majorEastAsia" w:eastAsiaTheme="majorEastAsia" w:cstheme="majorEastAsia"/>
          <w:b/>
          <w:bCs/>
          <w:sz w:val="22"/>
          <w:szCs w:val="22"/>
        </w:rPr>
        <w:t>（2）中期</w:t>
      </w:r>
    </w:p>
    <w:p>
      <w:pPr>
        <w:spacing w:line="360" w:lineRule="auto"/>
        <w:ind w:firstLine="440"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到2025年，逐步完善农村生活污水治理设施建设和有效处理能力。建有污水治理设施（包括资源化利用）的行政村达到359个，行政村（居）覆盖率不低于100%；建有污水治理设施（包括资源 化利用）的农户数达到15.42万户，覆盖率不低于70%；全县农村污水处理设施达标率不低于80%。 基本建立可持续良性发展的农村污水收集治理体系。</w:t>
      </w:r>
    </w:p>
    <w:p>
      <w:pPr>
        <w:spacing w:line="360" w:lineRule="auto"/>
        <w:ind w:firstLine="442" w:firstLineChars="200"/>
        <w:rPr>
          <w:rFonts w:asciiTheme="majorEastAsia" w:hAnsiTheme="majorEastAsia" w:eastAsiaTheme="majorEastAsia" w:cstheme="majorEastAsia"/>
          <w:b/>
          <w:bCs/>
          <w:sz w:val="22"/>
          <w:szCs w:val="22"/>
        </w:rPr>
      </w:pPr>
      <w:r>
        <w:rPr>
          <w:rFonts w:hint="eastAsia" w:asciiTheme="majorEastAsia" w:hAnsiTheme="majorEastAsia" w:eastAsiaTheme="majorEastAsia" w:cstheme="majorEastAsia"/>
          <w:b/>
          <w:bCs/>
          <w:sz w:val="22"/>
          <w:szCs w:val="22"/>
        </w:rPr>
        <w:t>（3）远期</w:t>
      </w:r>
    </w:p>
    <w:p>
      <w:pPr>
        <w:spacing w:line="360" w:lineRule="auto"/>
        <w:ind w:firstLine="440"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至2030年，全县农村生活污水治理水平全面提升。建有污水治理设施（包括资源化利用）的行政村（居）覆盖率不低于100%；建有污水治理设施（包括资源化利用）的农户数达到19.87万户， 覆盖率不低于90%；全县农村污水处理设施达标率不低于80%。基本实现农村生活污水全面治理， 农村生态环境显著改善。</w:t>
      </w:r>
    </w:p>
    <w:p>
      <w:pPr>
        <w:spacing w:line="360" w:lineRule="auto"/>
        <w:ind w:firstLine="440" w:firstLineChars="200"/>
        <w:rPr>
          <w:rFonts w:asciiTheme="majorEastAsia" w:hAnsiTheme="majorEastAsia" w:eastAsiaTheme="majorEastAsia" w:cstheme="majorEastAsia"/>
          <w:sz w:val="22"/>
          <w:szCs w:val="22"/>
        </w:rPr>
      </w:pPr>
    </w:p>
    <w:p>
      <w:pPr>
        <w:spacing w:line="360" w:lineRule="auto"/>
        <w:rPr>
          <w:rFonts w:asciiTheme="majorEastAsia" w:hAnsiTheme="majorEastAsia" w:eastAsiaTheme="majorEastAsia" w:cstheme="majorEastAsia"/>
          <w:sz w:val="22"/>
          <w:szCs w:val="22"/>
        </w:rPr>
      </w:pPr>
    </w:p>
    <w:p>
      <w:pPr>
        <w:spacing w:line="360" w:lineRule="auto"/>
        <w:rPr>
          <w:rFonts w:asciiTheme="majorEastAsia" w:hAnsiTheme="majorEastAsia" w:eastAsiaTheme="majorEastAsia" w:cstheme="majorEastAsia"/>
          <w:sz w:val="22"/>
          <w:szCs w:val="22"/>
        </w:rPr>
      </w:pPr>
    </w:p>
    <w:p>
      <w:pPr>
        <w:spacing w:line="360" w:lineRule="auto"/>
        <w:rPr>
          <w:rFonts w:asciiTheme="majorEastAsia" w:hAnsiTheme="majorEastAsia" w:eastAsiaTheme="majorEastAsia" w:cstheme="majorEastAsia"/>
          <w:sz w:val="22"/>
          <w:szCs w:val="22"/>
        </w:rPr>
      </w:pPr>
    </w:p>
    <w:p>
      <w:pPr>
        <w:spacing w:line="360" w:lineRule="auto"/>
        <w:rPr>
          <w:rFonts w:asciiTheme="majorEastAsia" w:hAnsiTheme="majorEastAsia" w:eastAsiaTheme="majorEastAsia" w:cstheme="majorEastAsia"/>
          <w:sz w:val="22"/>
          <w:szCs w:val="22"/>
        </w:rPr>
      </w:pPr>
    </w:p>
    <w:p>
      <w:pPr>
        <w:jc w:val="center"/>
        <w:rPr>
          <w:rFonts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第2章</w:t>
      </w:r>
      <w:r>
        <w:rPr>
          <w:rFonts w:hint="eastAsia" w:asciiTheme="majorEastAsia" w:hAnsiTheme="majorEastAsia" w:eastAsiaTheme="majorEastAsia" w:cstheme="majorEastAsia"/>
          <w:b/>
          <w:bCs/>
          <w:sz w:val="44"/>
          <w:szCs w:val="44"/>
        </w:rPr>
        <w:tab/>
      </w:r>
      <w:r>
        <w:rPr>
          <w:rFonts w:hint="eastAsia" w:asciiTheme="majorEastAsia" w:hAnsiTheme="majorEastAsia" w:eastAsiaTheme="majorEastAsia" w:cstheme="majorEastAsia"/>
          <w:b/>
          <w:bCs/>
          <w:sz w:val="44"/>
          <w:szCs w:val="44"/>
        </w:rPr>
        <w:t>区域概况</w:t>
      </w:r>
    </w:p>
    <w:p>
      <w:pPr>
        <w:ind w:right="-20" w:firstLine="440" w:firstLineChars="200"/>
        <w:jc w:val="left"/>
        <w:rPr>
          <w:rFonts w:asciiTheme="majorEastAsia" w:hAnsiTheme="majorEastAsia" w:eastAsiaTheme="majorEastAsia" w:cstheme="majorEastAsia"/>
          <w:sz w:val="22"/>
          <w:szCs w:val="22"/>
        </w:rPr>
      </w:pPr>
    </w:p>
    <w:p>
      <w:pPr>
        <w:spacing w:line="360" w:lineRule="auto"/>
        <w:ind w:right="-20" w:firstLine="440" w:firstLineChars="200"/>
        <w:jc w:val="left"/>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桃源县，历来被誉为“世外仙境”。域内生活着以汉族为主以及回族、维吾尔族、土家族、满 族侗族、壮族、瑶族等13个民族，人口930283（农业人口704677，非农业人口225606）人，180余个 姓氏。桃源地理自然条件优越，物产资源丰富，对发展农业、工业商业和旅游等其他各种事业，都 是得天独厚的黄金宝地。</w:t>
      </w:r>
    </w:p>
    <w:p>
      <w:pPr>
        <w:spacing w:line="360" w:lineRule="auto"/>
        <w:rPr>
          <w:rFonts w:ascii="黑体" w:hAnsi="黑体" w:eastAsia="黑体" w:cs="黑体"/>
          <w:b/>
          <w:bCs/>
          <w:sz w:val="30"/>
          <w:szCs w:val="30"/>
        </w:rPr>
      </w:pPr>
      <w:r>
        <w:rPr>
          <w:rFonts w:hint="eastAsia" w:ascii="黑体" w:hAnsi="黑体" w:eastAsia="黑体" w:cs="黑体"/>
          <w:b/>
          <w:bCs/>
          <w:sz w:val="30"/>
          <w:szCs w:val="30"/>
        </w:rPr>
        <w:t>2.1  地理位置</w:t>
      </w:r>
    </w:p>
    <w:p>
      <w:pPr>
        <w:spacing w:line="360" w:lineRule="auto"/>
        <w:ind w:right="-20" w:firstLine="440" w:firstLineChars="200"/>
        <w:jc w:val="left"/>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桃源县位于湖南省西北部，其地理位置：西起牛车河镇高峰村万家河，东至木塘垸乡仁丰村草鞋洲，直线距离约75公里；南起西安镇薛家冲村狮子岭，北至热市镇老棚村，直线距离约118公里，县域面积4441.22平方公里，距离省会长沙229公里。其县域在湖南省县（市）中居第四位。耕地面积为134.29万亩，在全省县（市）中居第一位。县西与怀化地区的沅陵县、张家界市的慈利县、永定区交界，东与常德市的临澧县、鼎城区接壤，北枕石门县，南抵益阳市的安化县。地处东经 110°50′47″-111°36′41″，北纬  28°24′24″-29°24′00″。</w:t>
      </w:r>
    </w:p>
    <w:p>
      <w:pPr>
        <w:spacing w:line="360" w:lineRule="auto"/>
        <w:ind w:right="-20"/>
        <w:jc w:val="center"/>
        <w:rPr>
          <w:rFonts w:ascii="Times New Roman" w:hAnsi="Times New Roman" w:eastAsia="Times New Roman" w:cs="Times New Roman"/>
          <w:sz w:val="20"/>
          <w:szCs w:val="20"/>
        </w:rPr>
      </w:pPr>
      <w:r>
        <w:drawing>
          <wp:inline distT="0" distB="0" distL="114300" distR="114300">
            <wp:extent cx="2986405" cy="3570605"/>
            <wp:effectExtent l="0" t="0" r="4445" b="1079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cstate="print"/>
                    <a:stretch>
                      <a:fillRect/>
                    </a:stretch>
                  </pic:blipFill>
                  <pic:spPr>
                    <a:xfrm>
                      <a:off x="0" y="0"/>
                      <a:ext cx="2986405" cy="3570605"/>
                    </a:xfrm>
                    <a:prstGeom prst="rect">
                      <a:avLst/>
                    </a:prstGeom>
                    <a:noFill/>
                    <a:ln w="9525">
                      <a:noFill/>
                    </a:ln>
                  </pic:spPr>
                </pic:pic>
              </a:graphicData>
            </a:graphic>
          </wp:inline>
        </w:drawing>
      </w:r>
    </w:p>
    <w:p>
      <w:pPr>
        <w:jc w:val="center"/>
        <w:rPr>
          <w:rFonts w:ascii="黑体" w:hAnsi="黑体" w:eastAsia="黑体" w:cs="黑体"/>
          <w:sz w:val="22"/>
          <w:szCs w:val="22"/>
        </w:rPr>
      </w:pPr>
      <w:r>
        <w:rPr>
          <w:rFonts w:hint="eastAsia" w:ascii="黑体" w:hAnsi="黑体" w:eastAsia="黑体" w:cs="黑体"/>
          <w:sz w:val="22"/>
          <w:szCs w:val="22"/>
        </w:rPr>
        <w:t>图 1-1 桃源县地理位置图</w:t>
      </w:r>
    </w:p>
    <w:p>
      <w:pPr>
        <w:jc w:val="center"/>
        <w:rPr>
          <w:rFonts w:ascii="黑体" w:hAnsi="黑体" w:eastAsia="黑体" w:cs="黑体"/>
          <w:sz w:val="22"/>
          <w:szCs w:val="22"/>
        </w:rPr>
      </w:pPr>
    </w:p>
    <w:p>
      <w:pPr>
        <w:rPr>
          <w:rFonts w:ascii="黑体" w:hAnsi="黑体" w:eastAsia="黑体" w:cs="黑体"/>
          <w:sz w:val="22"/>
          <w:szCs w:val="22"/>
        </w:rPr>
      </w:pPr>
    </w:p>
    <w:p>
      <w:pPr>
        <w:rPr>
          <w:rFonts w:ascii="黑体" w:hAnsi="黑体" w:eastAsia="黑体" w:cs="黑体"/>
          <w:sz w:val="22"/>
          <w:szCs w:val="22"/>
        </w:rPr>
      </w:pPr>
    </w:p>
    <w:p>
      <w:pPr>
        <w:spacing w:line="540" w:lineRule="exact"/>
        <w:rPr>
          <w:rFonts w:ascii="黑体" w:hAnsi="黑体" w:eastAsia="黑体" w:cs="黑体"/>
          <w:b/>
          <w:bCs/>
          <w:sz w:val="30"/>
          <w:szCs w:val="30"/>
        </w:rPr>
      </w:pPr>
      <w:r>
        <w:rPr>
          <w:rFonts w:hint="eastAsia" w:ascii="黑体" w:hAnsi="黑体" w:eastAsia="黑体" w:cs="黑体"/>
          <w:b/>
          <w:bCs/>
          <w:sz w:val="30"/>
          <w:szCs w:val="30"/>
        </w:rPr>
        <w:t>2.2  自然气候条件</w:t>
      </w:r>
    </w:p>
    <w:p>
      <w:pPr>
        <w:spacing w:line="540" w:lineRule="exact"/>
        <w:rPr>
          <w:rFonts w:ascii="黑体" w:hAnsi="黑体" w:eastAsia="黑体" w:cs="黑体"/>
          <w:b/>
          <w:bCs/>
          <w:sz w:val="28"/>
          <w:szCs w:val="28"/>
        </w:rPr>
      </w:pPr>
      <w:r>
        <w:rPr>
          <w:rFonts w:hint="eastAsia" w:ascii="黑体" w:hAnsi="黑体" w:eastAsia="黑体" w:cs="黑体"/>
          <w:b/>
          <w:bCs/>
          <w:sz w:val="28"/>
          <w:szCs w:val="28"/>
        </w:rPr>
        <w:t>2.2.1  地形、地貌、地质特征</w:t>
      </w:r>
    </w:p>
    <w:p>
      <w:pPr>
        <w:spacing w:line="540" w:lineRule="exact"/>
        <w:ind w:firstLine="440"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桃源县属湘赣丘陵的一部分，处于湘西山地向洞庭湖滨湖平原的过渡带上，为雪峰、武陵两大 山系山脉夹峙，形成三面环山，由南部和西北部山地向中部及东部倾斜，呈“C”字形不完整的山间丘陵盆地。地势西峻东缓，南北高、中间低，从山地、丘陵到平原的过渡中有梯级降低现象。境内丘陵分布较广，主要集中于盆地中部，与山地存在着明显的地形转折，一般切割较深，起伏较大。</w:t>
      </w:r>
    </w:p>
    <w:p>
      <w:pPr>
        <w:spacing w:line="540" w:lineRule="exact"/>
        <w:ind w:firstLine="440"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桃源县为侵蚀构造地貌，由浅变质岩、砂岩、页岩或花岗石组成中山、低山，根据中国地震动 加速度峰值图和反应谱特征周期区划图，该地区地震动峰值加速度为0.15g，地震动反应谱特征周 期为0.35s，地震基本烈度为VII度。</w:t>
      </w:r>
    </w:p>
    <w:p>
      <w:pPr>
        <w:spacing w:line="540" w:lineRule="exact"/>
        <w:ind w:firstLine="440"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桃源县境内地层发育较全，从元古界冷家溪群至新生界第四系均有出露。地层以碳酸类和碎屑 崦类的沉积为主，而火成岩极不发育，矿产以沉积矿床为主，低温热液矿床为次，其资源极为丰富。</w:t>
      </w:r>
    </w:p>
    <w:p>
      <w:pPr>
        <w:spacing w:line="540" w:lineRule="exact"/>
        <w:rPr>
          <w:rFonts w:ascii="黑体" w:hAnsi="黑体" w:eastAsia="黑体" w:cs="黑体"/>
          <w:b/>
          <w:bCs/>
          <w:sz w:val="28"/>
          <w:szCs w:val="28"/>
        </w:rPr>
      </w:pPr>
      <w:r>
        <w:rPr>
          <w:rFonts w:hint="eastAsia" w:ascii="黑体" w:hAnsi="黑体" w:eastAsia="黑体" w:cs="黑体"/>
          <w:b/>
          <w:bCs/>
          <w:sz w:val="28"/>
          <w:szCs w:val="28"/>
        </w:rPr>
        <w:t>2.2.2  水文水系</w:t>
      </w:r>
    </w:p>
    <w:p>
      <w:pPr>
        <w:spacing w:line="540" w:lineRule="exact"/>
        <w:ind w:firstLine="440"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桃源县地处沅水流城下游，境内河库交错融汇，水资源丰富。沅江是县域内的主要河流，沅水 自西向东穿境而过，呈缺口朝北的“C”字形，在县境内长99公里，落差15米，年平均流量2080立方米/秒。县域内有大小河流48条，其中以县城为界以南有夷望溪、大杨溪、澄溪、水溪等，以北有白洋河、陬溪、延溪、仙人溪、大洑溪、小洑溪等。水系以沅水干流为界，分为南北两部分， 南部河流发源于雪峰山脉，河床坡度陡，落差大，北部河流发源于武陵山脉，流经丘陵和平原地区。 桃源县城区内主要纳污水体为新河，将县城区分为南北两部分，新河为沅水支流，其年均流量约</w:t>
      </w:r>
    </w:p>
    <w:p>
      <w:pPr>
        <w:spacing w:line="540" w:lineRule="exact"/>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 xml:space="preserve">11m/s，河宽50-80m，河深2m。 </w:t>
      </w:r>
    </w:p>
    <w:p>
      <w:pPr>
        <w:spacing w:line="540" w:lineRule="exact"/>
        <w:ind w:firstLine="440"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全县水资源总量439亿立方米，水能蕴藏量巨大。沅水桃源水文站历年平均水位为36.6米，最高水位为46.9米，最低水位30.07米。最大流量29000立方米/秒，最小流量184立方米/秒，河床主要为细砂、卵石，约占整个河床的95%以上，两岸为冲积砂壤土。沅水河段及各支流下游两岸，地 势较低，多冲积平原。全境岗地、平原占总面积的22.49%，丘陵占40.15%，山地占35.99%，余为沅 水干流水面。其土质，红壤居多，水稻土次之，还有黄壤、紫砂土等。</w:t>
      </w:r>
    </w:p>
    <w:p>
      <w:pPr>
        <w:spacing w:line="360" w:lineRule="auto"/>
        <w:rPr>
          <w:rFonts w:asciiTheme="majorEastAsia" w:hAnsiTheme="majorEastAsia" w:eastAsiaTheme="majorEastAsia" w:cstheme="majorEastAsia"/>
          <w:sz w:val="22"/>
          <w:szCs w:val="22"/>
        </w:rPr>
      </w:pPr>
    </w:p>
    <w:p>
      <w:pPr>
        <w:spacing w:line="540" w:lineRule="exact"/>
        <w:rPr>
          <w:rFonts w:ascii="黑体" w:hAnsi="黑体" w:eastAsia="黑体" w:cs="黑体"/>
          <w:b/>
          <w:bCs/>
          <w:sz w:val="28"/>
          <w:szCs w:val="28"/>
        </w:rPr>
      </w:pPr>
      <w:r>
        <w:rPr>
          <w:rFonts w:hint="eastAsia" w:ascii="黑体" w:hAnsi="黑体" w:eastAsia="黑体" w:cs="黑体"/>
          <w:b/>
          <w:bCs/>
          <w:sz w:val="28"/>
          <w:szCs w:val="28"/>
        </w:rPr>
        <w:t>2.2.3  气候条件</w:t>
      </w:r>
    </w:p>
    <w:p>
      <w:pPr>
        <w:spacing w:line="540" w:lineRule="exact"/>
        <w:ind w:firstLine="440"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桃源县域为中亚热带向北亚热带过渡地段，属中亚热带季风气候。气候特点是冷热四季分明， 干湿两季明显，多年平均气温为16.5℃。年平均气温分布除南部和西北部山区低于16℃之外，其余 均在16.0-16.5℃之间。月平均气温以1月最低，为4.5℃，7月最高，为28.5℃，3-10月皆在10℃以 上。县域位于雪峰山北端以安化县为中心的多雨区边缘，雨量由南向北递减。年平均降水量为1437 毫米，年平均相对湿度为82%。年日照时数1529小时，年平均日照率为5%。</w:t>
      </w:r>
    </w:p>
    <w:p>
      <w:pPr>
        <w:spacing w:line="540" w:lineRule="exact"/>
        <w:rPr>
          <w:rFonts w:ascii="黑体" w:hAnsi="黑体" w:eastAsia="黑体" w:cs="黑体"/>
          <w:b/>
          <w:bCs/>
          <w:sz w:val="28"/>
          <w:szCs w:val="28"/>
        </w:rPr>
      </w:pPr>
      <w:r>
        <w:rPr>
          <w:rFonts w:hint="eastAsia" w:ascii="黑体" w:hAnsi="黑体" w:eastAsia="黑体" w:cs="黑体"/>
          <w:b/>
          <w:bCs/>
          <w:sz w:val="28"/>
          <w:szCs w:val="28"/>
        </w:rPr>
        <w:t>2.2.4  植被覆盖</w:t>
      </w:r>
    </w:p>
    <w:p>
      <w:pPr>
        <w:spacing w:line="540" w:lineRule="exact"/>
        <w:ind w:firstLine="440"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桃源植被类型分为常绿阔叶林、落叶常绿阔叶混交林、针叶林、竹林、灌丛、草丛、经济林七 个群系型组。主要植被为马尾松、枫香、湖南椴树、山槐、白栎、油茶等。境内有乌云界国家级自 然保护区、沅水国家级湿地公园、望阳山省级自然保护区等生态保护区，是湖南省的重点林区县， 也是”中国竹子之乡”、”全国绿化模范县”。拥有草地52万亩，丘岗山地400万亩，森林蓄积量</w:t>
      </w:r>
    </w:p>
    <w:p>
      <w:pPr>
        <w:spacing w:line="540" w:lineRule="exact"/>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300多万立方米，楠竹蓄积量5200万根，森林覆盖率达65.47%。</w:t>
      </w:r>
    </w:p>
    <w:p>
      <w:pPr>
        <w:spacing w:line="540" w:lineRule="exact"/>
        <w:rPr>
          <w:rFonts w:ascii="黑体" w:hAnsi="黑体" w:eastAsia="黑体" w:cs="黑体"/>
          <w:b/>
          <w:bCs/>
          <w:sz w:val="28"/>
          <w:szCs w:val="28"/>
        </w:rPr>
      </w:pPr>
      <w:r>
        <w:rPr>
          <w:rFonts w:hint="eastAsia" w:ascii="黑体" w:hAnsi="黑体" w:eastAsia="黑体" w:cs="黑体"/>
          <w:b/>
          <w:bCs/>
          <w:sz w:val="28"/>
          <w:szCs w:val="28"/>
        </w:rPr>
        <w:t>2.2.5  土壤特征</w:t>
      </w:r>
    </w:p>
    <w:p>
      <w:pPr>
        <w:spacing w:line="540" w:lineRule="exact"/>
        <w:ind w:firstLine="440"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桃源县土壤垂直分布，具有明显的由红壤经黄红壤向黄壤过渡的特点。土壤以红壤为主，主要分布在海拔 650 米以下，其中海拔 500-650米为黄红壤亚类；650  米以上为山地黄壤。县内土壤分为地带性土壤、非地带性土壤。地带性土壤包括山地黄棕壤、山地黄壤和红壤，非地带性土壤包括紫色土、石灰土、潮沙泥土和水稻土。境内成土母岩以板页岩为主，其次为紫色砂岩、石灰岩砂砾岩。</w:t>
      </w:r>
    </w:p>
    <w:p>
      <w:pPr>
        <w:spacing w:line="540" w:lineRule="exact"/>
        <w:rPr>
          <w:rFonts w:ascii="黑体" w:hAnsi="黑体" w:eastAsia="黑体" w:cs="黑体"/>
          <w:b/>
          <w:bCs/>
          <w:sz w:val="28"/>
          <w:szCs w:val="28"/>
        </w:rPr>
      </w:pPr>
      <w:r>
        <w:rPr>
          <w:rFonts w:hint="eastAsia" w:ascii="黑体" w:hAnsi="黑体" w:eastAsia="黑体" w:cs="黑体"/>
          <w:b/>
          <w:bCs/>
          <w:sz w:val="28"/>
          <w:szCs w:val="28"/>
        </w:rPr>
        <w:t>2.2.6  自然资源</w:t>
      </w:r>
    </w:p>
    <w:p>
      <w:pPr>
        <w:spacing w:line="540" w:lineRule="exact"/>
        <w:ind w:firstLine="440"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桃源土肥水美，物产丰饶。不仅是盛产水稻、棉花、湘莲、花生、芝麻、西瓜的鱼米之乡，又是盛产梨、李、柑桔、枇杷、板栗、葡萄、猕猴桃、柰李、水蜜桃的植物园；不仅有桃源黑猪、桃 源大种鸡、湘西黄牛闻名遐迩，还有华南虎、果子狸、猴鹰、娃娃鱼等数十种珍奇野生动物；不仅 有玉雕工艺品、桃花石雕系列产品名扬海内外。桃源石材资源丰富，所产大理石、辉绿石、玛瑙石 驰名中外，人民大会堂湖南厅就是采用桃源的虎皮黄大理石板材装饰的。还有桂花糖、大叶茶、乌</w:t>
      </w:r>
    </w:p>
    <w:p>
      <w:pPr>
        <w:spacing w:line="540" w:lineRule="exact"/>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云毛尖，“福尔君”天然植物油等名优特产。县内有树种、草木植物1200余种。桃林落英缤纷，楠</w:t>
      </w:r>
    </w:p>
    <w:p>
      <w:pPr>
        <w:spacing w:line="540" w:lineRule="exact"/>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竹飞翠吐绿，银杏树、红柄木犀、松杉等珍贵树木遍及全县，一年四季郁郁葱葱。 桃源有储量丰富的金刚石、黄金、铜、铅、锌、石灰石、桃花石、重晶石等 27 种矿产资源。</w:t>
      </w:r>
    </w:p>
    <w:p>
      <w:pPr>
        <w:spacing w:line="540" w:lineRule="exact"/>
        <w:rPr>
          <w:rFonts w:ascii="黑体" w:hAnsi="黑体" w:eastAsia="黑体" w:cs="黑体"/>
          <w:b/>
          <w:bCs/>
          <w:sz w:val="30"/>
          <w:szCs w:val="30"/>
        </w:rPr>
      </w:pPr>
      <w:r>
        <w:rPr>
          <w:rFonts w:hint="eastAsia" w:ascii="黑体" w:hAnsi="黑体" w:eastAsia="黑体" w:cs="黑体"/>
          <w:b/>
          <w:bCs/>
          <w:sz w:val="30"/>
          <w:szCs w:val="30"/>
        </w:rPr>
        <w:t>2.3  社会经济状况</w:t>
      </w:r>
    </w:p>
    <w:p>
      <w:pPr>
        <w:spacing w:line="540" w:lineRule="exact"/>
        <w:rPr>
          <w:rFonts w:ascii="黑体" w:hAnsi="黑体" w:eastAsia="黑体" w:cs="黑体"/>
          <w:b/>
          <w:bCs/>
          <w:sz w:val="28"/>
          <w:szCs w:val="28"/>
        </w:rPr>
      </w:pPr>
      <w:r>
        <w:rPr>
          <w:rFonts w:hint="eastAsia" w:ascii="黑体" w:hAnsi="黑体" w:eastAsia="黑体" w:cs="黑体"/>
          <w:b/>
          <w:bCs/>
          <w:sz w:val="28"/>
          <w:szCs w:val="28"/>
        </w:rPr>
        <w:t>2.3.1  行政区划</w:t>
      </w:r>
    </w:p>
    <w:p>
      <w:pPr>
        <w:spacing w:line="540" w:lineRule="exact"/>
        <w:ind w:firstLine="440"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截至2019年，桃源县辖2个街道、22个镇、4个乡：漳江街道、浔阳街道、陬市镇、盘塘镇、热市镇、黄石镇、漆河镇、理公港镇、观音寺镇、龙潭镇、三阳港镇、剪市镇、茶庵铺镇、西安镇、 沙坪镇、架桥镇、马鬃岭镇、夷望溪镇、双溪口镇、九溪镇、牛车河镇、杨溪桥镇、郑家驿镇、木 塘垸镇、青林回族维吾尔族乡（青林乡）、枫树维吾尔族回族乡（枫树乡）、佘家坪乡、泥窝潭乡， 县政府驻漳江街道。行政村（居）共计 413个，其中已规划全部纳入城镇污水处理厂的行政村（居） 为54个，拟治理的行政村（居）为359个，农村人口704677人，户数220731户。</w:t>
      </w:r>
    </w:p>
    <w:p>
      <w:pPr>
        <w:spacing w:line="540" w:lineRule="exact"/>
        <w:jc w:val="center"/>
        <w:rPr>
          <w:rFonts w:asciiTheme="majorEastAsia" w:hAnsiTheme="majorEastAsia" w:eastAsiaTheme="majorEastAsia" w:cstheme="majorEastAsia"/>
          <w:sz w:val="22"/>
          <w:szCs w:val="22"/>
        </w:rPr>
      </w:pPr>
      <w:r>
        <w:rPr>
          <w:rFonts w:hint="eastAsia" w:ascii="黑体" w:hAnsi="黑体" w:eastAsia="黑体" w:cs="黑体"/>
          <w:sz w:val="22"/>
          <w:szCs w:val="22"/>
        </w:rPr>
        <w:t>表 2-1 桃源县各乡镇、村居范围</w:t>
      </w:r>
    </w:p>
    <w:tbl>
      <w:tblPr>
        <w:tblStyle w:val="6"/>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1106"/>
        <w:gridCol w:w="881"/>
        <w:gridCol w:w="713"/>
        <w:gridCol w:w="3506"/>
        <w:gridCol w:w="656"/>
        <w:gridCol w:w="2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vAlign w:val="center"/>
          </w:tcPr>
          <w:p>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序号</w:t>
            </w:r>
          </w:p>
        </w:tc>
        <w:tc>
          <w:tcPr>
            <w:tcW w:w="1106" w:type="dxa"/>
            <w:vAlign w:val="center"/>
          </w:tcPr>
          <w:p>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乡镇街道</w:t>
            </w:r>
          </w:p>
        </w:tc>
        <w:tc>
          <w:tcPr>
            <w:tcW w:w="881" w:type="dxa"/>
            <w:vAlign w:val="center"/>
          </w:tcPr>
          <w:p>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村（居）</w:t>
            </w:r>
          </w:p>
          <w:p>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个数</w:t>
            </w:r>
          </w:p>
        </w:tc>
        <w:tc>
          <w:tcPr>
            <w:tcW w:w="713" w:type="dxa"/>
            <w:vAlign w:val="center"/>
          </w:tcPr>
          <w:p>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村委</w:t>
            </w:r>
          </w:p>
          <w:p>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会数</w:t>
            </w:r>
          </w:p>
        </w:tc>
        <w:tc>
          <w:tcPr>
            <w:tcW w:w="3506" w:type="dxa"/>
            <w:vAlign w:val="center"/>
          </w:tcPr>
          <w:p>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村委会名单</w:t>
            </w:r>
          </w:p>
        </w:tc>
        <w:tc>
          <w:tcPr>
            <w:tcW w:w="656" w:type="dxa"/>
            <w:vAlign w:val="center"/>
          </w:tcPr>
          <w:p>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居委</w:t>
            </w:r>
          </w:p>
          <w:p>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会数</w:t>
            </w:r>
          </w:p>
        </w:tc>
        <w:tc>
          <w:tcPr>
            <w:tcW w:w="2077" w:type="dxa"/>
            <w:vAlign w:val="center"/>
          </w:tcPr>
          <w:p>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社区居民委会</w:t>
            </w:r>
          </w:p>
          <w:p>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w:t>
            </w:r>
          </w:p>
        </w:tc>
        <w:tc>
          <w:tcPr>
            <w:tcW w:w="1106"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浔阳街道</w:t>
            </w:r>
          </w:p>
        </w:tc>
        <w:tc>
          <w:tcPr>
            <w:tcW w:w="881"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18</w:t>
            </w:r>
          </w:p>
        </w:tc>
        <w:tc>
          <w:tcPr>
            <w:tcW w:w="713"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10</w:t>
            </w:r>
          </w:p>
        </w:tc>
        <w:tc>
          <w:tcPr>
            <w:tcW w:w="3506"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铁船堰、箓萝坪、福庆山、绿溪口、丰禾、镇江渡、仙石、教仁、大平、廻峰</w:t>
            </w:r>
          </w:p>
        </w:tc>
        <w:tc>
          <w:tcPr>
            <w:tcW w:w="656"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8</w:t>
            </w:r>
          </w:p>
        </w:tc>
        <w:tc>
          <w:tcPr>
            <w:tcW w:w="2077"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万寿桥、二里岗、莲花湖、洞庭宫、天子岗、尧河、八字路、 梅溪桥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w:t>
            </w:r>
          </w:p>
        </w:tc>
        <w:tc>
          <w:tcPr>
            <w:tcW w:w="1106"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漳江街道</w:t>
            </w:r>
          </w:p>
        </w:tc>
        <w:tc>
          <w:tcPr>
            <w:tcW w:w="881"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26</w:t>
            </w:r>
          </w:p>
        </w:tc>
        <w:tc>
          <w:tcPr>
            <w:tcW w:w="713"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13</w:t>
            </w:r>
          </w:p>
        </w:tc>
        <w:tc>
          <w:tcPr>
            <w:tcW w:w="3506"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金雁、金凤、云台、金旺、 和谐、 高桥、高岩、胜利、富强、高湖、延泉、海螺山、均田坪</w:t>
            </w:r>
          </w:p>
        </w:tc>
        <w:tc>
          <w:tcPr>
            <w:tcW w:w="656"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13</w:t>
            </w:r>
          </w:p>
        </w:tc>
        <w:tc>
          <w:tcPr>
            <w:tcW w:w="2077"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桐木港、交岩、官家坪、白佛阁、渔父祠、黄花井、文星园、西苑、纺城路、漳江阁、文昌阁、楚旺、观音巷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w:t>
            </w:r>
          </w:p>
        </w:tc>
        <w:tc>
          <w:tcPr>
            <w:tcW w:w="1106"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陬市镇</w:t>
            </w:r>
          </w:p>
        </w:tc>
        <w:tc>
          <w:tcPr>
            <w:tcW w:w="881"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20</w:t>
            </w:r>
          </w:p>
        </w:tc>
        <w:tc>
          <w:tcPr>
            <w:tcW w:w="713"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13</w:t>
            </w:r>
          </w:p>
        </w:tc>
        <w:tc>
          <w:tcPr>
            <w:tcW w:w="3506"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小马山、高湾、观音桥、长乐、畲田、神仙桥、青龙、福德山、酒铺岗、三里铺、新茶庵、团结路、鸬鹚洲</w:t>
            </w:r>
          </w:p>
        </w:tc>
        <w:tc>
          <w:tcPr>
            <w:tcW w:w="656"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7</w:t>
            </w:r>
          </w:p>
        </w:tc>
        <w:tc>
          <w:tcPr>
            <w:tcW w:w="2077"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兴盛街、下街、解放街 、李家洲、洋洲、 万家嘴、上街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w:t>
            </w:r>
          </w:p>
        </w:tc>
        <w:tc>
          <w:tcPr>
            <w:tcW w:w="1106"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漆河镇</w:t>
            </w:r>
          </w:p>
        </w:tc>
        <w:tc>
          <w:tcPr>
            <w:tcW w:w="881"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28</w:t>
            </w:r>
          </w:p>
        </w:tc>
        <w:tc>
          <w:tcPr>
            <w:tcW w:w="713"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23</w:t>
            </w:r>
          </w:p>
        </w:tc>
        <w:tc>
          <w:tcPr>
            <w:tcW w:w="3506"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铁佛寺、华岩河、汉宫庙、石板坪、八房坪、天宝 山、聚宝山、黄婆店、夺旗山、玉皇坪、勒马山、 灵岩寺、街头坪、长寿寺、杨家庄、曙光、列桥、 吕家、涌泉、龙昌、枫岭、乾元、重阳</w:t>
            </w:r>
          </w:p>
        </w:tc>
        <w:tc>
          <w:tcPr>
            <w:tcW w:w="656"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8</w:t>
            </w:r>
          </w:p>
        </w:tc>
        <w:tc>
          <w:tcPr>
            <w:tcW w:w="2077"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仙人山、仙鹤路、黄甲铺、长寿街、兴隆祠</w:t>
            </w:r>
          </w:p>
        </w:tc>
      </w:tr>
    </w:tbl>
    <w:p>
      <w:pPr>
        <w:rPr>
          <w:rFonts w:asciiTheme="majorEastAsia" w:hAnsiTheme="majorEastAsia" w:eastAsiaTheme="majorEastAsia" w:cstheme="majorEastAsia"/>
          <w:sz w:val="18"/>
          <w:szCs w:val="18"/>
        </w:rPr>
      </w:pPr>
    </w:p>
    <w:tbl>
      <w:tblPr>
        <w:tblStyle w:val="6"/>
        <w:tblW w:w="98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983"/>
        <w:gridCol w:w="900"/>
        <w:gridCol w:w="705"/>
        <w:gridCol w:w="4320"/>
        <w:gridCol w:w="720"/>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vAlign w:val="center"/>
          </w:tcPr>
          <w:p>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序号</w:t>
            </w:r>
          </w:p>
        </w:tc>
        <w:tc>
          <w:tcPr>
            <w:tcW w:w="983" w:type="dxa"/>
            <w:vAlign w:val="center"/>
          </w:tcPr>
          <w:p>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乡镇街道</w:t>
            </w:r>
          </w:p>
        </w:tc>
        <w:tc>
          <w:tcPr>
            <w:tcW w:w="900" w:type="dxa"/>
            <w:vAlign w:val="center"/>
          </w:tcPr>
          <w:p>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村（居）</w:t>
            </w:r>
          </w:p>
          <w:p>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个数</w:t>
            </w:r>
          </w:p>
        </w:tc>
        <w:tc>
          <w:tcPr>
            <w:tcW w:w="705" w:type="dxa"/>
            <w:vAlign w:val="center"/>
          </w:tcPr>
          <w:p>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村委</w:t>
            </w:r>
          </w:p>
          <w:p>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会数</w:t>
            </w:r>
          </w:p>
        </w:tc>
        <w:tc>
          <w:tcPr>
            <w:tcW w:w="4320" w:type="dxa"/>
            <w:vAlign w:val="center"/>
          </w:tcPr>
          <w:p>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村委会名单</w:t>
            </w:r>
          </w:p>
        </w:tc>
        <w:tc>
          <w:tcPr>
            <w:tcW w:w="720" w:type="dxa"/>
            <w:vAlign w:val="center"/>
          </w:tcPr>
          <w:p>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居委</w:t>
            </w:r>
          </w:p>
          <w:p>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会数</w:t>
            </w:r>
          </w:p>
        </w:tc>
        <w:tc>
          <w:tcPr>
            <w:tcW w:w="1500" w:type="dxa"/>
            <w:vAlign w:val="center"/>
          </w:tcPr>
          <w:p>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社区居民委会</w:t>
            </w:r>
          </w:p>
          <w:p>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5</w:t>
            </w:r>
          </w:p>
        </w:tc>
        <w:tc>
          <w:tcPr>
            <w:tcW w:w="983"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沙坪</w:t>
            </w:r>
          </w:p>
        </w:tc>
        <w:tc>
          <w:tcPr>
            <w:tcW w:w="900"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16</w:t>
            </w:r>
          </w:p>
        </w:tc>
        <w:tc>
          <w:tcPr>
            <w:tcW w:w="705"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13</w:t>
            </w:r>
          </w:p>
        </w:tc>
        <w:tc>
          <w:tcPr>
            <w:tcW w:w="4320"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沙坪、金明、西溪、红官、兰坪、乌云界、竹山、湖湘坪、赛阳、向阳、新跃、太平、老屋棚 </w:t>
            </w:r>
          </w:p>
        </w:tc>
        <w:tc>
          <w:tcPr>
            <w:tcW w:w="720"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w:t>
            </w:r>
          </w:p>
        </w:tc>
        <w:tc>
          <w:tcPr>
            <w:tcW w:w="1500"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万寿宫、芦荟、大兴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6</w:t>
            </w:r>
          </w:p>
        </w:tc>
        <w:tc>
          <w:tcPr>
            <w:tcW w:w="983"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三阳港镇</w:t>
            </w:r>
          </w:p>
        </w:tc>
        <w:tc>
          <w:tcPr>
            <w:tcW w:w="900"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13</w:t>
            </w:r>
          </w:p>
        </w:tc>
        <w:tc>
          <w:tcPr>
            <w:tcW w:w="705"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11</w:t>
            </w:r>
          </w:p>
        </w:tc>
        <w:tc>
          <w:tcPr>
            <w:tcW w:w="4320"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三阳港、袁家坪、茅叶寺、白栗坪、沙坡境、土黄坪、花山洞、跑马岭、向家坪、九庄墙、黄柏山</w:t>
            </w:r>
          </w:p>
        </w:tc>
        <w:tc>
          <w:tcPr>
            <w:tcW w:w="720"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w:t>
            </w:r>
          </w:p>
        </w:tc>
        <w:tc>
          <w:tcPr>
            <w:tcW w:w="1500"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中心、新湖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7</w:t>
            </w:r>
          </w:p>
        </w:tc>
        <w:tc>
          <w:tcPr>
            <w:tcW w:w="983"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黄石镇</w:t>
            </w:r>
          </w:p>
        </w:tc>
        <w:tc>
          <w:tcPr>
            <w:tcW w:w="900"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17</w:t>
            </w:r>
          </w:p>
        </w:tc>
        <w:tc>
          <w:tcPr>
            <w:tcW w:w="705"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13</w:t>
            </w:r>
          </w:p>
        </w:tc>
        <w:tc>
          <w:tcPr>
            <w:tcW w:w="4320"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黄安村、 杨柳 、东山、 桃花井、 新铺、 芭茅洲、 茶源、 香山、 大谷、观音洞、 花园、 新桥、新湾</w:t>
            </w:r>
          </w:p>
        </w:tc>
        <w:tc>
          <w:tcPr>
            <w:tcW w:w="720"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w:t>
            </w:r>
          </w:p>
        </w:tc>
        <w:tc>
          <w:tcPr>
            <w:tcW w:w="1500"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和平、万寿、金洪、凉井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8</w:t>
            </w:r>
          </w:p>
        </w:tc>
        <w:tc>
          <w:tcPr>
            <w:tcW w:w="983"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西安镇</w:t>
            </w:r>
          </w:p>
        </w:tc>
        <w:tc>
          <w:tcPr>
            <w:tcW w:w="900"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11</w:t>
            </w:r>
          </w:p>
        </w:tc>
        <w:tc>
          <w:tcPr>
            <w:tcW w:w="705"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10</w:t>
            </w:r>
          </w:p>
        </w:tc>
        <w:tc>
          <w:tcPr>
            <w:tcW w:w="4320"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东安、桥塘、西安、大水田、杨柳山、磨子坪、大池塘、白洋坪、薛家冲、桃安</w:t>
            </w:r>
          </w:p>
        </w:tc>
        <w:tc>
          <w:tcPr>
            <w:tcW w:w="720"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w:t>
            </w:r>
          </w:p>
        </w:tc>
        <w:tc>
          <w:tcPr>
            <w:tcW w:w="1500"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闵家坪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9</w:t>
            </w:r>
          </w:p>
        </w:tc>
        <w:tc>
          <w:tcPr>
            <w:tcW w:w="983"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理公港镇</w:t>
            </w:r>
          </w:p>
        </w:tc>
        <w:tc>
          <w:tcPr>
            <w:tcW w:w="900"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17</w:t>
            </w:r>
          </w:p>
        </w:tc>
        <w:tc>
          <w:tcPr>
            <w:tcW w:w="705"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15</w:t>
            </w:r>
          </w:p>
        </w:tc>
        <w:tc>
          <w:tcPr>
            <w:tcW w:w="4320"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殷家坪、城关、千丈河、陈家塔、杜坪、陈家界、 八斗丘、张家山、交界、黄家坪、金鸡山、小河口、 杨公桥、狮子坪、观音垭</w:t>
            </w:r>
          </w:p>
        </w:tc>
        <w:tc>
          <w:tcPr>
            <w:tcW w:w="720"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w:t>
            </w:r>
          </w:p>
        </w:tc>
        <w:tc>
          <w:tcPr>
            <w:tcW w:w="1500"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兰溪、青年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10</w:t>
            </w:r>
          </w:p>
        </w:tc>
        <w:tc>
          <w:tcPr>
            <w:tcW w:w="983"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龙潭镇</w:t>
            </w:r>
          </w:p>
        </w:tc>
        <w:tc>
          <w:tcPr>
            <w:tcW w:w="900"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15</w:t>
            </w:r>
          </w:p>
        </w:tc>
        <w:tc>
          <w:tcPr>
            <w:tcW w:w="705"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13</w:t>
            </w:r>
          </w:p>
        </w:tc>
        <w:tc>
          <w:tcPr>
            <w:tcW w:w="4320"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枣儿垭、翠峰、落家坪、梨树垭、同观山、鄢家溪、小洑溪、梁皇殿、黄伞坡、丁家坊、仙花山、杜家坊、东风</w:t>
            </w:r>
          </w:p>
        </w:tc>
        <w:tc>
          <w:tcPr>
            <w:tcW w:w="720"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w:t>
            </w:r>
          </w:p>
        </w:tc>
        <w:tc>
          <w:tcPr>
            <w:tcW w:w="1500"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龙潭、龙中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11</w:t>
            </w:r>
          </w:p>
        </w:tc>
        <w:tc>
          <w:tcPr>
            <w:tcW w:w="983"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剪市镇</w:t>
            </w:r>
          </w:p>
        </w:tc>
        <w:tc>
          <w:tcPr>
            <w:tcW w:w="900"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9</w:t>
            </w:r>
          </w:p>
        </w:tc>
        <w:tc>
          <w:tcPr>
            <w:tcW w:w="705"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7</w:t>
            </w:r>
          </w:p>
        </w:tc>
        <w:tc>
          <w:tcPr>
            <w:tcW w:w="4320"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喜雨、 沙萝、 双龙、狮子殿、八公桥、 十字路、 玉皇殿</w:t>
            </w:r>
          </w:p>
        </w:tc>
        <w:tc>
          <w:tcPr>
            <w:tcW w:w="720"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w:t>
            </w:r>
          </w:p>
        </w:tc>
        <w:tc>
          <w:tcPr>
            <w:tcW w:w="1500"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中巷口、剪家溪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12</w:t>
            </w:r>
          </w:p>
        </w:tc>
        <w:tc>
          <w:tcPr>
            <w:tcW w:w="983"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茶庵铺镇</w:t>
            </w:r>
          </w:p>
        </w:tc>
        <w:tc>
          <w:tcPr>
            <w:tcW w:w="900"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19</w:t>
            </w:r>
          </w:p>
        </w:tc>
        <w:tc>
          <w:tcPr>
            <w:tcW w:w="705"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16</w:t>
            </w:r>
          </w:p>
        </w:tc>
        <w:tc>
          <w:tcPr>
            <w:tcW w:w="4320"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木旺溪、成功坪、六家冲、湖塘、小桃源、铁山溪、 茶庵铺、 新店驿、古溶溪、长板铺、三元潭、松阳坪、李梓溪、七里冲 黄鹿坪、尚寺坪</w:t>
            </w:r>
          </w:p>
        </w:tc>
        <w:tc>
          <w:tcPr>
            <w:tcW w:w="720"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w:t>
            </w:r>
          </w:p>
        </w:tc>
        <w:tc>
          <w:tcPr>
            <w:tcW w:w="1500"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桥东、太平铺、桥西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13</w:t>
            </w:r>
          </w:p>
        </w:tc>
        <w:tc>
          <w:tcPr>
            <w:tcW w:w="983"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盘塘镇</w:t>
            </w:r>
          </w:p>
        </w:tc>
        <w:tc>
          <w:tcPr>
            <w:tcW w:w="900"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9</w:t>
            </w:r>
          </w:p>
        </w:tc>
        <w:tc>
          <w:tcPr>
            <w:tcW w:w="705"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7</w:t>
            </w:r>
          </w:p>
        </w:tc>
        <w:tc>
          <w:tcPr>
            <w:tcW w:w="4320"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莲蓬岗、朱家港、董家坪、青草岗、黄叶岗、常青、 红岩山</w:t>
            </w:r>
          </w:p>
        </w:tc>
        <w:tc>
          <w:tcPr>
            <w:tcW w:w="720"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w:t>
            </w:r>
          </w:p>
        </w:tc>
        <w:tc>
          <w:tcPr>
            <w:tcW w:w="1500"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盘龙桥、回龙庵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14</w:t>
            </w:r>
          </w:p>
        </w:tc>
        <w:tc>
          <w:tcPr>
            <w:tcW w:w="983"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热市镇</w:t>
            </w:r>
          </w:p>
        </w:tc>
        <w:tc>
          <w:tcPr>
            <w:tcW w:w="900"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27</w:t>
            </w:r>
          </w:p>
        </w:tc>
        <w:tc>
          <w:tcPr>
            <w:tcW w:w="705"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24</w:t>
            </w:r>
          </w:p>
        </w:tc>
        <w:tc>
          <w:tcPr>
            <w:tcW w:w="4320"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凤鸣、彰善、云盘山、永凤、马家堰、莒蒲、山河、 白鹤、 戈尔潭、龙家嘴、荣禄、大田、桃子、太平寺、夏家峪、会同、温泉、明月、郭家垭、 刘坪、 岩桥坪、和平、天会、暴家</w:t>
            </w:r>
          </w:p>
        </w:tc>
        <w:tc>
          <w:tcPr>
            <w:tcW w:w="720"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w:t>
            </w:r>
          </w:p>
        </w:tc>
        <w:tc>
          <w:tcPr>
            <w:tcW w:w="1500"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棠梨岗、郝仙坪、热水坑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15</w:t>
            </w:r>
          </w:p>
        </w:tc>
        <w:tc>
          <w:tcPr>
            <w:tcW w:w="983"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观音寺镇</w:t>
            </w:r>
          </w:p>
        </w:tc>
        <w:tc>
          <w:tcPr>
            <w:tcW w:w="900"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18</w:t>
            </w:r>
          </w:p>
        </w:tc>
        <w:tc>
          <w:tcPr>
            <w:tcW w:w="705"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16</w:t>
            </w:r>
          </w:p>
        </w:tc>
        <w:tc>
          <w:tcPr>
            <w:tcW w:w="4320"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东阳溪、李家坪、曾家河、道山头、野猪溪、万阳山、会人溪 汤田界、燕家坪、羊楼坪、马宗岭、杨家溪、舒溪、大洑溪、桃儿堉、高都驿</w:t>
            </w:r>
          </w:p>
        </w:tc>
        <w:tc>
          <w:tcPr>
            <w:tcW w:w="720"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w:t>
            </w:r>
          </w:p>
        </w:tc>
        <w:tc>
          <w:tcPr>
            <w:tcW w:w="1500"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长潭坪、姚家坪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16</w:t>
            </w:r>
          </w:p>
        </w:tc>
        <w:tc>
          <w:tcPr>
            <w:tcW w:w="983"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马鬃岭镇</w:t>
            </w:r>
          </w:p>
        </w:tc>
        <w:tc>
          <w:tcPr>
            <w:tcW w:w="900"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8</w:t>
            </w:r>
          </w:p>
        </w:tc>
        <w:tc>
          <w:tcPr>
            <w:tcW w:w="705"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7</w:t>
            </w:r>
          </w:p>
        </w:tc>
        <w:tc>
          <w:tcPr>
            <w:tcW w:w="4320"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兴街、木槎桥、理鸣、刘炎、三口堰、兴庵、平安</w:t>
            </w:r>
          </w:p>
        </w:tc>
        <w:tc>
          <w:tcPr>
            <w:tcW w:w="720"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w:t>
            </w:r>
          </w:p>
        </w:tc>
        <w:tc>
          <w:tcPr>
            <w:tcW w:w="1500"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马鬃岭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17</w:t>
            </w:r>
          </w:p>
        </w:tc>
        <w:tc>
          <w:tcPr>
            <w:tcW w:w="983"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架桥镇</w:t>
            </w:r>
          </w:p>
        </w:tc>
        <w:tc>
          <w:tcPr>
            <w:tcW w:w="900"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12</w:t>
            </w:r>
          </w:p>
        </w:tc>
        <w:tc>
          <w:tcPr>
            <w:tcW w:w="705"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10</w:t>
            </w:r>
          </w:p>
        </w:tc>
        <w:tc>
          <w:tcPr>
            <w:tcW w:w="4320"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叶家坡、茶林、挖断岗、先锋、翰林、黄龙、栖风山、祠堂、 朝阳、马路</w:t>
            </w:r>
          </w:p>
        </w:tc>
        <w:tc>
          <w:tcPr>
            <w:tcW w:w="720"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w:t>
            </w:r>
          </w:p>
        </w:tc>
        <w:tc>
          <w:tcPr>
            <w:tcW w:w="1500"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架桥、东门桥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18</w:t>
            </w:r>
          </w:p>
        </w:tc>
        <w:tc>
          <w:tcPr>
            <w:tcW w:w="983"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夷望溪镇</w:t>
            </w:r>
          </w:p>
        </w:tc>
        <w:tc>
          <w:tcPr>
            <w:tcW w:w="900"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16</w:t>
            </w:r>
          </w:p>
        </w:tc>
        <w:tc>
          <w:tcPr>
            <w:tcW w:w="705"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12</w:t>
            </w:r>
          </w:p>
        </w:tc>
        <w:tc>
          <w:tcPr>
            <w:tcW w:w="4320"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岩巴嘴、红鹤、桂竹园、牧马口、仙人溪、竹园、夷望溪、大同、龙潭溪、简家溪、 大樟树、 松林</w:t>
            </w:r>
          </w:p>
        </w:tc>
        <w:tc>
          <w:tcPr>
            <w:tcW w:w="720"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w:t>
            </w:r>
          </w:p>
        </w:tc>
        <w:tc>
          <w:tcPr>
            <w:tcW w:w="1500"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凌津滩、马石、兴隆一甲城</w:t>
            </w:r>
          </w:p>
        </w:tc>
      </w:tr>
    </w:tbl>
    <w:tbl>
      <w:tblPr>
        <w:tblStyle w:val="6"/>
        <w:tblpPr w:leftFromText="180" w:rightFromText="180" w:vertAnchor="text" w:horzAnchor="page" w:tblpX="1358" w:tblpYSpec="center"/>
        <w:tblOverlap w:val="never"/>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095"/>
        <w:gridCol w:w="870"/>
        <w:gridCol w:w="705"/>
        <w:gridCol w:w="3960"/>
        <w:gridCol w:w="750"/>
        <w:gridCol w:w="1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序号</w:t>
            </w:r>
          </w:p>
        </w:tc>
        <w:tc>
          <w:tcPr>
            <w:tcW w:w="1095" w:type="dxa"/>
            <w:vAlign w:val="center"/>
          </w:tcPr>
          <w:p>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乡镇街道</w:t>
            </w:r>
          </w:p>
        </w:tc>
        <w:tc>
          <w:tcPr>
            <w:tcW w:w="870" w:type="dxa"/>
            <w:vAlign w:val="center"/>
          </w:tcPr>
          <w:p>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村（居）</w:t>
            </w:r>
          </w:p>
          <w:p>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个数</w:t>
            </w:r>
          </w:p>
        </w:tc>
        <w:tc>
          <w:tcPr>
            <w:tcW w:w="705" w:type="dxa"/>
            <w:vAlign w:val="center"/>
          </w:tcPr>
          <w:p>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村委</w:t>
            </w:r>
          </w:p>
          <w:p>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会数</w:t>
            </w:r>
          </w:p>
        </w:tc>
        <w:tc>
          <w:tcPr>
            <w:tcW w:w="3960" w:type="dxa"/>
            <w:vAlign w:val="center"/>
          </w:tcPr>
          <w:p>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村委会名单</w:t>
            </w:r>
          </w:p>
        </w:tc>
        <w:tc>
          <w:tcPr>
            <w:tcW w:w="750" w:type="dxa"/>
            <w:vAlign w:val="center"/>
          </w:tcPr>
          <w:p>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居委</w:t>
            </w:r>
          </w:p>
          <w:p>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会数</w:t>
            </w:r>
          </w:p>
        </w:tc>
        <w:tc>
          <w:tcPr>
            <w:tcW w:w="1548" w:type="dxa"/>
            <w:vAlign w:val="center"/>
          </w:tcPr>
          <w:p>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社区居民委会</w:t>
            </w:r>
          </w:p>
          <w:p>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19</w:t>
            </w:r>
          </w:p>
        </w:tc>
        <w:tc>
          <w:tcPr>
            <w:tcW w:w="1095"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双溪口镇</w:t>
            </w:r>
          </w:p>
        </w:tc>
        <w:tc>
          <w:tcPr>
            <w:tcW w:w="870"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11</w:t>
            </w:r>
          </w:p>
        </w:tc>
        <w:tc>
          <w:tcPr>
            <w:tcW w:w="705"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9</w:t>
            </w:r>
          </w:p>
        </w:tc>
        <w:tc>
          <w:tcPr>
            <w:tcW w:w="3960"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烽火岗、龙珠山、东阳山、先锋、金紫山、幸福岗、一字山、杨家坪、洞湾 </w:t>
            </w:r>
          </w:p>
        </w:tc>
        <w:tc>
          <w:tcPr>
            <w:tcW w:w="750"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w:t>
            </w:r>
          </w:p>
        </w:tc>
        <w:tc>
          <w:tcPr>
            <w:tcW w:w="1548"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黄龙、复兴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20</w:t>
            </w:r>
          </w:p>
        </w:tc>
        <w:tc>
          <w:tcPr>
            <w:tcW w:w="1095"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九溪镇</w:t>
            </w:r>
          </w:p>
        </w:tc>
        <w:tc>
          <w:tcPr>
            <w:tcW w:w="870"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13</w:t>
            </w:r>
          </w:p>
        </w:tc>
        <w:tc>
          <w:tcPr>
            <w:tcW w:w="705"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12</w:t>
            </w:r>
          </w:p>
        </w:tc>
        <w:tc>
          <w:tcPr>
            <w:tcW w:w="3960"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凉桥、兴龙、青华、土金、官坪、板桥、笔架、六一阁、围坪、正气、孙家河、白岩</w:t>
            </w:r>
          </w:p>
        </w:tc>
        <w:tc>
          <w:tcPr>
            <w:tcW w:w="750"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w:t>
            </w:r>
          </w:p>
        </w:tc>
        <w:tc>
          <w:tcPr>
            <w:tcW w:w="1548"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九溪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21</w:t>
            </w:r>
          </w:p>
        </w:tc>
        <w:tc>
          <w:tcPr>
            <w:tcW w:w="1095"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牛车河镇</w:t>
            </w:r>
          </w:p>
        </w:tc>
        <w:tc>
          <w:tcPr>
            <w:tcW w:w="870"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12</w:t>
            </w:r>
          </w:p>
        </w:tc>
        <w:tc>
          <w:tcPr>
            <w:tcW w:w="705"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10</w:t>
            </w:r>
          </w:p>
        </w:tc>
        <w:tc>
          <w:tcPr>
            <w:tcW w:w="3960"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三龙、三红、大庄坪、北斗溪、汤家溪、毛坪、毛公坝、马路坪、唐家坪、殷家桥</w:t>
            </w:r>
          </w:p>
        </w:tc>
        <w:tc>
          <w:tcPr>
            <w:tcW w:w="750"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w:t>
            </w:r>
          </w:p>
        </w:tc>
        <w:tc>
          <w:tcPr>
            <w:tcW w:w="1548"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丁家坪、柿子坪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22</w:t>
            </w:r>
          </w:p>
        </w:tc>
        <w:tc>
          <w:tcPr>
            <w:tcW w:w="1095"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杨溪桥镇</w:t>
            </w:r>
          </w:p>
        </w:tc>
        <w:tc>
          <w:tcPr>
            <w:tcW w:w="870"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14</w:t>
            </w:r>
          </w:p>
        </w:tc>
        <w:tc>
          <w:tcPr>
            <w:tcW w:w="705"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12</w:t>
            </w:r>
          </w:p>
        </w:tc>
        <w:tc>
          <w:tcPr>
            <w:tcW w:w="3960"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朝阳庵、羯羊铺、铁山溪、沙堤、江里溪、岩吾溪、黄泥田、落马洞、牯牛山、十八登、煌山、蔡家塘</w:t>
            </w:r>
          </w:p>
        </w:tc>
        <w:tc>
          <w:tcPr>
            <w:tcW w:w="750"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w:t>
            </w:r>
          </w:p>
        </w:tc>
        <w:tc>
          <w:tcPr>
            <w:tcW w:w="1548"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杨溪桥、冷家溪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23</w:t>
            </w:r>
          </w:p>
        </w:tc>
        <w:tc>
          <w:tcPr>
            <w:tcW w:w="1095"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郑家驿镇</w:t>
            </w:r>
          </w:p>
        </w:tc>
        <w:tc>
          <w:tcPr>
            <w:tcW w:w="870"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14</w:t>
            </w:r>
          </w:p>
        </w:tc>
        <w:tc>
          <w:tcPr>
            <w:tcW w:w="705"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12</w:t>
            </w:r>
          </w:p>
        </w:tc>
        <w:tc>
          <w:tcPr>
            <w:tcW w:w="3960"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澄溪桥、三阳桥、麦家、高岩、五里、常吉、新石、 郑家河、游鹿溪、梨子岗、鲜花、青铜溪</w:t>
            </w:r>
          </w:p>
        </w:tc>
        <w:tc>
          <w:tcPr>
            <w:tcW w:w="750"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w:t>
            </w:r>
          </w:p>
        </w:tc>
        <w:tc>
          <w:tcPr>
            <w:tcW w:w="1548"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郑家驿 寺坪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24</w:t>
            </w:r>
          </w:p>
        </w:tc>
        <w:tc>
          <w:tcPr>
            <w:tcW w:w="1095"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木塘垸镇</w:t>
            </w:r>
          </w:p>
        </w:tc>
        <w:tc>
          <w:tcPr>
            <w:tcW w:w="870"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7</w:t>
            </w:r>
          </w:p>
        </w:tc>
        <w:tc>
          <w:tcPr>
            <w:tcW w:w="705"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5</w:t>
            </w:r>
          </w:p>
        </w:tc>
        <w:tc>
          <w:tcPr>
            <w:tcW w:w="3960"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金山、湖田、仁丰、马鞍坡、孙家河</w:t>
            </w:r>
          </w:p>
        </w:tc>
        <w:tc>
          <w:tcPr>
            <w:tcW w:w="750"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w:t>
            </w:r>
          </w:p>
        </w:tc>
        <w:tc>
          <w:tcPr>
            <w:tcW w:w="1548"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正洪、庆兰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25</w:t>
            </w:r>
          </w:p>
        </w:tc>
        <w:tc>
          <w:tcPr>
            <w:tcW w:w="1095"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青林乡</w:t>
            </w:r>
          </w:p>
        </w:tc>
        <w:tc>
          <w:tcPr>
            <w:tcW w:w="870"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13</w:t>
            </w:r>
          </w:p>
        </w:tc>
        <w:tc>
          <w:tcPr>
            <w:tcW w:w="705"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13</w:t>
            </w:r>
          </w:p>
        </w:tc>
        <w:tc>
          <w:tcPr>
            <w:tcW w:w="3960"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青林、 金堰、 采菱、 三岗、 白洋河、 督粮冲、 姜岩、 龙潭桥、九龙山、老官坪、浯溪河、明月山、 莫南回维</w:t>
            </w:r>
          </w:p>
        </w:tc>
        <w:tc>
          <w:tcPr>
            <w:tcW w:w="750" w:type="dxa"/>
            <w:vAlign w:val="center"/>
          </w:tcPr>
          <w:p>
            <w:pPr>
              <w:jc w:val="center"/>
              <w:rPr>
                <w:rFonts w:asciiTheme="majorEastAsia" w:hAnsiTheme="majorEastAsia" w:eastAsiaTheme="majorEastAsia" w:cstheme="majorEastAsia"/>
                <w:szCs w:val="21"/>
              </w:rPr>
            </w:pPr>
          </w:p>
        </w:tc>
        <w:tc>
          <w:tcPr>
            <w:tcW w:w="1548" w:type="dxa"/>
            <w:vAlign w:val="center"/>
          </w:tcPr>
          <w:p>
            <w:pPr>
              <w:jc w:val="center"/>
              <w:rPr>
                <w:rFonts w:asciiTheme="majorEastAsia" w:hAnsiTheme="majorEastAsia" w:eastAsiaTheme="majorEastAsia" w:cs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26</w:t>
            </w:r>
          </w:p>
        </w:tc>
        <w:tc>
          <w:tcPr>
            <w:tcW w:w="1095"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枫树乡</w:t>
            </w:r>
          </w:p>
        </w:tc>
        <w:tc>
          <w:tcPr>
            <w:tcW w:w="870"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12</w:t>
            </w:r>
          </w:p>
        </w:tc>
        <w:tc>
          <w:tcPr>
            <w:tcW w:w="705"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12</w:t>
            </w:r>
          </w:p>
        </w:tc>
        <w:tc>
          <w:tcPr>
            <w:tcW w:w="3960"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大马山、万福新、白洋河、红旗、金凤桥、田河坝、 维回、庄家桥、丰渡嘴、金鸡、苏家堆、桐岭</w:t>
            </w:r>
          </w:p>
        </w:tc>
        <w:tc>
          <w:tcPr>
            <w:tcW w:w="750" w:type="dxa"/>
            <w:vAlign w:val="center"/>
          </w:tcPr>
          <w:p>
            <w:pPr>
              <w:jc w:val="center"/>
              <w:rPr>
                <w:rFonts w:asciiTheme="majorEastAsia" w:hAnsiTheme="majorEastAsia" w:eastAsiaTheme="majorEastAsia" w:cstheme="majorEastAsia"/>
                <w:szCs w:val="21"/>
              </w:rPr>
            </w:pPr>
          </w:p>
        </w:tc>
        <w:tc>
          <w:tcPr>
            <w:tcW w:w="1548" w:type="dxa"/>
            <w:vAlign w:val="center"/>
          </w:tcPr>
          <w:p>
            <w:pPr>
              <w:jc w:val="center"/>
              <w:rPr>
                <w:rFonts w:asciiTheme="majorEastAsia" w:hAnsiTheme="majorEastAsia" w:eastAsiaTheme="majorEastAsia" w:cs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27</w:t>
            </w:r>
          </w:p>
        </w:tc>
        <w:tc>
          <w:tcPr>
            <w:tcW w:w="1095"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佘家坪乡</w:t>
            </w:r>
          </w:p>
        </w:tc>
        <w:tc>
          <w:tcPr>
            <w:tcW w:w="870"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9</w:t>
            </w:r>
          </w:p>
        </w:tc>
        <w:tc>
          <w:tcPr>
            <w:tcW w:w="705"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9</w:t>
            </w:r>
          </w:p>
        </w:tc>
        <w:tc>
          <w:tcPr>
            <w:tcW w:w="3960"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前山桥、赫曦峪、龙阳坪、三圣殿、东岳殿、龙潮寺、雷峰山、新港、南岳殿</w:t>
            </w:r>
          </w:p>
        </w:tc>
        <w:tc>
          <w:tcPr>
            <w:tcW w:w="750" w:type="dxa"/>
            <w:vAlign w:val="center"/>
          </w:tcPr>
          <w:p>
            <w:pPr>
              <w:jc w:val="center"/>
              <w:rPr>
                <w:rFonts w:asciiTheme="majorEastAsia" w:hAnsiTheme="majorEastAsia" w:eastAsiaTheme="majorEastAsia" w:cstheme="majorEastAsia"/>
                <w:szCs w:val="21"/>
              </w:rPr>
            </w:pPr>
          </w:p>
        </w:tc>
        <w:tc>
          <w:tcPr>
            <w:tcW w:w="1548" w:type="dxa"/>
            <w:vAlign w:val="center"/>
          </w:tcPr>
          <w:p>
            <w:pPr>
              <w:jc w:val="center"/>
              <w:rPr>
                <w:rFonts w:asciiTheme="majorEastAsia" w:hAnsiTheme="majorEastAsia" w:eastAsiaTheme="majorEastAsia" w:cs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28</w:t>
            </w:r>
          </w:p>
        </w:tc>
        <w:tc>
          <w:tcPr>
            <w:tcW w:w="1095"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泥窝潭乡</w:t>
            </w:r>
          </w:p>
        </w:tc>
        <w:tc>
          <w:tcPr>
            <w:tcW w:w="870"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9</w:t>
            </w:r>
          </w:p>
        </w:tc>
        <w:tc>
          <w:tcPr>
            <w:tcW w:w="705"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9</w:t>
            </w:r>
          </w:p>
        </w:tc>
        <w:tc>
          <w:tcPr>
            <w:tcW w:w="3960"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燕岩庙、牛车磴、岩溪寺、青龙山、官宦坪、古岩靖、枫树坪、灵雨寺、五马寨</w:t>
            </w:r>
          </w:p>
        </w:tc>
        <w:tc>
          <w:tcPr>
            <w:tcW w:w="750" w:type="dxa"/>
            <w:vAlign w:val="center"/>
          </w:tcPr>
          <w:p>
            <w:pPr>
              <w:jc w:val="center"/>
              <w:rPr>
                <w:rFonts w:asciiTheme="majorEastAsia" w:hAnsiTheme="majorEastAsia" w:eastAsiaTheme="majorEastAsia" w:cstheme="majorEastAsia"/>
                <w:szCs w:val="21"/>
              </w:rPr>
            </w:pPr>
          </w:p>
        </w:tc>
        <w:tc>
          <w:tcPr>
            <w:tcW w:w="1548" w:type="dxa"/>
            <w:vAlign w:val="center"/>
          </w:tcPr>
          <w:p>
            <w:pPr>
              <w:jc w:val="center"/>
              <w:rPr>
                <w:rFonts w:asciiTheme="majorEastAsia" w:hAnsiTheme="majorEastAsia" w:eastAsiaTheme="majorEastAsia" w:cstheme="majorEastAsia"/>
                <w:szCs w:val="21"/>
              </w:rPr>
            </w:pPr>
          </w:p>
        </w:tc>
      </w:tr>
    </w:tbl>
    <w:p>
      <w:pPr>
        <w:spacing w:line="540" w:lineRule="exact"/>
        <w:rPr>
          <w:rFonts w:ascii="黑体" w:hAnsi="黑体" w:eastAsia="黑体" w:cs="黑体"/>
          <w:b/>
          <w:bCs/>
          <w:sz w:val="28"/>
          <w:szCs w:val="28"/>
        </w:rPr>
      </w:pPr>
    </w:p>
    <w:p>
      <w:pPr>
        <w:spacing w:line="540" w:lineRule="exact"/>
        <w:rPr>
          <w:rFonts w:ascii="黑体" w:hAnsi="黑体" w:eastAsia="黑体" w:cs="黑体"/>
          <w:b/>
          <w:bCs/>
          <w:sz w:val="28"/>
          <w:szCs w:val="28"/>
        </w:rPr>
      </w:pPr>
      <w:r>
        <w:rPr>
          <w:rFonts w:hint="eastAsia" w:ascii="黑体" w:hAnsi="黑体" w:eastAsia="黑体" w:cs="黑体"/>
          <w:b/>
          <w:bCs/>
          <w:sz w:val="28"/>
          <w:szCs w:val="28"/>
        </w:rPr>
        <w:t>2.3.2  农村人口分布与密度</w:t>
      </w:r>
    </w:p>
    <w:p>
      <w:pPr>
        <w:spacing w:line="540" w:lineRule="exact"/>
        <w:ind w:firstLine="440"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截至2018年末，桃源县户籍总人口（公安数、自然年度）为930283人，人口密度为220人/平方 公里。其中城镇人口225606人、农村人口704677人。全县男性人口478424人，女性人口451859人，人口自然增长率为-1.08‰。年末常住人口82.1万人，其中城镇人口35.32万人、农村人口46.78万人；城镇化率为41.90%。乡镇人口基本情况详见下表。</w:t>
      </w:r>
    </w:p>
    <w:p>
      <w:pPr>
        <w:spacing w:line="540" w:lineRule="exact"/>
        <w:jc w:val="center"/>
        <w:rPr>
          <w:rFonts w:ascii="黑体" w:hAnsi="黑体" w:eastAsia="黑体" w:cs="黑体"/>
          <w:sz w:val="22"/>
          <w:szCs w:val="22"/>
        </w:rPr>
      </w:pPr>
      <w:r>
        <w:rPr>
          <w:rFonts w:hint="eastAsia" w:ascii="黑体" w:hAnsi="黑体" w:eastAsia="黑体" w:cs="黑体"/>
          <w:sz w:val="22"/>
          <w:szCs w:val="22"/>
        </w:rPr>
        <w:t>表 2-2 桃源县各乡镇人口基本情况表</w:t>
      </w:r>
    </w:p>
    <w:tbl>
      <w:tblPr>
        <w:tblStyle w:val="6"/>
        <w:tblW w:w="9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144"/>
        <w:gridCol w:w="1012"/>
        <w:gridCol w:w="994"/>
        <w:gridCol w:w="989"/>
        <w:gridCol w:w="867"/>
        <w:gridCol w:w="1088"/>
        <w:gridCol w:w="1087"/>
        <w:gridCol w:w="1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708" w:type="dxa"/>
            <w:vMerge w:val="restart"/>
            <w:vAlign w:val="center"/>
          </w:tcPr>
          <w:p>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序号</w:t>
            </w:r>
          </w:p>
        </w:tc>
        <w:tc>
          <w:tcPr>
            <w:tcW w:w="1144" w:type="dxa"/>
            <w:vMerge w:val="restart"/>
            <w:vAlign w:val="center"/>
          </w:tcPr>
          <w:p>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乡镇名称</w:t>
            </w:r>
          </w:p>
        </w:tc>
        <w:tc>
          <w:tcPr>
            <w:tcW w:w="1012" w:type="dxa"/>
            <w:vMerge w:val="restart"/>
            <w:vAlign w:val="center"/>
          </w:tcPr>
          <w:p>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年末</w:t>
            </w:r>
          </w:p>
          <w:p>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总户数</w:t>
            </w:r>
          </w:p>
        </w:tc>
        <w:tc>
          <w:tcPr>
            <w:tcW w:w="994" w:type="dxa"/>
            <w:vMerge w:val="restart"/>
            <w:vAlign w:val="center"/>
          </w:tcPr>
          <w:p>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年末</w:t>
            </w:r>
          </w:p>
          <w:p>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总人口</w:t>
            </w:r>
          </w:p>
        </w:tc>
        <w:tc>
          <w:tcPr>
            <w:tcW w:w="1856" w:type="dxa"/>
            <w:gridSpan w:val="2"/>
            <w:vAlign w:val="center"/>
          </w:tcPr>
          <w:p>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按性别分</w:t>
            </w:r>
          </w:p>
        </w:tc>
        <w:tc>
          <w:tcPr>
            <w:tcW w:w="2175" w:type="dxa"/>
            <w:gridSpan w:val="2"/>
            <w:vAlign w:val="center"/>
          </w:tcPr>
          <w:p>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按职业分</w:t>
            </w:r>
          </w:p>
        </w:tc>
        <w:tc>
          <w:tcPr>
            <w:tcW w:w="1751" w:type="dxa"/>
            <w:vMerge w:val="restart"/>
            <w:vAlign w:val="center"/>
          </w:tcPr>
          <w:p>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人口密度</w:t>
            </w:r>
          </w:p>
          <w:p>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（人/平方公里）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708" w:type="dxa"/>
            <w:vMerge w:val="continue"/>
            <w:vAlign w:val="center"/>
          </w:tcPr>
          <w:p>
            <w:pPr>
              <w:jc w:val="center"/>
              <w:rPr>
                <w:rFonts w:ascii="黑体" w:hAnsi="黑体" w:eastAsia="黑体" w:cs="黑体"/>
                <w:szCs w:val="21"/>
              </w:rPr>
            </w:pPr>
          </w:p>
        </w:tc>
        <w:tc>
          <w:tcPr>
            <w:tcW w:w="1144" w:type="dxa"/>
            <w:vMerge w:val="continue"/>
            <w:vAlign w:val="center"/>
          </w:tcPr>
          <w:p>
            <w:pPr>
              <w:jc w:val="center"/>
              <w:rPr>
                <w:rFonts w:ascii="黑体" w:hAnsi="黑体" w:eastAsia="黑体" w:cs="黑体"/>
                <w:szCs w:val="21"/>
              </w:rPr>
            </w:pPr>
          </w:p>
        </w:tc>
        <w:tc>
          <w:tcPr>
            <w:tcW w:w="1012" w:type="dxa"/>
            <w:vMerge w:val="continue"/>
            <w:vAlign w:val="center"/>
          </w:tcPr>
          <w:p>
            <w:pPr>
              <w:jc w:val="center"/>
              <w:rPr>
                <w:rFonts w:ascii="黑体" w:hAnsi="黑体" w:eastAsia="黑体" w:cs="黑体"/>
                <w:szCs w:val="21"/>
              </w:rPr>
            </w:pPr>
          </w:p>
        </w:tc>
        <w:tc>
          <w:tcPr>
            <w:tcW w:w="994" w:type="dxa"/>
            <w:vMerge w:val="continue"/>
            <w:vAlign w:val="center"/>
          </w:tcPr>
          <w:p>
            <w:pPr>
              <w:jc w:val="center"/>
              <w:rPr>
                <w:rFonts w:ascii="黑体" w:hAnsi="黑体" w:eastAsia="黑体" w:cs="黑体"/>
                <w:szCs w:val="21"/>
              </w:rPr>
            </w:pPr>
          </w:p>
        </w:tc>
        <w:tc>
          <w:tcPr>
            <w:tcW w:w="989" w:type="dxa"/>
            <w:vAlign w:val="center"/>
          </w:tcPr>
          <w:p>
            <w:pPr>
              <w:jc w:val="center"/>
              <w:rPr>
                <w:rFonts w:ascii="黑体" w:hAnsi="黑体" w:eastAsia="黑体" w:cs="黑体"/>
                <w:b/>
                <w:bCs/>
                <w:szCs w:val="21"/>
              </w:rPr>
            </w:pPr>
            <w:r>
              <w:rPr>
                <w:rFonts w:hint="eastAsia" w:ascii="黑体" w:hAnsi="黑体" w:eastAsia="黑体" w:cs="黑体"/>
                <w:b/>
                <w:bCs/>
                <w:szCs w:val="21"/>
              </w:rPr>
              <w:t>男</w:t>
            </w:r>
          </w:p>
        </w:tc>
        <w:tc>
          <w:tcPr>
            <w:tcW w:w="867" w:type="dxa"/>
            <w:vAlign w:val="center"/>
          </w:tcPr>
          <w:p>
            <w:pPr>
              <w:jc w:val="center"/>
              <w:rPr>
                <w:rFonts w:ascii="黑体" w:hAnsi="黑体" w:eastAsia="黑体" w:cs="黑体"/>
                <w:b/>
                <w:bCs/>
                <w:szCs w:val="21"/>
              </w:rPr>
            </w:pPr>
            <w:r>
              <w:rPr>
                <w:rFonts w:hint="eastAsia" w:ascii="黑体" w:hAnsi="黑体" w:eastAsia="黑体" w:cs="黑体"/>
                <w:b/>
                <w:bCs/>
                <w:szCs w:val="21"/>
              </w:rPr>
              <w:t>女</w:t>
            </w:r>
          </w:p>
        </w:tc>
        <w:tc>
          <w:tcPr>
            <w:tcW w:w="1088" w:type="dxa"/>
            <w:vAlign w:val="center"/>
          </w:tcPr>
          <w:p>
            <w:pPr>
              <w:jc w:val="center"/>
              <w:rPr>
                <w:rFonts w:ascii="黑体" w:hAnsi="黑体" w:eastAsia="黑体" w:cs="黑体"/>
                <w:b/>
                <w:bCs/>
                <w:szCs w:val="21"/>
              </w:rPr>
            </w:pPr>
            <w:r>
              <w:rPr>
                <w:rFonts w:hint="eastAsia" w:ascii="黑体" w:hAnsi="黑体" w:eastAsia="黑体" w:cs="黑体"/>
                <w:b/>
                <w:bCs/>
                <w:szCs w:val="21"/>
              </w:rPr>
              <w:t>农村人口</w:t>
            </w:r>
          </w:p>
        </w:tc>
        <w:tc>
          <w:tcPr>
            <w:tcW w:w="1087" w:type="dxa"/>
            <w:vAlign w:val="center"/>
          </w:tcPr>
          <w:p>
            <w:pPr>
              <w:jc w:val="center"/>
              <w:rPr>
                <w:rFonts w:ascii="黑体" w:hAnsi="黑体" w:eastAsia="黑体" w:cs="黑体"/>
                <w:b/>
                <w:bCs/>
                <w:szCs w:val="21"/>
              </w:rPr>
            </w:pPr>
            <w:r>
              <w:rPr>
                <w:rFonts w:hint="eastAsia" w:ascii="黑体" w:hAnsi="黑体" w:eastAsia="黑体" w:cs="黑体"/>
                <w:b/>
                <w:bCs/>
                <w:szCs w:val="21"/>
              </w:rPr>
              <w:t>城镇人口</w:t>
            </w:r>
          </w:p>
        </w:tc>
        <w:tc>
          <w:tcPr>
            <w:tcW w:w="1751" w:type="dxa"/>
            <w:vMerge w:val="continue"/>
            <w:vAlign w:val="center"/>
          </w:tcPr>
          <w:p>
            <w:pPr>
              <w:jc w:val="center"/>
              <w:rPr>
                <w:rFonts w:ascii="黑体" w:hAnsi="黑体" w:eastAsia="黑体" w:cs="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708"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w:t>
            </w:r>
          </w:p>
        </w:tc>
        <w:tc>
          <w:tcPr>
            <w:tcW w:w="1144"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浔阳街道</w:t>
            </w:r>
          </w:p>
        </w:tc>
        <w:tc>
          <w:tcPr>
            <w:tcW w:w="1012"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20999</w:t>
            </w:r>
          </w:p>
        </w:tc>
        <w:tc>
          <w:tcPr>
            <w:tcW w:w="994"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57134</w:t>
            </w:r>
          </w:p>
        </w:tc>
        <w:tc>
          <w:tcPr>
            <w:tcW w:w="989"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28559</w:t>
            </w:r>
          </w:p>
        </w:tc>
        <w:tc>
          <w:tcPr>
            <w:tcW w:w="867"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28575</w:t>
            </w:r>
          </w:p>
        </w:tc>
        <w:tc>
          <w:tcPr>
            <w:tcW w:w="1088"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24497</w:t>
            </w:r>
          </w:p>
        </w:tc>
        <w:tc>
          <w:tcPr>
            <w:tcW w:w="1087"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32637</w:t>
            </w:r>
          </w:p>
        </w:tc>
        <w:tc>
          <w:tcPr>
            <w:tcW w:w="1751"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523</w:t>
            </w:r>
          </w:p>
        </w:tc>
      </w:tr>
    </w:tbl>
    <w:tbl>
      <w:tblPr>
        <w:tblStyle w:val="6"/>
        <w:tblpPr w:leftFromText="180" w:rightFromText="180" w:vertAnchor="text" w:horzAnchor="page" w:tblpX="1313" w:tblpY="31"/>
        <w:tblOverlap w:val="never"/>
        <w:tblW w:w="9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342"/>
        <w:gridCol w:w="915"/>
        <w:gridCol w:w="877"/>
        <w:gridCol w:w="16"/>
        <w:gridCol w:w="969"/>
        <w:gridCol w:w="20"/>
        <w:gridCol w:w="843"/>
        <w:gridCol w:w="24"/>
        <w:gridCol w:w="1060"/>
        <w:gridCol w:w="28"/>
        <w:gridCol w:w="1055"/>
        <w:gridCol w:w="32"/>
        <w:gridCol w:w="1711"/>
        <w:gridCol w:w="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0" w:type="dxa"/>
          <w:trHeight w:val="464" w:hRule="atLeast"/>
        </w:trPr>
        <w:tc>
          <w:tcPr>
            <w:tcW w:w="708" w:type="dxa"/>
            <w:vMerge w:val="restart"/>
            <w:vAlign w:val="center"/>
          </w:tcPr>
          <w:p>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序号</w:t>
            </w:r>
          </w:p>
        </w:tc>
        <w:tc>
          <w:tcPr>
            <w:tcW w:w="1342" w:type="dxa"/>
            <w:vMerge w:val="restart"/>
            <w:vAlign w:val="center"/>
          </w:tcPr>
          <w:p>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乡镇名称</w:t>
            </w:r>
          </w:p>
        </w:tc>
        <w:tc>
          <w:tcPr>
            <w:tcW w:w="915" w:type="dxa"/>
            <w:vMerge w:val="restart"/>
            <w:vAlign w:val="center"/>
          </w:tcPr>
          <w:p>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年末</w:t>
            </w:r>
          </w:p>
          <w:p>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总户数</w:t>
            </w:r>
          </w:p>
        </w:tc>
        <w:tc>
          <w:tcPr>
            <w:tcW w:w="877" w:type="dxa"/>
            <w:vMerge w:val="restart"/>
            <w:vAlign w:val="center"/>
          </w:tcPr>
          <w:p>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年末</w:t>
            </w:r>
          </w:p>
          <w:p>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总人口</w:t>
            </w:r>
          </w:p>
        </w:tc>
        <w:tc>
          <w:tcPr>
            <w:tcW w:w="1848" w:type="dxa"/>
            <w:gridSpan w:val="4"/>
            <w:vAlign w:val="center"/>
          </w:tcPr>
          <w:p>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按性别分</w:t>
            </w:r>
          </w:p>
        </w:tc>
        <w:tc>
          <w:tcPr>
            <w:tcW w:w="2167" w:type="dxa"/>
            <w:gridSpan w:val="4"/>
            <w:vAlign w:val="center"/>
          </w:tcPr>
          <w:p>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按职业分</w:t>
            </w:r>
          </w:p>
        </w:tc>
        <w:tc>
          <w:tcPr>
            <w:tcW w:w="1743" w:type="dxa"/>
            <w:gridSpan w:val="2"/>
            <w:vMerge w:val="restart"/>
            <w:vAlign w:val="center"/>
          </w:tcPr>
          <w:p>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人口密度</w:t>
            </w:r>
          </w:p>
          <w:p>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（人/平方公里）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0" w:type="dxa"/>
          <w:trHeight w:val="464" w:hRule="atLeast"/>
        </w:trPr>
        <w:tc>
          <w:tcPr>
            <w:tcW w:w="708" w:type="dxa"/>
            <w:vMerge w:val="continue"/>
            <w:vAlign w:val="center"/>
          </w:tcPr>
          <w:p>
            <w:pPr>
              <w:jc w:val="center"/>
              <w:rPr>
                <w:rFonts w:ascii="黑体" w:hAnsi="黑体" w:eastAsia="黑体" w:cs="黑体"/>
                <w:szCs w:val="21"/>
              </w:rPr>
            </w:pPr>
          </w:p>
        </w:tc>
        <w:tc>
          <w:tcPr>
            <w:tcW w:w="1342" w:type="dxa"/>
            <w:vMerge w:val="continue"/>
            <w:vAlign w:val="center"/>
          </w:tcPr>
          <w:p>
            <w:pPr>
              <w:jc w:val="center"/>
              <w:rPr>
                <w:rFonts w:ascii="黑体" w:hAnsi="黑体" w:eastAsia="黑体" w:cs="黑体"/>
                <w:szCs w:val="21"/>
              </w:rPr>
            </w:pPr>
          </w:p>
        </w:tc>
        <w:tc>
          <w:tcPr>
            <w:tcW w:w="915" w:type="dxa"/>
            <w:vMerge w:val="continue"/>
            <w:vAlign w:val="center"/>
          </w:tcPr>
          <w:p>
            <w:pPr>
              <w:jc w:val="center"/>
              <w:rPr>
                <w:rFonts w:ascii="黑体" w:hAnsi="黑体" w:eastAsia="黑体" w:cs="黑体"/>
                <w:szCs w:val="21"/>
              </w:rPr>
            </w:pPr>
          </w:p>
        </w:tc>
        <w:tc>
          <w:tcPr>
            <w:tcW w:w="877" w:type="dxa"/>
            <w:vMerge w:val="continue"/>
            <w:vAlign w:val="center"/>
          </w:tcPr>
          <w:p>
            <w:pPr>
              <w:jc w:val="center"/>
              <w:rPr>
                <w:rFonts w:ascii="黑体" w:hAnsi="黑体" w:eastAsia="黑体" w:cs="黑体"/>
                <w:szCs w:val="21"/>
              </w:rPr>
            </w:pPr>
          </w:p>
        </w:tc>
        <w:tc>
          <w:tcPr>
            <w:tcW w:w="985" w:type="dxa"/>
            <w:gridSpan w:val="2"/>
            <w:vAlign w:val="center"/>
          </w:tcPr>
          <w:p>
            <w:pPr>
              <w:jc w:val="center"/>
              <w:rPr>
                <w:rFonts w:ascii="黑体" w:hAnsi="黑体" w:eastAsia="黑体" w:cs="黑体"/>
                <w:b/>
                <w:bCs/>
                <w:szCs w:val="21"/>
              </w:rPr>
            </w:pPr>
            <w:r>
              <w:rPr>
                <w:rFonts w:hint="eastAsia" w:ascii="黑体" w:hAnsi="黑体" w:eastAsia="黑体" w:cs="黑体"/>
                <w:b/>
                <w:bCs/>
                <w:szCs w:val="21"/>
              </w:rPr>
              <w:t>男</w:t>
            </w:r>
          </w:p>
        </w:tc>
        <w:tc>
          <w:tcPr>
            <w:tcW w:w="863" w:type="dxa"/>
            <w:gridSpan w:val="2"/>
            <w:vAlign w:val="center"/>
          </w:tcPr>
          <w:p>
            <w:pPr>
              <w:jc w:val="center"/>
              <w:rPr>
                <w:rFonts w:ascii="黑体" w:hAnsi="黑体" w:eastAsia="黑体" w:cs="黑体"/>
                <w:b/>
                <w:bCs/>
                <w:szCs w:val="21"/>
              </w:rPr>
            </w:pPr>
            <w:r>
              <w:rPr>
                <w:rFonts w:hint="eastAsia" w:ascii="黑体" w:hAnsi="黑体" w:eastAsia="黑体" w:cs="黑体"/>
                <w:b/>
                <w:bCs/>
                <w:szCs w:val="21"/>
              </w:rPr>
              <w:t>女</w:t>
            </w:r>
          </w:p>
        </w:tc>
        <w:tc>
          <w:tcPr>
            <w:tcW w:w="1084" w:type="dxa"/>
            <w:gridSpan w:val="2"/>
            <w:vAlign w:val="center"/>
          </w:tcPr>
          <w:p>
            <w:pPr>
              <w:jc w:val="center"/>
              <w:rPr>
                <w:rFonts w:ascii="黑体" w:hAnsi="黑体" w:eastAsia="黑体" w:cs="黑体"/>
                <w:b/>
                <w:bCs/>
                <w:szCs w:val="21"/>
              </w:rPr>
            </w:pPr>
            <w:r>
              <w:rPr>
                <w:rFonts w:hint="eastAsia" w:ascii="黑体" w:hAnsi="黑体" w:eastAsia="黑体" w:cs="黑体"/>
                <w:b/>
                <w:bCs/>
                <w:szCs w:val="21"/>
              </w:rPr>
              <w:t>农村人口</w:t>
            </w:r>
          </w:p>
        </w:tc>
        <w:tc>
          <w:tcPr>
            <w:tcW w:w="1083" w:type="dxa"/>
            <w:gridSpan w:val="2"/>
            <w:vAlign w:val="center"/>
          </w:tcPr>
          <w:p>
            <w:pPr>
              <w:jc w:val="center"/>
              <w:rPr>
                <w:rFonts w:ascii="黑体" w:hAnsi="黑体" w:eastAsia="黑体" w:cs="黑体"/>
                <w:b/>
                <w:bCs/>
                <w:szCs w:val="21"/>
              </w:rPr>
            </w:pPr>
            <w:r>
              <w:rPr>
                <w:rFonts w:hint="eastAsia" w:ascii="黑体" w:hAnsi="黑体" w:eastAsia="黑体" w:cs="黑体"/>
                <w:b/>
                <w:bCs/>
                <w:szCs w:val="21"/>
              </w:rPr>
              <w:t>城镇人口</w:t>
            </w:r>
          </w:p>
        </w:tc>
        <w:tc>
          <w:tcPr>
            <w:tcW w:w="1743" w:type="dxa"/>
            <w:gridSpan w:val="2"/>
            <w:vMerge w:val="continue"/>
            <w:vAlign w:val="center"/>
          </w:tcPr>
          <w:p>
            <w:pPr>
              <w:jc w:val="center"/>
              <w:rPr>
                <w:rFonts w:ascii="黑体" w:hAnsi="黑体" w:eastAsia="黑体" w:cs="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0" w:type="dxa"/>
          <w:trHeight w:val="478" w:hRule="atLeast"/>
        </w:trPr>
        <w:tc>
          <w:tcPr>
            <w:tcW w:w="708"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w:t>
            </w:r>
          </w:p>
        </w:tc>
        <w:tc>
          <w:tcPr>
            <w:tcW w:w="1342"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漳江街道</w:t>
            </w:r>
          </w:p>
        </w:tc>
        <w:tc>
          <w:tcPr>
            <w:tcW w:w="915"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39398</w:t>
            </w:r>
          </w:p>
        </w:tc>
        <w:tc>
          <w:tcPr>
            <w:tcW w:w="877"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96926</w:t>
            </w:r>
          </w:p>
        </w:tc>
        <w:tc>
          <w:tcPr>
            <w:tcW w:w="985" w:type="dxa"/>
            <w:gridSpan w:val="2"/>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48710</w:t>
            </w:r>
          </w:p>
        </w:tc>
        <w:tc>
          <w:tcPr>
            <w:tcW w:w="863" w:type="dxa"/>
            <w:gridSpan w:val="2"/>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48216</w:t>
            </w:r>
          </w:p>
        </w:tc>
        <w:tc>
          <w:tcPr>
            <w:tcW w:w="1084" w:type="dxa"/>
            <w:gridSpan w:val="2"/>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36253</w:t>
            </w:r>
          </w:p>
        </w:tc>
        <w:tc>
          <w:tcPr>
            <w:tcW w:w="1083" w:type="dxa"/>
            <w:gridSpan w:val="2"/>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60673</w:t>
            </w:r>
          </w:p>
        </w:tc>
        <w:tc>
          <w:tcPr>
            <w:tcW w:w="1743" w:type="dxa"/>
            <w:gridSpan w:val="2"/>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870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0" w:type="dxa"/>
          <w:trHeight w:val="478" w:hRule="atLeast"/>
        </w:trPr>
        <w:tc>
          <w:tcPr>
            <w:tcW w:w="708"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w:t>
            </w:r>
          </w:p>
        </w:tc>
        <w:tc>
          <w:tcPr>
            <w:tcW w:w="1342"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陬市镇</w:t>
            </w:r>
          </w:p>
        </w:tc>
        <w:tc>
          <w:tcPr>
            <w:tcW w:w="915"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21098</w:t>
            </w:r>
          </w:p>
        </w:tc>
        <w:tc>
          <w:tcPr>
            <w:tcW w:w="877"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57149</w:t>
            </w:r>
          </w:p>
        </w:tc>
        <w:tc>
          <w:tcPr>
            <w:tcW w:w="985" w:type="dxa"/>
            <w:gridSpan w:val="2"/>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28500</w:t>
            </w:r>
          </w:p>
        </w:tc>
        <w:tc>
          <w:tcPr>
            <w:tcW w:w="863" w:type="dxa"/>
            <w:gridSpan w:val="2"/>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28649</w:t>
            </w:r>
          </w:p>
        </w:tc>
        <w:tc>
          <w:tcPr>
            <w:tcW w:w="1084" w:type="dxa"/>
            <w:gridSpan w:val="2"/>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40661</w:t>
            </w:r>
          </w:p>
        </w:tc>
        <w:tc>
          <w:tcPr>
            <w:tcW w:w="1083" w:type="dxa"/>
            <w:gridSpan w:val="2"/>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16488</w:t>
            </w:r>
          </w:p>
        </w:tc>
        <w:tc>
          <w:tcPr>
            <w:tcW w:w="1743" w:type="dxa"/>
            <w:gridSpan w:val="2"/>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541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0" w:type="dxa"/>
          <w:trHeight w:val="478" w:hRule="atLeast"/>
        </w:trPr>
        <w:tc>
          <w:tcPr>
            <w:tcW w:w="708"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w:t>
            </w:r>
          </w:p>
        </w:tc>
        <w:tc>
          <w:tcPr>
            <w:tcW w:w="1342"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漆河镇</w:t>
            </w:r>
          </w:p>
        </w:tc>
        <w:tc>
          <w:tcPr>
            <w:tcW w:w="915"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25074</w:t>
            </w:r>
          </w:p>
        </w:tc>
        <w:tc>
          <w:tcPr>
            <w:tcW w:w="877"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73343</w:t>
            </w:r>
          </w:p>
        </w:tc>
        <w:tc>
          <w:tcPr>
            <w:tcW w:w="985" w:type="dxa"/>
            <w:gridSpan w:val="2"/>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37800</w:t>
            </w:r>
          </w:p>
        </w:tc>
        <w:tc>
          <w:tcPr>
            <w:tcW w:w="863" w:type="dxa"/>
            <w:gridSpan w:val="2"/>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35543</w:t>
            </w:r>
          </w:p>
        </w:tc>
        <w:tc>
          <w:tcPr>
            <w:tcW w:w="1084" w:type="dxa"/>
            <w:gridSpan w:val="2"/>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59693</w:t>
            </w:r>
          </w:p>
        </w:tc>
        <w:tc>
          <w:tcPr>
            <w:tcW w:w="1083" w:type="dxa"/>
            <w:gridSpan w:val="2"/>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13650</w:t>
            </w:r>
          </w:p>
        </w:tc>
        <w:tc>
          <w:tcPr>
            <w:tcW w:w="1743" w:type="dxa"/>
            <w:gridSpan w:val="2"/>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0" w:type="dxa"/>
          <w:trHeight w:val="478" w:hRule="atLeast"/>
        </w:trPr>
        <w:tc>
          <w:tcPr>
            <w:tcW w:w="708"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5</w:t>
            </w:r>
          </w:p>
        </w:tc>
        <w:tc>
          <w:tcPr>
            <w:tcW w:w="1342"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沙坪镇</w:t>
            </w:r>
          </w:p>
        </w:tc>
        <w:tc>
          <w:tcPr>
            <w:tcW w:w="915"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10473</w:t>
            </w:r>
          </w:p>
        </w:tc>
        <w:tc>
          <w:tcPr>
            <w:tcW w:w="877"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32010</w:t>
            </w:r>
          </w:p>
        </w:tc>
        <w:tc>
          <w:tcPr>
            <w:tcW w:w="985" w:type="dxa"/>
            <w:gridSpan w:val="2"/>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16716</w:t>
            </w:r>
          </w:p>
        </w:tc>
        <w:tc>
          <w:tcPr>
            <w:tcW w:w="863" w:type="dxa"/>
            <w:gridSpan w:val="2"/>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15294</w:t>
            </w:r>
          </w:p>
        </w:tc>
        <w:tc>
          <w:tcPr>
            <w:tcW w:w="1084" w:type="dxa"/>
            <w:gridSpan w:val="2"/>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25928</w:t>
            </w:r>
          </w:p>
        </w:tc>
        <w:tc>
          <w:tcPr>
            <w:tcW w:w="1083" w:type="dxa"/>
            <w:gridSpan w:val="2"/>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6082</w:t>
            </w:r>
          </w:p>
        </w:tc>
        <w:tc>
          <w:tcPr>
            <w:tcW w:w="1743" w:type="dxa"/>
            <w:gridSpan w:val="2"/>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0" w:type="dxa"/>
          <w:trHeight w:val="478" w:hRule="atLeast"/>
        </w:trPr>
        <w:tc>
          <w:tcPr>
            <w:tcW w:w="708"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6</w:t>
            </w:r>
          </w:p>
        </w:tc>
        <w:tc>
          <w:tcPr>
            <w:tcW w:w="1342"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三阳港镇</w:t>
            </w:r>
          </w:p>
        </w:tc>
        <w:tc>
          <w:tcPr>
            <w:tcW w:w="915"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14035</w:t>
            </w:r>
          </w:p>
        </w:tc>
        <w:tc>
          <w:tcPr>
            <w:tcW w:w="877"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40358</w:t>
            </w:r>
          </w:p>
        </w:tc>
        <w:tc>
          <w:tcPr>
            <w:tcW w:w="985" w:type="dxa"/>
            <w:gridSpan w:val="2"/>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20957</w:t>
            </w:r>
          </w:p>
        </w:tc>
        <w:tc>
          <w:tcPr>
            <w:tcW w:w="863" w:type="dxa"/>
            <w:gridSpan w:val="2"/>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19401</w:t>
            </w:r>
          </w:p>
        </w:tc>
        <w:tc>
          <w:tcPr>
            <w:tcW w:w="1084" w:type="dxa"/>
            <w:gridSpan w:val="2"/>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33742</w:t>
            </w:r>
          </w:p>
        </w:tc>
        <w:tc>
          <w:tcPr>
            <w:tcW w:w="1083" w:type="dxa"/>
            <w:gridSpan w:val="2"/>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6616</w:t>
            </w:r>
          </w:p>
        </w:tc>
        <w:tc>
          <w:tcPr>
            <w:tcW w:w="1743" w:type="dxa"/>
            <w:gridSpan w:val="2"/>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0" w:type="dxa"/>
          <w:trHeight w:val="478" w:hRule="atLeast"/>
        </w:trPr>
        <w:tc>
          <w:tcPr>
            <w:tcW w:w="708"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7</w:t>
            </w:r>
          </w:p>
        </w:tc>
        <w:tc>
          <w:tcPr>
            <w:tcW w:w="1342"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黄石镇</w:t>
            </w:r>
          </w:p>
        </w:tc>
        <w:tc>
          <w:tcPr>
            <w:tcW w:w="915"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6865</w:t>
            </w:r>
          </w:p>
        </w:tc>
        <w:tc>
          <w:tcPr>
            <w:tcW w:w="877"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20697</w:t>
            </w:r>
          </w:p>
        </w:tc>
        <w:tc>
          <w:tcPr>
            <w:tcW w:w="985" w:type="dxa"/>
            <w:gridSpan w:val="2"/>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10840</w:t>
            </w:r>
          </w:p>
        </w:tc>
        <w:tc>
          <w:tcPr>
            <w:tcW w:w="863" w:type="dxa"/>
            <w:gridSpan w:val="2"/>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9857</w:t>
            </w:r>
          </w:p>
        </w:tc>
        <w:tc>
          <w:tcPr>
            <w:tcW w:w="1084" w:type="dxa"/>
            <w:gridSpan w:val="2"/>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16045</w:t>
            </w:r>
          </w:p>
        </w:tc>
        <w:tc>
          <w:tcPr>
            <w:tcW w:w="1083" w:type="dxa"/>
            <w:gridSpan w:val="2"/>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4652</w:t>
            </w:r>
          </w:p>
        </w:tc>
        <w:tc>
          <w:tcPr>
            <w:tcW w:w="1743" w:type="dxa"/>
            <w:gridSpan w:val="2"/>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0" w:type="dxa"/>
          <w:trHeight w:val="478" w:hRule="atLeast"/>
        </w:trPr>
        <w:tc>
          <w:tcPr>
            <w:tcW w:w="708"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8</w:t>
            </w:r>
          </w:p>
        </w:tc>
        <w:tc>
          <w:tcPr>
            <w:tcW w:w="1342"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西安镇</w:t>
            </w:r>
          </w:p>
        </w:tc>
        <w:tc>
          <w:tcPr>
            <w:tcW w:w="915"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4590</w:t>
            </w:r>
          </w:p>
        </w:tc>
        <w:tc>
          <w:tcPr>
            <w:tcW w:w="877"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15615</w:t>
            </w:r>
          </w:p>
        </w:tc>
        <w:tc>
          <w:tcPr>
            <w:tcW w:w="985" w:type="dxa"/>
            <w:gridSpan w:val="2"/>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8221</w:t>
            </w:r>
          </w:p>
        </w:tc>
        <w:tc>
          <w:tcPr>
            <w:tcW w:w="863" w:type="dxa"/>
            <w:gridSpan w:val="2"/>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7394</w:t>
            </w:r>
          </w:p>
        </w:tc>
        <w:tc>
          <w:tcPr>
            <w:tcW w:w="1084" w:type="dxa"/>
            <w:gridSpan w:val="2"/>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14993</w:t>
            </w:r>
          </w:p>
        </w:tc>
        <w:tc>
          <w:tcPr>
            <w:tcW w:w="1083" w:type="dxa"/>
            <w:gridSpan w:val="2"/>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622</w:t>
            </w:r>
          </w:p>
        </w:tc>
        <w:tc>
          <w:tcPr>
            <w:tcW w:w="1743" w:type="dxa"/>
            <w:gridSpan w:val="2"/>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0" w:type="dxa"/>
          <w:trHeight w:val="478" w:hRule="atLeast"/>
        </w:trPr>
        <w:tc>
          <w:tcPr>
            <w:tcW w:w="708"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9</w:t>
            </w:r>
          </w:p>
        </w:tc>
        <w:tc>
          <w:tcPr>
            <w:tcW w:w="1342"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理公港镇</w:t>
            </w:r>
          </w:p>
        </w:tc>
        <w:tc>
          <w:tcPr>
            <w:tcW w:w="915"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9958</w:t>
            </w:r>
          </w:p>
        </w:tc>
        <w:tc>
          <w:tcPr>
            <w:tcW w:w="877"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31088</w:t>
            </w:r>
          </w:p>
        </w:tc>
        <w:tc>
          <w:tcPr>
            <w:tcW w:w="985" w:type="dxa"/>
            <w:gridSpan w:val="2"/>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16326</w:t>
            </w:r>
          </w:p>
        </w:tc>
        <w:tc>
          <w:tcPr>
            <w:tcW w:w="863" w:type="dxa"/>
            <w:gridSpan w:val="2"/>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14762</w:t>
            </w:r>
          </w:p>
        </w:tc>
        <w:tc>
          <w:tcPr>
            <w:tcW w:w="1084" w:type="dxa"/>
            <w:gridSpan w:val="2"/>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25212</w:t>
            </w:r>
          </w:p>
        </w:tc>
        <w:tc>
          <w:tcPr>
            <w:tcW w:w="1083" w:type="dxa"/>
            <w:gridSpan w:val="2"/>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5876</w:t>
            </w:r>
          </w:p>
        </w:tc>
        <w:tc>
          <w:tcPr>
            <w:tcW w:w="1743" w:type="dxa"/>
            <w:gridSpan w:val="2"/>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0" w:type="dxa"/>
          <w:trHeight w:val="478" w:hRule="atLeast"/>
        </w:trPr>
        <w:tc>
          <w:tcPr>
            <w:tcW w:w="708"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10</w:t>
            </w:r>
          </w:p>
        </w:tc>
        <w:tc>
          <w:tcPr>
            <w:tcW w:w="1342"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龙潭镇</w:t>
            </w:r>
          </w:p>
        </w:tc>
        <w:tc>
          <w:tcPr>
            <w:tcW w:w="915"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9409</w:t>
            </w:r>
          </w:p>
        </w:tc>
        <w:tc>
          <w:tcPr>
            <w:tcW w:w="877"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27401</w:t>
            </w:r>
          </w:p>
        </w:tc>
        <w:tc>
          <w:tcPr>
            <w:tcW w:w="985" w:type="dxa"/>
            <w:gridSpan w:val="2"/>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14633</w:t>
            </w:r>
          </w:p>
        </w:tc>
        <w:tc>
          <w:tcPr>
            <w:tcW w:w="863" w:type="dxa"/>
            <w:gridSpan w:val="2"/>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12768</w:t>
            </w:r>
          </w:p>
        </w:tc>
        <w:tc>
          <w:tcPr>
            <w:tcW w:w="1084" w:type="dxa"/>
            <w:gridSpan w:val="2"/>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22598</w:t>
            </w:r>
          </w:p>
        </w:tc>
        <w:tc>
          <w:tcPr>
            <w:tcW w:w="1083" w:type="dxa"/>
            <w:gridSpan w:val="2"/>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4803</w:t>
            </w:r>
          </w:p>
        </w:tc>
        <w:tc>
          <w:tcPr>
            <w:tcW w:w="1743" w:type="dxa"/>
            <w:gridSpan w:val="2"/>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0" w:type="dxa"/>
          <w:trHeight w:val="478" w:hRule="atLeast"/>
        </w:trPr>
        <w:tc>
          <w:tcPr>
            <w:tcW w:w="708"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11</w:t>
            </w:r>
          </w:p>
        </w:tc>
        <w:tc>
          <w:tcPr>
            <w:tcW w:w="1342"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剪市镇</w:t>
            </w:r>
          </w:p>
        </w:tc>
        <w:tc>
          <w:tcPr>
            <w:tcW w:w="915"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7340</w:t>
            </w:r>
          </w:p>
        </w:tc>
        <w:tc>
          <w:tcPr>
            <w:tcW w:w="877"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21458</w:t>
            </w:r>
          </w:p>
        </w:tc>
        <w:tc>
          <w:tcPr>
            <w:tcW w:w="985" w:type="dxa"/>
            <w:gridSpan w:val="2"/>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11060</w:t>
            </w:r>
          </w:p>
        </w:tc>
        <w:tc>
          <w:tcPr>
            <w:tcW w:w="863" w:type="dxa"/>
            <w:gridSpan w:val="2"/>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10398</w:t>
            </w:r>
          </w:p>
        </w:tc>
        <w:tc>
          <w:tcPr>
            <w:tcW w:w="1084" w:type="dxa"/>
            <w:gridSpan w:val="2"/>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17730</w:t>
            </w:r>
          </w:p>
        </w:tc>
        <w:tc>
          <w:tcPr>
            <w:tcW w:w="1083" w:type="dxa"/>
            <w:gridSpan w:val="2"/>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3728</w:t>
            </w:r>
          </w:p>
        </w:tc>
        <w:tc>
          <w:tcPr>
            <w:tcW w:w="1743" w:type="dxa"/>
            <w:gridSpan w:val="2"/>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0" w:type="dxa"/>
          <w:trHeight w:val="478" w:hRule="atLeast"/>
        </w:trPr>
        <w:tc>
          <w:tcPr>
            <w:tcW w:w="708"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12</w:t>
            </w:r>
          </w:p>
        </w:tc>
        <w:tc>
          <w:tcPr>
            <w:tcW w:w="1342"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茶庵铺镇</w:t>
            </w:r>
          </w:p>
        </w:tc>
        <w:tc>
          <w:tcPr>
            <w:tcW w:w="915"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11649</w:t>
            </w:r>
          </w:p>
        </w:tc>
        <w:tc>
          <w:tcPr>
            <w:tcW w:w="877"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36087</w:t>
            </w:r>
          </w:p>
        </w:tc>
        <w:tc>
          <w:tcPr>
            <w:tcW w:w="985" w:type="dxa"/>
            <w:gridSpan w:val="2"/>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18674</w:t>
            </w:r>
          </w:p>
        </w:tc>
        <w:tc>
          <w:tcPr>
            <w:tcW w:w="863" w:type="dxa"/>
            <w:gridSpan w:val="2"/>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17413</w:t>
            </w:r>
          </w:p>
        </w:tc>
        <w:tc>
          <w:tcPr>
            <w:tcW w:w="1084" w:type="dxa"/>
            <w:gridSpan w:val="2"/>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31530</w:t>
            </w:r>
          </w:p>
        </w:tc>
        <w:tc>
          <w:tcPr>
            <w:tcW w:w="1083" w:type="dxa"/>
            <w:gridSpan w:val="2"/>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4557</w:t>
            </w:r>
          </w:p>
        </w:tc>
        <w:tc>
          <w:tcPr>
            <w:tcW w:w="1743" w:type="dxa"/>
            <w:gridSpan w:val="2"/>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0" w:type="dxa"/>
          <w:trHeight w:val="478" w:hRule="atLeast"/>
        </w:trPr>
        <w:tc>
          <w:tcPr>
            <w:tcW w:w="708"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13</w:t>
            </w:r>
          </w:p>
        </w:tc>
        <w:tc>
          <w:tcPr>
            <w:tcW w:w="1342"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盘塘镇</w:t>
            </w:r>
          </w:p>
        </w:tc>
        <w:tc>
          <w:tcPr>
            <w:tcW w:w="915"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7453</w:t>
            </w:r>
          </w:p>
        </w:tc>
        <w:tc>
          <w:tcPr>
            <w:tcW w:w="877"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22956</w:t>
            </w:r>
          </w:p>
        </w:tc>
        <w:tc>
          <w:tcPr>
            <w:tcW w:w="985" w:type="dxa"/>
            <w:gridSpan w:val="2"/>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11765</w:t>
            </w:r>
          </w:p>
        </w:tc>
        <w:tc>
          <w:tcPr>
            <w:tcW w:w="863" w:type="dxa"/>
            <w:gridSpan w:val="2"/>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11191</w:t>
            </w:r>
          </w:p>
        </w:tc>
        <w:tc>
          <w:tcPr>
            <w:tcW w:w="1084" w:type="dxa"/>
            <w:gridSpan w:val="2"/>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16910</w:t>
            </w:r>
          </w:p>
        </w:tc>
        <w:tc>
          <w:tcPr>
            <w:tcW w:w="1083" w:type="dxa"/>
            <w:gridSpan w:val="2"/>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6046</w:t>
            </w:r>
          </w:p>
        </w:tc>
        <w:tc>
          <w:tcPr>
            <w:tcW w:w="1743" w:type="dxa"/>
            <w:gridSpan w:val="2"/>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0" w:type="dxa"/>
          <w:trHeight w:val="478" w:hRule="atLeast"/>
        </w:trPr>
        <w:tc>
          <w:tcPr>
            <w:tcW w:w="708"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14</w:t>
            </w:r>
          </w:p>
        </w:tc>
        <w:tc>
          <w:tcPr>
            <w:tcW w:w="1342"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热市镇</w:t>
            </w:r>
          </w:p>
        </w:tc>
        <w:tc>
          <w:tcPr>
            <w:tcW w:w="915"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13718</w:t>
            </w:r>
          </w:p>
        </w:tc>
        <w:tc>
          <w:tcPr>
            <w:tcW w:w="877"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43023</w:t>
            </w:r>
          </w:p>
        </w:tc>
        <w:tc>
          <w:tcPr>
            <w:tcW w:w="985" w:type="dxa"/>
            <w:gridSpan w:val="2"/>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22290</w:t>
            </w:r>
          </w:p>
        </w:tc>
        <w:tc>
          <w:tcPr>
            <w:tcW w:w="863" w:type="dxa"/>
            <w:gridSpan w:val="2"/>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20733</w:t>
            </w:r>
          </w:p>
        </w:tc>
        <w:tc>
          <w:tcPr>
            <w:tcW w:w="1084" w:type="dxa"/>
            <w:gridSpan w:val="2"/>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39764</w:t>
            </w:r>
          </w:p>
        </w:tc>
        <w:tc>
          <w:tcPr>
            <w:tcW w:w="1083" w:type="dxa"/>
            <w:gridSpan w:val="2"/>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3259</w:t>
            </w:r>
          </w:p>
        </w:tc>
        <w:tc>
          <w:tcPr>
            <w:tcW w:w="1743" w:type="dxa"/>
            <w:gridSpan w:val="2"/>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0" w:type="dxa"/>
          <w:trHeight w:val="478" w:hRule="atLeast"/>
        </w:trPr>
        <w:tc>
          <w:tcPr>
            <w:tcW w:w="708"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15</w:t>
            </w:r>
          </w:p>
        </w:tc>
        <w:tc>
          <w:tcPr>
            <w:tcW w:w="1342"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观音寺镇</w:t>
            </w:r>
          </w:p>
        </w:tc>
        <w:tc>
          <w:tcPr>
            <w:tcW w:w="915"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7870</w:t>
            </w:r>
          </w:p>
        </w:tc>
        <w:tc>
          <w:tcPr>
            <w:tcW w:w="877"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23303</w:t>
            </w:r>
          </w:p>
        </w:tc>
        <w:tc>
          <w:tcPr>
            <w:tcW w:w="985" w:type="dxa"/>
            <w:gridSpan w:val="2"/>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12407</w:t>
            </w:r>
          </w:p>
        </w:tc>
        <w:tc>
          <w:tcPr>
            <w:tcW w:w="863" w:type="dxa"/>
            <w:gridSpan w:val="2"/>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10896</w:t>
            </w:r>
          </w:p>
        </w:tc>
        <w:tc>
          <w:tcPr>
            <w:tcW w:w="1084" w:type="dxa"/>
            <w:gridSpan w:val="2"/>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18433</w:t>
            </w:r>
          </w:p>
        </w:tc>
        <w:tc>
          <w:tcPr>
            <w:tcW w:w="1083" w:type="dxa"/>
            <w:gridSpan w:val="2"/>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4870</w:t>
            </w:r>
          </w:p>
        </w:tc>
        <w:tc>
          <w:tcPr>
            <w:tcW w:w="1743" w:type="dxa"/>
            <w:gridSpan w:val="2"/>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0" w:type="dxa"/>
          <w:trHeight w:val="478" w:hRule="atLeast"/>
        </w:trPr>
        <w:tc>
          <w:tcPr>
            <w:tcW w:w="708"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16</w:t>
            </w:r>
          </w:p>
        </w:tc>
        <w:tc>
          <w:tcPr>
            <w:tcW w:w="1342"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马鬃岭镇</w:t>
            </w:r>
          </w:p>
        </w:tc>
        <w:tc>
          <w:tcPr>
            <w:tcW w:w="915"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6942</w:t>
            </w:r>
          </w:p>
        </w:tc>
        <w:tc>
          <w:tcPr>
            <w:tcW w:w="877"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22308</w:t>
            </w:r>
          </w:p>
        </w:tc>
        <w:tc>
          <w:tcPr>
            <w:tcW w:w="985" w:type="dxa"/>
            <w:gridSpan w:val="2"/>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11441</w:t>
            </w:r>
          </w:p>
        </w:tc>
        <w:tc>
          <w:tcPr>
            <w:tcW w:w="863" w:type="dxa"/>
            <w:gridSpan w:val="2"/>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10867</w:t>
            </w:r>
          </w:p>
        </w:tc>
        <w:tc>
          <w:tcPr>
            <w:tcW w:w="1084" w:type="dxa"/>
            <w:gridSpan w:val="2"/>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18918</w:t>
            </w:r>
          </w:p>
        </w:tc>
        <w:tc>
          <w:tcPr>
            <w:tcW w:w="1083" w:type="dxa"/>
            <w:gridSpan w:val="2"/>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3390</w:t>
            </w:r>
          </w:p>
        </w:tc>
        <w:tc>
          <w:tcPr>
            <w:tcW w:w="1743" w:type="dxa"/>
            <w:gridSpan w:val="2"/>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0" w:type="dxa"/>
          <w:trHeight w:val="478" w:hRule="atLeast"/>
        </w:trPr>
        <w:tc>
          <w:tcPr>
            <w:tcW w:w="708"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17</w:t>
            </w:r>
          </w:p>
        </w:tc>
        <w:tc>
          <w:tcPr>
            <w:tcW w:w="1342"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架桥镇</w:t>
            </w:r>
          </w:p>
        </w:tc>
        <w:tc>
          <w:tcPr>
            <w:tcW w:w="915"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9800</w:t>
            </w:r>
          </w:p>
        </w:tc>
        <w:tc>
          <w:tcPr>
            <w:tcW w:w="877"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31198</w:t>
            </w:r>
          </w:p>
        </w:tc>
        <w:tc>
          <w:tcPr>
            <w:tcW w:w="985" w:type="dxa"/>
            <w:gridSpan w:val="2"/>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16167</w:t>
            </w:r>
          </w:p>
        </w:tc>
        <w:tc>
          <w:tcPr>
            <w:tcW w:w="863" w:type="dxa"/>
            <w:gridSpan w:val="2"/>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15031</w:t>
            </w:r>
          </w:p>
        </w:tc>
        <w:tc>
          <w:tcPr>
            <w:tcW w:w="1084" w:type="dxa"/>
            <w:gridSpan w:val="2"/>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25488</w:t>
            </w:r>
          </w:p>
        </w:tc>
        <w:tc>
          <w:tcPr>
            <w:tcW w:w="1083" w:type="dxa"/>
            <w:gridSpan w:val="2"/>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5710</w:t>
            </w:r>
          </w:p>
        </w:tc>
        <w:tc>
          <w:tcPr>
            <w:tcW w:w="1743" w:type="dxa"/>
            <w:gridSpan w:val="2"/>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0" w:type="dxa"/>
          <w:trHeight w:val="478" w:hRule="atLeast"/>
        </w:trPr>
        <w:tc>
          <w:tcPr>
            <w:tcW w:w="708"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18</w:t>
            </w:r>
          </w:p>
        </w:tc>
        <w:tc>
          <w:tcPr>
            <w:tcW w:w="1342"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夷望溪镇</w:t>
            </w:r>
          </w:p>
        </w:tc>
        <w:tc>
          <w:tcPr>
            <w:tcW w:w="915"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9227</w:t>
            </w:r>
          </w:p>
        </w:tc>
        <w:tc>
          <w:tcPr>
            <w:tcW w:w="877"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29888</w:t>
            </w:r>
          </w:p>
        </w:tc>
        <w:tc>
          <w:tcPr>
            <w:tcW w:w="985" w:type="dxa"/>
            <w:gridSpan w:val="2"/>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15577</w:t>
            </w:r>
          </w:p>
        </w:tc>
        <w:tc>
          <w:tcPr>
            <w:tcW w:w="863" w:type="dxa"/>
            <w:gridSpan w:val="2"/>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14311</w:t>
            </w:r>
          </w:p>
        </w:tc>
        <w:tc>
          <w:tcPr>
            <w:tcW w:w="1084" w:type="dxa"/>
            <w:gridSpan w:val="2"/>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19606</w:t>
            </w:r>
          </w:p>
        </w:tc>
        <w:tc>
          <w:tcPr>
            <w:tcW w:w="1083" w:type="dxa"/>
            <w:gridSpan w:val="2"/>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10282</w:t>
            </w:r>
          </w:p>
        </w:tc>
        <w:tc>
          <w:tcPr>
            <w:tcW w:w="1743" w:type="dxa"/>
            <w:gridSpan w:val="2"/>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0" w:type="dxa"/>
          <w:trHeight w:val="478" w:hRule="atLeast"/>
        </w:trPr>
        <w:tc>
          <w:tcPr>
            <w:tcW w:w="708"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19</w:t>
            </w:r>
          </w:p>
        </w:tc>
        <w:tc>
          <w:tcPr>
            <w:tcW w:w="1342"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双溪口镇</w:t>
            </w:r>
          </w:p>
        </w:tc>
        <w:tc>
          <w:tcPr>
            <w:tcW w:w="915"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7465</w:t>
            </w:r>
          </w:p>
        </w:tc>
        <w:tc>
          <w:tcPr>
            <w:tcW w:w="877"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24705</w:t>
            </w:r>
          </w:p>
        </w:tc>
        <w:tc>
          <w:tcPr>
            <w:tcW w:w="985" w:type="dxa"/>
            <w:gridSpan w:val="2"/>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12809</w:t>
            </w:r>
          </w:p>
        </w:tc>
        <w:tc>
          <w:tcPr>
            <w:tcW w:w="863" w:type="dxa"/>
            <w:gridSpan w:val="2"/>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11896</w:t>
            </w:r>
          </w:p>
        </w:tc>
        <w:tc>
          <w:tcPr>
            <w:tcW w:w="1084" w:type="dxa"/>
            <w:gridSpan w:val="2"/>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18233</w:t>
            </w:r>
          </w:p>
        </w:tc>
        <w:tc>
          <w:tcPr>
            <w:tcW w:w="1083" w:type="dxa"/>
            <w:gridSpan w:val="2"/>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6472</w:t>
            </w:r>
          </w:p>
        </w:tc>
        <w:tc>
          <w:tcPr>
            <w:tcW w:w="1743" w:type="dxa"/>
            <w:gridSpan w:val="2"/>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0" w:type="dxa"/>
          <w:trHeight w:val="478" w:hRule="atLeast"/>
        </w:trPr>
        <w:tc>
          <w:tcPr>
            <w:tcW w:w="708"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20</w:t>
            </w:r>
          </w:p>
        </w:tc>
        <w:tc>
          <w:tcPr>
            <w:tcW w:w="1342"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九溪镇</w:t>
            </w:r>
          </w:p>
        </w:tc>
        <w:tc>
          <w:tcPr>
            <w:tcW w:w="915"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7195</w:t>
            </w:r>
          </w:p>
        </w:tc>
        <w:tc>
          <w:tcPr>
            <w:tcW w:w="877"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22337</w:t>
            </w:r>
          </w:p>
        </w:tc>
        <w:tc>
          <w:tcPr>
            <w:tcW w:w="985" w:type="dxa"/>
            <w:gridSpan w:val="2"/>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11650</w:t>
            </w:r>
          </w:p>
        </w:tc>
        <w:tc>
          <w:tcPr>
            <w:tcW w:w="863" w:type="dxa"/>
            <w:gridSpan w:val="2"/>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10687</w:t>
            </w:r>
          </w:p>
        </w:tc>
        <w:tc>
          <w:tcPr>
            <w:tcW w:w="1084" w:type="dxa"/>
            <w:gridSpan w:val="2"/>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19137</w:t>
            </w:r>
          </w:p>
        </w:tc>
        <w:tc>
          <w:tcPr>
            <w:tcW w:w="1083" w:type="dxa"/>
            <w:gridSpan w:val="2"/>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300</w:t>
            </w:r>
          </w:p>
        </w:tc>
        <w:tc>
          <w:tcPr>
            <w:tcW w:w="1743" w:type="dxa"/>
            <w:gridSpan w:val="2"/>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0" w:type="dxa"/>
          <w:trHeight w:val="478" w:hRule="atLeast"/>
        </w:trPr>
        <w:tc>
          <w:tcPr>
            <w:tcW w:w="708"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21</w:t>
            </w:r>
          </w:p>
        </w:tc>
        <w:tc>
          <w:tcPr>
            <w:tcW w:w="1342"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牛车河镇</w:t>
            </w:r>
          </w:p>
        </w:tc>
        <w:tc>
          <w:tcPr>
            <w:tcW w:w="915"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4732</w:t>
            </w:r>
          </w:p>
        </w:tc>
        <w:tc>
          <w:tcPr>
            <w:tcW w:w="877"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13333</w:t>
            </w:r>
          </w:p>
        </w:tc>
        <w:tc>
          <w:tcPr>
            <w:tcW w:w="985" w:type="dxa"/>
            <w:gridSpan w:val="2"/>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6893</w:t>
            </w:r>
          </w:p>
        </w:tc>
        <w:tc>
          <w:tcPr>
            <w:tcW w:w="863" w:type="dxa"/>
            <w:gridSpan w:val="2"/>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6440</w:t>
            </w:r>
          </w:p>
        </w:tc>
        <w:tc>
          <w:tcPr>
            <w:tcW w:w="1084" w:type="dxa"/>
            <w:gridSpan w:val="2"/>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9801</w:t>
            </w:r>
          </w:p>
        </w:tc>
        <w:tc>
          <w:tcPr>
            <w:tcW w:w="1083" w:type="dxa"/>
            <w:gridSpan w:val="2"/>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3532</w:t>
            </w:r>
          </w:p>
        </w:tc>
        <w:tc>
          <w:tcPr>
            <w:tcW w:w="1743" w:type="dxa"/>
            <w:gridSpan w:val="2"/>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0" w:type="dxa"/>
          <w:trHeight w:val="478" w:hRule="atLeast"/>
        </w:trPr>
        <w:tc>
          <w:tcPr>
            <w:tcW w:w="708"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22</w:t>
            </w:r>
          </w:p>
        </w:tc>
        <w:tc>
          <w:tcPr>
            <w:tcW w:w="1342"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杨溪桥镇</w:t>
            </w:r>
          </w:p>
        </w:tc>
        <w:tc>
          <w:tcPr>
            <w:tcW w:w="915"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5262</w:t>
            </w:r>
          </w:p>
        </w:tc>
        <w:tc>
          <w:tcPr>
            <w:tcW w:w="877"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16939</w:t>
            </w:r>
          </w:p>
        </w:tc>
        <w:tc>
          <w:tcPr>
            <w:tcW w:w="985" w:type="dxa"/>
            <w:gridSpan w:val="2"/>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8679</w:t>
            </w:r>
          </w:p>
        </w:tc>
        <w:tc>
          <w:tcPr>
            <w:tcW w:w="863" w:type="dxa"/>
            <w:gridSpan w:val="2"/>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8260</w:t>
            </w:r>
          </w:p>
        </w:tc>
        <w:tc>
          <w:tcPr>
            <w:tcW w:w="1084" w:type="dxa"/>
            <w:gridSpan w:val="2"/>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12914</w:t>
            </w:r>
          </w:p>
        </w:tc>
        <w:tc>
          <w:tcPr>
            <w:tcW w:w="1083" w:type="dxa"/>
            <w:gridSpan w:val="2"/>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4025</w:t>
            </w:r>
          </w:p>
        </w:tc>
        <w:tc>
          <w:tcPr>
            <w:tcW w:w="1743" w:type="dxa"/>
            <w:gridSpan w:val="2"/>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0" w:type="dxa"/>
          <w:trHeight w:val="478" w:hRule="atLeast"/>
        </w:trPr>
        <w:tc>
          <w:tcPr>
            <w:tcW w:w="708"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23</w:t>
            </w:r>
          </w:p>
        </w:tc>
        <w:tc>
          <w:tcPr>
            <w:tcW w:w="1342"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郑家驿镇</w:t>
            </w:r>
          </w:p>
        </w:tc>
        <w:tc>
          <w:tcPr>
            <w:tcW w:w="915"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8632</w:t>
            </w:r>
          </w:p>
        </w:tc>
        <w:tc>
          <w:tcPr>
            <w:tcW w:w="877"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26751</w:t>
            </w:r>
          </w:p>
        </w:tc>
        <w:tc>
          <w:tcPr>
            <w:tcW w:w="985" w:type="dxa"/>
            <w:gridSpan w:val="2"/>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13775</w:t>
            </w:r>
          </w:p>
        </w:tc>
        <w:tc>
          <w:tcPr>
            <w:tcW w:w="863" w:type="dxa"/>
            <w:gridSpan w:val="2"/>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12976</w:t>
            </w:r>
          </w:p>
        </w:tc>
        <w:tc>
          <w:tcPr>
            <w:tcW w:w="1084" w:type="dxa"/>
            <w:gridSpan w:val="2"/>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21625</w:t>
            </w:r>
          </w:p>
        </w:tc>
        <w:tc>
          <w:tcPr>
            <w:tcW w:w="1083" w:type="dxa"/>
            <w:gridSpan w:val="2"/>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5126</w:t>
            </w:r>
          </w:p>
        </w:tc>
        <w:tc>
          <w:tcPr>
            <w:tcW w:w="1743" w:type="dxa"/>
            <w:gridSpan w:val="2"/>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0" w:type="dxa"/>
          <w:trHeight w:val="478" w:hRule="atLeast"/>
        </w:trPr>
        <w:tc>
          <w:tcPr>
            <w:tcW w:w="708"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24</w:t>
            </w:r>
          </w:p>
        </w:tc>
        <w:tc>
          <w:tcPr>
            <w:tcW w:w="1342"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木塘垸镇</w:t>
            </w:r>
          </w:p>
        </w:tc>
        <w:tc>
          <w:tcPr>
            <w:tcW w:w="915"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10365</w:t>
            </w:r>
          </w:p>
        </w:tc>
        <w:tc>
          <w:tcPr>
            <w:tcW w:w="877"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33265</w:t>
            </w:r>
          </w:p>
        </w:tc>
        <w:tc>
          <w:tcPr>
            <w:tcW w:w="985" w:type="dxa"/>
            <w:gridSpan w:val="2"/>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16822</w:t>
            </w:r>
          </w:p>
        </w:tc>
        <w:tc>
          <w:tcPr>
            <w:tcW w:w="863" w:type="dxa"/>
            <w:gridSpan w:val="2"/>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16443</w:t>
            </w:r>
          </w:p>
        </w:tc>
        <w:tc>
          <w:tcPr>
            <w:tcW w:w="1084" w:type="dxa"/>
            <w:gridSpan w:val="2"/>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23955</w:t>
            </w:r>
          </w:p>
        </w:tc>
        <w:tc>
          <w:tcPr>
            <w:tcW w:w="1083" w:type="dxa"/>
            <w:gridSpan w:val="2"/>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9310</w:t>
            </w:r>
          </w:p>
        </w:tc>
        <w:tc>
          <w:tcPr>
            <w:tcW w:w="1743" w:type="dxa"/>
            <w:gridSpan w:val="2"/>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585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0" w:type="dxa"/>
          <w:trHeight w:val="767" w:hRule="atLeast"/>
        </w:trPr>
        <w:tc>
          <w:tcPr>
            <w:tcW w:w="708"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25</w:t>
            </w:r>
          </w:p>
        </w:tc>
        <w:tc>
          <w:tcPr>
            <w:tcW w:w="1342"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青林回族 维吾尔族乡</w:t>
            </w:r>
          </w:p>
        </w:tc>
        <w:tc>
          <w:tcPr>
            <w:tcW w:w="915"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12415</w:t>
            </w:r>
          </w:p>
        </w:tc>
        <w:tc>
          <w:tcPr>
            <w:tcW w:w="877"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40062</w:t>
            </w:r>
          </w:p>
        </w:tc>
        <w:tc>
          <w:tcPr>
            <w:tcW w:w="985" w:type="dxa"/>
            <w:gridSpan w:val="2"/>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20324</w:t>
            </w:r>
          </w:p>
        </w:tc>
        <w:tc>
          <w:tcPr>
            <w:tcW w:w="863" w:type="dxa"/>
            <w:gridSpan w:val="2"/>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19738</w:t>
            </w:r>
          </w:p>
        </w:tc>
        <w:tc>
          <w:tcPr>
            <w:tcW w:w="1084" w:type="dxa"/>
            <w:gridSpan w:val="2"/>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40062</w:t>
            </w:r>
          </w:p>
        </w:tc>
        <w:tc>
          <w:tcPr>
            <w:tcW w:w="1083" w:type="dxa"/>
            <w:gridSpan w:val="2"/>
            <w:vAlign w:val="center"/>
          </w:tcPr>
          <w:p>
            <w:pPr>
              <w:jc w:val="center"/>
              <w:rPr>
                <w:rFonts w:asciiTheme="majorEastAsia" w:hAnsiTheme="majorEastAsia" w:eastAsiaTheme="majorEastAsia" w:cstheme="majorEastAsia"/>
                <w:szCs w:val="21"/>
              </w:rPr>
            </w:pPr>
          </w:p>
        </w:tc>
        <w:tc>
          <w:tcPr>
            <w:tcW w:w="1743" w:type="dxa"/>
            <w:gridSpan w:val="2"/>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708" w:type="dxa"/>
            <w:vMerge w:val="restart"/>
            <w:vAlign w:val="center"/>
          </w:tcPr>
          <w:p>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序号</w:t>
            </w:r>
          </w:p>
        </w:tc>
        <w:tc>
          <w:tcPr>
            <w:tcW w:w="1342" w:type="dxa"/>
            <w:vMerge w:val="restart"/>
            <w:vAlign w:val="center"/>
          </w:tcPr>
          <w:p>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乡镇名称</w:t>
            </w:r>
          </w:p>
        </w:tc>
        <w:tc>
          <w:tcPr>
            <w:tcW w:w="915" w:type="dxa"/>
            <w:vMerge w:val="restart"/>
            <w:vAlign w:val="center"/>
          </w:tcPr>
          <w:p>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年末</w:t>
            </w:r>
          </w:p>
          <w:p>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总户数</w:t>
            </w:r>
          </w:p>
        </w:tc>
        <w:tc>
          <w:tcPr>
            <w:tcW w:w="893" w:type="dxa"/>
            <w:gridSpan w:val="2"/>
            <w:vMerge w:val="restart"/>
            <w:vAlign w:val="center"/>
          </w:tcPr>
          <w:p>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年末</w:t>
            </w:r>
          </w:p>
          <w:p>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总人口</w:t>
            </w:r>
          </w:p>
        </w:tc>
        <w:tc>
          <w:tcPr>
            <w:tcW w:w="1856" w:type="dxa"/>
            <w:gridSpan w:val="4"/>
            <w:vAlign w:val="center"/>
          </w:tcPr>
          <w:p>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按性别分</w:t>
            </w:r>
          </w:p>
        </w:tc>
        <w:tc>
          <w:tcPr>
            <w:tcW w:w="2175" w:type="dxa"/>
            <w:gridSpan w:val="4"/>
            <w:vAlign w:val="center"/>
          </w:tcPr>
          <w:p>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按职业分</w:t>
            </w:r>
          </w:p>
        </w:tc>
        <w:tc>
          <w:tcPr>
            <w:tcW w:w="1751" w:type="dxa"/>
            <w:gridSpan w:val="2"/>
            <w:vMerge w:val="restart"/>
            <w:vAlign w:val="center"/>
          </w:tcPr>
          <w:p>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人口密度</w:t>
            </w:r>
          </w:p>
          <w:p>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（人/平方公里）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708" w:type="dxa"/>
            <w:vMerge w:val="continue"/>
            <w:vAlign w:val="center"/>
          </w:tcPr>
          <w:p>
            <w:pPr>
              <w:jc w:val="center"/>
              <w:rPr>
                <w:rFonts w:ascii="黑体" w:hAnsi="黑体" w:eastAsia="黑体" w:cs="黑体"/>
                <w:szCs w:val="21"/>
              </w:rPr>
            </w:pPr>
          </w:p>
        </w:tc>
        <w:tc>
          <w:tcPr>
            <w:tcW w:w="1342" w:type="dxa"/>
            <w:vMerge w:val="continue"/>
            <w:vAlign w:val="center"/>
          </w:tcPr>
          <w:p>
            <w:pPr>
              <w:jc w:val="center"/>
              <w:rPr>
                <w:rFonts w:ascii="黑体" w:hAnsi="黑体" w:eastAsia="黑体" w:cs="黑体"/>
                <w:szCs w:val="21"/>
              </w:rPr>
            </w:pPr>
          </w:p>
        </w:tc>
        <w:tc>
          <w:tcPr>
            <w:tcW w:w="915" w:type="dxa"/>
            <w:vMerge w:val="continue"/>
            <w:vAlign w:val="center"/>
          </w:tcPr>
          <w:p>
            <w:pPr>
              <w:jc w:val="center"/>
              <w:rPr>
                <w:rFonts w:ascii="黑体" w:hAnsi="黑体" w:eastAsia="黑体" w:cs="黑体"/>
                <w:szCs w:val="21"/>
              </w:rPr>
            </w:pPr>
          </w:p>
        </w:tc>
        <w:tc>
          <w:tcPr>
            <w:tcW w:w="893" w:type="dxa"/>
            <w:gridSpan w:val="2"/>
            <w:vMerge w:val="continue"/>
            <w:vAlign w:val="center"/>
          </w:tcPr>
          <w:p>
            <w:pPr>
              <w:jc w:val="center"/>
              <w:rPr>
                <w:rFonts w:ascii="黑体" w:hAnsi="黑体" w:eastAsia="黑体" w:cs="黑体"/>
                <w:szCs w:val="21"/>
              </w:rPr>
            </w:pPr>
          </w:p>
        </w:tc>
        <w:tc>
          <w:tcPr>
            <w:tcW w:w="989" w:type="dxa"/>
            <w:gridSpan w:val="2"/>
            <w:vAlign w:val="center"/>
          </w:tcPr>
          <w:p>
            <w:pPr>
              <w:jc w:val="center"/>
              <w:rPr>
                <w:rFonts w:ascii="黑体" w:hAnsi="黑体" w:eastAsia="黑体" w:cs="黑体"/>
                <w:b/>
                <w:bCs/>
                <w:szCs w:val="21"/>
              </w:rPr>
            </w:pPr>
            <w:r>
              <w:rPr>
                <w:rFonts w:hint="eastAsia" w:ascii="黑体" w:hAnsi="黑体" w:eastAsia="黑体" w:cs="黑体"/>
                <w:b/>
                <w:bCs/>
                <w:szCs w:val="21"/>
              </w:rPr>
              <w:t>男</w:t>
            </w:r>
          </w:p>
        </w:tc>
        <w:tc>
          <w:tcPr>
            <w:tcW w:w="867" w:type="dxa"/>
            <w:gridSpan w:val="2"/>
            <w:vAlign w:val="center"/>
          </w:tcPr>
          <w:p>
            <w:pPr>
              <w:jc w:val="center"/>
              <w:rPr>
                <w:rFonts w:ascii="黑体" w:hAnsi="黑体" w:eastAsia="黑体" w:cs="黑体"/>
                <w:b/>
                <w:bCs/>
                <w:szCs w:val="21"/>
              </w:rPr>
            </w:pPr>
            <w:r>
              <w:rPr>
                <w:rFonts w:hint="eastAsia" w:ascii="黑体" w:hAnsi="黑体" w:eastAsia="黑体" w:cs="黑体"/>
                <w:b/>
                <w:bCs/>
                <w:szCs w:val="21"/>
              </w:rPr>
              <w:t>女</w:t>
            </w:r>
          </w:p>
        </w:tc>
        <w:tc>
          <w:tcPr>
            <w:tcW w:w="1088" w:type="dxa"/>
            <w:gridSpan w:val="2"/>
            <w:vAlign w:val="center"/>
          </w:tcPr>
          <w:p>
            <w:pPr>
              <w:jc w:val="center"/>
              <w:rPr>
                <w:rFonts w:ascii="黑体" w:hAnsi="黑体" w:eastAsia="黑体" w:cs="黑体"/>
                <w:b/>
                <w:bCs/>
                <w:szCs w:val="21"/>
              </w:rPr>
            </w:pPr>
            <w:r>
              <w:rPr>
                <w:rFonts w:hint="eastAsia" w:ascii="黑体" w:hAnsi="黑体" w:eastAsia="黑体" w:cs="黑体"/>
                <w:b/>
                <w:bCs/>
                <w:szCs w:val="21"/>
              </w:rPr>
              <w:t>农村人口</w:t>
            </w:r>
          </w:p>
        </w:tc>
        <w:tc>
          <w:tcPr>
            <w:tcW w:w="1087" w:type="dxa"/>
            <w:gridSpan w:val="2"/>
            <w:vAlign w:val="center"/>
          </w:tcPr>
          <w:p>
            <w:pPr>
              <w:jc w:val="center"/>
              <w:rPr>
                <w:rFonts w:ascii="黑体" w:hAnsi="黑体" w:eastAsia="黑体" w:cs="黑体"/>
                <w:b/>
                <w:bCs/>
                <w:szCs w:val="21"/>
              </w:rPr>
            </w:pPr>
            <w:r>
              <w:rPr>
                <w:rFonts w:hint="eastAsia" w:ascii="黑体" w:hAnsi="黑体" w:eastAsia="黑体" w:cs="黑体"/>
                <w:b/>
                <w:bCs/>
                <w:szCs w:val="21"/>
              </w:rPr>
              <w:t>城镇人口</w:t>
            </w:r>
          </w:p>
        </w:tc>
        <w:tc>
          <w:tcPr>
            <w:tcW w:w="1751" w:type="dxa"/>
            <w:gridSpan w:val="2"/>
            <w:vMerge w:val="continue"/>
            <w:vAlign w:val="center"/>
          </w:tcPr>
          <w:p>
            <w:pPr>
              <w:jc w:val="center"/>
              <w:rPr>
                <w:rFonts w:ascii="黑体" w:hAnsi="黑体" w:eastAsia="黑体" w:cs="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708"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26</w:t>
            </w:r>
          </w:p>
        </w:tc>
        <w:tc>
          <w:tcPr>
            <w:tcW w:w="1342"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枫树维吾尔族回族乡</w:t>
            </w:r>
          </w:p>
        </w:tc>
        <w:tc>
          <w:tcPr>
            <w:tcW w:w="915"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9533</w:t>
            </w:r>
          </w:p>
        </w:tc>
        <w:tc>
          <w:tcPr>
            <w:tcW w:w="893" w:type="dxa"/>
            <w:gridSpan w:val="2"/>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32853</w:t>
            </w:r>
          </w:p>
        </w:tc>
        <w:tc>
          <w:tcPr>
            <w:tcW w:w="989" w:type="dxa"/>
            <w:gridSpan w:val="2"/>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16829</w:t>
            </w:r>
          </w:p>
        </w:tc>
        <w:tc>
          <w:tcPr>
            <w:tcW w:w="867" w:type="dxa"/>
            <w:gridSpan w:val="2"/>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16024</w:t>
            </w:r>
          </w:p>
        </w:tc>
        <w:tc>
          <w:tcPr>
            <w:tcW w:w="1088" w:type="dxa"/>
            <w:gridSpan w:val="2"/>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32853</w:t>
            </w:r>
          </w:p>
        </w:tc>
        <w:tc>
          <w:tcPr>
            <w:tcW w:w="1087" w:type="dxa"/>
            <w:gridSpan w:val="2"/>
            <w:vAlign w:val="center"/>
          </w:tcPr>
          <w:p>
            <w:pPr>
              <w:jc w:val="center"/>
              <w:rPr>
                <w:rFonts w:asciiTheme="majorEastAsia" w:hAnsiTheme="majorEastAsia" w:eastAsiaTheme="majorEastAsia" w:cstheme="majorEastAsia"/>
                <w:szCs w:val="21"/>
              </w:rPr>
            </w:pPr>
          </w:p>
        </w:tc>
        <w:tc>
          <w:tcPr>
            <w:tcW w:w="1751" w:type="dxa"/>
            <w:gridSpan w:val="2"/>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708"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27</w:t>
            </w:r>
          </w:p>
        </w:tc>
        <w:tc>
          <w:tcPr>
            <w:tcW w:w="1342"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余家坪乡</w:t>
            </w:r>
          </w:p>
        </w:tc>
        <w:tc>
          <w:tcPr>
            <w:tcW w:w="915"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7348</w:t>
            </w:r>
          </w:p>
        </w:tc>
        <w:tc>
          <w:tcPr>
            <w:tcW w:w="893" w:type="dxa"/>
            <w:gridSpan w:val="2"/>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20385</w:t>
            </w:r>
          </w:p>
        </w:tc>
        <w:tc>
          <w:tcPr>
            <w:tcW w:w="989" w:type="dxa"/>
            <w:gridSpan w:val="2"/>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10750</w:t>
            </w:r>
          </w:p>
        </w:tc>
        <w:tc>
          <w:tcPr>
            <w:tcW w:w="867" w:type="dxa"/>
            <w:gridSpan w:val="2"/>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9635</w:t>
            </w:r>
          </w:p>
        </w:tc>
        <w:tc>
          <w:tcPr>
            <w:tcW w:w="1088" w:type="dxa"/>
            <w:gridSpan w:val="2"/>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20385</w:t>
            </w:r>
          </w:p>
        </w:tc>
        <w:tc>
          <w:tcPr>
            <w:tcW w:w="1087" w:type="dxa"/>
            <w:gridSpan w:val="2"/>
            <w:vAlign w:val="center"/>
          </w:tcPr>
          <w:p>
            <w:pPr>
              <w:jc w:val="center"/>
              <w:rPr>
                <w:rFonts w:asciiTheme="majorEastAsia" w:hAnsiTheme="majorEastAsia" w:eastAsiaTheme="majorEastAsia" w:cstheme="majorEastAsia"/>
                <w:szCs w:val="21"/>
              </w:rPr>
            </w:pPr>
          </w:p>
        </w:tc>
        <w:tc>
          <w:tcPr>
            <w:tcW w:w="1751" w:type="dxa"/>
            <w:gridSpan w:val="2"/>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708"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28</w:t>
            </w:r>
          </w:p>
        </w:tc>
        <w:tc>
          <w:tcPr>
            <w:tcW w:w="1342"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泥窝潭乡</w:t>
            </w:r>
          </w:p>
        </w:tc>
        <w:tc>
          <w:tcPr>
            <w:tcW w:w="915"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5742</w:t>
            </w:r>
          </w:p>
        </w:tc>
        <w:tc>
          <w:tcPr>
            <w:tcW w:w="893" w:type="dxa"/>
            <w:gridSpan w:val="2"/>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17711</w:t>
            </w:r>
          </w:p>
        </w:tc>
        <w:tc>
          <w:tcPr>
            <w:tcW w:w="989" w:type="dxa"/>
            <w:gridSpan w:val="2"/>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9250</w:t>
            </w:r>
          </w:p>
        </w:tc>
        <w:tc>
          <w:tcPr>
            <w:tcW w:w="867" w:type="dxa"/>
            <w:gridSpan w:val="2"/>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8461</w:t>
            </w:r>
          </w:p>
        </w:tc>
        <w:tc>
          <w:tcPr>
            <w:tcW w:w="1088" w:type="dxa"/>
            <w:gridSpan w:val="2"/>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17711</w:t>
            </w:r>
          </w:p>
        </w:tc>
        <w:tc>
          <w:tcPr>
            <w:tcW w:w="1087" w:type="dxa"/>
            <w:gridSpan w:val="2"/>
            <w:vAlign w:val="center"/>
          </w:tcPr>
          <w:p>
            <w:pPr>
              <w:jc w:val="center"/>
              <w:rPr>
                <w:rFonts w:asciiTheme="majorEastAsia" w:hAnsiTheme="majorEastAsia" w:eastAsiaTheme="majorEastAsia" w:cstheme="majorEastAsia"/>
                <w:szCs w:val="21"/>
              </w:rPr>
            </w:pPr>
          </w:p>
        </w:tc>
        <w:tc>
          <w:tcPr>
            <w:tcW w:w="1751" w:type="dxa"/>
            <w:gridSpan w:val="2"/>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50" w:type="dxa"/>
            <w:gridSpan w:val="2"/>
            <w:vAlign w:val="center"/>
          </w:tcPr>
          <w:p>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合计</w:t>
            </w:r>
          </w:p>
        </w:tc>
        <w:tc>
          <w:tcPr>
            <w:tcW w:w="915" w:type="dxa"/>
            <w:vAlign w:val="center"/>
          </w:tcPr>
          <w:p>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314587</w:t>
            </w:r>
          </w:p>
        </w:tc>
        <w:tc>
          <w:tcPr>
            <w:tcW w:w="893" w:type="dxa"/>
            <w:gridSpan w:val="2"/>
            <w:vAlign w:val="center"/>
          </w:tcPr>
          <w:p>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930283</w:t>
            </w:r>
          </w:p>
        </w:tc>
        <w:tc>
          <w:tcPr>
            <w:tcW w:w="989" w:type="dxa"/>
            <w:gridSpan w:val="2"/>
            <w:vAlign w:val="center"/>
          </w:tcPr>
          <w:p>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478424</w:t>
            </w:r>
          </w:p>
        </w:tc>
        <w:tc>
          <w:tcPr>
            <w:tcW w:w="867" w:type="dxa"/>
            <w:gridSpan w:val="2"/>
            <w:vAlign w:val="center"/>
          </w:tcPr>
          <w:p>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451859</w:t>
            </w:r>
          </w:p>
        </w:tc>
        <w:tc>
          <w:tcPr>
            <w:tcW w:w="1088" w:type="dxa"/>
            <w:gridSpan w:val="2"/>
            <w:vAlign w:val="center"/>
          </w:tcPr>
          <w:p>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704677</w:t>
            </w:r>
          </w:p>
        </w:tc>
        <w:tc>
          <w:tcPr>
            <w:tcW w:w="1087" w:type="dxa"/>
            <w:gridSpan w:val="2"/>
            <w:vAlign w:val="center"/>
          </w:tcPr>
          <w:p>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225606</w:t>
            </w:r>
          </w:p>
        </w:tc>
        <w:tc>
          <w:tcPr>
            <w:tcW w:w="1751" w:type="dxa"/>
            <w:gridSpan w:val="2"/>
            <w:vAlign w:val="center"/>
          </w:tcPr>
          <w:p>
            <w:pPr>
              <w:jc w:val="center"/>
              <w:rPr>
                <w:rFonts w:asciiTheme="majorEastAsia" w:hAnsiTheme="majorEastAsia" w:eastAsiaTheme="majorEastAsia" w:cstheme="majorEastAsia"/>
                <w:b/>
                <w:bCs/>
                <w:szCs w:val="21"/>
              </w:rPr>
            </w:pPr>
          </w:p>
        </w:tc>
      </w:tr>
    </w:tbl>
    <w:p>
      <w:pPr>
        <w:spacing w:line="360" w:lineRule="auto"/>
        <w:rPr>
          <w:rFonts w:ascii="黑体" w:hAnsi="黑体" w:eastAsia="黑体" w:cs="黑体"/>
          <w:b/>
          <w:bCs/>
          <w:sz w:val="28"/>
          <w:szCs w:val="28"/>
        </w:rPr>
      </w:pPr>
    </w:p>
    <w:p>
      <w:pPr>
        <w:spacing w:line="360" w:lineRule="auto"/>
        <w:rPr>
          <w:rFonts w:ascii="黑体" w:hAnsi="黑体" w:eastAsia="黑体" w:cs="黑体"/>
          <w:b/>
          <w:bCs/>
          <w:sz w:val="28"/>
          <w:szCs w:val="28"/>
        </w:rPr>
      </w:pPr>
      <w:r>
        <w:rPr>
          <w:rFonts w:hint="eastAsia" w:ascii="黑体" w:hAnsi="黑体" w:eastAsia="黑体" w:cs="黑体"/>
          <w:b/>
          <w:bCs/>
          <w:sz w:val="28"/>
          <w:szCs w:val="28"/>
        </w:rPr>
        <w:t>2.3.3  产业类型</w:t>
      </w:r>
    </w:p>
    <w:p>
      <w:pPr>
        <w:spacing w:line="360" w:lineRule="auto"/>
        <w:ind w:firstLine="440"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桃源县形成了三带六园三板块的特色产业体系。</w:t>
      </w:r>
    </w:p>
    <w:p>
      <w:pPr>
        <w:spacing w:line="360" w:lineRule="auto"/>
        <w:ind w:firstLine="442" w:firstLineChars="200"/>
        <w:rPr>
          <w:rFonts w:asciiTheme="majorEastAsia" w:hAnsiTheme="majorEastAsia" w:eastAsiaTheme="majorEastAsia" w:cstheme="majorEastAsia"/>
          <w:b/>
          <w:bCs/>
          <w:sz w:val="22"/>
          <w:szCs w:val="22"/>
        </w:rPr>
      </w:pPr>
      <w:r>
        <w:rPr>
          <w:rFonts w:hint="eastAsia" w:asciiTheme="majorEastAsia" w:hAnsiTheme="majorEastAsia" w:eastAsiaTheme="majorEastAsia" w:cstheme="majorEastAsia"/>
          <w:b/>
          <w:bCs/>
          <w:sz w:val="22"/>
          <w:szCs w:val="22"/>
        </w:rPr>
        <w:t>（1）三带</w:t>
      </w:r>
    </w:p>
    <w:p>
      <w:pPr>
        <w:spacing w:line="360" w:lineRule="auto"/>
        <w:ind w:firstLine="440"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1）茶庵铺茶叶产业带：种植茶叶，拥有“野茶王”品牌，常德市重点茶叶产区。包括茶庵铺镇。</w:t>
      </w:r>
    </w:p>
    <w:p>
      <w:pPr>
        <w:spacing w:line="360" w:lineRule="auto"/>
        <w:ind w:firstLine="440"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2）马鬃岭柑橘产业带：柑桔产业，包括马鬃岭镇、双溪口镇、九溪镇。</w:t>
      </w:r>
    </w:p>
    <w:p>
      <w:pPr>
        <w:spacing w:line="360" w:lineRule="auto"/>
        <w:ind w:firstLine="440"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3）沙坪竹木产业带：种植楠竹。包括沙坪镇、杨溪桥镇、郑家驿镇。</w:t>
      </w:r>
    </w:p>
    <w:p>
      <w:pPr>
        <w:spacing w:line="360" w:lineRule="auto"/>
        <w:ind w:firstLine="442" w:firstLineChars="200"/>
        <w:rPr>
          <w:rFonts w:asciiTheme="majorEastAsia" w:hAnsiTheme="majorEastAsia" w:eastAsiaTheme="majorEastAsia" w:cstheme="majorEastAsia"/>
          <w:b/>
          <w:bCs/>
          <w:sz w:val="22"/>
          <w:szCs w:val="22"/>
        </w:rPr>
      </w:pPr>
      <w:r>
        <w:rPr>
          <w:rFonts w:hint="eastAsia" w:asciiTheme="majorEastAsia" w:hAnsiTheme="majorEastAsia" w:eastAsiaTheme="majorEastAsia" w:cstheme="majorEastAsia"/>
          <w:b/>
          <w:bCs/>
          <w:sz w:val="22"/>
          <w:szCs w:val="22"/>
        </w:rPr>
        <w:t>（2）六园</w:t>
      </w:r>
    </w:p>
    <w:p>
      <w:pPr>
        <w:spacing w:line="360" w:lineRule="auto"/>
        <w:ind w:firstLine="440"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1）陬市工业园：生物医药、农产品深加工、生态食品加工等产业。</w:t>
      </w:r>
    </w:p>
    <w:p>
      <w:pPr>
        <w:spacing w:line="360" w:lineRule="auto"/>
        <w:ind w:firstLine="440"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2）漳江工业园：轻工业园区，重点发展纺织印染、成衣制造、鞋帽制造、日用品制造、食品 加工等产业部门。</w:t>
      </w:r>
    </w:p>
    <w:p>
      <w:pPr>
        <w:spacing w:line="360" w:lineRule="auto"/>
        <w:ind w:firstLine="440"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3）创元工业园：以创元铝业为核心企业，着重发展铝材加工、高档型材、建筑材料、装潢材 料、装备制造等产业，以实现对铝业产业链的延伸。</w:t>
      </w:r>
    </w:p>
    <w:p>
      <w:pPr>
        <w:spacing w:line="360" w:lineRule="auto"/>
        <w:ind w:firstLine="440"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4）城西工业园：以农副产品加工、包装为主的工业区。</w:t>
      </w:r>
    </w:p>
    <w:p>
      <w:pPr>
        <w:spacing w:line="360" w:lineRule="auto"/>
        <w:ind w:firstLine="440"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5）热市工业园：以水泥产业为基础、新型建材为支撑的建材产业链，发展耐火砖、建筑砌块、 瓷砖、装饰砖、文化石等新型建材产业。</w:t>
      </w:r>
    </w:p>
    <w:p>
      <w:pPr>
        <w:spacing w:line="360" w:lineRule="auto"/>
        <w:ind w:firstLine="440"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6）龙潭工业园：以矿产资源开采、加工为主导的产业园区。</w:t>
      </w:r>
    </w:p>
    <w:p>
      <w:pPr>
        <w:spacing w:line="360" w:lineRule="auto"/>
        <w:ind w:firstLine="442" w:firstLineChars="200"/>
        <w:rPr>
          <w:rFonts w:asciiTheme="majorEastAsia" w:hAnsiTheme="majorEastAsia" w:eastAsiaTheme="majorEastAsia" w:cstheme="majorEastAsia"/>
          <w:b/>
          <w:bCs/>
          <w:sz w:val="22"/>
          <w:szCs w:val="22"/>
        </w:rPr>
      </w:pPr>
      <w:r>
        <w:rPr>
          <w:rFonts w:hint="eastAsia" w:asciiTheme="majorEastAsia" w:hAnsiTheme="majorEastAsia" w:eastAsiaTheme="majorEastAsia" w:cstheme="majorEastAsia"/>
          <w:b/>
          <w:bCs/>
          <w:sz w:val="22"/>
          <w:szCs w:val="22"/>
        </w:rPr>
        <w:t>（3）三板块</w:t>
      </w:r>
    </w:p>
    <w:p>
      <w:pPr>
        <w:spacing w:line="360" w:lineRule="auto"/>
        <w:ind w:firstLine="440"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三板块为中部沅江生态景观旅游板块、南部自然生态观光旅游板块和西-北部山水文化休闲旅 游板块。</w:t>
      </w:r>
    </w:p>
    <w:p>
      <w:pPr>
        <w:spacing w:line="360" w:lineRule="auto"/>
        <w:rPr>
          <w:rFonts w:ascii="黑体" w:hAnsi="黑体" w:eastAsia="黑体" w:cs="黑体"/>
          <w:b/>
          <w:bCs/>
          <w:sz w:val="28"/>
          <w:szCs w:val="28"/>
        </w:rPr>
      </w:pPr>
      <w:r>
        <w:rPr>
          <w:rFonts w:hint="eastAsia" w:ascii="黑体" w:hAnsi="黑体" w:eastAsia="黑体" w:cs="黑体"/>
          <w:b/>
          <w:bCs/>
          <w:sz w:val="28"/>
          <w:szCs w:val="28"/>
        </w:rPr>
        <w:t>2.3.4  经济指标</w:t>
      </w:r>
    </w:p>
    <w:p>
      <w:pPr>
        <w:spacing w:line="360" w:lineRule="auto"/>
        <w:ind w:firstLine="440"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2018年，桃源县完成地区生产总值3687297万元，比上年增长8.5%；其中，第一产业完成增加 值733269万元，增长3.3%；第二产业完成增加值1190291万元，增长7.9%；第三产业完成增加值1763737万元，增长11.8%。三次产业结构比由上年的21.1：32.8:46.1调整为19.9:32.3:47.8。第 一产业对GDP的贡献率为8.2%，拉动GDP增长0.7个百分点；第二产业为33.0%，拉动GDP增长2.8个百 分点；第三产业为58.8%，拉动GDP增长5.0个百分点。工业对GDP的贡献率为31.0%，拉动GDP增长2.6 个百分点。</w:t>
      </w:r>
    </w:p>
    <w:p>
      <w:pPr>
        <w:spacing w:line="360" w:lineRule="auto"/>
        <w:ind w:firstLine="440"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2018年，桃源县居民人均可支配收入19867元，同比增长9.8%；其中城镇居民人均可支配收入30021元，增长8.4%；农村居民人均可支配收入14738元，增长9.6%。城乡居民人均生活消费支出15333 元，同比增长7.4%；其中人均教育文化娱乐消费支出2502元，下降13.6%，占人均生活消费总支出 的12.6%。城镇居民人均生活消费支出22076元，增长2.1%；农村居民人均生活消费支出11927元， 增长11.2%。城镇居民人均住房面积57.8平方米，农村居民人均住房面积61.5平方米。</w:t>
      </w:r>
    </w:p>
    <w:p>
      <w:pPr>
        <w:spacing w:line="360" w:lineRule="auto"/>
        <w:rPr>
          <w:rFonts w:ascii="黑体" w:hAnsi="黑体" w:eastAsia="黑体" w:cs="黑体"/>
          <w:b/>
          <w:bCs/>
          <w:sz w:val="28"/>
          <w:szCs w:val="28"/>
        </w:rPr>
      </w:pPr>
      <w:r>
        <w:rPr>
          <w:rFonts w:hint="eastAsia" w:ascii="黑体" w:hAnsi="黑体" w:eastAsia="黑体" w:cs="黑体"/>
          <w:b/>
          <w:bCs/>
          <w:sz w:val="28"/>
          <w:szCs w:val="28"/>
        </w:rPr>
        <w:t>2.3.5  土地利用特征</w:t>
      </w:r>
    </w:p>
    <w:p>
      <w:pPr>
        <w:spacing w:line="360" w:lineRule="auto"/>
        <w:ind w:firstLine="440"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2018年，桃源县全县土地总面积666.34万亩，其中耕地面积144.59万亩，园地18.84万亩，林 地389.03万亩，草地4.28万亩，城镇村及矿工用地38.64万亩，交通运输用地9.08万亩，水域及水 利设施用地46.51万亩，其他土地15.34万亩。</w:t>
      </w:r>
    </w:p>
    <w:p>
      <w:pPr>
        <w:spacing w:line="360" w:lineRule="auto"/>
        <w:rPr>
          <w:rFonts w:ascii="黑体" w:hAnsi="黑体" w:eastAsia="黑体" w:cs="黑体"/>
          <w:b/>
          <w:bCs/>
          <w:sz w:val="28"/>
          <w:szCs w:val="28"/>
        </w:rPr>
      </w:pPr>
      <w:r>
        <w:rPr>
          <w:rFonts w:hint="eastAsia" w:ascii="黑体" w:hAnsi="黑体" w:eastAsia="黑体" w:cs="黑体"/>
          <w:b/>
          <w:bCs/>
          <w:sz w:val="28"/>
          <w:szCs w:val="28"/>
        </w:rPr>
        <w:t>2.3.6  旅游资源</w:t>
      </w:r>
    </w:p>
    <w:p>
      <w:pPr>
        <w:spacing w:line="360" w:lineRule="auto"/>
        <w:ind w:firstLine="440"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桃花源风景秀丽，名胜古迹遍布全县，旅游资源极为丰富。现已查明的旅游资源为68处：自然 旅游资源12处，其中地文景观6处，水域风光4处， 生物景观2处；人文旅游资源56种，其中古遗址1处，建筑与设施44处，旅游商品2种，人文活动9种。包括：桃花源风景名胜区、乌云界国家级自 然保护区、沅水国家级湿地公园、望阳山省级自然保护区等生态保护区，以及枫林花海国家4A级景 区，夷望溪国家3A级景区，牛车河镇三红村、毛坪村中国传统村落、热市温泉、黄石库区等。</w:t>
      </w:r>
    </w:p>
    <w:p>
      <w:pPr>
        <w:spacing w:line="360" w:lineRule="auto"/>
        <w:rPr>
          <w:rFonts w:ascii="黑体" w:hAnsi="黑体" w:eastAsia="黑体" w:cs="黑体"/>
          <w:b/>
          <w:bCs/>
          <w:sz w:val="28"/>
          <w:szCs w:val="28"/>
        </w:rPr>
      </w:pPr>
      <w:r>
        <w:rPr>
          <w:rFonts w:hint="eastAsia" w:ascii="黑体" w:hAnsi="黑体" w:eastAsia="黑体" w:cs="黑体"/>
          <w:b/>
          <w:bCs/>
          <w:sz w:val="28"/>
          <w:szCs w:val="28"/>
        </w:rPr>
        <w:t>2.3.7  农家乐及民宿</w:t>
      </w:r>
    </w:p>
    <w:p>
      <w:pPr>
        <w:spacing w:line="360" w:lineRule="auto"/>
        <w:ind w:firstLine="440"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桃源县依托优良的山水生态自然环境，休闲农庄日渐增多，目前已拥有省级五星级乡村旅游</w:t>
      </w:r>
    </w:p>
    <w:p>
      <w:pPr>
        <w:spacing w:line="360" w:lineRule="auto"/>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（区）点8个，四星级乡村旅游（区）点1个。主要分布在漳江镇、热市镇、茶庵铺镇、漆河镇、青林乡等旅游资源条件好或交通区位优势明显的乡镇。本次现场调查共统计到带餐饮的农家乐及民宿169个。</w:t>
      </w:r>
    </w:p>
    <w:p>
      <w:pPr>
        <w:spacing w:line="360" w:lineRule="auto"/>
        <w:rPr>
          <w:rFonts w:ascii="黑体" w:hAnsi="黑体" w:eastAsia="黑体" w:cs="黑体"/>
          <w:b/>
          <w:bCs/>
          <w:sz w:val="28"/>
          <w:szCs w:val="28"/>
        </w:rPr>
      </w:pPr>
      <w:r>
        <w:rPr>
          <w:rFonts w:hint="eastAsia" w:ascii="黑体" w:hAnsi="黑体" w:eastAsia="黑体" w:cs="黑体"/>
          <w:b/>
          <w:bCs/>
          <w:sz w:val="28"/>
          <w:szCs w:val="28"/>
        </w:rPr>
        <w:t>2.4  生态环境保护状况</w:t>
      </w:r>
    </w:p>
    <w:p>
      <w:pPr>
        <w:spacing w:line="360" w:lineRule="auto"/>
        <w:ind w:firstLine="440"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桃源县始终坚持“生态立县”战略，将生态创建融入经济社会发展各层面、各领域，较好的实 现了环境与经济协调发展、人与自然和谐共生。2019年桃源县被授予首批省级生态文明建设示范县 称号。</w:t>
      </w:r>
    </w:p>
    <w:p>
      <w:pPr>
        <w:spacing w:line="360" w:lineRule="auto"/>
        <w:rPr>
          <w:rFonts w:ascii="黑体" w:hAnsi="黑体" w:eastAsia="黑体" w:cs="黑体"/>
          <w:b/>
          <w:bCs/>
          <w:sz w:val="28"/>
          <w:szCs w:val="28"/>
        </w:rPr>
      </w:pPr>
      <w:r>
        <w:rPr>
          <w:rFonts w:hint="eastAsia" w:ascii="黑体" w:hAnsi="黑体" w:eastAsia="黑体" w:cs="黑体"/>
          <w:b/>
          <w:bCs/>
          <w:sz w:val="28"/>
          <w:szCs w:val="28"/>
        </w:rPr>
        <w:t>2.4.1  饮用水源地</w:t>
      </w:r>
    </w:p>
    <w:p>
      <w:pPr>
        <w:spacing w:line="360" w:lineRule="auto"/>
        <w:ind w:firstLine="440"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桃源县共划定了44处饮用水源保护区，其中市级备用水源1处（黄石水库），县级饮用水源1 处（黄潭洲），乡镇饮用水源42处。</w:t>
      </w:r>
    </w:p>
    <w:p>
      <w:pPr>
        <w:spacing w:line="360" w:lineRule="auto"/>
        <w:rPr>
          <w:rFonts w:asciiTheme="majorEastAsia" w:hAnsiTheme="majorEastAsia" w:eastAsiaTheme="majorEastAsia" w:cstheme="majorEastAsia"/>
          <w:sz w:val="22"/>
          <w:szCs w:val="22"/>
        </w:rPr>
      </w:pPr>
      <w:r>
        <w:rPr>
          <w:rFonts w:hint="eastAsia" w:ascii="黑体" w:hAnsi="黑体" w:eastAsia="黑体" w:cs="黑体"/>
          <w:b/>
          <w:bCs/>
          <w:sz w:val="28"/>
          <w:szCs w:val="28"/>
        </w:rPr>
        <w:t>2.4.2  自然保护区</w:t>
      </w:r>
    </w:p>
    <w:p>
      <w:pPr>
        <w:spacing w:line="360" w:lineRule="auto"/>
        <w:ind w:firstLine="440"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桃源县境内有乌云界国家级自然保护区、沅水国家级湿地公园、望阳山省级自然保护区等生态 保护区。</w:t>
      </w:r>
    </w:p>
    <w:p>
      <w:pPr>
        <w:spacing w:line="360" w:lineRule="auto"/>
        <w:ind w:firstLine="442" w:firstLineChars="200"/>
        <w:rPr>
          <w:rFonts w:asciiTheme="majorEastAsia" w:hAnsiTheme="majorEastAsia" w:eastAsiaTheme="majorEastAsia" w:cstheme="majorEastAsia"/>
          <w:b/>
          <w:bCs/>
          <w:sz w:val="22"/>
          <w:szCs w:val="22"/>
        </w:rPr>
      </w:pPr>
      <w:r>
        <w:rPr>
          <w:rFonts w:hint="eastAsia" w:asciiTheme="majorEastAsia" w:hAnsiTheme="majorEastAsia" w:eastAsiaTheme="majorEastAsia" w:cstheme="majorEastAsia"/>
          <w:b/>
          <w:bCs/>
          <w:sz w:val="22"/>
          <w:szCs w:val="22"/>
        </w:rPr>
        <w:t>（1）乌云界国家级自然保护区</w:t>
      </w:r>
    </w:p>
    <w:p>
      <w:pPr>
        <w:spacing w:line="360" w:lineRule="auto"/>
        <w:ind w:firstLine="440"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乌云界国家级自然保护区位于湖南省桃源县南部，地处雪峰山脉的东麓、沅水的南岸，地理位置为东经111º07’20”-111º29’20”，北纬28º30’40”-28º39’47”之间。东与常德市鼎城区相 连，南与益阳市安化县接壤，西邻桃源县太平铺乡，北与桃源县桃花源风景名胜区相望。 保护区 东西长36.0km，南北宽16.5km，总面积33818公顷，其中核心区面积16385公顷，缓冲区面积7655 公顷，实验区面积9778公顷。其中有森林面积27610公顷，森林植被覆盖率达92.5%。</w:t>
      </w:r>
    </w:p>
    <w:p>
      <w:pPr>
        <w:spacing w:line="360" w:lineRule="auto"/>
        <w:ind w:firstLine="442" w:firstLineChars="200"/>
        <w:rPr>
          <w:rFonts w:asciiTheme="majorEastAsia" w:hAnsiTheme="majorEastAsia" w:eastAsiaTheme="majorEastAsia" w:cstheme="majorEastAsia"/>
          <w:b/>
          <w:bCs/>
          <w:sz w:val="22"/>
          <w:szCs w:val="22"/>
        </w:rPr>
      </w:pPr>
      <w:r>
        <w:rPr>
          <w:rFonts w:hint="eastAsia" w:asciiTheme="majorEastAsia" w:hAnsiTheme="majorEastAsia" w:eastAsiaTheme="majorEastAsia" w:cstheme="majorEastAsia"/>
          <w:b/>
          <w:bCs/>
          <w:sz w:val="22"/>
          <w:szCs w:val="22"/>
        </w:rPr>
        <w:t>（2）沅水国家级湿地公园</w:t>
      </w:r>
    </w:p>
    <w:p>
      <w:pPr>
        <w:spacing w:line="360" w:lineRule="auto"/>
        <w:ind w:firstLine="440"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桃源沅水国家湿地公园位于桃源县城东南方向，距离县城约15公里，地理坐标：111°25’19”E—111°28’51”E，28°47’35”N—28°51’24”N，属沅江的一段。面积751.79公顷，其中湿 地面积701.64公顷，占总面积的93.33%。湿地类型为：永久性河流湿地530.62公顷，洪泛湿地171.02 公顷。以保护中华秋沙鸭为主的38种鸟类越冬栖息地为目标，是集湿地保护与修复、文化展示、科普宣教、科研监测、湿地生态旅游为一体的综合性湿地公园，沅水湿地公园上至张家湾洞洲、下至尧河渡口，规划总面积一万余亩。</w:t>
      </w:r>
    </w:p>
    <w:p>
      <w:pPr>
        <w:spacing w:line="360" w:lineRule="auto"/>
        <w:ind w:firstLine="442" w:firstLineChars="200"/>
        <w:rPr>
          <w:rFonts w:asciiTheme="majorEastAsia" w:hAnsiTheme="majorEastAsia" w:eastAsiaTheme="majorEastAsia" w:cstheme="majorEastAsia"/>
          <w:b/>
          <w:bCs/>
          <w:sz w:val="22"/>
          <w:szCs w:val="22"/>
        </w:rPr>
      </w:pPr>
      <w:r>
        <w:rPr>
          <w:rFonts w:hint="eastAsia" w:asciiTheme="majorEastAsia" w:hAnsiTheme="majorEastAsia" w:eastAsiaTheme="majorEastAsia" w:cstheme="majorEastAsia"/>
          <w:b/>
          <w:bCs/>
          <w:sz w:val="22"/>
          <w:szCs w:val="22"/>
        </w:rPr>
        <w:t>（3）望阳山省级自然保护区</w:t>
      </w:r>
    </w:p>
    <w:p>
      <w:pPr>
        <w:spacing w:line="360" w:lineRule="auto"/>
        <w:ind w:firstLine="440"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望阳山又称万阳山，位于湖南省桃源县西部观音寺镇境内，是森林生态型省级自然保护区。望阳山东西宽6035米，南北长6336米，总面积2570.46公倾，森林覆盖率92.1%。最高海拔一峰尖918.1米，属中低山地貌。</w:t>
      </w:r>
    </w:p>
    <w:p>
      <w:pPr>
        <w:spacing w:line="360" w:lineRule="auto"/>
        <w:rPr>
          <w:rFonts w:ascii="黑体" w:hAnsi="黑体" w:eastAsia="黑体" w:cs="黑体"/>
          <w:b/>
          <w:bCs/>
          <w:sz w:val="28"/>
          <w:szCs w:val="28"/>
        </w:rPr>
      </w:pPr>
      <w:r>
        <w:rPr>
          <w:rFonts w:hint="eastAsia" w:ascii="黑体" w:hAnsi="黑体" w:eastAsia="黑体" w:cs="黑体"/>
          <w:b/>
          <w:bCs/>
          <w:sz w:val="28"/>
          <w:szCs w:val="28"/>
        </w:rPr>
        <w:t>2.4.3  森林公园</w:t>
      </w:r>
    </w:p>
    <w:p>
      <w:pPr>
        <w:spacing w:line="360" w:lineRule="auto"/>
        <w:ind w:firstLine="440"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桃花源国家森林公园位于湖南省桃源县城西南部15公里，地处沅水下游。地理位置为东经</w:t>
      </w:r>
    </w:p>
    <w:p>
      <w:pPr>
        <w:spacing w:line="360" w:lineRule="auto"/>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110°25′-110°27′，北纬28°47′-28°49′。公园总面积157.55平方公里。其中“世外桃源” 主体景区15.8平方公里，“武陵人捕鱼为业”的沅水风光带水域44.85平方公里，外围保护区96.9 平方公里。主体景区包括桃花山、桃源山、秦人村、桃仙岭和灵境湖五个景区。桃花源国家森林公 园所在的桃花源镇不在本规划范围内。</w:t>
      </w:r>
    </w:p>
    <w:p>
      <w:pPr>
        <w:spacing w:line="360" w:lineRule="auto"/>
        <w:rPr>
          <w:rFonts w:ascii="黑体" w:hAnsi="黑体" w:eastAsia="黑体" w:cs="黑体"/>
          <w:b/>
          <w:bCs/>
          <w:sz w:val="28"/>
          <w:szCs w:val="28"/>
        </w:rPr>
      </w:pPr>
      <w:r>
        <w:rPr>
          <w:rFonts w:hint="eastAsia" w:ascii="黑体" w:hAnsi="黑体" w:eastAsia="黑体" w:cs="黑体"/>
          <w:b/>
          <w:bCs/>
          <w:sz w:val="28"/>
          <w:szCs w:val="28"/>
        </w:rPr>
        <w:t>2.4.4  风景名胜区</w:t>
      </w:r>
    </w:p>
    <w:p>
      <w:pPr>
        <w:spacing w:line="360" w:lineRule="auto"/>
        <w:ind w:firstLine="442" w:firstLineChars="200"/>
        <w:rPr>
          <w:rFonts w:asciiTheme="majorEastAsia" w:hAnsiTheme="majorEastAsia" w:eastAsiaTheme="majorEastAsia" w:cstheme="majorEastAsia"/>
          <w:b/>
          <w:bCs/>
          <w:sz w:val="22"/>
          <w:szCs w:val="22"/>
        </w:rPr>
      </w:pPr>
      <w:r>
        <w:rPr>
          <w:rFonts w:hint="eastAsia" w:asciiTheme="majorEastAsia" w:hAnsiTheme="majorEastAsia" w:eastAsiaTheme="majorEastAsia" w:cstheme="majorEastAsia"/>
          <w:b/>
          <w:bCs/>
          <w:sz w:val="22"/>
          <w:szCs w:val="22"/>
        </w:rPr>
        <w:t>（1）桃花源国家级风景名胜区</w:t>
      </w:r>
    </w:p>
    <w:p>
      <w:pPr>
        <w:spacing w:line="360" w:lineRule="auto"/>
        <w:ind w:firstLine="440"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桃花源国家级风景名胜区位于湖南省桃源县西南15公里的水溪附近，距常德市34公里。景区总面积157.55平方公里，其中世外桃源主体景区15.8平方公里，武陵人捕鱼为业的沅水风光带水域44.48平方公里，外围保护区96.9平方公里。桃花源国家级风景名胜区所在的桃花源镇不在本规划 范围内。</w:t>
      </w:r>
    </w:p>
    <w:p>
      <w:pPr>
        <w:spacing w:line="360" w:lineRule="auto"/>
        <w:ind w:firstLine="442" w:firstLineChars="200"/>
        <w:rPr>
          <w:rFonts w:asciiTheme="majorEastAsia" w:hAnsiTheme="majorEastAsia" w:eastAsiaTheme="majorEastAsia" w:cstheme="majorEastAsia"/>
          <w:b/>
          <w:bCs/>
          <w:sz w:val="22"/>
          <w:szCs w:val="22"/>
        </w:rPr>
      </w:pPr>
      <w:r>
        <w:rPr>
          <w:rFonts w:hint="eastAsia" w:asciiTheme="majorEastAsia" w:hAnsiTheme="majorEastAsia" w:eastAsiaTheme="majorEastAsia" w:cstheme="majorEastAsia"/>
          <w:b/>
          <w:bCs/>
          <w:sz w:val="22"/>
          <w:szCs w:val="22"/>
        </w:rPr>
        <w:t>（2）夷望溪国家级风景名胜区</w:t>
      </w:r>
    </w:p>
    <w:p>
      <w:pPr>
        <w:spacing w:line="360" w:lineRule="auto"/>
        <w:ind w:firstLine="440"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夷望溪位于湖南省常德市桃源县兴隆街乡夷望溪村，景色秀美、山水怡人，被称为常德的的“小</w:t>
      </w:r>
    </w:p>
    <w:p>
      <w:pPr>
        <w:spacing w:line="360" w:lineRule="auto"/>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桂林”。夷望溪发端于桃源南部西安镇，长70公里，从兴隆街乡水心岩悄然注入沅水。这条由郦道 元作注，袁宏道着色的溪流，在雪峰山脉的余脉间逶迤穿行，将两岸的山河吟唱成一条色彩绚丽的 水上画廊，形成夷望溪风光线。</w:t>
      </w:r>
    </w:p>
    <w:p>
      <w:pPr>
        <w:spacing w:line="360" w:lineRule="auto"/>
        <w:ind w:firstLine="442" w:firstLineChars="200"/>
        <w:rPr>
          <w:rFonts w:asciiTheme="majorEastAsia" w:hAnsiTheme="majorEastAsia" w:eastAsiaTheme="majorEastAsia" w:cstheme="majorEastAsia"/>
          <w:b/>
          <w:bCs/>
          <w:sz w:val="22"/>
          <w:szCs w:val="22"/>
        </w:rPr>
      </w:pPr>
      <w:r>
        <w:rPr>
          <w:rFonts w:hint="eastAsia" w:asciiTheme="majorEastAsia" w:hAnsiTheme="majorEastAsia" w:eastAsiaTheme="majorEastAsia" w:cstheme="majorEastAsia"/>
          <w:b/>
          <w:bCs/>
          <w:sz w:val="22"/>
          <w:szCs w:val="22"/>
        </w:rPr>
        <w:t>（3）枫林花海国家级风景名胜区</w:t>
      </w:r>
    </w:p>
    <w:p>
      <w:pPr>
        <w:spacing w:line="360" w:lineRule="auto"/>
        <w:ind w:firstLine="440"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枫林花海景区是国家3A级旅游景区，位于桃源县枫树维吾尔族回族乡，总占地面积1000余亩，</w:t>
      </w:r>
    </w:p>
    <w:p>
      <w:pPr>
        <w:spacing w:line="360" w:lineRule="auto"/>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是一个集花卉欣赏、亲子游乐、革命教育、研学教育为主的观光休闲景区。</w:t>
      </w:r>
    </w:p>
    <w:p>
      <w:pPr>
        <w:spacing w:line="360" w:lineRule="auto"/>
        <w:ind w:firstLine="442" w:firstLineChars="200"/>
        <w:rPr>
          <w:rFonts w:asciiTheme="majorEastAsia" w:hAnsiTheme="majorEastAsia" w:eastAsiaTheme="majorEastAsia" w:cstheme="majorEastAsia"/>
          <w:b/>
          <w:bCs/>
          <w:sz w:val="22"/>
          <w:szCs w:val="22"/>
        </w:rPr>
      </w:pPr>
      <w:r>
        <w:rPr>
          <w:rFonts w:hint="eastAsia" w:asciiTheme="majorEastAsia" w:hAnsiTheme="majorEastAsia" w:eastAsiaTheme="majorEastAsia" w:cstheme="majorEastAsia"/>
          <w:b/>
          <w:bCs/>
          <w:sz w:val="22"/>
          <w:szCs w:val="22"/>
        </w:rPr>
        <w:t>（4）乌云界花源里生态园国家级风景名胜区</w:t>
      </w:r>
    </w:p>
    <w:p>
      <w:pPr>
        <w:spacing w:line="360" w:lineRule="auto"/>
        <w:ind w:firstLine="440"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乌云界花源里生态园位于桃源县乌云界国家级自然保护区的实验区，与桃花源风景区遥相呼</w:t>
      </w:r>
    </w:p>
    <w:p>
      <w:pPr>
        <w:spacing w:line="360" w:lineRule="auto"/>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应，是具有特色观光，文化体验，户外运动，生态休闲，农耕体验，滨水度假等功能的生态旅游圣 地国家级乡村旅游优秀示范点和3A级旅游景区。</w:t>
      </w:r>
    </w:p>
    <w:p>
      <w:pPr>
        <w:spacing w:line="360" w:lineRule="auto"/>
        <w:rPr>
          <w:rFonts w:asciiTheme="majorEastAsia" w:hAnsiTheme="majorEastAsia" w:eastAsiaTheme="majorEastAsia" w:cstheme="majorEastAsia"/>
          <w:sz w:val="22"/>
          <w:szCs w:val="22"/>
        </w:rPr>
      </w:pPr>
    </w:p>
    <w:p>
      <w:pPr>
        <w:spacing w:line="360" w:lineRule="auto"/>
        <w:rPr>
          <w:rFonts w:ascii="黑体" w:hAnsi="黑体" w:eastAsia="黑体" w:cs="黑体"/>
          <w:b/>
          <w:bCs/>
          <w:sz w:val="28"/>
          <w:szCs w:val="28"/>
        </w:rPr>
      </w:pPr>
      <w:r>
        <w:rPr>
          <w:rFonts w:hint="eastAsia" w:ascii="黑体" w:hAnsi="黑体" w:eastAsia="黑体" w:cs="黑体"/>
          <w:b/>
          <w:bCs/>
          <w:sz w:val="28"/>
          <w:szCs w:val="28"/>
        </w:rPr>
        <w:t>2.4.5  水环境质量状况</w:t>
      </w:r>
    </w:p>
    <w:p>
      <w:pPr>
        <w:spacing w:line="360" w:lineRule="auto"/>
        <w:ind w:firstLine="440"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2019年，全县主要河流和湖库水水环境质量保持稳定。沅水观音寺、凌津滩、黄潭洲、高湾等</w:t>
      </w:r>
    </w:p>
    <w:p>
      <w:pPr>
        <w:spacing w:line="360" w:lineRule="auto"/>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4个省控断面水质均达到《地表水环境质量标准》（GB3838-2002）Ⅲ类标准或以上。黄石水库、 县城饮用水水源保护区等全县44处集中式饮用水水源地水质，均达到《地表水环境质量标准》（GB3838-2002）Ⅲ类标准。</w:t>
      </w:r>
    </w:p>
    <w:p>
      <w:pPr>
        <w:spacing w:line="360" w:lineRule="auto"/>
        <w:rPr>
          <w:rFonts w:asciiTheme="majorEastAsia" w:hAnsiTheme="majorEastAsia" w:eastAsiaTheme="majorEastAsia" w:cstheme="majorEastAsia"/>
          <w:sz w:val="22"/>
          <w:szCs w:val="22"/>
        </w:rPr>
      </w:pPr>
    </w:p>
    <w:p>
      <w:pPr>
        <w:spacing w:line="360" w:lineRule="auto"/>
        <w:rPr>
          <w:rFonts w:asciiTheme="majorEastAsia" w:hAnsiTheme="majorEastAsia" w:eastAsiaTheme="majorEastAsia" w:cstheme="majorEastAsia"/>
          <w:sz w:val="22"/>
          <w:szCs w:val="22"/>
        </w:rPr>
      </w:pPr>
    </w:p>
    <w:p>
      <w:pPr>
        <w:spacing w:line="360" w:lineRule="auto"/>
        <w:rPr>
          <w:rFonts w:asciiTheme="majorEastAsia" w:hAnsiTheme="majorEastAsia" w:eastAsiaTheme="majorEastAsia" w:cstheme="majorEastAsia"/>
          <w:sz w:val="22"/>
          <w:szCs w:val="22"/>
        </w:rPr>
      </w:pPr>
    </w:p>
    <w:p>
      <w:pPr>
        <w:spacing w:line="360" w:lineRule="auto"/>
        <w:rPr>
          <w:rFonts w:asciiTheme="majorEastAsia" w:hAnsiTheme="majorEastAsia" w:eastAsiaTheme="majorEastAsia" w:cstheme="majorEastAsia"/>
          <w:sz w:val="22"/>
          <w:szCs w:val="22"/>
        </w:rPr>
      </w:pPr>
    </w:p>
    <w:p>
      <w:pPr>
        <w:spacing w:line="360" w:lineRule="auto"/>
        <w:rPr>
          <w:rFonts w:asciiTheme="majorEastAsia" w:hAnsiTheme="majorEastAsia" w:eastAsiaTheme="majorEastAsia" w:cstheme="majorEastAsia"/>
          <w:sz w:val="22"/>
          <w:szCs w:val="22"/>
        </w:rPr>
      </w:pPr>
    </w:p>
    <w:p>
      <w:pPr>
        <w:spacing w:line="360" w:lineRule="auto"/>
        <w:rPr>
          <w:rFonts w:asciiTheme="majorEastAsia" w:hAnsiTheme="majorEastAsia" w:eastAsiaTheme="majorEastAsia" w:cstheme="majorEastAsia"/>
          <w:sz w:val="22"/>
          <w:szCs w:val="22"/>
        </w:rPr>
      </w:pPr>
    </w:p>
    <w:p>
      <w:pPr>
        <w:spacing w:line="360" w:lineRule="auto"/>
        <w:rPr>
          <w:rFonts w:asciiTheme="majorEastAsia" w:hAnsiTheme="majorEastAsia" w:eastAsiaTheme="majorEastAsia" w:cstheme="majorEastAsia"/>
          <w:sz w:val="22"/>
          <w:szCs w:val="22"/>
        </w:rPr>
      </w:pPr>
    </w:p>
    <w:p>
      <w:pPr>
        <w:spacing w:line="360" w:lineRule="auto"/>
        <w:rPr>
          <w:rFonts w:asciiTheme="majorEastAsia" w:hAnsiTheme="majorEastAsia" w:eastAsiaTheme="majorEastAsia" w:cstheme="majorEastAsia"/>
          <w:sz w:val="22"/>
          <w:szCs w:val="22"/>
        </w:rPr>
      </w:pPr>
    </w:p>
    <w:p>
      <w:pPr>
        <w:spacing w:line="360" w:lineRule="auto"/>
        <w:rPr>
          <w:rFonts w:asciiTheme="majorEastAsia" w:hAnsiTheme="majorEastAsia" w:eastAsiaTheme="majorEastAsia" w:cstheme="majorEastAsia"/>
          <w:sz w:val="22"/>
          <w:szCs w:val="22"/>
        </w:rPr>
      </w:pPr>
    </w:p>
    <w:p>
      <w:pPr>
        <w:spacing w:line="360" w:lineRule="auto"/>
        <w:rPr>
          <w:rFonts w:asciiTheme="majorEastAsia" w:hAnsiTheme="majorEastAsia" w:eastAsiaTheme="majorEastAsia" w:cstheme="majorEastAsia"/>
          <w:sz w:val="22"/>
          <w:szCs w:val="22"/>
        </w:rPr>
      </w:pPr>
    </w:p>
    <w:p>
      <w:pPr>
        <w:spacing w:line="360" w:lineRule="auto"/>
        <w:rPr>
          <w:rFonts w:asciiTheme="majorEastAsia" w:hAnsiTheme="majorEastAsia" w:eastAsiaTheme="majorEastAsia" w:cstheme="majorEastAsia"/>
          <w:sz w:val="22"/>
          <w:szCs w:val="22"/>
        </w:rPr>
      </w:pPr>
    </w:p>
    <w:p>
      <w:pPr>
        <w:spacing w:line="360" w:lineRule="auto"/>
        <w:rPr>
          <w:rFonts w:asciiTheme="majorEastAsia" w:hAnsiTheme="majorEastAsia" w:eastAsiaTheme="majorEastAsia" w:cstheme="majorEastAsia"/>
          <w:sz w:val="22"/>
          <w:szCs w:val="22"/>
        </w:rPr>
      </w:pPr>
    </w:p>
    <w:p>
      <w:pPr>
        <w:spacing w:line="360" w:lineRule="auto"/>
        <w:rPr>
          <w:rFonts w:asciiTheme="majorEastAsia" w:hAnsiTheme="majorEastAsia" w:eastAsiaTheme="majorEastAsia" w:cstheme="majorEastAsia"/>
          <w:sz w:val="22"/>
          <w:szCs w:val="22"/>
        </w:rPr>
      </w:pPr>
    </w:p>
    <w:p>
      <w:pPr>
        <w:spacing w:line="360" w:lineRule="auto"/>
        <w:rPr>
          <w:rFonts w:asciiTheme="majorEastAsia" w:hAnsiTheme="majorEastAsia" w:eastAsiaTheme="majorEastAsia" w:cstheme="majorEastAsia"/>
          <w:sz w:val="22"/>
          <w:szCs w:val="22"/>
        </w:rPr>
      </w:pPr>
    </w:p>
    <w:p>
      <w:pPr>
        <w:spacing w:line="360" w:lineRule="auto"/>
        <w:rPr>
          <w:rFonts w:asciiTheme="majorEastAsia" w:hAnsiTheme="majorEastAsia" w:eastAsiaTheme="majorEastAsia" w:cstheme="majorEastAsia"/>
          <w:sz w:val="22"/>
          <w:szCs w:val="22"/>
        </w:rPr>
      </w:pPr>
    </w:p>
    <w:p>
      <w:pPr>
        <w:spacing w:line="360" w:lineRule="auto"/>
        <w:rPr>
          <w:rFonts w:asciiTheme="majorEastAsia" w:hAnsiTheme="majorEastAsia" w:eastAsiaTheme="majorEastAsia" w:cstheme="majorEastAsia"/>
          <w:sz w:val="22"/>
          <w:szCs w:val="22"/>
        </w:rPr>
      </w:pPr>
    </w:p>
    <w:p>
      <w:pPr>
        <w:spacing w:line="360" w:lineRule="auto"/>
        <w:rPr>
          <w:rFonts w:asciiTheme="majorEastAsia" w:hAnsiTheme="majorEastAsia" w:eastAsiaTheme="majorEastAsia" w:cstheme="majorEastAsia"/>
          <w:sz w:val="22"/>
          <w:szCs w:val="22"/>
        </w:rPr>
      </w:pPr>
    </w:p>
    <w:p>
      <w:pPr>
        <w:spacing w:line="360" w:lineRule="auto"/>
        <w:rPr>
          <w:rFonts w:asciiTheme="majorEastAsia" w:hAnsiTheme="majorEastAsia" w:eastAsiaTheme="majorEastAsia" w:cstheme="majorEastAsia"/>
          <w:sz w:val="22"/>
          <w:szCs w:val="22"/>
        </w:rPr>
      </w:pPr>
    </w:p>
    <w:p>
      <w:pPr>
        <w:spacing w:line="360" w:lineRule="auto"/>
        <w:rPr>
          <w:rFonts w:asciiTheme="majorEastAsia" w:hAnsiTheme="majorEastAsia" w:eastAsiaTheme="majorEastAsia" w:cstheme="majorEastAsia"/>
          <w:sz w:val="22"/>
          <w:szCs w:val="22"/>
        </w:rPr>
      </w:pPr>
    </w:p>
    <w:p>
      <w:pPr>
        <w:spacing w:line="360" w:lineRule="auto"/>
        <w:rPr>
          <w:rFonts w:asciiTheme="majorEastAsia" w:hAnsiTheme="majorEastAsia" w:eastAsiaTheme="majorEastAsia" w:cstheme="majorEastAsia"/>
          <w:sz w:val="22"/>
          <w:szCs w:val="22"/>
        </w:rPr>
      </w:pPr>
    </w:p>
    <w:p>
      <w:pPr>
        <w:spacing w:line="360" w:lineRule="auto"/>
        <w:rPr>
          <w:rFonts w:asciiTheme="majorEastAsia" w:hAnsiTheme="majorEastAsia" w:eastAsiaTheme="majorEastAsia" w:cstheme="majorEastAsia"/>
          <w:sz w:val="22"/>
          <w:szCs w:val="22"/>
        </w:rPr>
      </w:pPr>
    </w:p>
    <w:p>
      <w:pPr>
        <w:spacing w:line="360" w:lineRule="auto"/>
        <w:rPr>
          <w:rFonts w:asciiTheme="majorEastAsia" w:hAnsiTheme="majorEastAsia" w:eastAsiaTheme="majorEastAsia" w:cstheme="majorEastAsia"/>
          <w:sz w:val="22"/>
          <w:szCs w:val="22"/>
        </w:rPr>
      </w:pPr>
    </w:p>
    <w:p>
      <w:pPr>
        <w:spacing w:line="360" w:lineRule="auto"/>
        <w:rPr>
          <w:rFonts w:asciiTheme="majorEastAsia" w:hAnsiTheme="majorEastAsia" w:eastAsiaTheme="majorEastAsia" w:cstheme="majorEastAsia"/>
          <w:sz w:val="22"/>
          <w:szCs w:val="22"/>
        </w:rPr>
      </w:pPr>
    </w:p>
    <w:p>
      <w:pPr>
        <w:jc w:val="center"/>
        <w:rPr>
          <w:rFonts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第3章</w:t>
      </w:r>
      <w:r>
        <w:rPr>
          <w:rFonts w:hint="eastAsia" w:asciiTheme="majorEastAsia" w:hAnsiTheme="majorEastAsia" w:eastAsiaTheme="majorEastAsia" w:cstheme="majorEastAsia"/>
          <w:b/>
          <w:bCs/>
          <w:sz w:val="44"/>
          <w:szCs w:val="44"/>
        </w:rPr>
        <w:tab/>
      </w:r>
      <w:r>
        <w:rPr>
          <w:rFonts w:hint="eastAsia" w:asciiTheme="majorEastAsia" w:hAnsiTheme="majorEastAsia" w:eastAsiaTheme="majorEastAsia" w:cstheme="majorEastAsia"/>
          <w:b/>
          <w:bCs/>
          <w:sz w:val="44"/>
          <w:szCs w:val="44"/>
        </w:rPr>
        <w:t>污染源分析</w:t>
      </w:r>
    </w:p>
    <w:p>
      <w:pPr>
        <w:ind w:right="-20" w:firstLine="440" w:firstLineChars="200"/>
        <w:jc w:val="left"/>
        <w:rPr>
          <w:rFonts w:asciiTheme="majorEastAsia" w:hAnsiTheme="majorEastAsia" w:eastAsiaTheme="majorEastAsia" w:cstheme="majorEastAsia"/>
          <w:sz w:val="22"/>
          <w:szCs w:val="22"/>
        </w:rPr>
      </w:pPr>
    </w:p>
    <w:p>
      <w:pPr>
        <w:ind w:right="-20" w:firstLine="440" w:firstLineChars="200"/>
        <w:jc w:val="left"/>
        <w:rPr>
          <w:rFonts w:asciiTheme="majorEastAsia" w:hAnsiTheme="majorEastAsia" w:eastAsiaTheme="majorEastAsia" w:cstheme="majorEastAsia"/>
          <w:sz w:val="22"/>
          <w:szCs w:val="22"/>
        </w:rPr>
      </w:pPr>
    </w:p>
    <w:p>
      <w:pPr>
        <w:spacing w:line="560" w:lineRule="exact"/>
        <w:rPr>
          <w:rFonts w:ascii="黑体" w:hAnsi="黑体" w:eastAsia="黑体" w:cs="黑体"/>
          <w:b/>
          <w:bCs/>
          <w:sz w:val="30"/>
          <w:szCs w:val="30"/>
        </w:rPr>
      </w:pPr>
      <w:r>
        <w:rPr>
          <w:rFonts w:hint="eastAsia" w:ascii="黑体" w:hAnsi="黑体" w:eastAsia="黑体" w:cs="黑体"/>
          <w:b/>
          <w:bCs/>
          <w:sz w:val="30"/>
          <w:szCs w:val="30"/>
        </w:rPr>
        <w:t>3.1  用水情况</w:t>
      </w:r>
    </w:p>
    <w:p>
      <w:pPr>
        <w:spacing w:line="560" w:lineRule="exact"/>
        <w:rPr>
          <w:rFonts w:ascii="黑体" w:hAnsi="黑体" w:eastAsia="黑体" w:cs="黑体"/>
          <w:b/>
          <w:bCs/>
          <w:sz w:val="28"/>
          <w:szCs w:val="28"/>
        </w:rPr>
      </w:pPr>
      <w:r>
        <w:rPr>
          <w:rFonts w:hint="eastAsia" w:ascii="黑体" w:hAnsi="黑体" w:eastAsia="黑体" w:cs="黑体"/>
          <w:b/>
          <w:bCs/>
          <w:sz w:val="28"/>
          <w:szCs w:val="28"/>
        </w:rPr>
        <w:t>3.1.1 用水方式</w:t>
      </w:r>
    </w:p>
    <w:p>
      <w:pPr>
        <w:spacing w:line="560" w:lineRule="exact"/>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桃源县农村生活用水来源分为自来水、井水及山泉水。整体来说桃源县农村地区近年来自来水</w:t>
      </w:r>
    </w:p>
    <w:p>
      <w:pPr>
        <w:spacing w:line="560" w:lineRule="exact"/>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供水比例逐年升高，少量地区仍以井水为主，河水及山泉水供水情况占比极低。根据调查资料，桃 源县自来水服务人口覆盖率已达到78.5%。</w:t>
      </w:r>
    </w:p>
    <w:p>
      <w:pPr>
        <w:spacing w:line="560" w:lineRule="exact"/>
        <w:rPr>
          <w:rFonts w:ascii="黑体" w:hAnsi="黑体" w:eastAsia="黑体" w:cs="黑体"/>
          <w:b/>
          <w:bCs/>
          <w:sz w:val="28"/>
          <w:szCs w:val="28"/>
        </w:rPr>
      </w:pPr>
      <w:r>
        <w:rPr>
          <w:rFonts w:hint="eastAsia" w:ascii="黑体" w:hAnsi="黑体" w:eastAsia="黑体" w:cs="黑体"/>
          <w:b/>
          <w:bCs/>
          <w:sz w:val="28"/>
          <w:szCs w:val="28"/>
        </w:rPr>
        <w:t>3.1.2  用水结构</w:t>
      </w:r>
    </w:p>
    <w:p>
      <w:pPr>
        <w:spacing w:line="560" w:lineRule="exact"/>
        <w:ind w:firstLine="440"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桃源县农村居民家庭用水包括:①满足居民家庭自身生活需求的生活用水量，主要包括厨房用 水、卫生用水、冲厕用水；②家庭非生活用水。家庭最主要的用水集中在炊事、衣服洗涤和淋浴3 项上，3者共占到生活用水总量的70%，而冲厕水量占比较小，约在15%左右。</w:t>
      </w:r>
    </w:p>
    <w:p>
      <w:pPr>
        <w:spacing w:line="560" w:lineRule="exact"/>
        <w:rPr>
          <w:rFonts w:ascii="黑体" w:hAnsi="黑体" w:eastAsia="黑体" w:cs="黑体"/>
          <w:b/>
          <w:bCs/>
          <w:sz w:val="30"/>
          <w:szCs w:val="30"/>
        </w:rPr>
      </w:pPr>
      <w:r>
        <w:rPr>
          <w:rFonts w:hint="eastAsia" w:ascii="黑体" w:hAnsi="黑体" w:eastAsia="黑体" w:cs="黑体"/>
          <w:b/>
          <w:bCs/>
          <w:sz w:val="30"/>
          <w:szCs w:val="30"/>
        </w:rPr>
        <w:t>3.2  排水情况</w:t>
      </w:r>
    </w:p>
    <w:p>
      <w:pPr>
        <w:spacing w:line="560" w:lineRule="exact"/>
        <w:ind w:firstLine="440"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截止2019年，桃源县已建成县城污水处理厂、桃源县第二污水处理厂、陬市镇污水处理厂和漆 河镇污水处理厂共4座城镇污水处理厂，可收集县城城区、陬市镇和漆河镇镇区及周边部分村（居） 的生活污水。其余乡镇的城镇污水处理厂均处于在建或规划阶段，并计划于2020年建成。有排水系 统和管道的地区，除小部分经济条件较好的村镇实行雨污分流制系统外，大部分地区采用的是合流 制排水系统。</w:t>
      </w:r>
    </w:p>
    <w:p>
      <w:pPr>
        <w:spacing w:line="560" w:lineRule="exact"/>
        <w:ind w:firstLine="440"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根据现场调查，项目区农村房屋主要沿河流、道路线型分布，总体上以分散分布为主。现状各 村均为雨污合流制，大部分农户的厕所和洗浴间建设在一起，且多为“黑水”与“灰水”混合排出， 高浓度的“黑水”与低浓度的“灰水”混合进入化粪池。化粪池出水一部分通过农田灌溉等方式进 行了资源化处置，大量的化粪池出水与雨水混合后通过排洪沟或道路边沟排至附近水体。</w:t>
      </w:r>
    </w:p>
    <w:p>
      <w:pPr>
        <w:spacing w:line="560" w:lineRule="exact"/>
        <w:rPr>
          <w:rFonts w:ascii="黑体" w:hAnsi="黑体" w:eastAsia="黑体" w:cs="黑体"/>
          <w:b/>
          <w:bCs/>
          <w:sz w:val="30"/>
          <w:szCs w:val="30"/>
        </w:rPr>
      </w:pPr>
      <w:r>
        <w:rPr>
          <w:rFonts w:hint="eastAsia" w:ascii="黑体" w:hAnsi="黑体" w:eastAsia="黑体" w:cs="黑体"/>
          <w:b/>
          <w:bCs/>
          <w:sz w:val="30"/>
          <w:szCs w:val="30"/>
        </w:rPr>
        <w:t>3.3  农户改厕普及情况</w:t>
      </w:r>
    </w:p>
    <w:p>
      <w:pPr>
        <w:spacing w:line="550" w:lineRule="exact"/>
        <w:ind w:firstLine="440"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为全面推进农村厕所改造工作，切实改善农村生态环境与面貌，桃源县印发了《桃源县农村人居环境整治三年行动实施方案（2018—2020年）》。将传统的旱厕改造为符合要求的卫生厕所，单格、两格式化粪池改造为满足停留时间和防渗要求的三格式化粪池。到2019年底，重点完成了浔阳、 茶庵铺、漆河、热市、架桥、杨溪桥、西安、剪市、夷望溪、佘家坪等10个乡镇（环保站）33个整 建制行政村三格式厕所改造，农村卫生厕所率达到83%以上；到2020年底，全面完成厕所改造任务， 农村卫生厕所率达85%以上。截止2019年底，桃源县已完成厕改农户约3万户，8.7万人。</w:t>
      </w:r>
    </w:p>
    <w:p>
      <w:pPr>
        <w:spacing w:line="550" w:lineRule="exact"/>
        <w:rPr>
          <w:rFonts w:ascii="黑体" w:hAnsi="黑体" w:eastAsia="黑体" w:cs="黑体"/>
          <w:b/>
          <w:bCs/>
          <w:sz w:val="30"/>
          <w:szCs w:val="30"/>
        </w:rPr>
      </w:pPr>
      <w:r>
        <w:rPr>
          <w:rFonts w:hint="eastAsia" w:ascii="黑体" w:hAnsi="黑体" w:eastAsia="黑体" w:cs="黑体"/>
          <w:b/>
          <w:bCs/>
          <w:sz w:val="30"/>
          <w:szCs w:val="30"/>
        </w:rPr>
        <w:t>3.4  农村生活污水处理设施建设和运行现状</w:t>
      </w:r>
    </w:p>
    <w:p>
      <w:pPr>
        <w:spacing w:line="550" w:lineRule="exact"/>
        <w:rPr>
          <w:rFonts w:ascii="黑体" w:hAnsi="黑体" w:eastAsia="黑体" w:cs="黑体"/>
          <w:b/>
          <w:bCs/>
          <w:sz w:val="28"/>
          <w:szCs w:val="28"/>
        </w:rPr>
      </w:pPr>
      <w:r>
        <w:rPr>
          <w:rFonts w:hint="eastAsia" w:ascii="黑体" w:hAnsi="黑体" w:eastAsia="黑体" w:cs="黑体"/>
          <w:b/>
          <w:bCs/>
          <w:sz w:val="28"/>
          <w:szCs w:val="28"/>
        </w:rPr>
        <w:t>3.4.1  城镇污水收集管网及污水处理厂</w:t>
      </w:r>
    </w:p>
    <w:p>
      <w:pPr>
        <w:spacing w:line="550" w:lineRule="exact"/>
        <w:ind w:firstLine="440"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桃源县已建成县城污水处理厂、桃源县第二污水处理厂、陬市镇污水处理厂和漆河镇污水处理 厂，在建的包括杨溪桥镇等12个建制镇污水处理厂，以及拟于2020年启动建设的茶庵铺镇等13个建 制镇污水处理厂。</w:t>
      </w:r>
    </w:p>
    <w:p>
      <w:pPr>
        <w:spacing w:line="550" w:lineRule="exact"/>
        <w:ind w:firstLine="440"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桃源县中心城区已配套建设污水管道总长度为42.8公里，其中一级主干管为9.5公里，二级主干 管为33.3公里。乡镇排水系统不健全，排水只有部分市政管道系统，镇区排水主要依靠自然沟渠。</w:t>
      </w:r>
    </w:p>
    <w:p>
      <w:pPr>
        <w:spacing w:line="550" w:lineRule="exact"/>
        <w:rPr>
          <w:rFonts w:ascii="黑体" w:hAnsi="黑体" w:eastAsia="黑体" w:cs="黑体"/>
          <w:b/>
          <w:bCs/>
          <w:sz w:val="28"/>
          <w:szCs w:val="28"/>
        </w:rPr>
      </w:pPr>
      <w:r>
        <w:rPr>
          <w:rFonts w:hint="eastAsia" w:ascii="黑体" w:hAnsi="黑体" w:eastAsia="黑体" w:cs="黑体"/>
          <w:b/>
          <w:bCs/>
          <w:sz w:val="28"/>
          <w:szCs w:val="28"/>
        </w:rPr>
        <w:t>3.4.2  农村生活污水处理现状</w:t>
      </w:r>
    </w:p>
    <w:p>
      <w:pPr>
        <w:spacing w:line="550" w:lineRule="exact"/>
        <w:ind w:firstLine="440"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桃源县已建成集中式污水处理站12座，四格式净化系统2259套，共治理农户生活污水6650户。 生活污水经治理后大多沿沟渠进入附近水体或用于农田灌溉。大部分项目区大部分农村环境基础设 施薄弱，农村生活污水大部分未经处理，面临的污水问题严重，处理压力较大。</w:t>
      </w:r>
    </w:p>
    <w:p>
      <w:pPr>
        <w:spacing w:line="550" w:lineRule="exact"/>
        <w:rPr>
          <w:rFonts w:ascii="黑体" w:hAnsi="黑体" w:eastAsia="黑体" w:cs="黑体"/>
          <w:b/>
          <w:bCs/>
          <w:sz w:val="28"/>
          <w:szCs w:val="28"/>
        </w:rPr>
      </w:pPr>
      <w:r>
        <w:rPr>
          <w:rFonts w:hint="eastAsia" w:ascii="黑体" w:hAnsi="黑体" w:eastAsia="黑体" w:cs="黑体"/>
          <w:b/>
          <w:bCs/>
          <w:sz w:val="28"/>
          <w:szCs w:val="28"/>
        </w:rPr>
        <w:t>3.4.3  治理效果</w:t>
      </w:r>
    </w:p>
    <w:p>
      <w:pPr>
        <w:spacing w:line="550" w:lineRule="exact"/>
        <w:ind w:firstLine="440"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根据桃源县环境监测站对现有 20 吨以上农村生活污水处理设施的监测结果，设施出水均可以 达到《城镇污水处理厂污染物排放标准》（GB18918-2002）一级 B 标准要求。</w:t>
      </w:r>
    </w:p>
    <w:p>
      <w:pPr>
        <w:spacing w:line="550" w:lineRule="exact"/>
        <w:rPr>
          <w:rFonts w:ascii="黑体" w:hAnsi="黑体" w:eastAsia="黑体" w:cs="黑体"/>
          <w:b/>
          <w:bCs/>
          <w:sz w:val="28"/>
          <w:szCs w:val="28"/>
        </w:rPr>
      </w:pPr>
      <w:r>
        <w:rPr>
          <w:rFonts w:hint="eastAsia" w:ascii="黑体" w:hAnsi="黑体" w:eastAsia="黑体" w:cs="黑体"/>
          <w:b/>
          <w:bCs/>
          <w:sz w:val="28"/>
          <w:szCs w:val="28"/>
        </w:rPr>
        <w:t>3.4.4  运行管理</w:t>
      </w:r>
    </w:p>
    <w:p>
      <w:pPr>
        <w:spacing w:line="550" w:lineRule="exact"/>
        <w:ind w:firstLine="440"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目前桃源县已建成的农村生活污水处理设施均由所属乡镇政府管理，运维资金来自于财政。根 据现场调研情况，处理设施均运行正常，运维工作基本到位，但也存在一些终端湿地植物收割不及 时、管网堵塞等问题，需要加强运维的力度。</w:t>
      </w:r>
    </w:p>
    <w:p>
      <w:pPr>
        <w:spacing w:line="540" w:lineRule="exact"/>
        <w:rPr>
          <w:rFonts w:ascii="黑体" w:hAnsi="黑体" w:eastAsia="黑体" w:cs="黑体"/>
          <w:b/>
          <w:bCs/>
          <w:sz w:val="30"/>
          <w:szCs w:val="30"/>
        </w:rPr>
      </w:pPr>
      <w:r>
        <w:rPr>
          <w:rFonts w:hint="eastAsia" w:ascii="黑体" w:hAnsi="黑体" w:eastAsia="黑体" w:cs="黑体"/>
          <w:b/>
          <w:bCs/>
          <w:sz w:val="30"/>
          <w:szCs w:val="30"/>
        </w:rPr>
        <w:t>3.5  污染负荷量预测</w:t>
      </w:r>
    </w:p>
    <w:p>
      <w:pPr>
        <w:spacing w:line="540" w:lineRule="exact"/>
        <w:rPr>
          <w:rFonts w:ascii="黑体" w:hAnsi="黑体" w:eastAsia="黑体" w:cs="黑体"/>
          <w:b/>
          <w:bCs/>
          <w:sz w:val="28"/>
          <w:szCs w:val="28"/>
        </w:rPr>
      </w:pPr>
      <w:r>
        <w:rPr>
          <w:rFonts w:hint="eastAsia" w:ascii="黑体" w:hAnsi="黑体" w:eastAsia="黑体" w:cs="黑体"/>
          <w:b/>
          <w:bCs/>
          <w:sz w:val="28"/>
          <w:szCs w:val="28"/>
        </w:rPr>
        <w:t>3.5.1  规划人口</w:t>
      </w:r>
    </w:p>
    <w:p>
      <w:pPr>
        <w:spacing w:line="540" w:lineRule="exact"/>
        <w:ind w:firstLine="440"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本规划共涉及街道及行政村共计 413个，其中已规划全部纳入城镇污水处理厂的行政村（居） 为54个，拟治理的行政村（居）为359个。总户数 314587户，总人口 930283 人，其中城镇人口225606 人、农村人口704677人。本规划采用2018年户籍人口数及户数作为规划基数，暂不考虑人口变化。</w:t>
      </w:r>
    </w:p>
    <w:p>
      <w:pPr>
        <w:spacing w:line="540" w:lineRule="exact"/>
        <w:rPr>
          <w:rFonts w:ascii="黑体" w:hAnsi="黑体" w:eastAsia="黑体" w:cs="黑体"/>
          <w:b/>
          <w:bCs/>
          <w:sz w:val="28"/>
          <w:szCs w:val="28"/>
        </w:rPr>
      </w:pPr>
      <w:r>
        <w:rPr>
          <w:rFonts w:hint="eastAsia" w:ascii="黑体" w:hAnsi="黑体" w:eastAsia="黑体" w:cs="黑体"/>
          <w:b/>
          <w:bCs/>
          <w:sz w:val="28"/>
          <w:szCs w:val="28"/>
        </w:rPr>
        <w:t>3.5.2  居民用水指标</w:t>
      </w:r>
    </w:p>
    <w:p>
      <w:pPr>
        <w:spacing w:line="540" w:lineRule="exact"/>
        <w:ind w:firstLine="440"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本规划生活用水定额参照《湖南省用水定额（DB43/T388-2014）》和《农村生活污水处理工程 技术标准》（GBT 51347-2019），并结合当地居民的用水现状、生活习惯、经济条件及供排水设施 完善程度，综合确定农村人均平均日用水量为：100L/人·d。</w:t>
      </w:r>
    </w:p>
    <w:p>
      <w:pPr>
        <w:spacing w:line="540" w:lineRule="exact"/>
        <w:rPr>
          <w:rFonts w:ascii="黑体" w:hAnsi="黑体" w:eastAsia="黑体" w:cs="黑体"/>
          <w:b/>
          <w:bCs/>
          <w:sz w:val="28"/>
          <w:szCs w:val="28"/>
        </w:rPr>
      </w:pPr>
      <w:r>
        <w:rPr>
          <w:rFonts w:hint="eastAsia" w:ascii="黑体" w:hAnsi="黑体" w:eastAsia="黑体" w:cs="黑体"/>
          <w:b/>
          <w:bCs/>
          <w:sz w:val="28"/>
          <w:szCs w:val="28"/>
        </w:rPr>
        <w:t>3.5.3  污水排放系数</w:t>
      </w:r>
    </w:p>
    <w:p>
      <w:pPr>
        <w:spacing w:line="540" w:lineRule="exact"/>
        <w:ind w:firstLine="440"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根据《农村生活污水处理工程技术标准》（GBT 51347-2019），并充分考虑建筑内部给排水设 施水平和排水系统普及程度等因素，本规划污水排放系数取 0.65。</w:t>
      </w:r>
    </w:p>
    <w:p>
      <w:pPr>
        <w:spacing w:line="540" w:lineRule="exact"/>
        <w:rPr>
          <w:rFonts w:ascii="黑体" w:hAnsi="黑体" w:eastAsia="黑体" w:cs="黑体"/>
          <w:b/>
          <w:bCs/>
          <w:sz w:val="28"/>
          <w:szCs w:val="28"/>
        </w:rPr>
      </w:pPr>
      <w:r>
        <w:rPr>
          <w:rFonts w:hint="eastAsia" w:ascii="黑体" w:hAnsi="黑体" w:eastAsia="黑体" w:cs="黑体"/>
          <w:b/>
          <w:bCs/>
          <w:sz w:val="28"/>
          <w:szCs w:val="28"/>
        </w:rPr>
        <w:t>3.5.4  污水进水水质</w:t>
      </w:r>
    </w:p>
    <w:p>
      <w:pPr>
        <w:spacing w:line="540" w:lineRule="exact"/>
        <w:ind w:firstLine="440"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参考《农村生活污水处理工程技术标准》（GBT 51347-2019），根据桃源县农村人口规模、用 水现状、生活习惯，经济条件、地区规划等确定本规划污水处理设施进水水质指标。</w:t>
      </w:r>
    </w:p>
    <w:p>
      <w:pPr>
        <w:spacing w:line="360" w:lineRule="auto"/>
        <w:jc w:val="right"/>
        <w:rPr>
          <w:rFonts w:asciiTheme="majorEastAsia" w:hAnsiTheme="majorEastAsia" w:eastAsiaTheme="majorEastAsia" w:cstheme="majorEastAsia"/>
          <w:b/>
          <w:bCs/>
          <w:sz w:val="22"/>
          <w:szCs w:val="22"/>
        </w:rPr>
      </w:pPr>
      <w:r>
        <w:rPr>
          <w:rFonts w:hint="eastAsia" w:asciiTheme="majorEastAsia" w:hAnsiTheme="majorEastAsia" w:eastAsiaTheme="majorEastAsia" w:cstheme="majorEastAsia"/>
          <w:b/>
          <w:bCs/>
          <w:sz w:val="22"/>
          <w:szCs w:val="22"/>
        </w:rPr>
        <w:t>表 3-1  污水处理设施进水水质参考值</w:t>
      </w:r>
      <w:r>
        <w:rPr>
          <w:rFonts w:hint="eastAsia" w:asciiTheme="majorEastAsia" w:hAnsiTheme="majorEastAsia" w:eastAsiaTheme="majorEastAsia" w:cstheme="majorEastAsia"/>
          <w:b/>
          <w:bCs/>
          <w:sz w:val="22"/>
          <w:szCs w:val="22"/>
        </w:rPr>
        <w:tab/>
      </w:r>
      <w:r>
        <w:rPr>
          <w:rFonts w:hint="eastAsia" w:asciiTheme="majorEastAsia" w:hAnsiTheme="majorEastAsia" w:eastAsiaTheme="majorEastAsia" w:cstheme="majorEastAsia"/>
          <w:b/>
          <w:bCs/>
          <w:sz w:val="22"/>
          <w:szCs w:val="22"/>
        </w:rPr>
        <w:t xml:space="preserve">    （单位：mg/L，pH值除外）</w:t>
      </w:r>
    </w:p>
    <w:tbl>
      <w:tblPr>
        <w:tblStyle w:val="6"/>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1"/>
        <w:gridCol w:w="1331"/>
        <w:gridCol w:w="1331"/>
        <w:gridCol w:w="1331"/>
        <w:gridCol w:w="1332"/>
        <w:gridCol w:w="1332"/>
        <w:gridCol w:w="1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331" w:type="dxa"/>
            <w:vAlign w:val="center"/>
          </w:tcPr>
          <w:p>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主要指标</w:t>
            </w:r>
          </w:p>
        </w:tc>
        <w:tc>
          <w:tcPr>
            <w:tcW w:w="1331" w:type="dxa"/>
            <w:vAlign w:val="center"/>
          </w:tcPr>
          <w:p>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COD</w:t>
            </w:r>
          </w:p>
        </w:tc>
        <w:tc>
          <w:tcPr>
            <w:tcW w:w="1331" w:type="dxa"/>
            <w:vAlign w:val="center"/>
          </w:tcPr>
          <w:p>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BOD</w:t>
            </w:r>
          </w:p>
        </w:tc>
        <w:tc>
          <w:tcPr>
            <w:tcW w:w="1331" w:type="dxa"/>
            <w:vAlign w:val="center"/>
          </w:tcPr>
          <w:p>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氨氮</w:t>
            </w:r>
          </w:p>
        </w:tc>
        <w:tc>
          <w:tcPr>
            <w:tcW w:w="1332" w:type="dxa"/>
            <w:vAlign w:val="center"/>
          </w:tcPr>
          <w:p>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TN</w:t>
            </w:r>
          </w:p>
        </w:tc>
        <w:tc>
          <w:tcPr>
            <w:tcW w:w="1332" w:type="dxa"/>
            <w:vAlign w:val="center"/>
          </w:tcPr>
          <w:p>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TP</w:t>
            </w:r>
          </w:p>
        </w:tc>
        <w:tc>
          <w:tcPr>
            <w:tcW w:w="1332" w:type="dxa"/>
            <w:vAlign w:val="center"/>
          </w:tcPr>
          <w:p>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331"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取值</w:t>
            </w:r>
          </w:p>
        </w:tc>
        <w:tc>
          <w:tcPr>
            <w:tcW w:w="1331"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300</w:t>
            </w:r>
          </w:p>
        </w:tc>
        <w:tc>
          <w:tcPr>
            <w:tcW w:w="1331"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120</w:t>
            </w:r>
          </w:p>
        </w:tc>
        <w:tc>
          <w:tcPr>
            <w:tcW w:w="1331"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30</w:t>
            </w:r>
          </w:p>
        </w:tc>
        <w:tc>
          <w:tcPr>
            <w:tcW w:w="1332"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40</w:t>
            </w:r>
          </w:p>
        </w:tc>
        <w:tc>
          <w:tcPr>
            <w:tcW w:w="1332"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3.5</w:t>
            </w:r>
          </w:p>
        </w:tc>
        <w:tc>
          <w:tcPr>
            <w:tcW w:w="1332"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150</w:t>
            </w:r>
          </w:p>
        </w:tc>
      </w:tr>
    </w:tbl>
    <w:p>
      <w:pPr>
        <w:spacing w:line="540" w:lineRule="exact"/>
        <w:rPr>
          <w:rFonts w:ascii="黑体" w:hAnsi="黑体" w:eastAsia="黑体" w:cs="黑体"/>
          <w:b/>
          <w:bCs/>
          <w:sz w:val="28"/>
          <w:szCs w:val="28"/>
        </w:rPr>
      </w:pPr>
    </w:p>
    <w:p>
      <w:pPr>
        <w:spacing w:line="540" w:lineRule="exact"/>
        <w:rPr>
          <w:rFonts w:ascii="黑体" w:hAnsi="黑体" w:eastAsia="黑体" w:cs="黑体"/>
          <w:b/>
          <w:bCs/>
          <w:sz w:val="28"/>
          <w:szCs w:val="28"/>
        </w:rPr>
      </w:pPr>
      <w:r>
        <w:rPr>
          <w:rFonts w:hint="eastAsia" w:ascii="黑体" w:hAnsi="黑体" w:eastAsia="黑体" w:cs="黑体"/>
          <w:b/>
          <w:bCs/>
          <w:sz w:val="28"/>
          <w:szCs w:val="28"/>
        </w:rPr>
        <w:t>3.5.5  处理规模预测</w:t>
      </w:r>
    </w:p>
    <w:p>
      <w:pPr>
        <w:spacing w:line="360" w:lineRule="auto"/>
        <w:ind w:firstLine="440"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本规划人均日污水量取值65L/人·d。桃源县农村生活污水处理规模预测如下：</w:t>
      </w:r>
    </w:p>
    <w:p>
      <w:pPr>
        <w:spacing w:line="360" w:lineRule="auto"/>
        <w:rPr>
          <w:rFonts w:asciiTheme="majorEastAsia" w:hAnsiTheme="majorEastAsia" w:eastAsiaTheme="majorEastAsia" w:cstheme="majorEastAsia"/>
          <w:sz w:val="22"/>
          <w:szCs w:val="22"/>
        </w:rPr>
      </w:pPr>
    </w:p>
    <w:p>
      <w:pPr>
        <w:spacing w:line="360" w:lineRule="auto"/>
        <w:rPr>
          <w:rFonts w:asciiTheme="majorEastAsia" w:hAnsiTheme="majorEastAsia" w:eastAsiaTheme="majorEastAsia" w:cstheme="majorEastAsia"/>
          <w:sz w:val="22"/>
          <w:szCs w:val="22"/>
        </w:rPr>
      </w:pPr>
    </w:p>
    <w:p>
      <w:pPr>
        <w:spacing w:line="360" w:lineRule="auto"/>
        <w:rPr>
          <w:rFonts w:asciiTheme="majorEastAsia" w:hAnsiTheme="majorEastAsia" w:eastAsiaTheme="majorEastAsia" w:cstheme="majorEastAsia"/>
          <w:sz w:val="22"/>
          <w:szCs w:val="22"/>
        </w:rPr>
      </w:pPr>
    </w:p>
    <w:p>
      <w:pPr>
        <w:spacing w:line="360" w:lineRule="auto"/>
        <w:rPr>
          <w:rFonts w:asciiTheme="majorEastAsia" w:hAnsiTheme="majorEastAsia" w:eastAsiaTheme="majorEastAsia" w:cstheme="majorEastAsia"/>
          <w:sz w:val="22"/>
          <w:szCs w:val="22"/>
        </w:rPr>
      </w:pPr>
    </w:p>
    <w:p>
      <w:pPr>
        <w:spacing w:line="360" w:lineRule="auto"/>
        <w:jc w:val="center"/>
        <w:rPr>
          <w:rFonts w:asciiTheme="majorEastAsia" w:hAnsiTheme="majorEastAsia" w:eastAsiaTheme="majorEastAsia" w:cstheme="majorEastAsia"/>
          <w:b/>
          <w:bCs/>
          <w:sz w:val="22"/>
          <w:szCs w:val="22"/>
        </w:rPr>
      </w:pPr>
      <w:r>
        <w:rPr>
          <w:rFonts w:hint="eastAsia" w:asciiTheme="majorEastAsia" w:hAnsiTheme="majorEastAsia" w:eastAsiaTheme="majorEastAsia" w:cstheme="majorEastAsia"/>
          <w:b/>
          <w:bCs/>
          <w:sz w:val="22"/>
          <w:szCs w:val="22"/>
        </w:rPr>
        <w:t>表 3- 2各乡镇农村生活污水处理规模</w:t>
      </w:r>
    </w:p>
    <w:tbl>
      <w:tblPr>
        <w:tblStyle w:val="5"/>
        <w:tblpPr w:leftFromText="180" w:rightFromText="180" w:vertAnchor="text" w:horzAnchor="page" w:tblpX="1234" w:tblpY="47"/>
        <w:tblOverlap w:val="never"/>
        <w:tblW w:w="9660" w:type="dxa"/>
        <w:tblInd w:w="0" w:type="dxa"/>
        <w:tblLayout w:type="fixed"/>
        <w:tblCellMar>
          <w:top w:w="0" w:type="dxa"/>
          <w:left w:w="0" w:type="dxa"/>
          <w:bottom w:w="0" w:type="dxa"/>
          <w:right w:w="0" w:type="dxa"/>
        </w:tblCellMar>
      </w:tblPr>
      <w:tblGrid>
        <w:gridCol w:w="1133"/>
        <w:gridCol w:w="2385"/>
        <w:gridCol w:w="3001"/>
        <w:gridCol w:w="3141"/>
      </w:tblGrid>
      <w:tr>
        <w:tblPrEx>
          <w:tblCellMar>
            <w:top w:w="0" w:type="dxa"/>
            <w:left w:w="0" w:type="dxa"/>
            <w:bottom w:w="0" w:type="dxa"/>
            <w:right w:w="0" w:type="dxa"/>
          </w:tblCellMar>
        </w:tblPrEx>
        <w:trPr>
          <w:trHeight w:val="394" w:hRule="exact"/>
        </w:trPr>
        <w:tc>
          <w:tcPr>
            <w:tcW w:w="1133" w:type="dxa"/>
            <w:tcBorders>
              <w:top w:val="single" w:color="000000" w:sz="2" w:space="0"/>
              <w:left w:val="single" w:color="000000" w:sz="2" w:space="0"/>
              <w:bottom w:val="single" w:color="000000" w:sz="2" w:space="0"/>
              <w:right w:val="single" w:color="000000" w:sz="2" w:space="0"/>
            </w:tcBorders>
          </w:tcPr>
          <w:p>
            <w:pPr>
              <w:spacing w:line="330" w:lineRule="exact"/>
              <w:ind w:left="351" w:right="-20"/>
              <w:jc w:val="left"/>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pacing w:val="2"/>
                <w:position w:val="-1"/>
                <w:szCs w:val="21"/>
              </w:rPr>
              <w:t>序</w:t>
            </w:r>
            <w:r>
              <w:rPr>
                <w:rFonts w:hint="eastAsia" w:asciiTheme="majorEastAsia" w:hAnsiTheme="majorEastAsia" w:eastAsiaTheme="majorEastAsia" w:cstheme="majorEastAsia"/>
                <w:b/>
                <w:bCs/>
                <w:position w:val="-1"/>
                <w:szCs w:val="21"/>
              </w:rPr>
              <w:t>号</w:t>
            </w:r>
          </w:p>
        </w:tc>
        <w:tc>
          <w:tcPr>
            <w:tcW w:w="2385" w:type="dxa"/>
            <w:tcBorders>
              <w:top w:val="single" w:color="000000" w:sz="2" w:space="0"/>
              <w:left w:val="single" w:color="000000" w:sz="2" w:space="0"/>
              <w:bottom w:val="single" w:color="000000" w:sz="2" w:space="0"/>
              <w:right w:val="single" w:color="000000" w:sz="2" w:space="0"/>
            </w:tcBorders>
          </w:tcPr>
          <w:p>
            <w:pPr>
              <w:spacing w:line="330" w:lineRule="exact"/>
              <w:ind w:left="766" w:right="-20"/>
              <w:jc w:val="left"/>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pacing w:val="2"/>
                <w:position w:val="-1"/>
                <w:szCs w:val="21"/>
              </w:rPr>
              <w:t>乡镇名</w:t>
            </w:r>
            <w:r>
              <w:rPr>
                <w:rFonts w:hint="eastAsia" w:asciiTheme="majorEastAsia" w:hAnsiTheme="majorEastAsia" w:eastAsiaTheme="majorEastAsia" w:cstheme="majorEastAsia"/>
                <w:b/>
                <w:bCs/>
                <w:position w:val="-1"/>
                <w:szCs w:val="21"/>
              </w:rPr>
              <w:t>称</w:t>
            </w:r>
          </w:p>
        </w:tc>
        <w:tc>
          <w:tcPr>
            <w:tcW w:w="3001" w:type="dxa"/>
            <w:tcBorders>
              <w:top w:val="single" w:color="000000" w:sz="2" w:space="0"/>
              <w:left w:val="single" w:color="000000" w:sz="2" w:space="0"/>
              <w:bottom w:val="single" w:color="000000" w:sz="2" w:space="0"/>
              <w:right w:val="single" w:color="000000" w:sz="2" w:space="0"/>
            </w:tcBorders>
          </w:tcPr>
          <w:p>
            <w:pPr>
              <w:spacing w:line="330" w:lineRule="exact"/>
              <w:ind w:left="551" w:right="-20"/>
              <w:jc w:val="left"/>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pacing w:val="2"/>
                <w:position w:val="-1"/>
                <w:szCs w:val="21"/>
              </w:rPr>
              <w:t>拟治理</w:t>
            </w:r>
            <w:r>
              <w:rPr>
                <w:rFonts w:hint="eastAsia" w:asciiTheme="majorEastAsia" w:hAnsiTheme="majorEastAsia" w:eastAsiaTheme="majorEastAsia" w:cstheme="majorEastAsia"/>
                <w:b/>
                <w:bCs/>
                <w:position w:val="-1"/>
                <w:szCs w:val="21"/>
              </w:rPr>
              <w:t>人</w:t>
            </w:r>
            <w:r>
              <w:rPr>
                <w:rFonts w:hint="eastAsia" w:asciiTheme="majorEastAsia" w:hAnsiTheme="majorEastAsia" w:eastAsiaTheme="majorEastAsia" w:cstheme="majorEastAsia"/>
                <w:b/>
                <w:bCs/>
                <w:spacing w:val="2"/>
                <w:position w:val="-1"/>
                <w:szCs w:val="21"/>
              </w:rPr>
              <w:t>口数（人</w:t>
            </w:r>
            <w:r>
              <w:rPr>
                <w:rFonts w:hint="eastAsia" w:asciiTheme="majorEastAsia" w:hAnsiTheme="majorEastAsia" w:eastAsiaTheme="majorEastAsia" w:cstheme="majorEastAsia"/>
                <w:b/>
                <w:bCs/>
                <w:position w:val="-1"/>
                <w:szCs w:val="21"/>
              </w:rPr>
              <w:t>）</w:t>
            </w:r>
          </w:p>
        </w:tc>
        <w:tc>
          <w:tcPr>
            <w:tcW w:w="3141" w:type="dxa"/>
            <w:tcBorders>
              <w:top w:val="single" w:color="000000" w:sz="2" w:space="0"/>
              <w:left w:val="single" w:color="000000" w:sz="2" w:space="0"/>
              <w:bottom w:val="single" w:color="000000" w:sz="2" w:space="0"/>
              <w:right w:val="single" w:color="000000" w:sz="2" w:space="0"/>
            </w:tcBorders>
          </w:tcPr>
          <w:p>
            <w:pPr>
              <w:spacing w:line="360" w:lineRule="auto"/>
              <w:ind w:firstLine="430" w:firstLineChars="200"/>
              <w:rPr>
                <w:rFonts w:asciiTheme="majorEastAsia" w:hAnsiTheme="majorEastAsia" w:eastAsiaTheme="majorEastAsia" w:cstheme="majorEastAsia"/>
                <w:b/>
                <w:bCs/>
                <w:szCs w:val="21"/>
                <w:vertAlign w:val="superscript"/>
              </w:rPr>
            </w:pPr>
            <w:r>
              <w:rPr>
                <w:rFonts w:hint="eastAsia" w:asciiTheme="majorEastAsia" w:hAnsiTheme="majorEastAsia" w:eastAsiaTheme="majorEastAsia" w:cstheme="majorEastAsia"/>
                <w:b/>
                <w:bCs/>
                <w:spacing w:val="2"/>
                <w:position w:val="-1"/>
                <w:szCs w:val="21"/>
              </w:rPr>
              <w:t>污水处</w:t>
            </w:r>
            <w:r>
              <w:rPr>
                <w:rFonts w:hint="eastAsia" w:asciiTheme="majorEastAsia" w:hAnsiTheme="majorEastAsia" w:eastAsiaTheme="majorEastAsia" w:cstheme="majorEastAsia"/>
                <w:b/>
                <w:bCs/>
                <w:position w:val="-1"/>
                <w:szCs w:val="21"/>
              </w:rPr>
              <w:t>理</w:t>
            </w:r>
            <w:r>
              <w:rPr>
                <w:rFonts w:hint="eastAsia" w:asciiTheme="majorEastAsia" w:hAnsiTheme="majorEastAsia" w:eastAsiaTheme="majorEastAsia" w:cstheme="majorEastAsia"/>
                <w:b/>
                <w:bCs/>
                <w:spacing w:val="2"/>
                <w:position w:val="-1"/>
                <w:szCs w:val="21"/>
              </w:rPr>
              <w:t>总</w:t>
            </w:r>
            <w:r>
              <w:rPr>
                <w:rFonts w:hint="eastAsia" w:asciiTheme="majorEastAsia" w:hAnsiTheme="majorEastAsia" w:eastAsiaTheme="majorEastAsia" w:cstheme="majorEastAsia"/>
                <w:b/>
                <w:bCs/>
                <w:position w:val="-1"/>
                <w:szCs w:val="21"/>
              </w:rPr>
              <w:t>量m</w:t>
            </w:r>
            <w:r>
              <w:rPr>
                <w:rFonts w:hint="eastAsia" w:asciiTheme="majorEastAsia" w:hAnsiTheme="majorEastAsia" w:eastAsiaTheme="majorEastAsia" w:cstheme="majorEastAsia"/>
                <w:b/>
                <w:bCs/>
                <w:szCs w:val="21"/>
                <w:vertAlign w:val="superscript"/>
              </w:rPr>
              <w:t xml:space="preserve">3 </w:t>
            </w:r>
            <w:r>
              <w:rPr>
                <w:rFonts w:hint="eastAsia" w:asciiTheme="majorEastAsia" w:hAnsiTheme="majorEastAsia" w:eastAsiaTheme="majorEastAsia" w:cstheme="majorEastAsia"/>
                <w:b/>
                <w:bCs/>
                <w:szCs w:val="21"/>
              </w:rPr>
              <w:t>/d</w:t>
            </w:r>
          </w:p>
          <w:p>
            <w:pPr>
              <w:spacing w:line="330" w:lineRule="exact"/>
              <w:ind w:left="701" w:right="-20"/>
              <w:jc w:val="left"/>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position w:val="-1"/>
                <w:szCs w:val="21"/>
              </w:rPr>
              <w:t>/d</w:t>
            </w:r>
          </w:p>
        </w:tc>
      </w:tr>
      <w:tr>
        <w:tblPrEx>
          <w:tblCellMar>
            <w:top w:w="0" w:type="dxa"/>
            <w:left w:w="0" w:type="dxa"/>
            <w:bottom w:w="0" w:type="dxa"/>
            <w:right w:w="0" w:type="dxa"/>
          </w:tblCellMar>
        </w:tblPrEx>
        <w:trPr>
          <w:trHeight w:val="404" w:hRule="exact"/>
        </w:trPr>
        <w:tc>
          <w:tcPr>
            <w:tcW w:w="1133" w:type="dxa"/>
            <w:tcBorders>
              <w:top w:val="single" w:color="000000" w:sz="2" w:space="0"/>
              <w:left w:val="single" w:color="000000" w:sz="2" w:space="0"/>
              <w:bottom w:val="single" w:color="000000" w:sz="2" w:space="0"/>
              <w:right w:val="single" w:color="000000" w:sz="2" w:space="0"/>
            </w:tcBorders>
          </w:tcPr>
          <w:p>
            <w:pPr>
              <w:spacing w:before="78"/>
              <w:ind w:left="474" w:right="454"/>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w w:val="99"/>
                <w:szCs w:val="21"/>
              </w:rPr>
              <w:t>1</w:t>
            </w:r>
          </w:p>
        </w:tc>
        <w:tc>
          <w:tcPr>
            <w:tcW w:w="2385" w:type="dxa"/>
            <w:tcBorders>
              <w:top w:val="single" w:color="000000" w:sz="2" w:space="0"/>
              <w:left w:val="single" w:color="000000" w:sz="2" w:space="0"/>
              <w:bottom w:val="single" w:color="000000" w:sz="2" w:space="0"/>
              <w:right w:val="single" w:color="000000" w:sz="2" w:space="0"/>
            </w:tcBorders>
          </w:tcPr>
          <w:p>
            <w:pPr>
              <w:spacing w:line="329" w:lineRule="exact"/>
              <w:ind w:left="766" w:right="-2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浔阳街道</w:t>
            </w:r>
          </w:p>
        </w:tc>
        <w:tc>
          <w:tcPr>
            <w:tcW w:w="3001" w:type="dxa"/>
            <w:tcBorders>
              <w:top w:val="single" w:color="000000" w:sz="2" w:space="0"/>
              <w:left w:val="single" w:color="000000" w:sz="2" w:space="0"/>
              <w:bottom w:val="single" w:color="000000" w:sz="2" w:space="0"/>
              <w:right w:val="single" w:color="000000" w:sz="2" w:space="0"/>
            </w:tcBorders>
          </w:tcPr>
          <w:p>
            <w:pPr>
              <w:spacing w:before="78"/>
              <w:ind w:left="1197" w:right="1179"/>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18545</w:t>
            </w:r>
          </w:p>
        </w:tc>
        <w:tc>
          <w:tcPr>
            <w:tcW w:w="3141" w:type="dxa"/>
            <w:tcBorders>
              <w:top w:val="single" w:color="000000" w:sz="2" w:space="0"/>
              <w:left w:val="single" w:color="000000" w:sz="2" w:space="0"/>
              <w:bottom w:val="single" w:color="000000" w:sz="2" w:space="0"/>
              <w:right w:val="single" w:color="000000" w:sz="2" w:space="0"/>
            </w:tcBorders>
          </w:tcPr>
          <w:p>
            <w:pPr>
              <w:spacing w:before="78"/>
              <w:ind w:left="1268" w:right="1248"/>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12054</w:t>
            </w:r>
          </w:p>
        </w:tc>
      </w:tr>
      <w:tr>
        <w:tblPrEx>
          <w:tblCellMar>
            <w:top w:w="0" w:type="dxa"/>
            <w:left w:w="0" w:type="dxa"/>
            <w:bottom w:w="0" w:type="dxa"/>
            <w:right w:w="0" w:type="dxa"/>
          </w:tblCellMar>
        </w:tblPrEx>
        <w:trPr>
          <w:trHeight w:val="394" w:hRule="exact"/>
        </w:trPr>
        <w:tc>
          <w:tcPr>
            <w:tcW w:w="1133" w:type="dxa"/>
            <w:tcBorders>
              <w:top w:val="single" w:color="000000" w:sz="2" w:space="0"/>
              <w:left w:val="single" w:color="000000" w:sz="2" w:space="0"/>
              <w:bottom w:val="single" w:color="000000" w:sz="2" w:space="0"/>
              <w:right w:val="single" w:color="000000" w:sz="2" w:space="0"/>
            </w:tcBorders>
          </w:tcPr>
          <w:p>
            <w:pPr>
              <w:spacing w:before="77"/>
              <w:ind w:left="474" w:right="454"/>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w w:val="99"/>
                <w:szCs w:val="21"/>
              </w:rPr>
              <w:t>2</w:t>
            </w:r>
          </w:p>
        </w:tc>
        <w:tc>
          <w:tcPr>
            <w:tcW w:w="2385" w:type="dxa"/>
            <w:tcBorders>
              <w:top w:val="single" w:color="000000" w:sz="2" w:space="0"/>
              <w:left w:val="single" w:color="000000" w:sz="2" w:space="0"/>
              <w:bottom w:val="single" w:color="000000" w:sz="2" w:space="0"/>
              <w:right w:val="single" w:color="000000" w:sz="2" w:space="0"/>
            </w:tcBorders>
          </w:tcPr>
          <w:p>
            <w:pPr>
              <w:spacing w:line="329" w:lineRule="exact"/>
              <w:ind w:left="766" w:right="-2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漳江街道</w:t>
            </w:r>
          </w:p>
        </w:tc>
        <w:tc>
          <w:tcPr>
            <w:tcW w:w="3001" w:type="dxa"/>
            <w:tcBorders>
              <w:top w:val="single" w:color="000000" w:sz="2" w:space="0"/>
              <w:left w:val="single" w:color="000000" w:sz="2" w:space="0"/>
              <w:bottom w:val="single" w:color="000000" w:sz="2" w:space="0"/>
              <w:right w:val="single" w:color="000000" w:sz="2" w:space="0"/>
            </w:tcBorders>
          </w:tcPr>
          <w:p>
            <w:pPr>
              <w:spacing w:before="77"/>
              <w:ind w:left="1197" w:right="1179"/>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39443</w:t>
            </w:r>
          </w:p>
        </w:tc>
        <w:tc>
          <w:tcPr>
            <w:tcW w:w="3141" w:type="dxa"/>
            <w:tcBorders>
              <w:top w:val="single" w:color="000000" w:sz="2" w:space="0"/>
              <w:left w:val="single" w:color="000000" w:sz="2" w:space="0"/>
              <w:bottom w:val="single" w:color="000000" w:sz="2" w:space="0"/>
              <w:right w:val="single" w:color="000000" w:sz="2" w:space="0"/>
            </w:tcBorders>
          </w:tcPr>
          <w:p>
            <w:pPr>
              <w:spacing w:before="77"/>
              <w:ind w:left="1267" w:right="1247"/>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25638</w:t>
            </w:r>
          </w:p>
        </w:tc>
      </w:tr>
      <w:tr>
        <w:tblPrEx>
          <w:tblCellMar>
            <w:top w:w="0" w:type="dxa"/>
            <w:left w:w="0" w:type="dxa"/>
            <w:bottom w:w="0" w:type="dxa"/>
            <w:right w:w="0" w:type="dxa"/>
          </w:tblCellMar>
        </w:tblPrEx>
        <w:trPr>
          <w:trHeight w:val="394" w:hRule="exact"/>
        </w:trPr>
        <w:tc>
          <w:tcPr>
            <w:tcW w:w="1133" w:type="dxa"/>
            <w:tcBorders>
              <w:top w:val="single" w:color="000000" w:sz="2" w:space="0"/>
              <w:left w:val="single" w:color="000000" w:sz="2" w:space="0"/>
              <w:bottom w:val="single" w:color="000000" w:sz="2" w:space="0"/>
              <w:right w:val="single" w:color="000000" w:sz="2" w:space="0"/>
            </w:tcBorders>
          </w:tcPr>
          <w:p>
            <w:pPr>
              <w:spacing w:before="77"/>
              <w:ind w:left="474" w:right="454"/>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w w:val="99"/>
                <w:szCs w:val="21"/>
              </w:rPr>
              <w:t>3</w:t>
            </w:r>
          </w:p>
        </w:tc>
        <w:tc>
          <w:tcPr>
            <w:tcW w:w="2385" w:type="dxa"/>
            <w:tcBorders>
              <w:top w:val="single" w:color="000000" w:sz="2" w:space="0"/>
              <w:left w:val="single" w:color="000000" w:sz="2" w:space="0"/>
              <w:bottom w:val="single" w:color="000000" w:sz="2" w:space="0"/>
              <w:right w:val="single" w:color="000000" w:sz="2" w:space="0"/>
            </w:tcBorders>
          </w:tcPr>
          <w:p>
            <w:pPr>
              <w:spacing w:line="328" w:lineRule="exact"/>
              <w:ind w:left="836" w:right="819"/>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陬市镇</w:t>
            </w:r>
          </w:p>
        </w:tc>
        <w:tc>
          <w:tcPr>
            <w:tcW w:w="3001" w:type="dxa"/>
            <w:tcBorders>
              <w:top w:val="single" w:color="000000" w:sz="2" w:space="0"/>
              <w:left w:val="single" w:color="000000" w:sz="2" w:space="0"/>
              <w:bottom w:val="single" w:color="000000" w:sz="2" w:space="0"/>
              <w:right w:val="single" w:color="000000" w:sz="2" w:space="0"/>
            </w:tcBorders>
          </w:tcPr>
          <w:p>
            <w:pPr>
              <w:spacing w:before="77"/>
              <w:ind w:left="1197" w:right="1179"/>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34831</w:t>
            </w:r>
          </w:p>
        </w:tc>
        <w:tc>
          <w:tcPr>
            <w:tcW w:w="3141" w:type="dxa"/>
            <w:tcBorders>
              <w:top w:val="single" w:color="000000" w:sz="2" w:space="0"/>
              <w:left w:val="single" w:color="000000" w:sz="2" w:space="0"/>
              <w:bottom w:val="single" w:color="000000" w:sz="2" w:space="0"/>
              <w:right w:val="single" w:color="000000" w:sz="2" w:space="0"/>
            </w:tcBorders>
          </w:tcPr>
          <w:p>
            <w:pPr>
              <w:spacing w:before="77"/>
              <w:ind w:left="1268" w:right="1248"/>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22640</w:t>
            </w:r>
          </w:p>
        </w:tc>
      </w:tr>
      <w:tr>
        <w:tblPrEx>
          <w:tblCellMar>
            <w:top w:w="0" w:type="dxa"/>
            <w:left w:w="0" w:type="dxa"/>
            <w:bottom w:w="0" w:type="dxa"/>
            <w:right w:w="0" w:type="dxa"/>
          </w:tblCellMar>
        </w:tblPrEx>
        <w:trPr>
          <w:trHeight w:val="394" w:hRule="exact"/>
        </w:trPr>
        <w:tc>
          <w:tcPr>
            <w:tcW w:w="1133" w:type="dxa"/>
            <w:tcBorders>
              <w:top w:val="single" w:color="000000" w:sz="2" w:space="0"/>
              <w:left w:val="single" w:color="000000" w:sz="2" w:space="0"/>
              <w:bottom w:val="single" w:color="000000" w:sz="2" w:space="0"/>
              <w:right w:val="single" w:color="000000" w:sz="2" w:space="0"/>
            </w:tcBorders>
          </w:tcPr>
          <w:p>
            <w:pPr>
              <w:spacing w:before="79"/>
              <w:ind w:left="474" w:right="454"/>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w w:val="99"/>
                <w:szCs w:val="21"/>
              </w:rPr>
              <w:t>4</w:t>
            </w:r>
          </w:p>
        </w:tc>
        <w:tc>
          <w:tcPr>
            <w:tcW w:w="2385" w:type="dxa"/>
            <w:tcBorders>
              <w:top w:val="single" w:color="000000" w:sz="2" w:space="0"/>
              <w:left w:val="single" w:color="000000" w:sz="2" w:space="0"/>
              <w:bottom w:val="single" w:color="000000" w:sz="2" w:space="0"/>
              <w:right w:val="single" w:color="000000" w:sz="2" w:space="0"/>
            </w:tcBorders>
          </w:tcPr>
          <w:p>
            <w:pPr>
              <w:spacing w:line="330" w:lineRule="exact"/>
              <w:ind w:left="836" w:right="819"/>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漆河镇</w:t>
            </w:r>
          </w:p>
        </w:tc>
        <w:tc>
          <w:tcPr>
            <w:tcW w:w="3001" w:type="dxa"/>
            <w:tcBorders>
              <w:top w:val="single" w:color="000000" w:sz="2" w:space="0"/>
              <w:left w:val="single" w:color="000000" w:sz="2" w:space="0"/>
              <w:bottom w:val="single" w:color="000000" w:sz="2" w:space="0"/>
              <w:right w:val="single" w:color="000000" w:sz="2" w:space="0"/>
            </w:tcBorders>
          </w:tcPr>
          <w:p>
            <w:pPr>
              <w:spacing w:before="79"/>
              <w:ind w:left="1197" w:right="1179"/>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60855</w:t>
            </w:r>
          </w:p>
        </w:tc>
        <w:tc>
          <w:tcPr>
            <w:tcW w:w="3141" w:type="dxa"/>
            <w:tcBorders>
              <w:top w:val="single" w:color="000000" w:sz="2" w:space="0"/>
              <w:left w:val="single" w:color="000000" w:sz="2" w:space="0"/>
              <w:bottom w:val="single" w:color="000000" w:sz="2" w:space="0"/>
              <w:right w:val="single" w:color="000000" w:sz="2" w:space="0"/>
            </w:tcBorders>
          </w:tcPr>
          <w:p>
            <w:pPr>
              <w:spacing w:before="79"/>
              <w:ind w:left="1268" w:right="1248"/>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39556</w:t>
            </w:r>
          </w:p>
        </w:tc>
      </w:tr>
      <w:tr>
        <w:tblPrEx>
          <w:tblCellMar>
            <w:top w:w="0" w:type="dxa"/>
            <w:left w:w="0" w:type="dxa"/>
            <w:bottom w:w="0" w:type="dxa"/>
            <w:right w:w="0" w:type="dxa"/>
          </w:tblCellMar>
        </w:tblPrEx>
        <w:trPr>
          <w:trHeight w:val="394" w:hRule="exact"/>
        </w:trPr>
        <w:tc>
          <w:tcPr>
            <w:tcW w:w="1133" w:type="dxa"/>
            <w:tcBorders>
              <w:top w:val="single" w:color="000000" w:sz="2" w:space="0"/>
              <w:left w:val="single" w:color="000000" w:sz="2" w:space="0"/>
              <w:bottom w:val="single" w:color="000000" w:sz="2" w:space="0"/>
              <w:right w:val="single" w:color="000000" w:sz="2" w:space="0"/>
            </w:tcBorders>
          </w:tcPr>
          <w:p>
            <w:pPr>
              <w:spacing w:before="79"/>
              <w:ind w:left="474" w:right="454"/>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w w:val="99"/>
                <w:szCs w:val="21"/>
              </w:rPr>
              <w:t>5</w:t>
            </w:r>
          </w:p>
        </w:tc>
        <w:tc>
          <w:tcPr>
            <w:tcW w:w="2385" w:type="dxa"/>
            <w:tcBorders>
              <w:top w:val="single" w:color="000000" w:sz="2" w:space="0"/>
              <w:left w:val="single" w:color="000000" w:sz="2" w:space="0"/>
              <w:bottom w:val="single" w:color="000000" w:sz="2" w:space="0"/>
              <w:right w:val="single" w:color="000000" w:sz="2" w:space="0"/>
            </w:tcBorders>
          </w:tcPr>
          <w:p>
            <w:pPr>
              <w:spacing w:line="330" w:lineRule="exact"/>
              <w:ind w:left="836" w:right="819"/>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沙坪镇</w:t>
            </w:r>
          </w:p>
        </w:tc>
        <w:tc>
          <w:tcPr>
            <w:tcW w:w="3001" w:type="dxa"/>
            <w:tcBorders>
              <w:top w:val="single" w:color="000000" w:sz="2" w:space="0"/>
              <w:left w:val="single" w:color="000000" w:sz="2" w:space="0"/>
              <w:bottom w:val="single" w:color="000000" w:sz="2" w:space="0"/>
              <w:right w:val="single" w:color="000000" w:sz="2" w:space="0"/>
            </w:tcBorders>
          </w:tcPr>
          <w:p>
            <w:pPr>
              <w:spacing w:before="79"/>
              <w:ind w:left="1197" w:right="1179"/>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23651</w:t>
            </w:r>
          </w:p>
        </w:tc>
        <w:tc>
          <w:tcPr>
            <w:tcW w:w="3141" w:type="dxa"/>
            <w:tcBorders>
              <w:top w:val="single" w:color="000000" w:sz="2" w:space="0"/>
              <w:left w:val="single" w:color="000000" w:sz="2" w:space="0"/>
              <w:bottom w:val="single" w:color="000000" w:sz="2" w:space="0"/>
              <w:right w:val="single" w:color="000000" w:sz="2" w:space="0"/>
            </w:tcBorders>
          </w:tcPr>
          <w:p>
            <w:pPr>
              <w:spacing w:before="79"/>
              <w:ind w:left="1268" w:right="1248"/>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15373</w:t>
            </w:r>
          </w:p>
        </w:tc>
      </w:tr>
      <w:tr>
        <w:tblPrEx>
          <w:tblCellMar>
            <w:top w:w="0" w:type="dxa"/>
            <w:left w:w="0" w:type="dxa"/>
            <w:bottom w:w="0" w:type="dxa"/>
            <w:right w:w="0" w:type="dxa"/>
          </w:tblCellMar>
        </w:tblPrEx>
        <w:trPr>
          <w:trHeight w:val="394" w:hRule="exact"/>
        </w:trPr>
        <w:tc>
          <w:tcPr>
            <w:tcW w:w="1133" w:type="dxa"/>
            <w:tcBorders>
              <w:top w:val="single" w:color="000000" w:sz="2" w:space="0"/>
              <w:left w:val="single" w:color="000000" w:sz="2" w:space="0"/>
              <w:bottom w:val="single" w:color="000000" w:sz="2" w:space="0"/>
              <w:right w:val="single" w:color="000000" w:sz="2" w:space="0"/>
            </w:tcBorders>
          </w:tcPr>
          <w:p>
            <w:pPr>
              <w:spacing w:before="78"/>
              <w:ind w:left="474" w:right="454"/>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w w:val="99"/>
                <w:szCs w:val="21"/>
              </w:rPr>
              <w:t>6</w:t>
            </w:r>
          </w:p>
        </w:tc>
        <w:tc>
          <w:tcPr>
            <w:tcW w:w="2385" w:type="dxa"/>
            <w:tcBorders>
              <w:top w:val="single" w:color="000000" w:sz="2" w:space="0"/>
              <w:left w:val="single" w:color="000000" w:sz="2" w:space="0"/>
              <w:bottom w:val="single" w:color="000000" w:sz="2" w:space="0"/>
              <w:right w:val="single" w:color="000000" w:sz="2" w:space="0"/>
            </w:tcBorders>
          </w:tcPr>
          <w:p>
            <w:pPr>
              <w:spacing w:line="330" w:lineRule="exact"/>
              <w:ind w:left="766" w:right="-2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三阳港镇</w:t>
            </w:r>
          </w:p>
        </w:tc>
        <w:tc>
          <w:tcPr>
            <w:tcW w:w="3001" w:type="dxa"/>
            <w:tcBorders>
              <w:top w:val="single" w:color="000000" w:sz="2" w:space="0"/>
              <w:left w:val="single" w:color="000000" w:sz="2" w:space="0"/>
              <w:bottom w:val="single" w:color="000000" w:sz="2" w:space="0"/>
              <w:right w:val="single" w:color="000000" w:sz="2" w:space="0"/>
            </w:tcBorders>
          </w:tcPr>
          <w:p>
            <w:pPr>
              <w:spacing w:before="78"/>
              <w:ind w:left="1197" w:right="1179"/>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31879</w:t>
            </w:r>
          </w:p>
        </w:tc>
        <w:tc>
          <w:tcPr>
            <w:tcW w:w="3141" w:type="dxa"/>
            <w:tcBorders>
              <w:top w:val="single" w:color="000000" w:sz="2" w:space="0"/>
              <w:left w:val="single" w:color="000000" w:sz="2" w:space="0"/>
              <w:bottom w:val="single" w:color="000000" w:sz="2" w:space="0"/>
              <w:right w:val="single" w:color="000000" w:sz="2" w:space="0"/>
            </w:tcBorders>
          </w:tcPr>
          <w:p>
            <w:pPr>
              <w:spacing w:before="78"/>
              <w:ind w:left="1267" w:right="1247"/>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20721</w:t>
            </w:r>
          </w:p>
        </w:tc>
      </w:tr>
      <w:tr>
        <w:tblPrEx>
          <w:tblCellMar>
            <w:top w:w="0" w:type="dxa"/>
            <w:left w:w="0" w:type="dxa"/>
            <w:bottom w:w="0" w:type="dxa"/>
            <w:right w:w="0" w:type="dxa"/>
          </w:tblCellMar>
        </w:tblPrEx>
        <w:trPr>
          <w:trHeight w:val="394" w:hRule="exact"/>
        </w:trPr>
        <w:tc>
          <w:tcPr>
            <w:tcW w:w="1133" w:type="dxa"/>
            <w:tcBorders>
              <w:top w:val="single" w:color="000000" w:sz="2" w:space="0"/>
              <w:left w:val="single" w:color="000000" w:sz="2" w:space="0"/>
              <w:bottom w:val="single" w:color="000000" w:sz="2" w:space="0"/>
              <w:right w:val="single" w:color="000000" w:sz="2" w:space="0"/>
            </w:tcBorders>
          </w:tcPr>
          <w:p>
            <w:pPr>
              <w:spacing w:before="78"/>
              <w:ind w:left="474" w:right="454"/>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w w:val="99"/>
                <w:szCs w:val="21"/>
              </w:rPr>
              <w:t>7</w:t>
            </w:r>
          </w:p>
        </w:tc>
        <w:tc>
          <w:tcPr>
            <w:tcW w:w="2385" w:type="dxa"/>
            <w:tcBorders>
              <w:top w:val="single" w:color="000000" w:sz="2" w:space="0"/>
              <w:left w:val="single" w:color="000000" w:sz="2" w:space="0"/>
              <w:bottom w:val="single" w:color="000000" w:sz="2" w:space="0"/>
              <w:right w:val="single" w:color="000000" w:sz="2" w:space="0"/>
            </w:tcBorders>
          </w:tcPr>
          <w:p>
            <w:pPr>
              <w:spacing w:line="329" w:lineRule="exact"/>
              <w:ind w:left="836" w:right="819"/>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黄石镇</w:t>
            </w:r>
          </w:p>
        </w:tc>
        <w:tc>
          <w:tcPr>
            <w:tcW w:w="3001" w:type="dxa"/>
            <w:tcBorders>
              <w:top w:val="single" w:color="000000" w:sz="2" w:space="0"/>
              <w:left w:val="single" w:color="000000" w:sz="2" w:space="0"/>
              <w:bottom w:val="single" w:color="000000" w:sz="2" w:space="0"/>
              <w:right w:val="single" w:color="000000" w:sz="2" w:space="0"/>
            </w:tcBorders>
          </w:tcPr>
          <w:p>
            <w:pPr>
              <w:spacing w:before="78"/>
              <w:ind w:left="1197" w:right="1179"/>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16038</w:t>
            </w:r>
          </w:p>
        </w:tc>
        <w:tc>
          <w:tcPr>
            <w:tcW w:w="3141" w:type="dxa"/>
            <w:tcBorders>
              <w:top w:val="single" w:color="000000" w:sz="2" w:space="0"/>
              <w:left w:val="single" w:color="000000" w:sz="2" w:space="0"/>
              <w:bottom w:val="single" w:color="000000" w:sz="2" w:space="0"/>
              <w:right w:val="single" w:color="000000" w:sz="2" w:space="0"/>
            </w:tcBorders>
          </w:tcPr>
          <w:p>
            <w:pPr>
              <w:spacing w:before="78"/>
              <w:ind w:left="1268" w:right="1248"/>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10425</w:t>
            </w:r>
          </w:p>
        </w:tc>
      </w:tr>
      <w:tr>
        <w:tblPrEx>
          <w:tblCellMar>
            <w:top w:w="0" w:type="dxa"/>
            <w:left w:w="0" w:type="dxa"/>
            <w:bottom w:w="0" w:type="dxa"/>
            <w:right w:w="0" w:type="dxa"/>
          </w:tblCellMar>
        </w:tblPrEx>
        <w:trPr>
          <w:trHeight w:val="394" w:hRule="exact"/>
        </w:trPr>
        <w:tc>
          <w:tcPr>
            <w:tcW w:w="1133" w:type="dxa"/>
            <w:tcBorders>
              <w:top w:val="single" w:color="000000" w:sz="2" w:space="0"/>
              <w:left w:val="single" w:color="000000" w:sz="2" w:space="0"/>
              <w:bottom w:val="single" w:color="000000" w:sz="2" w:space="0"/>
              <w:right w:val="single" w:color="000000" w:sz="2" w:space="0"/>
            </w:tcBorders>
          </w:tcPr>
          <w:p>
            <w:pPr>
              <w:spacing w:before="77"/>
              <w:ind w:left="474" w:right="454"/>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w w:val="99"/>
                <w:szCs w:val="21"/>
              </w:rPr>
              <w:t>8</w:t>
            </w:r>
          </w:p>
        </w:tc>
        <w:tc>
          <w:tcPr>
            <w:tcW w:w="2385" w:type="dxa"/>
            <w:tcBorders>
              <w:top w:val="single" w:color="000000" w:sz="2" w:space="0"/>
              <w:left w:val="single" w:color="000000" w:sz="2" w:space="0"/>
              <w:bottom w:val="single" w:color="000000" w:sz="2" w:space="0"/>
              <w:right w:val="single" w:color="000000" w:sz="2" w:space="0"/>
            </w:tcBorders>
          </w:tcPr>
          <w:p>
            <w:pPr>
              <w:spacing w:line="329" w:lineRule="exact"/>
              <w:ind w:left="836" w:right="819"/>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西安镇</w:t>
            </w:r>
          </w:p>
        </w:tc>
        <w:tc>
          <w:tcPr>
            <w:tcW w:w="3001" w:type="dxa"/>
            <w:tcBorders>
              <w:top w:val="single" w:color="000000" w:sz="2" w:space="0"/>
              <w:left w:val="single" w:color="000000" w:sz="2" w:space="0"/>
              <w:bottom w:val="single" w:color="000000" w:sz="2" w:space="0"/>
              <w:right w:val="single" w:color="000000" w:sz="2" w:space="0"/>
            </w:tcBorders>
          </w:tcPr>
          <w:p>
            <w:pPr>
              <w:spacing w:before="77"/>
              <w:ind w:left="1197" w:right="1179"/>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14201</w:t>
            </w:r>
          </w:p>
        </w:tc>
        <w:tc>
          <w:tcPr>
            <w:tcW w:w="3141" w:type="dxa"/>
            <w:tcBorders>
              <w:top w:val="single" w:color="000000" w:sz="2" w:space="0"/>
              <w:left w:val="single" w:color="000000" w:sz="2" w:space="0"/>
              <w:bottom w:val="single" w:color="000000" w:sz="2" w:space="0"/>
              <w:right w:val="single" w:color="000000" w:sz="2" w:space="0"/>
            </w:tcBorders>
          </w:tcPr>
          <w:p>
            <w:pPr>
              <w:spacing w:before="77"/>
              <w:ind w:left="1320" w:right="1300"/>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9231</w:t>
            </w:r>
          </w:p>
        </w:tc>
      </w:tr>
      <w:tr>
        <w:tblPrEx>
          <w:tblCellMar>
            <w:top w:w="0" w:type="dxa"/>
            <w:left w:w="0" w:type="dxa"/>
            <w:bottom w:w="0" w:type="dxa"/>
            <w:right w:w="0" w:type="dxa"/>
          </w:tblCellMar>
        </w:tblPrEx>
        <w:trPr>
          <w:trHeight w:val="394" w:hRule="exact"/>
        </w:trPr>
        <w:tc>
          <w:tcPr>
            <w:tcW w:w="1133" w:type="dxa"/>
            <w:tcBorders>
              <w:top w:val="single" w:color="000000" w:sz="2" w:space="0"/>
              <w:left w:val="single" w:color="000000" w:sz="2" w:space="0"/>
              <w:bottom w:val="single" w:color="000000" w:sz="2" w:space="0"/>
              <w:right w:val="single" w:color="000000" w:sz="2" w:space="0"/>
            </w:tcBorders>
          </w:tcPr>
          <w:p>
            <w:pPr>
              <w:spacing w:before="77"/>
              <w:ind w:left="474" w:right="454"/>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w w:val="99"/>
                <w:szCs w:val="21"/>
              </w:rPr>
              <w:t>9</w:t>
            </w:r>
          </w:p>
        </w:tc>
        <w:tc>
          <w:tcPr>
            <w:tcW w:w="2385" w:type="dxa"/>
            <w:tcBorders>
              <w:top w:val="single" w:color="000000" w:sz="2" w:space="0"/>
              <w:left w:val="single" w:color="000000" w:sz="2" w:space="0"/>
              <w:bottom w:val="single" w:color="000000" w:sz="2" w:space="0"/>
              <w:right w:val="single" w:color="000000" w:sz="2" w:space="0"/>
            </w:tcBorders>
          </w:tcPr>
          <w:p>
            <w:pPr>
              <w:spacing w:line="328" w:lineRule="exact"/>
              <w:ind w:left="766" w:right="-2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理公港镇</w:t>
            </w:r>
          </w:p>
        </w:tc>
        <w:tc>
          <w:tcPr>
            <w:tcW w:w="3001" w:type="dxa"/>
            <w:tcBorders>
              <w:top w:val="single" w:color="000000" w:sz="2" w:space="0"/>
              <w:left w:val="single" w:color="000000" w:sz="2" w:space="0"/>
              <w:bottom w:val="single" w:color="000000" w:sz="2" w:space="0"/>
              <w:right w:val="single" w:color="000000" w:sz="2" w:space="0"/>
            </w:tcBorders>
          </w:tcPr>
          <w:p>
            <w:pPr>
              <w:spacing w:before="77"/>
              <w:ind w:left="1197" w:right="1179"/>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27541</w:t>
            </w:r>
          </w:p>
        </w:tc>
        <w:tc>
          <w:tcPr>
            <w:tcW w:w="3141" w:type="dxa"/>
            <w:tcBorders>
              <w:top w:val="single" w:color="000000" w:sz="2" w:space="0"/>
              <w:left w:val="single" w:color="000000" w:sz="2" w:space="0"/>
              <w:bottom w:val="single" w:color="000000" w:sz="2" w:space="0"/>
              <w:right w:val="single" w:color="000000" w:sz="2" w:space="0"/>
            </w:tcBorders>
          </w:tcPr>
          <w:p>
            <w:pPr>
              <w:spacing w:before="77"/>
              <w:ind w:left="1267" w:right="1247"/>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17902</w:t>
            </w:r>
          </w:p>
        </w:tc>
      </w:tr>
      <w:tr>
        <w:tblPrEx>
          <w:tblCellMar>
            <w:top w:w="0" w:type="dxa"/>
            <w:left w:w="0" w:type="dxa"/>
            <w:bottom w:w="0" w:type="dxa"/>
            <w:right w:w="0" w:type="dxa"/>
          </w:tblCellMar>
        </w:tblPrEx>
        <w:trPr>
          <w:trHeight w:val="394" w:hRule="exact"/>
        </w:trPr>
        <w:tc>
          <w:tcPr>
            <w:tcW w:w="1133" w:type="dxa"/>
            <w:tcBorders>
              <w:top w:val="single" w:color="000000" w:sz="2" w:space="0"/>
              <w:left w:val="single" w:color="000000" w:sz="2" w:space="0"/>
              <w:bottom w:val="single" w:color="000000" w:sz="2" w:space="0"/>
              <w:right w:val="single" w:color="000000" w:sz="2" w:space="0"/>
            </w:tcBorders>
          </w:tcPr>
          <w:p>
            <w:pPr>
              <w:spacing w:before="79"/>
              <w:ind w:left="421" w:right="401"/>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pacing w:val="1"/>
                <w:w w:val="99"/>
                <w:szCs w:val="21"/>
              </w:rPr>
              <w:t>1</w:t>
            </w:r>
            <w:r>
              <w:rPr>
                <w:rFonts w:hint="eastAsia" w:asciiTheme="majorEastAsia" w:hAnsiTheme="majorEastAsia" w:eastAsiaTheme="majorEastAsia" w:cstheme="majorEastAsia"/>
                <w:w w:val="99"/>
                <w:szCs w:val="21"/>
              </w:rPr>
              <w:t>0</w:t>
            </w:r>
          </w:p>
        </w:tc>
        <w:tc>
          <w:tcPr>
            <w:tcW w:w="2385" w:type="dxa"/>
            <w:tcBorders>
              <w:top w:val="single" w:color="000000" w:sz="2" w:space="0"/>
              <w:left w:val="single" w:color="000000" w:sz="2" w:space="0"/>
              <w:bottom w:val="single" w:color="000000" w:sz="2" w:space="0"/>
              <w:right w:val="single" w:color="000000" w:sz="2" w:space="0"/>
            </w:tcBorders>
          </w:tcPr>
          <w:p>
            <w:pPr>
              <w:spacing w:line="330" w:lineRule="exact"/>
              <w:ind w:left="836" w:right="819"/>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龙潭镇</w:t>
            </w:r>
          </w:p>
        </w:tc>
        <w:tc>
          <w:tcPr>
            <w:tcW w:w="3001" w:type="dxa"/>
            <w:tcBorders>
              <w:top w:val="single" w:color="000000" w:sz="2" w:space="0"/>
              <w:left w:val="single" w:color="000000" w:sz="2" w:space="0"/>
              <w:bottom w:val="single" w:color="000000" w:sz="2" w:space="0"/>
              <w:right w:val="single" w:color="000000" w:sz="2" w:space="0"/>
            </w:tcBorders>
          </w:tcPr>
          <w:p>
            <w:pPr>
              <w:spacing w:before="79"/>
              <w:ind w:left="1197" w:right="1179"/>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22511</w:t>
            </w:r>
          </w:p>
        </w:tc>
        <w:tc>
          <w:tcPr>
            <w:tcW w:w="3141" w:type="dxa"/>
            <w:tcBorders>
              <w:top w:val="single" w:color="000000" w:sz="2" w:space="0"/>
              <w:left w:val="single" w:color="000000" w:sz="2" w:space="0"/>
              <w:bottom w:val="single" w:color="000000" w:sz="2" w:space="0"/>
              <w:right w:val="single" w:color="000000" w:sz="2" w:space="0"/>
            </w:tcBorders>
          </w:tcPr>
          <w:p>
            <w:pPr>
              <w:spacing w:before="79"/>
              <w:ind w:left="1268" w:right="1248"/>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14632</w:t>
            </w:r>
          </w:p>
        </w:tc>
      </w:tr>
      <w:tr>
        <w:tblPrEx>
          <w:tblCellMar>
            <w:top w:w="0" w:type="dxa"/>
            <w:left w:w="0" w:type="dxa"/>
            <w:bottom w:w="0" w:type="dxa"/>
            <w:right w:w="0" w:type="dxa"/>
          </w:tblCellMar>
        </w:tblPrEx>
        <w:trPr>
          <w:trHeight w:val="394" w:hRule="exact"/>
        </w:trPr>
        <w:tc>
          <w:tcPr>
            <w:tcW w:w="1133" w:type="dxa"/>
            <w:tcBorders>
              <w:top w:val="single" w:color="000000" w:sz="2" w:space="0"/>
              <w:left w:val="single" w:color="000000" w:sz="2" w:space="0"/>
              <w:bottom w:val="single" w:color="000000" w:sz="2" w:space="0"/>
              <w:right w:val="single" w:color="000000" w:sz="2" w:space="0"/>
            </w:tcBorders>
          </w:tcPr>
          <w:p>
            <w:pPr>
              <w:spacing w:before="79"/>
              <w:ind w:left="421" w:right="401"/>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pacing w:val="1"/>
                <w:w w:val="99"/>
                <w:szCs w:val="21"/>
              </w:rPr>
              <w:t>1</w:t>
            </w:r>
            <w:r>
              <w:rPr>
                <w:rFonts w:hint="eastAsia" w:asciiTheme="majorEastAsia" w:hAnsiTheme="majorEastAsia" w:eastAsiaTheme="majorEastAsia" w:cstheme="majorEastAsia"/>
                <w:w w:val="99"/>
                <w:szCs w:val="21"/>
              </w:rPr>
              <w:t>1</w:t>
            </w:r>
          </w:p>
        </w:tc>
        <w:tc>
          <w:tcPr>
            <w:tcW w:w="2385" w:type="dxa"/>
            <w:tcBorders>
              <w:top w:val="single" w:color="000000" w:sz="2" w:space="0"/>
              <w:left w:val="single" w:color="000000" w:sz="2" w:space="0"/>
              <w:bottom w:val="single" w:color="000000" w:sz="2" w:space="0"/>
              <w:right w:val="single" w:color="000000" w:sz="2" w:space="0"/>
            </w:tcBorders>
          </w:tcPr>
          <w:p>
            <w:pPr>
              <w:spacing w:line="330" w:lineRule="exact"/>
              <w:ind w:left="836" w:right="819"/>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剪市镇</w:t>
            </w:r>
          </w:p>
        </w:tc>
        <w:tc>
          <w:tcPr>
            <w:tcW w:w="3001" w:type="dxa"/>
            <w:tcBorders>
              <w:top w:val="single" w:color="000000" w:sz="2" w:space="0"/>
              <w:left w:val="single" w:color="000000" w:sz="2" w:space="0"/>
              <w:bottom w:val="single" w:color="000000" w:sz="2" w:space="0"/>
              <w:right w:val="single" w:color="000000" w:sz="2" w:space="0"/>
            </w:tcBorders>
          </w:tcPr>
          <w:p>
            <w:pPr>
              <w:spacing w:before="79"/>
              <w:ind w:left="1197" w:right="1179"/>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17421</w:t>
            </w:r>
          </w:p>
        </w:tc>
        <w:tc>
          <w:tcPr>
            <w:tcW w:w="3141" w:type="dxa"/>
            <w:tcBorders>
              <w:top w:val="single" w:color="000000" w:sz="2" w:space="0"/>
              <w:left w:val="single" w:color="000000" w:sz="2" w:space="0"/>
              <w:bottom w:val="single" w:color="000000" w:sz="2" w:space="0"/>
              <w:right w:val="single" w:color="000000" w:sz="2" w:space="0"/>
            </w:tcBorders>
          </w:tcPr>
          <w:p>
            <w:pPr>
              <w:spacing w:before="79"/>
              <w:ind w:left="1268" w:right="1248"/>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11324</w:t>
            </w:r>
          </w:p>
        </w:tc>
      </w:tr>
      <w:tr>
        <w:tblPrEx>
          <w:tblCellMar>
            <w:top w:w="0" w:type="dxa"/>
            <w:left w:w="0" w:type="dxa"/>
            <w:bottom w:w="0" w:type="dxa"/>
            <w:right w:w="0" w:type="dxa"/>
          </w:tblCellMar>
        </w:tblPrEx>
        <w:trPr>
          <w:trHeight w:val="394" w:hRule="exact"/>
        </w:trPr>
        <w:tc>
          <w:tcPr>
            <w:tcW w:w="1133" w:type="dxa"/>
            <w:tcBorders>
              <w:top w:val="single" w:color="000000" w:sz="2" w:space="0"/>
              <w:left w:val="single" w:color="000000" w:sz="2" w:space="0"/>
              <w:bottom w:val="single" w:color="000000" w:sz="2" w:space="0"/>
              <w:right w:val="single" w:color="000000" w:sz="2" w:space="0"/>
            </w:tcBorders>
          </w:tcPr>
          <w:p>
            <w:pPr>
              <w:spacing w:before="78"/>
              <w:ind w:left="421" w:right="401"/>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pacing w:val="1"/>
                <w:w w:val="99"/>
                <w:szCs w:val="21"/>
              </w:rPr>
              <w:t>1</w:t>
            </w:r>
            <w:r>
              <w:rPr>
                <w:rFonts w:hint="eastAsia" w:asciiTheme="majorEastAsia" w:hAnsiTheme="majorEastAsia" w:eastAsiaTheme="majorEastAsia" w:cstheme="majorEastAsia"/>
                <w:w w:val="99"/>
                <w:szCs w:val="21"/>
              </w:rPr>
              <w:t>2</w:t>
            </w:r>
          </w:p>
        </w:tc>
        <w:tc>
          <w:tcPr>
            <w:tcW w:w="2385" w:type="dxa"/>
            <w:tcBorders>
              <w:top w:val="single" w:color="000000" w:sz="2" w:space="0"/>
              <w:left w:val="single" w:color="000000" w:sz="2" w:space="0"/>
              <w:bottom w:val="single" w:color="000000" w:sz="2" w:space="0"/>
              <w:right w:val="single" w:color="000000" w:sz="2" w:space="0"/>
            </w:tcBorders>
          </w:tcPr>
          <w:p>
            <w:pPr>
              <w:spacing w:line="330" w:lineRule="exact"/>
              <w:ind w:left="766" w:right="-2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茶庵铺镇</w:t>
            </w:r>
          </w:p>
        </w:tc>
        <w:tc>
          <w:tcPr>
            <w:tcW w:w="3001" w:type="dxa"/>
            <w:tcBorders>
              <w:top w:val="single" w:color="000000" w:sz="2" w:space="0"/>
              <w:left w:val="single" w:color="000000" w:sz="2" w:space="0"/>
              <w:bottom w:val="single" w:color="000000" w:sz="2" w:space="0"/>
              <w:right w:val="single" w:color="000000" w:sz="2" w:space="0"/>
            </w:tcBorders>
          </w:tcPr>
          <w:p>
            <w:pPr>
              <w:spacing w:before="78"/>
              <w:ind w:left="1197" w:right="1179"/>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32858</w:t>
            </w:r>
          </w:p>
        </w:tc>
        <w:tc>
          <w:tcPr>
            <w:tcW w:w="3141" w:type="dxa"/>
            <w:tcBorders>
              <w:top w:val="single" w:color="000000" w:sz="2" w:space="0"/>
              <w:left w:val="single" w:color="000000" w:sz="2" w:space="0"/>
              <w:bottom w:val="single" w:color="000000" w:sz="2" w:space="0"/>
              <w:right w:val="single" w:color="000000" w:sz="2" w:space="0"/>
            </w:tcBorders>
          </w:tcPr>
          <w:p>
            <w:pPr>
              <w:spacing w:before="78"/>
              <w:ind w:left="1267" w:right="1247"/>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21358</w:t>
            </w:r>
          </w:p>
        </w:tc>
      </w:tr>
      <w:tr>
        <w:tblPrEx>
          <w:tblCellMar>
            <w:top w:w="0" w:type="dxa"/>
            <w:left w:w="0" w:type="dxa"/>
            <w:bottom w:w="0" w:type="dxa"/>
            <w:right w:w="0" w:type="dxa"/>
          </w:tblCellMar>
        </w:tblPrEx>
        <w:trPr>
          <w:trHeight w:val="394" w:hRule="exact"/>
        </w:trPr>
        <w:tc>
          <w:tcPr>
            <w:tcW w:w="1133" w:type="dxa"/>
            <w:tcBorders>
              <w:top w:val="single" w:color="000000" w:sz="2" w:space="0"/>
              <w:left w:val="single" w:color="000000" w:sz="2" w:space="0"/>
              <w:bottom w:val="single" w:color="000000" w:sz="2" w:space="0"/>
              <w:right w:val="single" w:color="000000" w:sz="2" w:space="0"/>
            </w:tcBorders>
          </w:tcPr>
          <w:p>
            <w:pPr>
              <w:spacing w:before="78"/>
              <w:ind w:left="421" w:right="401"/>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pacing w:val="1"/>
                <w:w w:val="99"/>
                <w:szCs w:val="21"/>
              </w:rPr>
              <w:t>1</w:t>
            </w:r>
            <w:r>
              <w:rPr>
                <w:rFonts w:hint="eastAsia" w:asciiTheme="majorEastAsia" w:hAnsiTheme="majorEastAsia" w:eastAsiaTheme="majorEastAsia" w:cstheme="majorEastAsia"/>
                <w:w w:val="99"/>
                <w:szCs w:val="21"/>
              </w:rPr>
              <w:t>3</w:t>
            </w:r>
          </w:p>
        </w:tc>
        <w:tc>
          <w:tcPr>
            <w:tcW w:w="2385" w:type="dxa"/>
            <w:tcBorders>
              <w:top w:val="single" w:color="000000" w:sz="2" w:space="0"/>
              <w:left w:val="single" w:color="000000" w:sz="2" w:space="0"/>
              <w:bottom w:val="single" w:color="000000" w:sz="2" w:space="0"/>
              <w:right w:val="single" w:color="000000" w:sz="2" w:space="0"/>
            </w:tcBorders>
          </w:tcPr>
          <w:p>
            <w:pPr>
              <w:spacing w:line="329" w:lineRule="exact"/>
              <w:ind w:left="836" w:right="819"/>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盘塘镇</w:t>
            </w:r>
          </w:p>
        </w:tc>
        <w:tc>
          <w:tcPr>
            <w:tcW w:w="3001" w:type="dxa"/>
            <w:tcBorders>
              <w:top w:val="single" w:color="000000" w:sz="2" w:space="0"/>
              <w:left w:val="single" w:color="000000" w:sz="2" w:space="0"/>
              <w:bottom w:val="single" w:color="000000" w:sz="2" w:space="0"/>
              <w:right w:val="single" w:color="000000" w:sz="2" w:space="0"/>
            </w:tcBorders>
          </w:tcPr>
          <w:p>
            <w:pPr>
              <w:spacing w:before="78"/>
              <w:ind w:left="1197" w:right="1179"/>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17782</w:t>
            </w:r>
          </w:p>
        </w:tc>
        <w:tc>
          <w:tcPr>
            <w:tcW w:w="3141" w:type="dxa"/>
            <w:tcBorders>
              <w:top w:val="single" w:color="000000" w:sz="2" w:space="0"/>
              <w:left w:val="single" w:color="000000" w:sz="2" w:space="0"/>
              <w:bottom w:val="single" w:color="000000" w:sz="2" w:space="0"/>
              <w:right w:val="single" w:color="000000" w:sz="2" w:space="0"/>
            </w:tcBorders>
          </w:tcPr>
          <w:p>
            <w:pPr>
              <w:spacing w:before="78"/>
              <w:ind w:left="1268" w:right="1248"/>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11558</w:t>
            </w:r>
          </w:p>
        </w:tc>
      </w:tr>
      <w:tr>
        <w:tblPrEx>
          <w:tblCellMar>
            <w:top w:w="0" w:type="dxa"/>
            <w:left w:w="0" w:type="dxa"/>
            <w:bottom w:w="0" w:type="dxa"/>
            <w:right w:w="0" w:type="dxa"/>
          </w:tblCellMar>
        </w:tblPrEx>
        <w:trPr>
          <w:trHeight w:val="394" w:hRule="exact"/>
        </w:trPr>
        <w:tc>
          <w:tcPr>
            <w:tcW w:w="1133" w:type="dxa"/>
            <w:tcBorders>
              <w:top w:val="single" w:color="000000" w:sz="2" w:space="0"/>
              <w:left w:val="single" w:color="000000" w:sz="2" w:space="0"/>
              <w:bottom w:val="single" w:color="000000" w:sz="2" w:space="0"/>
              <w:right w:val="single" w:color="000000" w:sz="2" w:space="0"/>
            </w:tcBorders>
          </w:tcPr>
          <w:p>
            <w:pPr>
              <w:spacing w:before="77"/>
              <w:ind w:left="421" w:right="401"/>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pacing w:val="1"/>
                <w:w w:val="99"/>
                <w:szCs w:val="21"/>
              </w:rPr>
              <w:t>1</w:t>
            </w:r>
            <w:r>
              <w:rPr>
                <w:rFonts w:hint="eastAsia" w:asciiTheme="majorEastAsia" w:hAnsiTheme="majorEastAsia" w:eastAsiaTheme="majorEastAsia" w:cstheme="majorEastAsia"/>
                <w:w w:val="99"/>
                <w:szCs w:val="21"/>
              </w:rPr>
              <w:t>4</w:t>
            </w:r>
          </w:p>
        </w:tc>
        <w:tc>
          <w:tcPr>
            <w:tcW w:w="2385" w:type="dxa"/>
            <w:tcBorders>
              <w:top w:val="single" w:color="000000" w:sz="2" w:space="0"/>
              <w:left w:val="single" w:color="000000" w:sz="2" w:space="0"/>
              <w:bottom w:val="single" w:color="000000" w:sz="2" w:space="0"/>
              <w:right w:val="single" w:color="000000" w:sz="2" w:space="0"/>
            </w:tcBorders>
          </w:tcPr>
          <w:p>
            <w:pPr>
              <w:spacing w:line="329" w:lineRule="exact"/>
              <w:ind w:left="836" w:right="819"/>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热市镇</w:t>
            </w:r>
          </w:p>
        </w:tc>
        <w:tc>
          <w:tcPr>
            <w:tcW w:w="3001" w:type="dxa"/>
            <w:tcBorders>
              <w:top w:val="single" w:color="000000" w:sz="2" w:space="0"/>
              <w:left w:val="single" w:color="000000" w:sz="2" w:space="0"/>
              <w:bottom w:val="single" w:color="000000" w:sz="2" w:space="0"/>
              <w:right w:val="single" w:color="000000" w:sz="2" w:space="0"/>
            </w:tcBorders>
          </w:tcPr>
          <w:p>
            <w:pPr>
              <w:spacing w:before="77"/>
              <w:ind w:left="1197" w:right="1179"/>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37638</w:t>
            </w:r>
          </w:p>
        </w:tc>
        <w:tc>
          <w:tcPr>
            <w:tcW w:w="3141" w:type="dxa"/>
            <w:tcBorders>
              <w:top w:val="single" w:color="000000" w:sz="2" w:space="0"/>
              <w:left w:val="single" w:color="000000" w:sz="2" w:space="0"/>
              <w:bottom w:val="single" w:color="000000" w:sz="2" w:space="0"/>
              <w:right w:val="single" w:color="000000" w:sz="2" w:space="0"/>
            </w:tcBorders>
          </w:tcPr>
          <w:p>
            <w:pPr>
              <w:spacing w:before="77"/>
              <w:ind w:left="1268" w:right="1248"/>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24465</w:t>
            </w:r>
          </w:p>
        </w:tc>
      </w:tr>
      <w:tr>
        <w:tblPrEx>
          <w:tblCellMar>
            <w:top w:w="0" w:type="dxa"/>
            <w:left w:w="0" w:type="dxa"/>
            <w:bottom w:w="0" w:type="dxa"/>
            <w:right w:w="0" w:type="dxa"/>
          </w:tblCellMar>
        </w:tblPrEx>
        <w:trPr>
          <w:trHeight w:val="394" w:hRule="exact"/>
        </w:trPr>
        <w:tc>
          <w:tcPr>
            <w:tcW w:w="1133" w:type="dxa"/>
            <w:tcBorders>
              <w:top w:val="single" w:color="000000" w:sz="2" w:space="0"/>
              <w:left w:val="single" w:color="000000" w:sz="2" w:space="0"/>
              <w:bottom w:val="single" w:color="000000" w:sz="2" w:space="0"/>
              <w:right w:val="single" w:color="000000" w:sz="2" w:space="0"/>
            </w:tcBorders>
          </w:tcPr>
          <w:p>
            <w:pPr>
              <w:spacing w:before="77"/>
              <w:ind w:left="421" w:right="401"/>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pacing w:val="1"/>
                <w:w w:val="99"/>
                <w:szCs w:val="21"/>
              </w:rPr>
              <w:t>1</w:t>
            </w:r>
            <w:r>
              <w:rPr>
                <w:rFonts w:hint="eastAsia" w:asciiTheme="majorEastAsia" w:hAnsiTheme="majorEastAsia" w:eastAsiaTheme="majorEastAsia" w:cstheme="majorEastAsia"/>
                <w:w w:val="99"/>
                <w:szCs w:val="21"/>
              </w:rPr>
              <w:t>5</w:t>
            </w:r>
          </w:p>
        </w:tc>
        <w:tc>
          <w:tcPr>
            <w:tcW w:w="2385" w:type="dxa"/>
            <w:tcBorders>
              <w:top w:val="single" w:color="000000" w:sz="2" w:space="0"/>
              <w:left w:val="single" w:color="000000" w:sz="2" w:space="0"/>
              <w:bottom w:val="single" w:color="000000" w:sz="2" w:space="0"/>
              <w:right w:val="single" w:color="000000" w:sz="2" w:space="0"/>
            </w:tcBorders>
          </w:tcPr>
          <w:p>
            <w:pPr>
              <w:spacing w:line="328" w:lineRule="exact"/>
              <w:ind w:left="766" w:right="-2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观音寺镇</w:t>
            </w:r>
          </w:p>
        </w:tc>
        <w:tc>
          <w:tcPr>
            <w:tcW w:w="3001" w:type="dxa"/>
            <w:tcBorders>
              <w:top w:val="single" w:color="000000" w:sz="2" w:space="0"/>
              <w:left w:val="single" w:color="000000" w:sz="2" w:space="0"/>
              <w:bottom w:val="single" w:color="000000" w:sz="2" w:space="0"/>
              <w:right w:val="single" w:color="000000" w:sz="2" w:space="0"/>
            </w:tcBorders>
          </w:tcPr>
          <w:p>
            <w:pPr>
              <w:spacing w:before="77"/>
              <w:ind w:left="1197" w:right="1179"/>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20665</w:t>
            </w:r>
          </w:p>
        </w:tc>
        <w:tc>
          <w:tcPr>
            <w:tcW w:w="3141" w:type="dxa"/>
            <w:tcBorders>
              <w:top w:val="single" w:color="000000" w:sz="2" w:space="0"/>
              <w:left w:val="single" w:color="000000" w:sz="2" w:space="0"/>
              <w:bottom w:val="single" w:color="000000" w:sz="2" w:space="0"/>
              <w:right w:val="single" w:color="000000" w:sz="2" w:space="0"/>
            </w:tcBorders>
          </w:tcPr>
          <w:p>
            <w:pPr>
              <w:spacing w:before="77"/>
              <w:ind w:left="1267" w:right="1247"/>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13432</w:t>
            </w:r>
          </w:p>
        </w:tc>
      </w:tr>
      <w:tr>
        <w:tblPrEx>
          <w:tblCellMar>
            <w:top w:w="0" w:type="dxa"/>
            <w:left w:w="0" w:type="dxa"/>
            <w:bottom w:w="0" w:type="dxa"/>
            <w:right w:w="0" w:type="dxa"/>
          </w:tblCellMar>
        </w:tblPrEx>
        <w:trPr>
          <w:trHeight w:val="394" w:hRule="exact"/>
        </w:trPr>
        <w:tc>
          <w:tcPr>
            <w:tcW w:w="1133" w:type="dxa"/>
            <w:tcBorders>
              <w:top w:val="single" w:color="000000" w:sz="2" w:space="0"/>
              <w:left w:val="single" w:color="000000" w:sz="2" w:space="0"/>
              <w:bottom w:val="single" w:color="000000" w:sz="2" w:space="0"/>
              <w:right w:val="single" w:color="000000" w:sz="2" w:space="0"/>
            </w:tcBorders>
          </w:tcPr>
          <w:p>
            <w:pPr>
              <w:spacing w:before="79"/>
              <w:ind w:left="421" w:right="401"/>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pacing w:val="1"/>
                <w:w w:val="99"/>
                <w:szCs w:val="21"/>
              </w:rPr>
              <w:t>1</w:t>
            </w:r>
            <w:r>
              <w:rPr>
                <w:rFonts w:hint="eastAsia" w:asciiTheme="majorEastAsia" w:hAnsiTheme="majorEastAsia" w:eastAsiaTheme="majorEastAsia" w:cstheme="majorEastAsia"/>
                <w:w w:val="99"/>
                <w:szCs w:val="21"/>
              </w:rPr>
              <w:t>6</w:t>
            </w:r>
          </w:p>
        </w:tc>
        <w:tc>
          <w:tcPr>
            <w:tcW w:w="2385" w:type="dxa"/>
            <w:tcBorders>
              <w:top w:val="single" w:color="000000" w:sz="2" w:space="0"/>
              <w:left w:val="single" w:color="000000" w:sz="2" w:space="0"/>
              <w:bottom w:val="single" w:color="000000" w:sz="2" w:space="0"/>
              <w:right w:val="single" w:color="000000" w:sz="2" w:space="0"/>
            </w:tcBorders>
          </w:tcPr>
          <w:p>
            <w:pPr>
              <w:spacing w:line="330" w:lineRule="exact"/>
              <w:ind w:left="766" w:right="-2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马鬃岭镇</w:t>
            </w:r>
          </w:p>
        </w:tc>
        <w:tc>
          <w:tcPr>
            <w:tcW w:w="3001" w:type="dxa"/>
            <w:tcBorders>
              <w:top w:val="single" w:color="000000" w:sz="2" w:space="0"/>
              <w:left w:val="single" w:color="000000" w:sz="2" w:space="0"/>
              <w:bottom w:val="single" w:color="000000" w:sz="2" w:space="0"/>
              <w:right w:val="single" w:color="000000" w:sz="2" w:space="0"/>
            </w:tcBorders>
          </w:tcPr>
          <w:p>
            <w:pPr>
              <w:spacing w:before="79"/>
              <w:ind w:left="1197" w:right="1179"/>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20087</w:t>
            </w:r>
          </w:p>
        </w:tc>
        <w:tc>
          <w:tcPr>
            <w:tcW w:w="3141" w:type="dxa"/>
            <w:tcBorders>
              <w:top w:val="single" w:color="000000" w:sz="2" w:space="0"/>
              <w:left w:val="single" w:color="000000" w:sz="2" w:space="0"/>
              <w:bottom w:val="single" w:color="000000" w:sz="2" w:space="0"/>
              <w:right w:val="single" w:color="000000" w:sz="2" w:space="0"/>
            </w:tcBorders>
          </w:tcPr>
          <w:p>
            <w:pPr>
              <w:spacing w:before="79"/>
              <w:ind w:left="1267" w:right="1247"/>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13057</w:t>
            </w:r>
          </w:p>
        </w:tc>
      </w:tr>
      <w:tr>
        <w:tblPrEx>
          <w:tblCellMar>
            <w:top w:w="0" w:type="dxa"/>
            <w:left w:w="0" w:type="dxa"/>
            <w:bottom w:w="0" w:type="dxa"/>
            <w:right w:w="0" w:type="dxa"/>
          </w:tblCellMar>
        </w:tblPrEx>
        <w:trPr>
          <w:trHeight w:val="394" w:hRule="exact"/>
        </w:trPr>
        <w:tc>
          <w:tcPr>
            <w:tcW w:w="1133" w:type="dxa"/>
            <w:tcBorders>
              <w:top w:val="single" w:color="000000" w:sz="2" w:space="0"/>
              <w:left w:val="single" w:color="000000" w:sz="2" w:space="0"/>
              <w:bottom w:val="single" w:color="000000" w:sz="2" w:space="0"/>
              <w:right w:val="single" w:color="000000" w:sz="2" w:space="0"/>
            </w:tcBorders>
          </w:tcPr>
          <w:p>
            <w:pPr>
              <w:spacing w:before="79"/>
              <w:ind w:left="421" w:right="401"/>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pacing w:val="1"/>
                <w:w w:val="99"/>
                <w:szCs w:val="21"/>
              </w:rPr>
              <w:t>1</w:t>
            </w:r>
            <w:r>
              <w:rPr>
                <w:rFonts w:hint="eastAsia" w:asciiTheme="majorEastAsia" w:hAnsiTheme="majorEastAsia" w:eastAsiaTheme="majorEastAsia" w:cstheme="majorEastAsia"/>
                <w:w w:val="99"/>
                <w:szCs w:val="21"/>
              </w:rPr>
              <w:t>7</w:t>
            </w:r>
          </w:p>
        </w:tc>
        <w:tc>
          <w:tcPr>
            <w:tcW w:w="2385" w:type="dxa"/>
            <w:tcBorders>
              <w:top w:val="single" w:color="000000" w:sz="2" w:space="0"/>
              <w:left w:val="single" w:color="000000" w:sz="2" w:space="0"/>
              <w:bottom w:val="single" w:color="000000" w:sz="2" w:space="0"/>
              <w:right w:val="single" w:color="000000" w:sz="2" w:space="0"/>
            </w:tcBorders>
          </w:tcPr>
          <w:p>
            <w:pPr>
              <w:spacing w:line="330" w:lineRule="exact"/>
              <w:ind w:left="836" w:right="819"/>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架桥镇</w:t>
            </w:r>
          </w:p>
        </w:tc>
        <w:tc>
          <w:tcPr>
            <w:tcW w:w="3001" w:type="dxa"/>
            <w:tcBorders>
              <w:top w:val="single" w:color="000000" w:sz="2" w:space="0"/>
              <w:left w:val="single" w:color="000000" w:sz="2" w:space="0"/>
              <w:bottom w:val="single" w:color="000000" w:sz="2" w:space="0"/>
              <w:right w:val="single" w:color="000000" w:sz="2" w:space="0"/>
            </w:tcBorders>
          </w:tcPr>
          <w:p>
            <w:pPr>
              <w:spacing w:before="79"/>
              <w:ind w:left="1197" w:right="1179"/>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28058</w:t>
            </w:r>
          </w:p>
        </w:tc>
        <w:tc>
          <w:tcPr>
            <w:tcW w:w="3141" w:type="dxa"/>
            <w:tcBorders>
              <w:top w:val="single" w:color="000000" w:sz="2" w:space="0"/>
              <w:left w:val="single" w:color="000000" w:sz="2" w:space="0"/>
              <w:bottom w:val="single" w:color="000000" w:sz="2" w:space="0"/>
              <w:right w:val="single" w:color="000000" w:sz="2" w:space="0"/>
            </w:tcBorders>
          </w:tcPr>
          <w:p>
            <w:pPr>
              <w:spacing w:before="79"/>
              <w:ind w:left="1268" w:right="1248"/>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18238</w:t>
            </w:r>
          </w:p>
        </w:tc>
      </w:tr>
      <w:tr>
        <w:tblPrEx>
          <w:tblCellMar>
            <w:top w:w="0" w:type="dxa"/>
            <w:left w:w="0" w:type="dxa"/>
            <w:bottom w:w="0" w:type="dxa"/>
            <w:right w:w="0" w:type="dxa"/>
          </w:tblCellMar>
        </w:tblPrEx>
        <w:trPr>
          <w:trHeight w:val="394" w:hRule="exact"/>
        </w:trPr>
        <w:tc>
          <w:tcPr>
            <w:tcW w:w="1133" w:type="dxa"/>
            <w:tcBorders>
              <w:top w:val="single" w:color="000000" w:sz="2" w:space="0"/>
              <w:left w:val="single" w:color="000000" w:sz="2" w:space="0"/>
              <w:bottom w:val="single" w:color="000000" w:sz="2" w:space="0"/>
              <w:right w:val="single" w:color="000000" w:sz="2" w:space="0"/>
            </w:tcBorders>
          </w:tcPr>
          <w:p>
            <w:pPr>
              <w:spacing w:before="78"/>
              <w:ind w:left="421" w:right="401"/>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pacing w:val="1"/>
                <w:w w:val="99"/>
                <w:szCs w:val="21"/>
              </w:rPr>
              <w:t>1</w:t>
            </w:r>
            <w:r>
              <w:rPr>
                <w:rFonts w:hint="eastAsia" w:asciiTheme="majorEastAsia" w:hAnsiTheme="majorEastAsia" w:eastAsiaTheme="majorEastAsia" w:cstheme="majorEastAsia"/>
                <w:w w:val="99"/>
                <w:szCs w:val="21"/>
              </w:rPr>
              <w:t>8</w:t>
            </w:r>
          </w:p>
        </w:tc>
        <w:tc>
          <w:tcPr>
            <w:tcW w:w="2385" w:type="dxa"/>
            <w:tcBorders>
              <w:top w:val="single" w:color="000000" w:sz="2" w:space="0"/>
              <w:left w:val="single" w:color="000000" w:sz="2" w:space="0"/>
              <w:bottom w:val="single" w:color="000000" w:sz="2" w:space="0"/>
              <w:right w:val="single" w:color="000000" w:sz="2" w:space="0"/>
            </w:tcBorders>
          </w:tcPr>
          <w:p>
            <w:pPr>
              <w:spacing w:line="330" w:lineRule="exact"/>
              <w:ind w:left="766" w:right="-2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夷望溪镇</w:t>
            </w:r>
          </w:p>
        </w:tc>
        <w:tc>
          <w:tcPr>
            <w:tcW w:w="3001" w:type="dxa"/>
            <w:tcBorders>
              <w:top w:val="single" w:color="000000" w:sz="2" w:space="0"/>
              <w:left w:val="single" w:color="000000" w:sz="2" w:space="0"/>
              <w:bottom w:val="single" w:color="000000" w:sz="2" w:space="0"/>
              <w:right w:val="single" w:color="000000" w:sz="2" w:space="0"/>
            </w:tcBorders>
          </w:tcPr>
          <w:p>
            <w:pPr>
              <w:spacing w:before="78"/>
              <w:ind w:left="1197" w:right="1179"/>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28137</w:t>
            </w:r>
          </w:p>
        </w:tc>
        <w:tc>
          <w:tcPr>
            <w:tcW w:w="3141" w:type="dxa"/>
            <w:tcBorders>
              <w:top w:val="single" w:color="000000" w:sz="2" w:space="0"/>
              <w:left w:val="single" w:color="000000" w:sz="2" w:space="0"/>
              <w:bottom w:val="single" w:color="000000" w:sz="2" w:space="0"/>
              <w:right w:val="single" w:color="000000" w:sz="2" w:space="0"/>
            </w:tcBorders>
          </w:tcPr>
          <w:p>
            <w:pPr>
              <w:spacing w:before="78"/>
              <w:ind w:left="1267" w:right="1247"/>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18289</w:t>
            </w:r>
          </w:p>
        </w:tc>
      </w:tr>
      <w:tr>
        <w:tblPrEx>
          <w:tblCellMar>
            <w:top w:w="0" w:type="dxa"/>
            <w:left w:w="0" w:type="dxa"/>
            <w:bottom w:w="0" w:type="dxa"/>
            <w:right w:w="0" w:type="dxa"/>
          </w:tblCellMar>
        </w:tblPrEx>
        <w:trPr>
          <w:trHeight w:val="394" w:hRule="exact"/>
        </w:trPr>
        <w:tc>
          <w:tcPr>
            <w:tcW w:w="1133" w:type="dxa"/>
            <w:tcBorders>
              <w:top w:val="single" w:color="000000" w:sz="2" w:space="0"/>
              <w:left w:val="single" w:color="000000" w:sz="2" w:space="0"/>
              <w:bottom w:val="single" w:color="000000" w:sz="2" w:space="0"/>
              <w:right w:val="single" w:color="000000" w:sz="2" w:space="0"/>
            </w:tcBorders>
          </w:tcPr>
          <w:p>
            <w:pPr>
              <w:spacing w:before="78"/>
              <w:ind w:left="421" w:right="401"/>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pacing w:val="1"/>
                <w:w w:val="99"/>
                <w:szCs w:val="21"/>
              </w:rPr>
              <w:t>1</w:t>
            </w:r>
            <w:r>
              <w:rPr>
                <w:rFonts w:hint="eastAsia" w:asciiTheme="majorEastAsia" w:hAnsiTheme="majorEastAsia" w:eastAsiaTheme="majorEastAsia" w:cstheme="majorEastAsia"/>
                <w:w w:val="99"/>
                <w:szCs w:val="21"/>
              </w:rPr>
              <w:t>9</w:t>
            </w:r>
          </w:p>
        </w:tc>
        <w:tc>
          <w:tcPr>
            <w:tcW w:w="2385" w:type="dxa"/>
            <w:tcBorders>
              <w:top w:val="single" w:color="000000" w:sz="2" w:space="0"/>
              <w:left w:val="single" w:color="000000" w:sz="2" w:space="0"/>
              <w:bottom w:val="single" w:color="000000" w:sz="2" w:space="0"/>
              <w:right w:val="single" w:color="000000" w:sz="2" w:space="0"/>
            </w:tcBorders>
          </w:tcPr>
          <w:p>
            <w:pPr>
              <w:spacing w:line="329" w:lineRule="exact"/>
              <w:ind w:left="766" w:right="-2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双溪口镇</w:t>
            </w:r>
          </w:p>
        </w:tc>
        <w:tc>
          <w:tcPr>
            <w:tcW w:w="3001" w:type="dxa"/>
            <w:tcBorders>
              <w:top w:val="single" w:color="000000" w:sz="2" w:space="0"/>
              <w:left w:val="single" w:color="000000" w:sz="2" w:space="0"/>
              <w:bottom w:val="single" w:color="000000" w:sz="2" w:space="0"/>
              <w:right w:val="single" w:color="000000" w:sz="2" w:space="0"/>
            </w:tcBorders>
          </w:tcPr>
          <w:p>
            <w:pPr>
              <w:spacing w:before="78"/>
              <w:ind w:left="1197" w:right="1179"/>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22030</w:t>
            </w:r>
          </w:p>
        </w:tc>
        <w:tc>
          <w:tcPr>
            <w:tcW w:w="3141" w:type="dxa"/>
            <w:tcBorders>
              <w:top w:val="single" w:color="000000" w:sz="2" w:space="0"/>
              <w:left w:val="single" w:color="000000" w:sz="2" w:space="0"/>
              <w:bottom w:val="single" w:color="000000" w:sz="2" w:space="0"/>
              <w:right w:val="single" w:color="000000" w:sz="2" w:space="0"/>
            </w:tcBorders>
          </w:tcPr>
          <w:p>
            <w:pPr>
              <w:spacing w:before="78"/>
              <w:ind w:left="1268" w:right="1248"/>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14320</w:t>
            </w:r>
          </w:p>
        </w:tc>
      </w:tr>
      <w:tr>
        <w:tblPrEx>
          <w:tblCellMar>
            <w:top w:w="0" w:type="dxa"/>
            <w:left w:w="0" w:type="dxa"/>
            <w:bottom w:w="0" w:type="dxa"/>
            <w:right w:w="0" w:type="dxa"/>
          </w:tblCellMar>
        </w:tblPrEx>
        <w:trPr>
          <w:trHeight w:val="394" w:hRule="exact"/>
        </w:trPr>
        <w:tc>
          <w:tcPr>
            <w:tcW w:w="1133" w:type="dxa"/>
            <w:tcBorders>
              <w:top w:val="single" w:color="000000" w:sz="2" w:space="0"/>
              <w:left w:val="single" w:color="000000" w:sz="2" w:space="0"/>
              <w:bottom w:val="single" w:color="000000" w:sz="2" w:space="0"/>
              <w:right w:val="single" w:color="000000" w:sz="2" w:space="0"/>
            </w:tcBorders>
          </w:tcPr>
          <w:p>
            <w:pPr>
              <w:spacing w:before="77"/>
              <w:ind w:left="421" w:right="401"/>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pacing w:val="1"/>
                <w:w w:val="99"/>
                <w:szCs w:val="21"/>
              </w:rPr>
              <w:t>2</w:t>
            </w:r>
            <w:r>
              <w:rPr>
                <w:rFonts w:hint="eastAsia" w:asciiTheme="majorEastAsia" w:hAnsiTheme="majorEastAsia" w:eastAsiaTheme="majorEastAsia" w:cstheme="majorEastAsia"/>
                <w:w w:val="99"/>
                <w:szCs w:val="21"/>
              </w:rPr>
              <w:t>0</w:t>
            </w:r>
          </w:p>
        </w:tc>
        <w:tc>
          <w:tcPr>
            <w:tcW w:w="2385" w:type="dxa"/>
            <w:tcBorders>
              <w:top w:val="single" w:color="000000" w:sz="2" w:space="0"/>
              <w:left w:val="single" w:color="000000" w:sz="2" w:space="0"/>
              <w:bottom w:val="single" w:color="000000" w:sz="2" w:space="0"/>
              <w:right w:val="single" w:color="000000" w:sz="2" w:space="0"/>
            </w:tcBorders>
          </w:tcPr>
          <w:p>
            <w:pPr>
              <w:spacing w:line="329" w:lineRule="exact"/>
              <w:ind w:left="836" w:right="819"/>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九溪镇</w:t>
            </w:r>
          </w:p>
        </w:tc>
        <w:tc>
          <w:tcPr>
            <w:tcW w:w="3001" w:type="dxa"/>
            <w:tcBorders>
              <w:top w:val="single" w:color="000000" w:sz="2" w:space="0"/>
              <w:left w:val="single" w:color="000000" w:sz="2" w:space="0"/>
              <w:bottom w:val="single" w:color="000000" w:sz="2" w:space="0"/>
              <w:right w:val="single" w:color="000000" w:sz="2" w:space="0"/>
            </w:tcBorders>
          </w:tcPr>
          <w:p>
            <w:pPr>
              <w:spacing w:before="77"/>
              <w:ind w:left="1197" w:right="1179"/>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19146</w:t>
            </w:r>
          </w:p>
        </w:tc>
        <w:tc>
          <w:tcPr>
            <w:tcW w:w="3141" w:type="dxa"/>
            <w:tcBorders>
              <w:top w:val="single" w:color="000000" w:sz="2" w:space="0"/>
              <w:left w:val="single" w:color="000000" w:sz="2" w:space="0"/>
              <w:bottom w:val="single" w:color="000000" w:sz="2" w:space="0"/>
              <w:right w:val="single" w:color="000000" w:sz="2" w:space="0"/>
            </w:tcBorders>
          </w:tcPr>
          <w:p>
            <w:pPr>
              <w:spacing w:before="77"/>
              <w:ind w:left="1268" w:right="1248"/>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12445</w:t>
            </w:r>
          </w:p>
        </w:tc>
      </w:tr>
      <w:tr>
        <w:tblPrEx>
          <w:tblCellMar>
            <w:top w:w="0" w:type="dxa"/>
            <w:left w:w="0" w:type="dxa"/>
            <w:bottom w:w="0" w:type="dxa"/>
            <w:right w:w="0" w:type="dxa"/>
          </w:tblCellMar>
        </w:tblPrEx>
        <w:trPr>
          <w:trHeight w:val="394" w:hRule="exact"/>
        </w:trPr>
        <w:tc>
          <w:tcPr>
            <w:tcW w:w="1133" w:type="dxa"/>
            <w:tcBorders>
              <w:top w:val="single" w:color="000000" w:sz="2" w:space="0"/>
              <w:left w:val="single" w:color="000000" w:sz="2" w:space="0"/>
              <w:bottom w:val="single" w:color="000000" w:sz="2" w:space="0"/>
              <w:right w:val="single" w:color="000000" w:sz="2" w:space="0"/>
            </w:tcBorders>
          </w:tcPr>
          <w:p>
            <w:pPr>
              <w:spacing w:before="77"/>
              <w:ind w:left="421" w:right="401"/>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pacing w:val="1"/>
                <w:w w:val="99"/>
                <w:szCs w:val="21"/>
              </w:rPr>
              <w:t>2</w:t>
            </w:r>
            <w:r>
              <w:rPr>
                <w:rFonts w:hint="eastAsia" w:asciiTheme="majorEastAsia" w:hAnsiTheme="majorEastAsia" w:eastAsiaTheme="majorEastAsia" w:cstheme="majorEastAsia"/>
                <w:w w:val="99"/>
                <w:szCs w:val="21"/>
              </w:rPr>
              <w:t>1</w:t>
            </w:r>
          </w:p>
        </w:tc>
        <w:tc>
          <w:tcPr>
            <w:tcW w:w="2385" w:type="dxa"/>
            <w:tcBorders>
              <w:top w:val="single" w:color="000000" w:sz="2" w:space="0"/>
              <w:left w:val="single" w:color="000000" w:sz="2" w:space="0"/>
              <w:bottom w:val="single" w:color="000000" w:sz="2" w:space="0"/>
              <w:right w:val="single" w:color="000000" w:sz="2" w:space="0"/>
            </w:tcBorders>
          </w:tcPr>
          <w:p>
            <w:pPr>
              <w:spacing w:line="328" w:lineRule="exact"/>
              <w:ind w:left="766" w:right="-2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牛车河镇</w:t>
            </w:r>
          </w:p>
        </w:tc>
        <w:tc>
          <w:tcPr>
            <w:tcW w:w="3001" w:type="dxa"/>
            <w:tcBorders>
              <w:top w:val="single" w:color="000000" w:sz="2" w:space="0"/>
              <w:left w:val="single" w:color="000000" w:sz="2" w:space="0"/>
              <w:bottom w:val="single" w:color="000000" w:sz="2" w:space="0"/>
              <w:right w:val="single" w:color="000000" w:sz="2" w:space="0"/>
            </w:tcBorders>
          </w:tcPr>
          <w:p>
            <w:pPr>
              <w:spacing w:before="77"/>
              <w:ind w:left="1197" w:right="1179"/>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11832</w:t>
            </w:r>
          </w:p>
        </w:tc>
        <w:tc>
          <w:tcPr>
            <w:tcW w:w="3141" w:type="dxa"/>
            <w:tcBorders>
              <w:top w:val="single" w:color="000000" w:sz="2" w:space="0"/>
              <w:left w:val="single" w:color="000000" w:sz="2" w:space="0"/>
              <w:bottom w:val="single" w:color="000000" w:sz="2" w:space="0"/>
              <w:right w:val="single" w:color="000000" w:sz="2" w:space="0"/>
            </w:tcBorders>
          </w:tcPr>
          <w:p>
            <w:pPr>
              <w:spacing w:before="77"/>
              <w:ind w:left="1320" w:right="1300"/>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7691</w:t>
            </w:r>
          </w:p>
        </w:tc>
      </w:tr>
      <w:tr>
        <w:tblPrEx>
          <w:tblCellMar>
            <w:top w:w="0" w:type="dxa"/>
            <w:left w:w="0" w:type="dxa"/>
            <w:bottom w:w="0" w:type="dxa"/>
            <w:right w:w="0" w:type="dxa"/>
          </w:tblCellMar>
        </w:tblPrEx>
        <w:trPr>
          <w:trHeight w:val="394" w:hRule="exact"/>
        </w:trPr>
        <w:tc>
          <w:tcPr>
            <w:tcW w:w="1133" w:type="dxa"/>
            <w:tcBorders>
              <w:top w:val="single" w:color="000000" w:sz="2" w:space="0"/>
              <w:left w:val="single" w:color="000000" w:sz="2" w:space="0"/>
              <w:bottom w:val="single" w:color="000000" w:sz="2" w:space="0"/>
              <w:right w:val="single" w:color="000000" w:sz="2" w:space="0"/>
            </w:tcBorders>
          </w:tcPr>
          <w:p>
            <w:pPr>
              <w:spacing w:before="79"/>
              <w:ind w:left="421" w:right="401"/>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pacing w:val="1"/>
                <w:w w:val="99"/>
                <w:szCs w:val="21"/>
              </w:rPr>
              <w:t>2</w:t>
            </w:r>
            <w:r>
              <w:rPr>
                <w:rFonts w:hint="eastAsia" w:asciiTheme="majorEastAsia" w:hAnsiTheme="majorEastAsia" w:eastAsiaTheme="majorEastAsia" w:cstheme="majorEastAsia"/>
                <w:w w:val="99"/>
                <w:szCs w:val="21"/>
              </w:rPr>
              <w:t>2</w:t>
            </w:r>
          </w:p>
        </w:tc>
        <w:tc>
          <w:tcPr>
            <w:tcW w:w="2385" w:type="dxa"/>
            <w:tcBorders>
              <w:top w:val="single" w:color="000000" w:sz="2" w:space="0"/>
              <w:left w:val="single" w:color="000000" w:sz="2" w:space="0"/>
              <w:bottom w:val="single" w:color="000000" w:sz="2" w:space="0"/>
              <w:right w:val="single" w:color="000000" w:sz="2" w:space="0"/>
            </w:tcBorders>
          </w:tcPr>
          <w:p>
            <w:pPr>
              <w:spacing w:line="330" w:lineRule="exact"/>
              <w:ind w:left="766" w:right="-2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杨溪桥镇</w:t>
            </w:r>
          </w:p>
        </w:tc>
        <w:tc>
          <w:tcPr>
            <w:tcW w:w="3001" w:type="dxa"/>
            <w:tcBorders>
              <w:top w:val="single" w:color="000000" w:sz="2" w:space="0"/>
              <w:left w:val="single" w:color="000000" w:sz="2" w:space="0"/>
              <w:bottom w:val="single" w:color="000000" w:sz="2" w:space="0"/>
              <w:right w:val="single" w:color="000000" w:sz="2" w:space="0"/>
            </w:tcBorders>
          </w:tcPr>
          <w:p>
            <w:pPr>
              <w:spacing w:before="79"/>
              <w:ind w:left="1197" w:right="1179"/>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13311</w:t>
            </w:r>
          </w:p>
        </w:tc>
        <w:tc>
          <w:tcPr>
            <w:tcW w:w="3141" w:type="dxa"/>
            <w:tcBorders>
              <w:top w:val="single" w:color="000000" w:sz="2" w:space="0"/>
              <w:left w:val="single" w:color="000000" w:sz="2" w:space="0"/>
              <w:bottom w:val="single" w:color="000000" w:sz="2" w:space="0"/>
              <w:right w:val="single" w:color="000000" w:sz="2" w:space="0"/>
            </w:tcBorders>
          </w:tcPr>
          <w:p>
            <w:pPr>
              <w:spacing w:before="79"/>
              <w:ind w:left="1320" w:right="1300"/>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8652</w:t>
            </w:r>
          </w:p>
        </w:tc>
      </w:tr>
      <w:tr>
        <w:tblPrEx>
          <w:tblCellMar>
            <w:top w:w="0" w:type="dxa"/>
            <w:left w:w="0" w:type="dxa"/>
            <w:bottom w:w="0" w:type="dxa"/>
            <w:right w:w="0" w:type="dxa"/>
          </w:tblCellMar>
        </w:tblPrEx>
        <w:trPr>
          <w:trHeight w:val="394" w:hRule="exact"/>
        </w:trPr>
        <w:tc>
          <w:tcPr>
            <w:tcW w:w="1133" w:type="dxa"/>
            <w:tcBorders>
              <w:top w:val="single" w:color="000000" w:sz="2" w:space="0"/>
              <w:left w:val="single" w:color="000000" w:sz="2" w:space="0"/>
              <w:bottom w:val="single" w:color="000000" w:sz="2" w:space="0"/>
              <w:right w:val="single" w:color="000000" w:sz="2" w:space="0"/>
            </w:tcBorders>
          </w:tcPr>
          <w:p>
            <w:pPr>
              <w:spacing w:before="79"/>
              <w:ind w:left="421" w:right="401"/>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pacing w:val="1"/>
                <w:w w:val="99"/>
                <w:szCs w:val="21"/>
              </w:rPr>
              <w:t>2</w:t>
            </w:r>
            <w:r>
              <w:rPr>
                <w:rFonts w:hint="eastAsia" w:asciiTheme="majorEastAsia" w:hAnsiTheme="majorEastAsia" w:eastAsiaTheme="majorEastAsia" w:cstheme="majorEastAsia"/>
                <w:w w:val="99"/>
                <w:szCs w:val="21"/>
              </w:rPr>
              <w:t>3</w:t>
            </w:r>
          </w:p>
        </w:tc>
        <w:tc>
          <w:tcPr>
            <w:tcW w:w="2385" w:type="dxa"/>
            <w:tcBorders>
              <w:top w:val="single" w:color="000000" w:sz="2" w:space="0"/>
              <w:left w:val="single" w:color="000000" w:sz="2" w:space="0"/>
              <w:bottom w:val="single" w:color="000000" w:sz="2" w:space="0"/>
              <w:right w:val="single" w:color="000000" w:sz="2" w:space="0"/>
            </w:tcBorders>
          </w:tcPr>
          <w:p>
            <w:pPr>
              <w:spacing w:line="330" w:lineRule="exact"/>
              <w:ind w:left="766" w:right="-2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郑家驿镇</w:t>
            </w:r>
          </w:p>
        </w:tc>
        <w:tc>
          <w:tcPr>
            <w:tcW w:w="3001" w:type="dxa"/>
            <w:tcBorders>
              <w:top w:val="single" w:color="000000" w:sz="2" w:space="0"/>
              <w:left w:val="single" w:color="000000" w:sz="2" w:space="0"/>
              <w:bottom w:val="single" w:color="000000" w:sz="2" w:space="0"/>
              <w:right w:val="single" w:color="000000" w:sz="2" w:space="0"/>
            </w:tcBorders>
          </w:tcPr>
          <w:p>
            <w:pPr>
              <w:spacing w:before="79"/>
              <w:ind w:left="1197" w:right="1179"/>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24112</w:t>
            </w:r>
          </w:p>
        </w:tc>
        <w:tc>
          <w:tcPr>
            <w:tcW w:w="3141" w:type="dxa"/>
            <w:tcBorders>
              <w:top w:val="single" w:color="000000" w:sz="2" w:space="0"/>
              <w:left w:val="single" w:color="000000" w:sz="2" w:space="0"/>
              <w:bottom w:val="single" w:color="000000" w:sz="2" w:space="0"/>
              <w:right w:val="single" w:color="000000" w:sz="2" w:space="0"/>
            </w:tcBorders>
          </w:tcPr>
          <w:p>
            <w:pPr>
              <w:spacing w:before="79"/>
              <w:ind w:left="1267" w:right="1247"/>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15673</w:t>
            </w:r>
          </w:p>
        </w:tc>
      </w:tr>
      <w:tr>
        <w:tblPrEx>
          <w:tblCellMar>
            <w:top w:w="0" w:type="dxa"/>
            <w:left w:w="0" w:type="dxa"/>
            <w:bottom w:w="0" w:type="dxa"/>
            <w:right w:w="0" w:type="dxa"/>
          </w:tblCellMar>
        </w:tblPrEx>
        <w:trPr>
          <w:trHeight w:val="394" w:hRule="exact"/>
        </w:trPr>
        <w:tc>
          <w:tcPr>
            <w:tcW w:w="1133" w:type="dxa"/>
            <w:tcBorders>
              <w:top w:val="single" w:color="000000" w:sz="2" w:space="0"/>
              <w:left w:val="single" w:color="000000" w:sz="2" w:space="0"/>
              <w:bottom w:val="single" w:color="000000" w:sz="2" w:space="0"/>
              <w:right w:val="single" w:color="000000" w:sz="2" w:space="0"/>
            </w:tcBorders>
          </w:tcPr>
          <w:p>
            <w:pPr>
              <w:spacing w:before="78"/>
              <w:ind w:left="421" w:right="401"/>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pacing w:val="1"/>
                <w:w w:val="99"/>
                <w:szCs w:val="21"/>
              </w:rPr>
              <w:t>2</w:t>
            </w:r>
            <w:r>
              <w:rPr>
                <w:rFonts w:hint="eastAsia" w:asciiTheme="majorEastAsia" w:hAnsiTheme="majorEastAsia" w:eastAsiaTheme="majorEastAsia" w:cstheme="majorEastAsia"/>
                <w:w w:val="99"/>
                <w:szCs w:val="21"/>
              </w:rPr>
              <w:t>4</w:t>
            </w:r>
          </w:p>
        </w:tc>
        <w:tc>
          <w:tcPr>
            <w:tcW w:w="2385" w:type="dxa"/>
            <w:tcBorders>
              <w:top w:val="single" w:color="000000" w:sz="2" w:space="0"/>
              <w:left w:val="single" w:color="000000" w:sz="2" w:space="0"/>
              <w:bottom w:val="single" w:color="000000" w:sz="2" w:space="0"/>
              <w:right w:val="single" w:color="000000" w:sz="2" w:space="0"/>
            </w:tcBorders>
          </w:tcPr>
          <w:p>
            <w:pPr>
              <w:spacing w:line="330" w:lineRule="exact"/>
              <w:ind w:left="766" w:right="-2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木塘垸镇</w:t>
            </w:r>
          </w:p>
        </w:tc>
        <w:tc>
          <w:tcPr>
            <w:tcW w:w="3001" w:type="dxa"/>
            <w:tcBorders>
              <w:top w:val="single" w:color="000000" w:sz="2" w:space="0"/>
              <w:left w:val="single" w:color="000000" w:sz="2" w:space="0"/>
              <w:bottom w:val="single" w:color="000000" w:sz="2" w:space="0"/>
              <w:right w:val="single" w:color="000000" w:sz="2" w:space="0"/>
            </w:tcBorders>
          </w:tcPr>
          <w:p>
            <w:pPr>
              <w:spacing w:before="78"/>
              <w:ind w:left="1197" w:right="1179"/>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28744</w:t>
            </w:r>
          </w:p>
        </w:tc>
        <w:tc>
          <w:tcPr>
            <w:tcW w:w="3141" w:type="dxa"/>
            <w:tcBorders>
              <w:top w:val="single" w:color="000000" w:sz="2" w:space="0"/>
              <w:left w:val="single" w:color="000000" w:sz="2" w:space="0"/>
              <w:bottom w:val="single" w:color="000000" w:sz="2" w:space="0"/>
              <w:right w:val="single" w:color="000000" w:sz="2" w:space="0"/>
            </w:tcBorders>
          </w:tcPr>
          <w:p>
            <w:pPr>
              <w:spacing w:before="78"/>
              <w:ind w:left="1268" w:right="1248"/>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18684</w:t>
            </w:r>
          </w:p>
        </w:tc>
      </w:tr>
      <w:tr>
        <w:tblPrEx>
          <w:tblCellMar>
            <w:top w:w="0" w:type="dxa"/>
            <w:left w:w="0" w:type="dxa"/>
            <w:bottom w:w="0" w:type="dxa"/>
            <w:right w:w="0" w:type="dxa"/>
          </w:tblCellMar>
        </w:tblPrEx>
        <w:trPr>
          <w:trHeight w:val="394" w:hRule="exact"/>
        </w:trPr>
        <w:tc>
          <w:tcPr>
            <w:tcW w:w="1133" w:type="dxa"/>
            <w:tcBorders>
              <w:top w:val="single" w:color="000000" w:sz="2" w:space="0"/>
              <w:left w:val="single" w:color="000000" w:sz="2" w:space="0"/>
              <w:bottom w:val="single" w:color="000000" w:sz="2" w:space="0"/>
              <w:right w:val="single" w:color="000000" w:sz="2" w:space="0"/>
            </w:tcBorders>
          </w:tcPr>
          <w:p>
            <w:pPr>
              <w:spacing w:before="78"/>
              <w:ind w:left="421" w:right="401"/>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pacing w:val="1"/>
                <w:w w:val="99"/>
                <w:szCs w:val="21"/>
              </w:rPr>
              <w:t>2</w:t>
            </w:r>
            <w:r>
              <w:rPr>
                <w:rFonts w:hint="eastAsia" w:asciiTheme="majorEastAsia" w:hAnsiTheme="majorEastAsia" w:eastAsiaTheme="majorEastAsia" w:cstheme="majorEastAsia"/>
                <w:w w:val="99"/>
                <w:szCs w:val="21"/>
              </w:rPr>
              <w:t>5</w:t>
            </w:r>
          </w:p>
        </w:tc>
        <w:tc>
          <w:tcPr>
            <w:tcW w:w="2385" w:type="dxa"/>
            <w:tcBorders>
              <w:top w:val="single" w:color="000000" w:sz="2" w:space="0"/>
              <w:left w:val="single" w:color="000000" w:sz="2" w:space="0"/>
              <w:bottom w:val="single" w:color="000000" w:sz="2" w:space="0"/>
              <w:right w:val="single" w:color="000000" w:sz="2" w:space="0"/>
            </w:tcBorders>
          </w:tcPr>
          <w:p>
            <w:pPr>
              <w:spacing w:line="329" w:lineRule="exact"/>
              <w:ind w:left="836" w:right="819"/>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青林乡</w:t>
            </w:r>
          </w:p>
        </w:tc>
        <w:tc>
          <w:tcPr>
            <w:tcW w:w="3001" w:type="dxa"/>
            <w:tcBorders>
              <w:top w:val="single" w:color="000000" w:sz="2" w:space="0"/>
              <w:left w:val="single" w:color="000000" w:sz="2" w:space="0"/>
              <w:bottom w:val="single" w:color="000000" w:sz="2" w:space="0"/>
              <w:right w:val="single" w:color="000000" w:sz="2" w:space="0"/>
            </w:tcBorders>
          </w:tcPr>
          <w:p>
            <w:pPr>
              <w:spacing w:before="78"/>
              <w:ind w:left="1197" w:right="1179"/>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36324</w:t>
            </w:r>
          </w:p>
        </w:tc>
        <w:tc>
          <w:tcPr>
            <w:tcW w:w="3141" w:type="dxa"/>
            <w:tcBorders>
              <w:top w:val="single" w:color="000000" w:sz="2" w:space="0"/>
              <w:left w:val="single" w:color="000000" w:sz="2" w:space="0"/>
              <w:bottom w:val="single" w:color="000000" w:sz="2" w:space="0"/>
              <w:right w:val="single" w:color="000000" w:sz="2" w:space="0"/>
            </w:tcBorders>
          </w:tcPr>
          <w:p>
            <w:pPr>
              <w:spacing w:before="78"/>
              <w:ind w:left="1267" w:right="1247"/>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23611</w:t>
            </w:r>
          </w:p>
        </w:tc>
      </w:tr>
      <w:tr>
        <w:tblPrEx>
          <w:tblCellMar>
            <w:top w:w="0" w:type="dxa"/>
            <w:left w:w="0" w:type="dxa"/>
            <w:bottom w:w="0" w:type="dxa"/>
            <w:right w:w="0" w:type="dxa"/>
          </w:tblCellMar>
        </w:tblPrEx>
        <w:trPr>
          <w:trHeight w:val="394" w:hRule="exact"/>
        </w:trPr>
        <w:tc>
          <w:tcPr>
            <w:tcW w:w="1133" w:type="dxa"/>
            <w:tcBorders>
              <w:top w:val="single" w:color="000000" w:sz="2" w:space="0"/>
              <w:left w:val="single" w:color="000000" w:sz="2" w:space="0"/>
              <w:bottom w:val="single" w:color="000000" w:sz="2" w:space="0"/>
              <w:right w:val="single" w:color="000000" w:sz="2" w:space="0"/>
            </w:tcBorders>
          </w:tcPr>
          <w:p>
            <w:pPr>
              <w:spacing w:before="77"/>
              <w:ind w:left="421" w:right="401"/>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pacing w:val="1"/>
                <w:w w:val="99"/>
                <w:szCs w:val="21"/>
              </w:rPr>
              <w:t>2</w:t>
            </w:r>
            <w:r>
              <w:rPr>
                <w:rFonts w:hint="eastAsia" w:asciiTheme="majorEastAsia" w:hAnsiTheme="majorEastAsia" w:eastAsiaTheme="majorEastAsia" w:cstheme="majorEastAsia"/>
                <w:w w:val="99"/>
                <w:szCs w:val="21"/>
              </w:rPr>
              <w:t>6</w:t>
            </w:r>
          </w:p>
        </w:tc>
        <w:tc>
          <w:tcPr>
            <w:tcW w:w="2385" w:type="dxa"/>
            <w:tcBorders>
              <w:top w:val="single" w:color="000000" w:sz="2" w:space="0"/>
              <w:left w:val="single" w:color="000000" w:sz="2" w:space="0"/>
              <w:bottom w:val="single" w:color="000000" w:sz="2" w:space="0"/>
              <w:right w:val="single" w:color="000000" w:sz="2" w:space="0"/>
            </w:tcBorders>
          </w:tcPr>
          <w:p>
            <w:pPr>
              <w:spacing w:line="329" w:lineRule="exact"/>
              <w:ind w:left="836" w:right="819"/>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枫树乡</w:t>
            </w:r>
          </w:p>
        </w:tc>
        <w:tc>
          <w:tcPr>
            <w:tcW w:w="3001" w:type="dxa"/>
            <w:tcBorders>
              <w:top w:val="single" w:color="000000" w:sz="2" w:space="0"/>
              <w:left w:val="single" w:color="000000" w:sz="2" w:space="0"/>
              <w:bottom w:val="single" w:color="000000" w:sz="2" w:space="0"/>
              <w:right w:val="single" w:color="000000" w:sz="2" w:space="0"/>
            </w:tcBorders>
          </w:tcPr>
          <w:p>
            <w:pPr>
              <w:spacing w:before="77"/>
              <w:ind w:left="1197" w:right="1179"/>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24639</w:t>
            </w:r>
          </w:p>
        </w:tc>
        <w:tc>
          <w:tcPr>
            <w:tcW w:w="3141" w:type="dxa"/>
            <w:tcBorders>
              <w:top w:val="single" w:color="000000" w:sz="2" w:space="0"/>
              <w:left w:val="single" w:color="000000" w:sz="2" w:space="0"/>
              <w:bottom w:val="single" w:color="000000" w:sz="2" w:space="0"/>
              <w:right w:val="single" w:color="000000" w:sz="2" w:space="0"/>
            </w:tcBorders>
          </w:tcPr>
          <w:p>
            <w:pPr>
              <w:spacing w:before="77"/>
              <w:ind w:left="1267" w:right="1247"/>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16015</w:t>
            </w:r>
          </w:p>
        </w:tc>
      </w:tr>
      <w:tr>
        <w:tblPrEx>
          <w:tblCellMar>
            <w:top w:w="0" w:type="dxa"/>
            <w:left w:w="0" w:type="dxa"/>
            <w:bottom w:w="0" w:type="dxa"/>
            <w:right w:w="0" w:type="dxa"/>
          </w:tblCellMar>
        </w:tblPrEx>
        <w:trPr>
          <w:trHeight w:val="394" w:hRule="exact"/>
        </w:trPr>
        <w:tc>
          <w:tcPr>
            <w:tcW w:w="1133" w:type="dxa"/>
            <w:tcBorders>
              <w:top w:val="single" w:color="000000" w:sz="2" w:space="0"/>
              <w:left w:val="single" w:color="000000" w:sz="2" w:space="0"/>
              <w:bottom w:val="single" w:color="000000" w:sz="2" w:space="0"/>
              <w:right w:val="single" w:color="000000" w:sz="2" w:space="0"/>
            </w:tcBorders>
          </w:tcPr>
          <w:p>
            <w:pPr>
              <w:spacing w:before="77"/>
              <w:ind w:left="421" w:right="401"/>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pacing w:val="1"/>
                <w:w w:val="99"/>
                <w:szCs w:val="21"/>
              </w:rPr>
              <w:t>2</w:t>
            </w:r>
            <w:r>
              <w:rPr>
                <w:rFonts w:hint="eastAsia" w:asciiTheme="majorEastAsia" w:hAnsiTheme="majorEastAsia" w:eastAsiaTheme="majorEastAsia" w:cstheme="majorEastAsia"/>
                <w:w w:val="99"/>
                <w:szCs w:val="21"/>
              </w:rPr>
              <w:t>7</w:t>
            </w:r>
          </w:p>
        </w:tc>
        <w:tc>
          <w:tcPr>
            <w:tcW w:w="2385" w:type="dxa"/>
            <w:tcBorders>
              <w:top w:val="single" w:color="000000" w:sz="2" w:space="0"/>
              <w:left w:val="single" w:color="000000" w:sz="2" w:space="0"/>
              <w:bottom w:val="single" w:color="000000" w:sz="2" w:space="0"/>
              <w:right w:val="single" w:color="000000" w:sz="2" w:space="0"/>
            </w:tcBorders>
          </w:tcPr>
          <w:p>
            <w:pPr>
              <w:spacing w:line="328" w:lineRule="exact"/>
              <w:ind w:left="766" w:right="-2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佘家坪乡</w:t>
            </w:r>
          </w:p>
        </w:tc>
        <w:tc>
          <w:tcPr>
            <w:tcW w:w="3001" w:type="dxa"/>
            <w:tcBorders>
              <w:top w:val="single" w:color="000000" w:sz="2" w:space="0"/>
              <w:left w:val="single" w:color="000000" w:sz="2" w:space="0"/>
              <w:bottom w:val="single" w:color="000000" w:sz="2" w:space="0"/>
              <w:right w:val="single" w:color="000000" w:sz="2" w:space="0"/>
            </w:tcBorders>
          </w:tcPr>
          <w:p>
            <w:pPr>
              <w:spacing w:before="77"/>
              <w:ind w:left="1197" w:right="1179"/>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17907</w:t>
            </w:r>
          </w:p>
        </w:tc>
        <w:tc>
          <w:tcPr>
            <w:tcW w:w="3141" w:type="dxa"/>
            <w:tcBorders>
              <w:top w:val="single" w:color="000000" w:sz="2" w:space="0"/>
              <w:left w:val="single" w:color="000000" w:sz="2" w:space="0"/>
              <w:bottom w:val="single" w:color="000000" w:sz="2" w:space="0"/>
              <w:right w:val="single" w:color="000000" w:sz="2" w:space="0"/>
            </w:tcBorders>
          </w:tcPr>
          <w:p>
            <w:pPr>
              <w:spacing w:before="77"/>
              <w:ind w:left="1268" w:right="1248"/>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11640</w:t>
            </w:r>
          </w:p>
        </w:tc>
      </w:tr>
      <w:tr>
        <w:tblPrEx>
          <w:tblCellMar>
            <w:top w:w="0" w:type="dxa"/>
            <w:left w:w="0" w:type="dxa"/>
            <w:bottom w:w="0" w:type="dxa"/>
            <w:right w:w="0" w:type="dxa"/>
          </w:tblCellMar>
        </w:tblPrEx>
        <w:trPr>
          <w:trHeight w:val="394" w:hRule="exact"/>
        </w:trPr>
        <w:tc>
          <w:tcPr>
            <w:tcW w:w="1133" w:type="dxa"/>
            <w:tcBorders>
              <w:top w:val="single" w:color="000000" w:sz="2" w:space="0"/>
              <w:left w:val="single" w:color="000000" w:sz="2" w:space="0"/>
              <w:bottom w:val="single" w:color="000000" w:sz="2" w:space="0"/>
              <w:right w:val="single" w:color="000000" w:sz="2" w:space="0"/>
            </w:tcBorders>
          </w:tcPr>
          <w:p>
            <w:pPr>
              <w:spacing w:before="79"/>
              <w:ind w:left="421" w:right="401"/>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pacing w:val="1"/>
                <w:w w:val="99"/>
                <w:szCs w:val="21"/>
              </w:rPr>
              <w:t>2</w:t>
            </w:r>
            <w:r>
              <w:rPr>
                <w:rFonts w:hint="eastAsia" w:asciiTheme="majorEastAsia" w:hAnsiTheme="majorEastAsia" w:eastAsiaTheme="majorEastAsia" w:cstheme="majorEastAsia"/>
                <w:w w:val="99"/>
                <w:szCs w:val="21"/>
              </w:rPr>
              <w:t>8</w:t>
            </w:r>
          </w:p>
        </w:tc>
        <w:tc>
          <w:tcPr>
            <w:tcW w:w="2385" w:type="dxa"/>
            <w:tcBorders>
              <w:top w:val="single" w:color="000000" w:sz="2" w:space="0"/>
              <w:left w:val="single" w:color="000000" w:sz="2" w:space="0"/>
              <w:bottom w:val="single" w:color="000000" w:sz="2" w:space="0"/>
              <w:right w:val="single" w:color="000000" w:sz="2" w:space="0"/>
            </w:tcBorders>
          </w:tcPr>
          <w:p>
            <w:pPr>
              <w:spacing w:line="330" w:lineRule="exact"/>
              <w:ind w:left="766" w:right="-2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泥窝潭乡</w:t>
            </w:r>
          </w:p>
        </w:tc>
        <w:tc>
          <w:tcPr>
            <w:tcW w:w="3001" w:type="dxa"/>
            <w:tcBorders>
              <w:top w:val="single" w:color="000000" w:sz="2" w:space="0"/>
              <w:left w:val="single" w:color="000000" w:sz="2" w:space="0"/>
              <w:bottom w:val="single" w:color="000000" w:sz="2" w:space="0"/>
              <w:right w:val="single" w:color="000000" w:sz="2" w:space="0"/>
            </w:tcBorders>
          </w:tcPr>
          <w:p>
            <w:pPr>
              <w:spacing w:before="79"/>
              <w:ind w:left="1197" w:right="1179"/>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14469</w:t>
            </w:r>
          </w:p>
        </w:tc>
        <w:tc>
          <w:tcPr>
            <w:tcW w:w="3141" w:type="dxa"/>
            <w:tcBorders>
              <w:top w:val="single" w:color="000000" w:sz="2" w:space="0"/>
              <w:left w:val="single" w:color="000000" w:sz="2" w:space="0"/>
              <w:bottom w:val="single" w:color="000000" w:sz="2" w:space="0"/>
              <w:right w:val="single" w:color="000000" w:sz="2" w:space="0"/>
            </w:tcBorders>
          </w:tcPr>
          <w:p>
            <w:pPr>
              <w:spacing w:before="79"/>
              <w:ind w:left="1320" w:right="1300"/>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9405</w:t>
            </w:r>
          </w:p>
        </w:tc>
      </w:tr>
      <w:tr>
        <w:tblPrEx>
          <w:tblCellMar>
            <w:top w:w="0" w:type="dxa"/>
            <w:left w:w="0" w:type="dxa"/>
            <w:bottom w:w="0" w:type="dxa"/>
            <w:right w:w="0" w:type="dxa"/>
          </w:tblCellMar>
        </w:tblPrEx>
        <w:trPr>
          <w:trHeight w:val="394" w:hRule="exact"/>
        </w:trPr>
        <w:tc>
          <w:tcPr>
            <w:tcW w:w="1133" w:type="dxa"/>
            <w:tcBorders>
              <w:top w:val="single" w:color="000000" w:sz="2" w:space="0"/>
              <w:left w:val="single" w:color="000000" w:sz="2" w:space="0"/>
              <w:bottom w:val="single" w:color="000000" w:sz="2" w:space="0"/>
              <w:right w:val="single" w:color="000000" w:sz="2" w:space="0"/>
            </w:tcBorders>
          </w:tcPr>
          <w:p>
            <w:pPr>
              <w:rPr>
                <w:rFonts w:asciiTheme="majorEastAsia" w:hAnsiTheme="majorEastAsia" w:eastAsiaTheme="majorEastAsia" w:cstheme="majorEastAsia"/>
                <w:szCs w:val="21"/>
              </w:rPr>
            </w:pPr>
          </w:p>
        </w:tc>
        <w:tc>
          <w:tcPr>
            <w:tcW w:w="2385" w:type="dxa"/>
            <w:tcBorders>
              <w:top w:val="single" w:color="000000" w:sz="2" w:space="0"/>
              <w:left w:val="single" w:color="000000" w:sz="2" w:space="0"/>
              <w:bottom w:val="single" w:color="000000" w:sz="2" w:space="0"/>
              <w:right w:val="single" w:color="000000" w:sz="2" w:space="0"/>
            </w:tcBorders>
          </w:tcPr>
          <w:p>
            <w:pPr>
              <w:spacing w:line="330" w:lineRule="exact"/>
              <w:ind w:left="942" w:right="925"/>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合计</w:t>
            </w:r>
          </w:p>
        </w:tc>
        <w:tc>
          <w:tcPr>
            <w:tcW w:w="3001" w:type="dxa"/>
            <w:tcBorders>
              <w:top w:val="single" w:color="000000" w:sz="2" w:space="0"/>
              <w:left w:val="single" w:color="000000" w:sz="2" w:space="0"/>
              <w:bottom w:val="single" w:color="000000" w:sz="2" w:space="0"/>
              <w:right w:val="single" w:color="000000" w:sz="2" w:space="0"/>
            </w:tcBorders>
          </w:tcPr>
          <w:p>
            <w:pPr>
              <w:spacing w:before="79"/>
              <w:ind w:left="1144" w:right="1126"/>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704677</w:t>
            </w:r>
          </w:p>
        </w:tc>
        <w:tc>
          <w:tcPr>
            <w:tcW w:w="3141" w:type="dxa"/>
            <w:tcBorders>
              <w:top w:val="single" w:color="000000" w:sz="2" w:space="0"/>
              <w:left w:val="single" w:color="000000" w:sz="2" w:space="0"/>
              <w:bottom w:val="single" w:color="000000" w:sz="2" w:space="0"/>
              <w:right w:val="single" w:color="000000" w:sz="2" w:space="0"/>
            </w:tcBorders>
          </w:tcPr>
          <w:p>
            <w:pPr>
              <w:spacing w:before="79"/>
              <w:ind w:left="1214" w:right="1194"/>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458020</w:t>
            </w:r>
          </w:p>
        </w:tc>
      </w:tr>
    </w:tbl>
    <w:p>
      <w:pPr>
        <w:spacing w:line="360" w:lineRule="auto"/>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注：人口数未计入已纳入城镇污水处理厂的人数。</w:t>
      </w:r>
    </w:p>
    <w:p>
      <w:pPr>
        <w:spacing w:line="360" w:lineRule="auto"/>
        <w:rPr>
          <w:rFonts w:asciiTheme="majorEastAsia" w:hAnsiTheme="majorEastAsia" w:eastAsiaTheme="majorEastAsia" w:cstheme="majorEastAsia"/>
          <w:sz w:val="22"/>
          <w:szCs w:val="22"/>
          <w:vertAlign w:val="superscript"/>
        </w:rPr>
      </w:pPr>
    </w:p>
    <w:p>
      <w:pPr>
        <w:spacing w:line="360" w:lineRule="auto"/>
        <w:jc w:val="center"/>
        <w:rPr>
          <w:rFonts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第4章</w:t>
      </w:r>
      <w:r>
        <w:rPr>
          <w:rFonts w:hint="eastAsia" w:asciiTheme="majorEastAsia" w:hAnsiTheme="majorEastAsia" w:eastAsiaTheme="majorEastAsia" w:cstheme="majorEastAsia"/>
          <w:b/>
          <w:bCs/>
          <w:sz w:val="44"/>
          <w:szCs w:val="44"/>
        </w:rPr>
        <w:tab/>
      </w:r>
      <w:r>
        <w:rPr>
          <w:rFonts w:hint="eastAsia" w:asciiTheme="majorEastAsia" w:hAnsiTheme="majorEastAsia" w:eastAsiaTheme="majorEastAsia" w:cstheme="majorEastAsia"/>
          <w:b/>
          <w:bCs/>
          <w:sz w:val="44"/>
          <w:szCs w:val="44"/>
        </w:rPr>
        <w:t>污水处理设施建设</w:t>
      </w:r>
    </w:p>
    <w:p>
      <w:pPr>
        <w:spacing w:line="360" w:lineRule="auto"/>
        <w:rPr>
          <w:rFonts w:ascii="黑体" w:hAnsi="黑体" w:eastAsia="黑体" w:cs="黑体"/>
          <w:sz w:val="30"/>
          <w:szCs w:val="30"/>
        </w:rPr>
      </w:pPr>
    </w:p>
    <w:p>
      <w:pPr>
        <w:spacing w:line="500" w:lineRule="exact"/>
        <w:rPr>
          <w:rFonts w:ascii="黑体" w:hAnsi="黑体" w:eastAsia="黑体" w:cs="黑体"/>
          <w:sz w:val="30"/>
          <w:szCs w:val="30"/>
        </w:rPr>
      </w:pPr>
      <w:r>
        <w:rPr>
          <w:rFonts w:hint="eastAsia" w:ascii="黑体" w:hAnsi="黑体" w:eastAsia="黑体" w:cs="黑体"/>
          <w:sz w:val="30"/>
          <w:szCs w:val="30"/>
        </w:rPr>
        <w:t>4.1  治理方式选择</w:t>
      </w:r>
    </w:p>
    <w:p>
      <w:pPr>
        <w:spacing w:line="500" w:lineRule="exact"/>
        <w:ind w:firstLine="440"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桃源县地形地貌复杂多样，地区生态敏感程度不同，地域发展不平衡，不同地域间农村差别较</w:t>
      </w:r>
    </w:p>
    <w:p>
      <w:pPr>
        <w:spacing w:line="500" w:lineRule="exact"/>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大， 加之农村地区长期以来形成的居住方式，生活习惯等方面的差异，根据近年来开展的农村生活污水治理工作实践，本规划推荐农村生活污水治理采用多元化的污水治理模式，具体包括集中纳 管治理、村庄集中点治理、分散（单户、联户）治理和资源化利用等污水治理模式。</w:t>
      </w:r>
    </w:p>
    <w:p>
      <w:pPr>
        <w:spacing w:line="500" w:lineRule="exact"/>
        <w:ind w:firstLine="442" w:firstLineChars="200"/>
        <w:rPr>
          <w:rFonts w:asciiTheme="majorEastAsia" w:hAnsiTheme="majorEastAsia" w:eastAsiaTheme="majorEastAsia" w:cstheme="majorEastAsia"/>
          <w:b/>
          <w:bCs/>
          <w:sz w:val="22"/>
          <w:szCs w:val="22"/>
        </w:rPr>
      </w:pPr>
      <w:r>
        <w:rPr>
          <w:rFonts w:hint="eastAsia" w:asciiTheme="majorEastAsia" w:hAnsiTheme="majorEastAsia" w:eastAsiaTheme="majorEastAsia" w:cstheme="majorEastAsia"/>
          <w:b/>
          <w:bCs/>
          <w:sz w:val="22"/>
          <w:szCs w:val="22"/>
        </w:rPr>
        <w:t>（1）集中纳管处理模式</w:t>
      </w:r>
    </w:p>
    <w:p>
      <w:pPr>
        <w:spacing w:line="500" w:lineRule="exact"/>
        <w:ind w:firstLine="440"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集中纳管处理模式（以下简称纳管处理）是指邻近城镇的村庄， 利用污水管网将收集的污水直接接入邻近的市政污水管网，由城镇污水处理厂统一处理。具有处理厂规模大，水质、水量稳定， 单位基建投资和运行费用低，易于集中管理等优点。适用于距离市政管网近（一般 2 公里以内）， 具备施工条件且附近污水处理厂有接纳能力的村庄。</w:t>
      </w:r>
    </w:p>
    <w:p>
      <w:pPr>
        <w:spacing w:line="500" w:lineRule="exact"/>
        <w:ind w:firstLine="442" w:firstLineChars="200"/>
        <w:rPr>
          <w:rFonts w:asciiTheme="majorEastAsia" w:hAnsiTheme="majorEastAsia" w:eastAsiaTheme="majorEastAsia" w:cstheme="majorEastAsia"/>
          <w:b/>
          <w:bCs/>
          <w:sz w:val="22"/>
          <w:szCs w:val="22"/>
        </w:rPr>
      </w:pPr>
      <w:r>
        <w:rPr>
          <w:rFonts w:hint="eastAsia" w:asciiTheme="majorEastAsia" w:hAnsiTheme="majorEastAsia" w:eastAsiaTheme="majorEastAsia" w:cstheme="majorEastAsia"/>
          <w:b/>
          <w:bCs/>
          <w:sz w:val="22"/>
          <w:szCs w:val="22"/>
        </w:rPr>
        <w:t xml:space="preserve">（2）村庄集中点治理模式 </w:t>
      </w:r>
    </w:p>
    <w:p>
      <w:pPr>
        <w:spacing w:line="500" w:lineRule="exact"/>
        <w:ind w:firstLine="440"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村庄集中点处理模式（以下简称集中点处理）是指根据各村（居）民集中点实际情况，采取“因</w:t>
      </w:r>
    </w:p>
    <w:p>
      <w:pPr>
        <w:spacing w:line="500" w:lineRule="exact"/>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村制宜，因地制宜”原则，对各居民集中点生活污水利用纳污管网引到合适地点，建设小型污水处 理站。污水处理工艺主要采用厌氧+人工湿地：微动力污水处理工艺（太阳能微动力处理工艺或常规电力污水处理工艺）等其它工艺。统一建设污水处理设施，水质相对稳定，运行稳定，抗负荷冲 击能力强，出水水质好。适用于居住相对密集、管网施工难度不大的村庄。</w:t>
      </w:r>
    </w:p>
    <w:p>
      <w:pPr>
        <w:spacing w:line="500" w:lineRule="exact"/>
        <w:ind w:firstLine="442" w:firstLineChars="200"/>
        <w:rPr>
          <w:rFonts w:asciiTheme="majorEastAsia" w:hAnsiTheme="majorEastAsia" w:eastAsiaTheme="majorEastAsia" w:cstheme="majorEastAsia"/>
          <w:b/>
          <w:bCs/>
          <w:sz w:val="22"/>
          <w:szCs w:val="22"/>
        </w:rPr>
      </w:pPr>
      <w:r>
        <w:rPr>
          <w:rFonts w:hint="eastAsia" w:asciiTheme="majorEastAsia" w:hAnsiTheme="majorEastAsia" w:eastAsiaTheme="majorEastAsia" w:cstheme="majorEastAsia"/>
          <w:b/>
          <w:bCs/>
          <w:sz w:val="22"/>
          <w:szCs w:val="22"/>
        </w:rPr>
        <w:t xml:space="preserve">（3）分散（单户、联户）治理和资源化利用模式 </w:t>
      </w:r>
    </w:p>
    <w:p>
      <w:pPr>
        <w:spacing w:line="500" w:lineRule="exact"/>
        <w:ind w:firstLine="440"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分散（单户、联户）治理和资源化利用模式是指当前无法集中铺设管网或集中收集处理的村庄。</w:t>
      </w:r>
    </w:p>
    <w:p>
      <w:pPr>
        <w:spacing w:line="500" w:lineRule="exact"/>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其中分散式治理模式原则优先资源化利用，排放的需做到达标。该模式在“黑（水）灰（水）”分</w:t>
      </w:r>
    </w:p>
    <w:p>
      <w:pPr>
        <w:spacing w:line="500" w:lineRule="exact"/>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离的基础上，“黑水”利用房前屋后的菜地、耕地等就近就地资源化利用，“灰水”资源化利用或处理后达标排放。该治理模式具有布局灵活、节约管网铺设成本、施工简单等特点，适用于农户居住分散、地形条件复杂、施工难度较大、污水不易集中收集的村庄。主要采用四格池等处理工艺。</w:t>
      </w:r>
    </w:p>
    <w:p>
      <w:pPr>
        <w:spacing w:line="500" w:lineRule="exact"/>
        <w:rPr>
          <w:rFonts w:ascii="黑体" w:hAnsi="黑体" w:eastAsia="黑体" w:cs="黑体"/>
          <w:sz w:val="30"/>
          <w:szCs w:val="30"/>
        </w:rPr>
      </w:pPr>
      <w:r>
        <w:rPr>
          <w:rFonts w:hint="eastAsia" w:ascii="黑体" w:hAnsi="黑体" w:eastAsia="黑体" w:cs="黑体"/>
          <w:sz w:val="30"/>
          <w:szCs w:val="30"/>
        </w:rPr>
        <w:t>4.2  设施布局选址</w:t>
      </w:r>
    </w:p>
    <w:p>
      <w:pPr>
        <w:spacing w:line="500" w:lineRule="exact"/>
        <w:ind w:firstLine="440"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污水处理系统布局主要从现状、规划、用地、尾水排放受纳水体水环境容量、角度考虑。结合</w:t>
      </w:r>
    </w:p>
    <w:p>
      <w:pPr>
        <w:spacing w:line="360" w:lineRule="auto"/>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县域总体规划、乡镇总体规划、村庄规划，城镇污水处 理设施建设、乡村旅游、中小流域综合治</w:t>
      </w:r>
    </w:p>
    <w:p>
      <w:pPr>
        <w:spacing w:line="360" w:lineRule="auto"/>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理等相关规划，生态保护红线、水功能区划、水环境功能区划等要求，合理安排农村生活污水处理 设施的布局，明确治理的村庄范围和数量等。</w:t>
      </w:r>
    </w:p>
    <w:p>
      <w:pPr>
        <w:spacing w:line="500" w:lineRule="exact"/>
        <w:ind w:firstLine="442" w:firstLineChars="200"/>
        <w:rPr>
          <w:rFonts w:asciiTheme="majorEastAsia" w:hAnsiTheme="majorEastAsia" w:eastAsiaTheme="majorEastAsia" w:cstheme="majorEastAsia"/>
          <w:b/>
          <w:bCs/>
          <w:sz w:val="22"/>
          <w:szCs w:val="22"/>
        </w:rPr>
      </w:pPr>
      <w:r>
        <w:rPr>
          <w:rFonts w:hint="eastAsia" w:asciiTheme="majorEastAsia" w:hAnsiTheme="majorEastAsia" w:eastAsiaTheme="majorEastAsia" w:cstheme="majorEastAsia"/>
          <w:b/>
          <w:bCs/>
          <w:sz w:val="22"/>
          <w:szCs w:val="22"/>
        </w:rPr>
        <w:t>（1）城镇污水处理厂规划布局</w:t>
      </w:r>
    </w:p>
    <w:p>
      <w:pPr>
        <w:spacing w:line="360" w:lineRule="auto"/>
        <w:ind w:firstLine="440"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据《常德市桃源县中心城区排水工程专项规划》（2012-2020）及桃源县各乡镇排水和污水处理工程专项规划，结合桃源县对污水系统的建设计划安排，桃源县已建成县城污水处理厂、桃源县第二污水处理厂、陬市镇污水处理厂和漆河镇污水处理厂，在建的包括杨溪桥镇等12个建制镇污水处理厂，拟于2020年启动建设的茶庵铺镇等13个建制镇污水处理厂。</w:t>
      </w:r>
    </w:p>
    <w:p>
      <w:pPr>
        <w:spacing w:line="360" w:lineRule="auto"/>
        <w:jc w:val="center"/>
        <w:rPr>
          <w:rFonts w:asciiTheme="majorEastAsia" w:hAnsiTheme="majorEastAsia" w:eastAsiaTheme="majorEastAsia" w:cstheme="majorEastAsia"/>
          <w:b/>
          <w:bCs/>
          <w:sz w:val="22"/>
          <w:szCs w:val="22"/>
        </w:rPr>
      </w:pPr>
      <w:r>
        <w:rPr>
          <w:rFonts w:hint="eastAsia" w:asciiTheme="majorEastAsia" w:hAnsiTheme="majorEastAsia" w:eastAsiaTheme="majorEastAsia" w:cstheme="majorEastAsia"/>
          <w:b/>
          <w:bCs/>
          <w:sz w:val="22"/>
          <w:szCs w:val="22"/>
        </w:rPr>
        <w:t>表 4- 1  城镇污水系统总体布局一览表</w:t>
      </w:r>
    </w:p>
    <w:tbl>
      <w:tblPr>
        <w:tblStyle w:val="6"/>
        <w:tblpPr w:leftFromText="180" w:rightFromText="180" w:vertAnchor="text" w:horzAnchor="page" w:tblpX="946" w:tblpY="23"/>
        <w:tblOverlap w:val="never"/>
        <w:tblW w:w="101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4"/>
        <w:gridCol w:w="1074"/>
        <w:gridCol w:w="1433"/>
        <w:gridCol w:w="1243"/>
        <w:gridCol w:w="1645"/>
        <w:gridCol w:w="1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4" w:type="dxa"/>
            <w:vMerge w:val="restart"/>
            <w:vAlign w:val="center"/>
          </w:tcPr>
          <w:p>
            <w:pPr>
              <w:spacing w:line="36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b/>
                <w:bCs/>
                <w:szCs w:val="21"/>
              </w:rPr>
              <w:t>名称</w:t>
            </w:r>
          </w:p>
        </w:tc>
        <w:tc>
          <w:tcPr>
            <w:tcW w:w="1074" w:type="dxa"/>
            <w:vMerge w:val="restart"/>
            <w:vAlign w:val="center"/>
          </w:tcPr>
          <w:p>
            <w:pPr>
              <w:spacing w:line="360" w:lineRule="auto"/>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建设状态</w:t>
            </w:r>
          </w:p>
        </w:tc>
        <w:tc>
          <w:tcPr>
            <w:tcW w:w="1433" w:type="dxa"/>
            <w:vAlign w:val="center"/>
          </w:tcPr>
          <w:p>
            <w:pPr>
              <w:spacing w:line="360" w:lineRule="auto"/>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近期规模</w:t>
            </w:r>
          </w:p>
        </w:tc>
        <w:tc>
          <w:tcPr>
            <w:tcW w:w="1243" w:type="dxa"/>
            <w:vAlign w:val="center"/>
          </w:tcPr>
          <w:p>
            <w:pPr>
              <w:spacing w:line="360" w:lineRule="auto"/>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远期规模</w:t>
            </w:r>
          </w:p>
        </w:tc>
        <w:tc>
          <w:tcPr>
            <w:tcW w:w="3615" w:type="dxa"/>
            <w:gridSpan w:val="2"/>
            <w:vAlign w:val="center"/>
          </w:tcPr>
          <w:p>
            <w:pPr>
              <w:spacing w:line="360" w:lineRule="auto"/>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村（居）规划纳管处理情况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2754" w:type="dxa"/>
            <w:vMerge w:val="continue"/>
            <w:vAlign w:val="center"/>
          </w:tcPr>
          <w:p>
            <w:pPr>
              <w:spacing w:line="360" w:lineRule="auto"/>
              <w:jc w:val="center"/>
              <w:rPr>
                <w:rFonts w:asciiTheme="majorEastAsia" w:hAnsiTheme="majorEastAsia" w:eastAsiaTheme="majorEastAsia" w:cstheme="majorEastAsia"/>
                <w:b/>
                <w:bCs/>
                <w:szCs w:val="21"/>
              </w:rPr>
            </w:pPr>
          </w:p>
        </w:tc>
        <w:tc>
          <w:tcPr>
            <w:tcW w:w="1074" w:type="dxa"/>
            <w:vMerge w:val="continue"/>
            <w:vAlign w:val="center"/>
          </w:tcPr>
          <w:p>
            <w:pPr>
              <w:spacing w:line="360" w:lineRule="auto"/>
              <w:jc w:val="center"/>
              <w:rPr>
                <w:rFonts w:asciiTheme="majorEastAsia" w:hAnsiTheme="majorEastAsia" w:eastAsiaTheme="majorEastAsia" w:cstheme="majorEastAsia"/>
                <w:b/>
                <w:bCs/>
                <w:szCs w:val="21"/>
              </w:rPr>
            </w:pPr>
          </w:p>
        </w:tc>
        <w:tc>
          <w:tcPr>
            <w:tcW w:w="1433" w:type="dxa"/>
            <w:vAlign w:val="center"/>
          </w:tcPr>
          <w:p>
            <w:pPr>
              <w:spacing w:line="360" w:lineRule="auto"/>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position w:val="-1"/>
                <w:szCs w:val="21"/>
              </w:rPr>
              <w:t>（m</w:t>
            </w:r>
            <w:r>
              <w:rPr>
                <w:rFonts w:hint="eastAsia" w:asciiTheme="majorEastAsia" w:hAnsiTheme="majorEastAsia" w:eastAsiaTheme="majorEastAsia" w:cstheme="majorEastAsia"/>
                <w:b/>
                <w:bCs/>
                <w:szCs w:val="21"/>
                <w:vertAlign w:val="superscript"/>
              </w:rPr>
              <w:t xml:space="preserve">3 </w:t>
            </w:r>
            <w:r>
              <w:rPr>
                <w:rFonts w:hint="eastAsia" w:asciiTheme="majorEastAsia" w:hAnsiTheme="majorEastAsia" w:eastAsiaTheme="majorEastAsia" w:cstheme="majorEastAsia"/>
                <w:b/>
                <w:bCs/>
                <w:szCs w:val="21"/>
              </w:rPr>
              <w:t>/d）</w:t>
            </w:r>
          </w:p>
        </w:tc>
        <w:tc>
          <w:tcPr>
            <w:tcW w:w="1243" w:type="dxa"/>
            <w:vAlign w:val="center"/>
          </w:tcPr>
          <w:p>
            <w:pPr>
              <w:spacing w:line="360" w:lineRule="auto"/>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position w:val="-1"/>
                <w:szCs w:val="21"/>
              </w:rPr>
              <w:t>（m</w:t>
            </w:r>
            <w:r>
              <w:rPr>
                <w:rFonts w:hint="eastAsia" w:asciiTheme="majorEastAsia" w:hAnsiTheme="majorEastAsia" w:eastAsiaTheme="majorEastAsia" w:cstheme="majorEastAsia"/>
                <w:b/>
                <w:bCs/>
                <w:szCs w:val="21"/>
                <w:vertAlign w:val="superscript"/>
              </w:rPr>
              <w:t xml:space="preserve">3 </w:t>
            </w:r>
            <w:r>
              <w:rPr>
                <w:rFonts w:hint="eastAsia" w:asciiTheme="majorEastAsia" w:hAnsiTheme="majorEastAsia" w:eastAsiaTheme="majorEastAsia" w:cstheme="majorEastAsia"/>
                <w:b/>
                <w:bCs/>
                <w:szCs w:val="21"/>
              </w:rPr>
              <w:t>/d）</w:t>
            </w:r>
          </w:p>
        </w:tc>
        <w:tc>
          <w:tcPr>
            <w:tcW w:w="1645" w:type="dxa"/>
            <w:vAlign w:val="center"/>
          </w:tcPr>
          <w:p>
            <w:pPr>
              <w:spacing w:line="360" w:lineRule="auto"/>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现状纳管数量</w:t>
            </w:r>
          </w:p>
        </w:tc>
        <w:tc>
          <w:tcPr>
            <w:tcW w:w="1970" w:type="dxa"/>
            <w:vAlign w:val="center"/>
          </w:tcPr>
          <w:p>
            <w:pPr>
              <w:spacing w:line="360" w:lineRule="auto"/>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2022年纳管数量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754" w:type="dxa"/>
            <w:vAlign w:val="center"/>
          </w:tcPr>
          <w:p>
            <w:pPr>
              <w:spacing w:line="312"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县城污水处理厂</w:t>
            </w:r>
          </w:p>
        </w:tc>
        <w:tc>
          <w:tcPr>
            <w:tcW w:w="1074" w:type="dxa"/>
            <w:vAlign w:val="center"/>
          </w:tcPr>
          <w:p>
            <w:pPr>
              <w:spacing w:line="312"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已建</w:t>
            </w:r>
          </w:p>
        </w:tc>
        <w:tc>
          <w:tcPr>
            <w:tcW w:w="1433" w:type="dxa"/>
            <w:vAlign w:val="center"/>
          </w:tcPr>
          <w:p>
            <w:pPr>
              <w:spacing w:line="312"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25000</w:t>
            </w:r>
          </w:p>
        </w:tc>
        <w:tc>
          <w:tcPr>
            <w:tcW w:w="1243" w:type="dxa"/>
            <w:vAlign w:val="center"/>
          </w:tcPr>
          <w:p>
            <w:pPr>
              <w:spacing w:line="312"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500000</w:t>
            </w:r>
          </w:p>
        </w:tc>
        <w:tc>
          <w:tcPr>
            <w:tcW w:w="1645" w:type="dxa"/>
            <w:vMerge w:val="restart"/>
            <w:vAlign w:val="center"/>
          </w:tcPr>
          <w:p>
            <w:pPr>
              <w:spacing w:line="312"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21</w:t>
            </w:r>
          </w:p>
        </w:tc>
        <w:tc>
          <w:tcPr>
            <w:tcW w:w="1970" w:type="dxa"/>
            <w:vMerge w:val="restart"/>
            <w:vAlign w:val="center"/>
          </w:tcPr>
          <w:p>
            <w:pPr>
              <w:spacing w:line="312"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2754" w:type="dxa"/>
            <w:vAlign w:val="center"/>
          </w:tcPr>
          <w:p>
            <w:pPr>
              <w:spacing w:line="312"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桃源县第二污水处理厂</w:t>
            </w:r>
          </w:p>
        </w:tc>
        <w:tc>
          <w:tcPr>
            <w:tcW w:w="1074" w:type="dxa"/>
            <w:vAlign w:val="center"/>
          </w:tcPr>
          <w:p>
            <w:pPr>
              <w:spacing w:line="312"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已建</w:t>
            </w:r>
          </w:p>
        </w:tc>
        <w:tc>
          <w:tcPr>
            <w:tcW w:w="1433" w:type="dxa"/>
            <w:vAlign w:val="center"/>
          </w:tcPr>
          <w:p>
            <w:pPr>
              <w:spacing w:line="312"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10000</w:t>
            </w:r>
          </w:p>
        </w:tc>
        <w:tc>
          <w:tcPr>
            <w:tcW w:w="1243" w:type="dxa"/>
            <w:vAlign w:val="center"/>
          </w:tcPr>
          <w:p>
            <w:pPr>
              <w:spacing w:line="312"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20000</w:t>
            </w:r>
          </w:p>
        </w:tc>
        <w:tc>
          <w:tcPr>
            <w:tcW w:w="1645" w:type="dxa"/>
            <w:vMerge w:val="continue"/>
            <w:vAlign w:val="center"/>
          </w:tcPr>
          <w:p>
            <w:pPr>
              <w:spacing w:line="312" w:lineRule="auto"/>
              <w:jc w:val="center"/>
              <w:rPr>
                <w:rFonts w:asciiTheme="majorEastAsia" w:hAnsiTheme="majorEastAsia" w:eastAsiaTheme="majorEastAsia" w:cstheme="majorEastAsia"/>
                <w:szCs w:val="21"/>
              </w:rPr>
            </w:pPr>
          </w:p>
        </w:tc>
        <w:tc>
          <w:tcPr>
            <w:tcW w:w="1970" w:type="dxa"/>
            <w:vMerge w:val="continue"/>
            <w:vAlign w:val="center"/>
          </w:tcPr>
          <w:p>
            <w:pPr>
              <w:spacing w:line="312" w:lineRule="auto"/>
              <w:jc w:val="center"/>
              <w:rPr>
                <w:rFonts w:asciiTheme="majorEastAsia" w:hAnsiTheme="majorEastAsia" w:eastAsiaTheme="majorEastAsia" w:cs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4" w:type="dxa"/>
            <w:vAlign w:val="center"/>
          </w:tcPr>
          <w:p>
            <w:pPr>
              <w:spacing w:line="312"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桃源县城第三污水处理厂</w:t>
            </w:r>
          </w:p>
        </w:tc>
        <w:tc>
          <w:tcPr>
            <w:tcW w:w="1074" w:type="dxa"/>
            <w:vAlign w:val="center"/>
          </w:tcPr>
          <w:p>
            <w:pPr>
              <w:spacing w:line="312"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在建</w:t>
            </w:r>
          </w:p>
        </w:tc>
        <w:tc>
          <w:tcPr>
            <w:tcW w:w="1433" w:type="dxa"/>
            <w:vAlign w:val="center"/>
          </w:tcPr>
          <w:p>
            <w:pPr>
              <w:spacing w:line="312"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50000</w:t>
            </w:r>
          </w:p>
        </w:tc>
        <w:tc>
          <w:tcPr>
            <w:tcW w:w="1243" w:type="dxa"/>
            <w:vAlign w:val="center"/>
          </w:tcPr>
          <w:p>
            <w:pPr>
              <w:spacing w:line="312"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100000</w:t>
            </w:r>
          </w:p>
        </w:tc>
        <w:tc>
          <w:tcPr>
            <w:tcW w:w="1645" w:type="dxa"/>
            <w:vMerge w:val="continue"/>
            <w:vAlign w:val="center"/>
          </w:tcPr>
          <w:p>
            <w:pPr>
              <w:spacing w:line="312" w:lineRule="auto"/>
              <w:jc w:val="center"/>
              <w:rPr>
                <w:rFonts w:asciiTheme="majorEastAsia" w:hAnsiTheme="majorEastAsia" w:eastAsiaTheme="majorEastAsia" w:cstheme="majorEastAsia"/>
                <w:szCs w:val="21"/>
              </w:rPr>
            </w:pPr>
          </w:p>
        </w:tc>
        <w:tc>
          <w:tcPr>
            <w:tcW w:w="1970" w:type="dxa"/>
            <w:vMerge w:val="continue"/>
            <w:vAlign w:val="center"/>
          </w:tcPr>
          <w:p>
            <w:pPr>
              <w:spacing w:line="312" w:lineRule="auto"/>
              <w:jc w:val="center"/>
              <w:rPr>
                <w:rFonts w:asciiTheme="majorEastAsia" w:hAnsiTheme="majorEastAsia" w:eastAsiaTheme="majorEastAsia" w:cs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4" w:type="dxa"/>
            <w:vAlign w:val="center"/>
          </w:tcPr>
          <w:p>
            <w:pPr>
              <w:spacing w:line="312"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桃源县城东区污水处理厂</w:t>
            </w:r>
          </w:p>
        </w:tc>
        <w:tc>
          <w:tcPr>
            <w:tcW w:w="1074" w:type="dxa"/>
            <w:vAlign w:val="center"/>
          </w:tcPr>
          <w:p>
            <w:pPr>
              <w:spacing w:line="312"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在建</w:t>
            </w:r>
          </w:p>
        </w:tc>
        <w:tc>
          <w:tcPr>
            <w:tcW w:w="1433" w:type="dxa"/>
            <w:vAlign w:val="center"/>
          </w:tcPr>
          <w:p>
            <w:pPr>
              <w:spacing w:line="312"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5000</w:t>
            </w:r>
          </w:p>
        </w:tc>
        <w:tc>
          <w:tcPr>
            <w:tcW w:w="1243" w:type="dxa"/>
            <w:vAlign w:val="center"/>
          </w:tcPr>
          <w:p>
            <w:pPr>
              <w:spacing w:line="312"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10000</w:t>
            </w:r>
          </w:p>
        </w:tc>
        <w:tc>
          <w:tcPr>
            <w:tcW w:w="1645" w:type="dxa"/>
            <w:vMerge w:val="continue"/>
            <w:vAlign w:val="center"/>
          </w:tcPr>
          <w:p>
            <w:pPr>
              <w:spacing w:line="312" w:lineRule="auto"/>
              <w:jc w:val="center"/>
              <w:rPr>
                <w:rFonts w:asciiTheme="majorEastAsia" w:hAnsiTheme="majorEastAsia" w:eastAsiaTheme="majorEastAsia" w:cstheme="majorEastAsia"/>
                <w:szCs w:val="21"/>
              </w:rPr>
            </w:pPr>
          </w:p>
        </w:tc>
        <w:tc>
          <w:tcPr>
            <w:tcW w:w="1970" w:type="dxa"/>
            <w:vMerge w:val="continue"/>
            <w:vAlign w:val="center"/>
          </w:tcPr>
          <w:p>
            <w:pPr>
              <w:spacing w:line="312" w:lineRule="auto"/>
              <w:jc w:val="center"/>
              <w:rPr>
                <w:rFonts w:asciiTheme="majorEastAsia" w:hAnsiTheme="majorEastAsia" w:eastAsiaTheme="majorEastAsia" w:cs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4" w:type="dxa"/>
            <w:vAlign w:val="center"/>
          </w:tcPr>
          <w:p>
            <w:pPr>
              <w:spacing w:line="312"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陬市镇污水处理厂</w:t>
            </w:r>
          </w:p>
        </w:tc>
        <w:tc>
          <w:tcPr>
            <w:tcW w:w="1074" w:type="dxa"/>
            <w:vAlign w:val="center"/>
          </w:tcPr>
          <w:p>
            <w:pPr>
              <w:spacing w:line="312"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已建</w:t>
            </w:r>
          </w:p>
        </w:tc>
        <w:tc>
          <w:tcPr>
            <w:tcW w:w="1433" w:type="dxa"/>
            <w:vAlign w:val="center"/>
          </w:tcPr>
          <w:p>
            <w:pPr>
              <w:spacing w:line="312"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10000</w:t>
            </w:r>
          </w:p>
        </w:tc>
        <w:tc>
          <w:tcPr>
            <w:tcW w:w="1243" w:type="dxa"/>
            <w:vAlign w:val="center"/>
          </w:tcPr>
          <w:p>
            <w:pPr>
              <w:spacing w:line="312"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25000</w:t>
            </w:r>
          </w:p>
        </w:tc>
        <w:tc>
          <w:tcPr>
            <w:tcW w:w="1645" w:type="dxa"/>
            <w:vAlign w:val="center"/>
          </w:tcPr>
          <w:p>
            <w:pPr>
              <w:spacing w:line="312"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8</w:t>
            </w:r>
          </w:p>
        </w:tc>
        <w:tc>
          <w:tcPr>
            <w:tcW w:w="1970" w:type="dxa"/>
            <w:vAlign w:val="center"/>
          </w:tcPr>
          <w:p>
            <w:pPr>
              <w:spacing w:line="312"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4" w:type="dxa"/>
            <w:vAlign w:val="center"/>
          </w:tcPr>
          <w:p>
            <w:pPr>
              <w:spacing w:line="312"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漆河镇污水处理厂</w:t>
            </w:r>
          </w:p>
        </w:tc>
        <w:tc>
          <w:tcPr>
            <w:tcW w:w="1074" w:type="dxa"/>
            <w:vAlign w:val="center"/>
          </w:tcPr>
          <w:p>
            <w:pPr>
              <w:spacing w:line="312"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已建</w:t>
            </w:r>
          </w:p>
        </w:tc>
        <w:tc>
          <w:tcPr>
            <w:tcW w:w="1433" w:type="dxa"/>
            <w:vAlign w:val="center"/>
          </w:tcPr>
          <w:p>
            <w:pPr>
              <w:spacing w:line="312"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5000</w:t>
            </w:r>
          </w:p>
        </w:tc>
        <w:tc>
          <w:tcPr>
            <w:tcW w:w="1243" w:type="dxa"/>
            <w:vAlign w:val="center"/>
          </w:tcPr>
          <w:p>
            <w:pPr>
              <w:spacing w:line="312"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5000</w:t>
            </w:r>
          </w:p>
        </w:tc>
        <w:tc>
          <w:tcPr>
            <w:tcW w:w="1645" w:type="dxa"/>
            <w:vAlign w:val="center"/>
          </w:tcPr>
          <w:p>
            <w:pPr>
              <w:spacing w:line="312"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w:t>
            </w:r>
          </w:p>
        </w:tc>
        <w:tc>
          <w:tcPr>
            <w:tcW w:w="1970" w:type="dxa"/>
            <w:vAlign w:val="center"/>
          </w:tcPr>
          <w:p>
            <w:pPr>
              <w:spacing w:line="312"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4" w:type="dxa"/>
            <w:vAlign w:val="center"/>
          </w:tcPr>
          <w:p>
            <w:pPr>
              <w:spacing w:line="312"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杨溪桥镇污水处理厂</w:t>
            </w:r>
          </w:p>
        </w:tc>
        <w:tc>
          <w:tcPr>
            <w:tcW w:w="1074" w:type="dxa"/>
            <w:vAlign w:val="center"/>
          </w:tcPr>
          <w:p>
            <w:pPr>
              <w:spacing w:line="312"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在建</w:t>
            </w:r>
          </w:p>
        </w:tc>
        <w:tc>
          <w:tcPr>
            <w:tcW w:w="1433" w:type="dxa"/>
            <w:vAlign w:val="center"/>
          </w:tcPr>
          <w:p>
            <w:pPr>
              <w:spacing w:line="312"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200</w:t>
            </w:r>
          </w:p>
        </w:tc>
        <w:tc>
          <w:tcPr>
            <w:tcW w:w="1243" w:type="dxa"/>
            <w:vAlign w:val="center"/>
          </w:tcPr>
          <w:p>
            <w:pPr>
              <w:spacing w:line="312"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320</w:t>
            </w:r>
          </w:p>
        </w:tc>
        <w:tc>
          <w:tcPr>
            <w:tcW w:w="1645" w:type="dxa"/>
            <w:vAlign w:val="center"/>
          </w:tcPr>
          <w:p>
            <w:pPr>
              <w:spacing w:line="312" w:lineRule="auto"/>
              <w:jc w:val="center"/>
              <w:rPr>
                <w:rFonts w:asciiTheme="majorEastAsia" w:hAnsiTheme="majorEastAsia" w:eastAsiaTheme="majorEastAsia" w:cstheme="majorEastAsia"/>
                <w:szCs w:val="21"/>
              </w:rPr>
            </w:pPr>
          </w:p>
        </w:tc>
        <w:tc>
          <w:tcPr>
            <w:tcW w:w="1970" w:type="dxa"/>
            <w:vAlign w:val="center"/>
          </w:tcPr>
          <w:p>
            <w:pPr>
              <w:spacing w:line="312"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4" w:type="dxa"/>
            <w:vAlign w:val="center"/>
          </w:tcPr>
          <w:p>
            <w:pPr>
              <w:spacing w:line="312"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牛车河镇污水处理厂</w:t>
            </w:r>
          </w:p>
        </w:tc>
        <w:tc>
          <w:tcPr>
            <w:tcW w:w="1074" w:type="dxa"/>
            <w:vAlign w:val="center"/>
          </w:tcPr>
          <w:p>
            <w:pPr>
              <w:spacing w:line="312"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在建</w:t>
            </w:r>
          </w:p>
        </w:tc>
        <w:tc>
          <w:tcPr>
            <w:tcW w:w="1433" w:type="dxa"/>
            <w:vAlign w:val="center"/>
          </w:tcPr>
          <w:p>
            <w:pPr>
              <w:spacing w:line="312"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250</w:t>
            </w:r>
          </w:p>
        </w:tc>
        <w:tc>
          <w:tcPr>
            <w:tcW w:w="1243" w:type="dxa"/>
            <w:vAlign w:val="center"/>
          </w:tcPr>
          <w:p>
            <w:pPr>
              <w:spacing w:line="312"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370</w:t>
            </w:r>
          </w:p>
        </w:tc>
        <w:tc>
          <w:tcPr>
            <w:tcW w:w="1645" w:type="dxa"/>
            <w:vAlign w:val="center"/>
          </w:tcPr>
          <w:p>
            <w:pPr>
              <w:spacing w:line="312" w:lineRule="auto"/>
              <w:jc w:val="center"/>
              <w:rPr>
                <w:rFonts w:asciiTheme="majorEastAsia" w:hAnsiTheme="majorEastAsia" w:eastAsiaTheme="majorEastAsia" w:cstheme="majorEastAsia"/>
                <w:szCs w:val="21"/>
              </w:rPr>
            </w:pPr>
          </w:p>
        </w:tc>
        <w:tc>
          <w:tcPr>
            <w:tcW w:w="1970" w:type="dxa"/>
            <w:vAlign w:val="center"/>
          </w:tcPr>
          <w:p>
            <w:pPr>
              <w:spacing w:line="312"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4" w:type="dxa"/>
            <w:vAlign w:val="center"/>
          </w:tcPr>
          <w:p>
            <w:pPr>
              <w:spacing w:line="312"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西安镇污水处理厂</w:t>
            </w:r>
          </w:p>
        </w:tc>
        <w:tc>
          <w:tcPr>
            <w:tcW w:w="1074" w:type="dxa"/>
            <w:vAlign w:val="center"/>
          </w:tcPr>
          <w:p>
            <w:pPr>
              <w:spacing w:line="312"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在建</w:t>
            </w:r>
          </w:p>
        </w:tc>
        <w:tc>
          <w:tcPr>
            <w:tcW w:w="1433" w:type="dxa"/>
            <w:vAlign w:val="center"/>
          </w:tcPr>
          <w:p>
            <w:pPr>
              <w:spacing w:line="312"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350</w:t>
            </w:r>
          </w:p>
        </w:tc>
        <w:tc>
          <w:tcPr>
            <w:tcW w:w="1243" w:type="dxa"/>
            <w:vAlign w:val="center"/>
          </w:tcPr>
          <w:p>
            <w:pPr>
              <w:spacing w:line="312"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550</w:t>
            </w:r>
          </w:p>
        </w:tc>
        <w:tc>
          <w:tcPr>
            <w:tcW w:w="1645" w:type="dxa"/>
            <w:vAlign w:val="center"/>
          </w:tcPr>
          <w:p>
            <w:pPr>
              <w:spacing w:line="312" w:lineRule="auto"/>
              <w:jc w:val="center"/>
              <w:rPr>
                <w:rFonts w:asciiTheme="majorEastAsia" w:hAnsiTheme="majorEastAsia" w:eastAsiaTheme="majorEastAsia" w:cstheme="majorEastAsia"/>
                <w:szCs w:val="21"/>
              </w:rPr>
            </w:pPr>
          </w:p>
        </w:tc>
        <w:tc>
          <w:tcPr>
            <w:tcW w:w="1970" w:type="dxa"/>
            <w:vAlign w:val="center"/>
          </w:tcPr>
          <w:p>
            <w:pPr>
              <w:spacing w:line="312"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4" w:type="dxa"/>
            <w:vAlign w:val="center"/>
          </w:tcPr>
          <w:p>
            <w:pPr>
              <w:spacing w:line="312"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佘家坪乡污水处理厂</w:t>
            </w:r>
          </w:p>
        </w:tc>
        <w:tc>
          <w:tcPr>
            <w:tcW w:w="1074" w:type="dxa"/>
            <w:vAlign w:val="center"/>
          </w:tcPr>
          <w:p>
            <w:pPr>
              <w:spacing w:line="312"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在建</w:t>
            </w:r>
          </w:p>
        </w:tc>
        <w:tc>
          <w:tcPr>
            <w:tcW w:w="1433" w:type="dxa"/>
            <w:vAlign w:val="center"/>
          </w:tcPr>
          <w:p>
            <w:pPr>
              <w:spacing w:line="312"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300</w:t>
            </w:r>
          </w:p>
        </w:tc>
        <w:tc>
          <w:tcPr>
            <w:tcW w:w="1243" w:type="dxa"/>
            <w:vAlign w:val="center"/>
          </w:tcPr>
          <w:p>
            <w:pPr>
              <w:spacing w:line="312"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450</w:t>
            </w:r>
          </w:p>
        </w:tc>
        <w:tc>
          <w:tcPr>
            <w:tcW w:w="1645" w:type="dxa"/>
            <w:vAlign w:val="center"/>
          </w:tcPr>
          <w:p>
            <w:pPr>
              <w:spacing w:line="312" w:lineRule="auto"/>
              <w:jc w:val="center"/>
              <w:rPr>
                <w:rFonts w:asciiTheme="majorEastAsia" w:hAnsiTheme="majorEastAsia" w:eastAsiaTheme="majorEastAsia" w:cstheme="majorEastAsia"/>
                <w:szCs w:val="21"/>
              </w:rPr>
            </w:pPr>
          </w:p>
        </w:tc>
        <w:tc>
          <w:tcPr>
            <w:tcW w:w="1970" w:type="dxa"/>
            <w:vAlign w:val="center"/>
          </w:tcPr>
          <w:p>
            <w:pPr>
              <w:spacing w:line="312"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4" w:type="dxa"/>
            <w:vAlign w:val="center"/>
          </w:tcPr>
          <w:p>
            <w:pPr>
              <w:spacing w:line="312"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理公港镇污水处理厂</w:t>
            </w:r>
          </w:p>
        </w:tc>
        <w:tc>
          <w:tcPr>
            <w:tcW w:w="1074" w:type="dxa"/>
            <w:vAlign w:val="center"/>
          </w:tcPr>
          <w:p>
            <w:pPr>
              <w:spacing w:line="312"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在建</w:t>
            </w:r>
          </w:p>
        </w:tc>
        <w:tc>
          <w:tcPr>
            <w:tcW w:w="1433" w:type="dxa"/>
            <w:vAlign w:val="center"/>
          </w:tcPr>
          <w:p>
            <w:pPr>
              <w:spacing w:line="312"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550</w:t>
            </w:r>
          </w:p>
        </w:tc>
        <w:tc>
          <w:tcPr>
            <w:tcW w:w="1243" w:type="dxa"/>
            <w:vAlign w:val="center"/>
          </w:tcPr>
          <w:p>
            <w:pPr>
              <w:spacing w:line="312"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950</w:t>
            </w:r>
          </w:p>
        </w:tc>
        <w:tc>
          <w:tcPr>
            <w:tcW w:w="1645" w:type="dxa"/>
            <w:vAlign w:val="center"/>
          </w:tcPr>
          <w:p>
            <w:pPr>
              <w:spacing w:line="312" w:lineRule="auto"/>
              <w:jc w:val="center"/>
              <w:rPr>
                <w:rFonts w:asciiTheme="majorEastAsia" w:hAnsiTheme="majorEastAsia" w:eastAsiaTheme="majorEastAsia" w:cstheme="majorEastAsia"/>
                <w:szCs w:val="21"/>
              </w:rPr>
            </w:pPr>
          </w:p>
        </w:tc>
        <w:tc>
          <w:tcPr>
            <w:tcW w:w="1970" w:type="dxa"/>
            <w:vAlign w:val="center"/>
          </w:tcPr>
          <w:p>
            <w:pPr>
              <w:spacing w:line="312"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4" w:type="dxa"/>
            <w:vAlign w:val="center"/>
          </w:tcPr>
          <w:p>
            <w:pPr>
              <w:spacing w:line="312"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双溪口镇污水处理厂</w:t>
            </w:r>
          </w:p>
        </w:tc>
        <w:tc>
          <w:tcPr>
            <w:tcW w:w="1074" w:type="dxa"/>
            <w:vAlign w:val="center"/>
          </w:tcPr>
          <w:p>
            <w:pPr>
              <w:spacing w:line="312"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在建</w:t>
            </w:r>
          </w:p>
        </w:tc>
        <w:tc>
          <w:tcPr>
            <w:tcW w:w="1433" w:type="dxa"/>
            <w:vAlign w:val="center"/>
          </w:tcPr>
          <w:p>
            <w:pPr>
              <w:spacing w:line="312"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500</w:t>
            </w:r>
          </w:p>
        </w:tc>
        <w:tc>
          <w:tcPr>
            <w:tcW w:w="1243" w:type="dxa"/>
            <w:vAlign w:val="center"/>
          </w:tcPr>
          <w:p>
            <w:pPr>
              <w:spacing w:line="312"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800</w:t>
            </w:r>
          </w:p>
        </w:tc>
        <w:tc>
          <w:tcPr>
            <w:tcW w:w="1645" w:type="dxa"/>
            <w:vAlign w:val="center"/>
          </w:tcPr>
          <w:p>
            <w:pPr>
              <w:spacing w:line="312" w:lineRule="auto"/>
              <w:jc w:val="center"/>
              <w:rPr>
                <w:rFonts w:asciiTheme="majorEastAsia" w:hAnsiTheme="majorEastAsia" w:eastAsiaTheme="majorEastAsia" w:cstheme="majorEastAsia"/>
                <w:szCs w:val="21"/>
              </w:rPr>
            </w:pPr>
          </w:p>
        </w:tc>
        <w:tc>
          <w:tcPr>
            <w:tcW w:w="1970" w:type="dxa"/>
            <w:vAlign w:val="center"/>
          </w:tcPr>
          <w:p>
            <w:pPr>
              <w:spacing w:line="312"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4" w:type="dxa"/>
            <w:vAlign w:val="center"/>
          </w:tcPr>
          <w:p>
            <w:pPr>
              <w:spacing w:line="312"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枫树乡污水处理厂</w:t>
            </w:r>
          </w:p>
        </w:tc>
        <w:tc>
          <w:tcPr>
            <w:tcW w:w="1074" w:type="dxa"/>
            <w:vAlign w:val="center"/>
          </w:tcPr>
          <w:p>
            <w:pPr>
              <w:spacing w:line="312"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在建</w:t>
            </w:r>
          </w:p>
        </w:tc>
        <w:tc>
          <w:tcPr>
            <w:tcW w:w="1433" w:type="dxa"/>
            <w:vAlign w:val="center"/>
          </w:tcPr>
          <w:p>
            <w:pPr>
              <w:spacing w:line="312"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300</w:t>
            </w:r>
          </w:p>
        </w:tc>
        <w:tc>
          <w:tcPr>
            <w:tcW w:w="1243" w:type="dxa"/>
            <w:vAlign w:val="center"/>
          </w:tcPr>
          <w:p>
            <w:pPr>
              <w:spacing w:line="312"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500</w:t>
            </w:r>
          </w:p>
        </w:tc>
        <w:tc>
          <w:tcPr>
            <w:tcW w:w="1645" w:type="dxa"/>
            <w:vAlign w:val="center"/>
          </w:tcPr>
          <w:p>
            <w:pPr>
              <w:spacing w:line="312" w:lineRule="auto"/>
              <w:jc w:val="center"/>
              <w:rPr>
                <w:rFonts w:asciiTheme="majorEastAsia" w:hAnsiTheme="majorEastAsia" w:eastAsiaTheme="majorEastAsia" w:cstheme="majorEastAsia"/>
                <w:szCs w:val="21"/>
              </w:rPr>
            </w:pPr>
          </w:p>
        </w:tc>
        <w:tc>
          <w:tcPr>
            <w:tcW w:w="1970" w:type="dxa"/>
            <w:vAlign w:val="center"/>
          </w:tcPr>
          <w:p>
            <w:pPr>
              <w:spacing w:line="312"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4" w:type="dxa"/>
            <w:vAlign w:val="center"/>
          </w:tcPr>
          <w:p>
            <w:pPr>
              <w:spacing w:line="312"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泥窝潭乡污水处理厂</w:t>
            </w:r>
          </w:p>
        </w:tc>
        <w:tc>
          <w:tcPr>
            <w:tcW w:w="1074" w:type="dxa"/>
            <w:vAlign w:val="center"/>
          </w:tcPr>
          <w:p>
            <w:pPr>
              <w:spacing w:line="312"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在建</w:t>
            </w:r>
          </w:p>
        </w:tc>
        <w:tc>
          <w:tcPr>
            <w:tcW w:w="1433" w:type="dxa"/>
            <w:vAlign w:val="center"/>
          </w:tcPr>
          <w:p>
            <w:pPr>
              <w:spacing w:line="312"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400</w:t>
            </w:r>
          </w:p>
        </w:tc>
        <w:tc>
          <w:tcPr>
            <w:tcW w:w="1243" w:type="dxa"/>
            <w:vAlign w:val="center"/>
          </w:tcPr>
          <w:p>
            <w:pPr>
              <w:spacing w:line="312"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600</w:t>
            </w:r>
          </w:p>
        </w:tc>
        <w:tc>
          <w:tcPr>
            <w:tcW w:w="1645" w:type="dxa"/>
            <w:vAlign w:val="center"/>
          </w:tcPr>
          <w:p>
            <w:pPr>
              <w:spacing w:line="312" w:lineRule="auto"/>
              <w:jc w:val="center"/>
              <w:rPr>
                <w:rFonts w:asciiTheme="majorEastAsia" w:hAnsiTheme="majorEastAsia" w:eastAsiaTheme="majorEastAsia" w:cstheme="majorEastAsia"/>
                <w:szCs w:val="21"/>
              </w:rPr>
            </w:pPr>
          </w:p>
        </w:tc>
        <w:tc>
          <w:tcPr>
            <w:tcW w:w="1970" w:type="dxa"/>
            <w:vAlign w:val="center"/>
          </w:tcPr>
          <w:p>
            <w:pPr>
              <w:spacing w:line="312"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4" w:type="dxa"/>
            <w:vAlign w:val="center"/>
          </w:tcPr>
          <w:p>
            <w:pPr>
              <w:spacing w:line="312"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木塘垸镇污水处理厂</w:t>
            </w:r>
          </w:p>
        </w:tc>
        <w:tc>
          <w:tcPr>
            <w:tcW w:w="1074" w:type="dxa"/>
            <w:vAlign w:val="center"/>
          </w:tcPr>
          <w:p>
            <w:pPr>
              <w:spacing w:line="312"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在建</w:t>
            </w:r>
          </w:p>
        </w:tc>
        <w:tc>
          <w:tcPr>
            <w:tcW w:w="1433" w:type="dxa"/>
            <w:vAlign w:val="center"/>
          </w:tcPr>
          <w:p>
            <w:pPr>
              <w:spacing w:line="312"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450</w:t>
            </w:r>
          </w:p>
        </w:tc>
        <w:tc>
          <w:tcPr>
            <w:tcW w:w="1243" w:type="dxa"/>
            <w:vAlign w:val="center"/>
          </w:tcPr>
          <w:p>
            <w:pPr>
              <w:spacing w:line="312"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750</w:t>
            </w:r>
          </w:p>
        </w:tc>
        <w:tc>
          <w:tcPr>
            <w:tcW w:w="1645" w:type="dxa"/>
            <w:vAlign w:val="center"/>
          </w:tcPr>
          <w:p>
            <w:pPr>
              <w:spacing w:line="312" w:lineRule="auto"/>
              <w:jc w:val="center"/>
              <w:rPr>
                <w:rFonts w:asciiTheme="majorEastAsia" w:hAnsiTheme="majorEastAsia" w:eastAsiaTheme="majorEastAsia" w:cstheme="majorEastAsia"/>
                <w:szCs w:val="21"/>
              </w:rPr>
            </w:pPr>
          </w:p>
        </w:tc>
        <w:tc>
          <w:tcPr>
            <w:tcW w:w="1970" w:type="dxa"/>
            <w:vAlign w:val="center"/>
          </w:tcPr>
          <w:p>
            <w:pPr>
              <w:spacing w:line="312"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4" w:type="dxa"/>
            <w:vAlign w:val="center"/>
          </w:tcPr>
          <w:p>
            <w:pPr>
              <w:spacing w:line="312"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九溪镇污水处理厂</w:t>
            </w:r>
          </w:p>
        </w:tc>
        <w:tc>
          <w:tcPr>
            <w:tcW w:w="1074" w:type="dxa"/>
            <w:vAlign w:val="center"/>
          </w:tcPr>
          <w:p>
            <w:pPr>
              <w:spacing w:line="312"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在建</w:t>
            </w:r>
          </w:p>
        </w:tc>
        <w:tc>
          <w:tcPr>
            <w:tcW w:w="1433" w:type="dxa"/>
            <w:vAlign w:val="center"/>
          </w:tcPr>
          <w:p>
            <w:pPr>
              <w:spacing w:line="312"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100</w:t>
            </w:r>
          </w:p>
        </w:tc>
        <w:tc>
          <w:tcPr>
            <w:tcW w:w="1243" w:type="dxa"/>
            <w:vAlign w:val="center"/>
          </w:tcPr>
          <w:p>
            <w:pPr>
              <w:spacing w:line="312"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160</w:t>
            </w:r>
          </w:p>
        </w:tc>
        <w:tc>
          <w:tcPr>
            <w:tcW w:w="1645" w:type="dxa"/>
            <w:vAlign w:val="center"/>
          </w:tcPr>
          <w:p>
            <w:pPr>
              <w:spacing w:line="312" w:lineRule="auto"/>
              <w:jc w:val="center"/>
              <w:rPr>
                <w:rFonts w:asciiTheme="majorEastAsia" w:hAnsiTheme="majorEastAsia" w:eastAsiaTheme="majorEastAsia" w:cstheme="majorEastAsia"/>
                <w:szCs w:val="21"/>
              </w:rPr>
            </w:pPr>
          </w:p>
        </w:tc>
        <w:tc>
          <w:tcPr>
            <w:tcW w:w="1970" w:type="dxa"/>
            <w:vAlign w:val="center"/>
          </w:tcPr>
          <w:p>
            <w:pPr>
              <w:spacing w:line="312"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4" w:type="dxa"/>
            <w:vAlign w:val="center"/>
          </w:tcPr>
          <w:p>
            <w:pPr>
              <w:spacing w:line="312"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郑家驿镇污水处理厂</w:t>
            </w:r>
          </w:p>
        </w:tc>
        <w:tc>
          <w:tcPr>
            <w:tcW w:w="1074" w:type="dxa"/>
            <w:vAlign w:val="center"/>
          </w:tcPr>
          <w:p>
            <w:pPr>
              <w:spacing w:line="312"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拟建</w:t>
            </w:r>
          </w:p>
        </w:tc>
        <w:tc>
          <w:tcPr>
            <w:tcW w:w="1433" w:type="dxa"/>
            <w:vAlign w:val="center"/>
          </w:tcPr>
          <w:p>
            <w:pPr>
              <w:spacing w:line="312"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200</w:t>
            </w:r>
          </w:p>
        </w:tc>
        <w:tc>
          <w:tcPr>
            <w:tcW w:w="1243" w:type="dxa"/>
            <w:vAlign w:val="center"/>
          </w:tcPr>
          <w:p>
            <w:pPr>
              <w:spacing w:line="312"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330</w:t>
            </w:r>
          </w:p>
        </w:tc>
        <w:tc>
          <w:tcPr>
            <w:tcW w:w="1645" w:type="dxa"/>
            <w:vAlign w:val="center"/>
          </w:tcPr>
          <w:p>
            <w:pPr>
              <w:spacing w:line="312" w:lineRule="auto"/>
              <w:jc w:val="center"/>
              <w:rPr>
                <w:rFonts w:asciiTheme="majorEastAsia" w:hAnsiTheme="majorEastAsia" w:eastAsiaTheme="majorEastAsia" w:cstheme="majorEastAsia"/>
                <w:szCs w:val="21"/>
              </w:rPr>
            </w:pPr>
          </w:p>
        </w:tc>
        <w:tc>
          <w:tcPr>
            <w:tcW w:w="1970" w:type="dxa"/>
            <w:vAlign w:val="center"/>
          </w:tcPr>
          <w:p>
            <w:pPr>
              <w:spacing w:line="312"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4" w:type="dxa"/>
            <w:vAlign w:val="center"/>
          </w:tcPr>
          <w:p>
            <w:pPr>
              <w:spacing w:line="312"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茶庵铺镇污水处理厂</w:t>
            </w:r>
          </w:p>
        </w:tc>
        <w:tc>
          <w:tcPr>
            <w:tcW w:w="1074" w:type="dxa"/>
            <w:vAlign w:val="center"/>
          </w:tcPr>
          <w:p>
            <w:pPr>
              <w:spacing w:line="312"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拟建</w:t>
            </w:r>
          </w:p>
        </w:tc>
        <w:tc>
          <w:tcPr>
            <w:tcW w:w="1433" w:type="dxa"/>
            <w:vAlign w:val="center"/>
          </w:tcPr>
          <w:p>
            <w:pPr>
              <w:spacing w:line="312"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1600</w:t>
            </w:r>
          </w:p>
        </w:tc>
        <w:tc>
          <w:tcPr>
            <w:tcW w:w="1243" w:type="dxa"/>
            <w:vAlign w:val="center"/>
          </w:tcPr>
          <w:p>
            <w:pPr>
              <w:spacing w:line="312"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3100</w:t>
            </w:r>
          </w:p>
        </w:tc>
        <w:tc>
          <w:tcPr>
            <w:tcW w:w="1645" w:type="dxa"/>
            <w:vAlign w:val="center"/>
          </w:tcPr>
          <w:p>
            <w:pPr>
              <w:spacing w:line="312" w:lineRule="auto"/>
              <w:jc w:val="center"/>
              <w:rPr>
                <w:rFonts w:asciiTheme="majorEastAsia" w:hAnsiTheme="majorEastAsia" w:eastAsiaTheme="majorEastAsia" w:cstheme="majorEastAsia"/>
                <w:szCs w:val="21"/>
              </w:rPr>
            </w:pPr>
          </w:p>
        </w:tc>
        <w:tc>
          <w:tcPr>
            <w:tcW w:w="1970" w:type="dxa"/>
            <w:vAlign w:val="center"/>
          </w:tcPr>
          <w:p>
            <w:pPr>
              <w:spacing w:line="312"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4" w:type="dxa"/>
            <w:vAlign w:val="center"/>
          </w:tcPr>
          <w:p>
            <w:pPr>
              <w:spacing w:line="312"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观音寺镇污水处理厂</w:t>
            </w:r>
          </w:p>
        </w:tc>
        <w:tc>
          <w:tcPr>
            <w:tcW w:w="1074" w:type="dxa"/>
            <w:vAlign w:val="center"/>
          </w:tcPr>
          <w:p>
            <w:pPr>
              <w:spacing w:line="312"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拟建</w:t>
            </w:r>
          </w:p>
        </w:tc>
        <w:tc>
          <w:tcPr>
            <w:tcW w:w="1433" w:type="dxa"/>
            <w:vAlign w:val="center"/>
          </w:tcPr>
          <w:p>
            <w:pPr>
              <w:spacing w:line="312"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600</w:t>
            </w:r>
          </w:p>
        </w:tc>
        <w:tc>
          <w:tcPr>
            <w:tcW w:w="1243" w:type="dxa"/>
            <w:vAlign w:val="center"/>
          </w:tcPr>
          <w:p>
            <w:pPr>
              <w:spacing w:line="312"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1000</w:t>
            </w:r>
          </w:p>
        </w:tc>
        <w:tc>
          <w:tcPr>
            <w:tcW w:w="1645" w:type="dxa"/>
            <w:vAlign w:val="center"/>
          </w:tcPr>
          <w:p>
            <w:pPr>
              <w:spacing w:line="312" w:lineRule="auto"/>
              <w:jc w:val="center"/>
              <w:rPr>
                <w:rFonts w:asciiTheme="majorEastAsia" w:hAnsiTheme="majorEastAsia" w:eastAsiaTheme="majorEastAsia" w:cstheme="majorEastAsia"/>
                <w:szCs w:val="21"/>
              </w:rPr>
            </w:pPr>
          </w:p>
        </w:tc>
        <w:tc>
          <w:tcPr>
            <w:tcW w:w="1970" w:type="dxa"/>
            <w:vAlign w:val="center"/>
          </w:tcPr>
          <w:p>
            <w:pPr>
              <w:spacing w:line="312"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4" w:type="dxa"/>
            <w:vMerge w:val="restart"/>
            <w:vAlign w:val="center"/>
          </w:tcPr>
          <w:p>
            <w:pPr>
              <w:spacing w:line="36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b/>
                <w:bCs/>
                <w:szCs w:val="21"/>
              </w:rPr>
              <w:t>名称</w:t>
            </w:r>
          </w:p>
        </w:tc>
        <w:tc>
          <w:tcPr>
            <w:tcW w:w="1074" w:type="dxa"/>
            <w:vMerge w:val="restart"/>
            <w:vAlign w:val="center"/>
          </w:tcPr>
          <w:p>
            <w:pPr>
              <w:spacing w:line="360" w:lineRule="auto"/>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建设状态</w:t>
            </w:r>
          </w:p>
        </w:tc>
        <w:tc>
          <w:tcPr>
            <w:tcW w:w="1433" w:type="dxa"/>
            <w:vAlign w:val="center"/>
          </w:tcPr>
          <w:p>
            <w:pPr>
              <w:spacing w:line="360" w:lineRule="auto"/>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近期规模</w:t>
            </w:r>
          </w:p>
        </w:tc>
        <w:tc>
          <w:tcPr>
            <w:tcW w:w="1243" w:type="dxa"/>
            <w:vAlign w:val="center"/>
          </w:tcPr>
          <w:p>
            <w:pPr>
              <w:spacing w:line="360" w:lineRule="auto"/>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远期规模</w:t>
            </w:r>
          </w:p>
        </w:tc>
        <w:tc>
          <w:tcPr>
            <w:tcW w:w="3615" w:type="dxa"/>
            <w:gridSpan w:val="2"/>
            <w:vAlign w:val="center"/>
          </w:tcPr>
          <w:p>
            <w:pPr>
              <w:spacing w:line="360" w:lineRule="auto"/>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村（居）规划纳管处理情况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2754" w:type="dxa"/>
            <w:vMerge w:val="continue"/>
            <w:vAlign w:val="center"/>
          </w:tcPr>
          <w:p>
            <w:pPr>
              <w:spacing w:line="360" w:lineRule="auto"/>
              <w:jc w:val="center"/>
              <w:rPr>
                <w:rFonts w:asciiTheme="majorEastAsia" w:hAnsiTheme="majorEastAsia" w:eastAsiaTheme="majorEastAsia" w:cstheme="majorEastAsia"/>
                <w:b/>
                <w:bCs/>
                <w:szCs w:val="21"/>
              </w:rPr>
            </w:pPr>
          </w:p>
        </w:tc>
        <w:tc>
          <w:tcPr>
            <w:tcW w:w="1074" w:type="dxa"/>
            <w:vMerge w:val="continue"/>
            <w:vAlign w:val="center"/>
          </w:tcPr>
          <w:p>
            <w:pPr>
              <w:spacing w:line="360" w:lineRule="auto"/>
              <w:jc w:val="center"/>
              <w:rPr>
                <w:rFonts w:asciiTheme="majorEastAsia" w:hAnsiTheme="majorEastAsia" w:eastAsiaTheme="majorEastAsia" w:cstheme="majorEastAsia"/>
                <w:b/>
                <w:bCs/>
                <w:szCs w:val="21"/>
              </w:rPr>
            </w:pPr>
          </w:p>
        </w:tc>
        <w:tc>
          <w:tcPr>
            <w:tcW w:w="1433" w:type="dxa"/>
            <w:vAlign w:val="center"/>
          </w:tcPr>
          <w:p>
            <w:pPr>
              <w:spacing w:line="360" w:lineRule="auto"/>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position w:val="-1"/>
                <w:szCs w:val="21"/>
              </w:rPr>
              <w:t>（m</w:t>
            </w:r>
            <w:r>
              <w:rPr>
                <w:rFonts w:hint="eastAsia" w:asciiTheme="majorEastAsia" w:hAnsiTheme="majorEastAsia" w:eastAsiaTheme="majorEastAsia" w:cstheme="majorEastAsia"/>
                <w:b/>
                <w:bCs/>
                <w:szCs w:val="21"/>
                <w:vertAlign w:val="superscript"/>
              </w:rPr>
              <w:t xml:space="preserve">3 </w:t>
            </w:r>
            <w:r>
              <w:rPr>
                <w:rFonts w:hint="eastAsia" w:asciiTheme="majorEastAsia" w:hAnsiTheme="majorEastAsia" w:eastAsiaTheme="majorEastAsia" w:cstheme="majorEastAsia"/>
                <w:b/>
                <w:bCs/>
                <w:szCs w:val="21"/>
              </w:rPr>
              <w:t>/d）</w:t>
            </w:r>
          </w:p>
        </w:tc>
        <w:tc>
          <w:tcPr>
            <w:tcW w:w="1243" w:type="dxa"/>
            <w:vAlign w:val="center"/>
          </w:tcPr>
          <w:p>
            <w:pPr>
              <w:spacing w:line="360" w:lineRule="auto"/>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position w:val="-1"/>
                <w:szCs w:val="21"/>
              </w:rPr>
              <w:t>（m</w:t>
            </w:r>
            <w:r>
              <w:rPr>
                <w:rFonts w:hint="eastAsia" w:asciiTheme="majorEastAsia" w:hAnsiTheme="majorEastAsia" w:eastAsiaTheme="majorEastAsia" w:cstheme="majorEastAsia"/>
                <w:b/>
                <w:bCs/>
                <w:szCs w:val="21"/>
                <w:vertAlign w:val="superscript"/>
              </w:rPr>
              <w:t xml:space="preserve">3 </w:t>
            </w:r>
            <w:r>
              <w:rPr>
                <w:rFonts w:hint="eastAsia" w:asciiTheme="majorEastAsia" w:hAnsiTheme="majorEastAsia" w:eastAsiaTheme="majorEastAsia" w:cstheme="majorEastAsia"/>
                <w:b/>
                <w:bCs/>
                <w:szCs w:val="21"/>
              </w:rPr>
              <w:t>/d）</w:t>
            </w:r>
          </w:p>
        </w:tc>
        <w:tc>
          <w:tcPr>
            <w:tcW w:w="1645" w:type="dxa"/>
            <w:vAlign w:val="center"/>
          </w:tcPr>
          <w:p>
            <w:pPr>
              <w:spacing w:line="360" w:lineRule="auto"/>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现状纳管数量</w:t>
            </w:r>
          </w:p>
        </w:tc>
        <w:tc>
          <w:tcPr>
            <w:tcW w:w="1970" w:type="dxa"/>
            <w:vAlign w:val="center"/>
          </w:tcPr>
          <w:p>
            <w:pPr>
              <w:spacing w:line="360" w:lineRule="auto"/>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2022年纳管数量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4" w:type="dxa"/>
            <w:vAlign w:val="center"/>
          </w:tcPr>
          <w:p>
            <w:pPr>
              <w:spacing w:line="192"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黄石镇污水处理厂</w:t>
            </w:r>
          </w:p>
        </w:tc>
        <w:tc>
          <w:tcPr>
            <w:tcW w:w="1074" w:type="dxa"/>
            <w:vAlign w:val="center"/>
          </w:tcPr>
          <w:p>
            <w:pPr>
              <w:spacing w:line="192"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拟建</w:t>
            </w:r>
          </w:p>
        </w:tc>
        <w:tc>
          <w:tcPr>
            <w:tcW w:w="1433" w:type="dxa"/>
            <w:vAlign w:val="center"/>
          </w:tcPr>
          <w:p>
            <w:pPr>
              <w:spacing w:line="192"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500</w:t>
            </w:r>
          </w:p>
        </w:tc>
        <w:tc>
          <w:tcPr>
            <w:tcW w:w="1243" w:type="dxa"/>
            <w:vAlign w:val="center"/>
          </w:tcPr>
          <w:p>
            <w:pPr>
              <w:spacing w:line="192"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900</w:t>
            </w:r>
          </w:p>
        </w:tc>
        <w:tc>
          <w:tcPr>
            <w:tcW w:w="1645" w:type="dxa"/>
            <w:vAlign w:val="center"/>
          </w:tcPr>
          <w:p>
            <w:pPr>
              <w:spacing w:line="192" w:lineRule="auto"/>
              <w:jc w:val="center"/>
              <w:rPr>
                <w:rFonts w:asciiTheme="majorEastAsia" w:hAnsiTheme="majorEastAsia" w:eastAsiaTheme="majorEastAsia" w:cstheme="majorEastAsia"/>
                <w:szCs w:val="21"/>
              </w:rPr>
            </w:pPr>
          </w:p>
        </w:tc>
        <w:tc>
          <w:tcPr>
            <w:tcW w:w="1970" w:type="dxa"/>
            <w:vAlign w:val="center"/>
          </w:tcPr>
          <w:p>
            <w:pPr>
              <w:spacing w:line="192"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4" w:type="dxa"/>
            <w:vAlign w:val="center"/>
          </w:tcPr>
          <w:p>
            <w:pPr>
              <w:spacing w:line="192"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架桥镇污水处理厂</w:t>
            </w:r>
          </w:p>
        </w:tc>
        <w:tc>
          <w:tcPr>
            <w:tcW w:w="1074" w:type="dxa"/>
            <w:vAlign w:val="center"/>
          </w:tcPr>
          <w:p>
            <w:pPr>
              <w:spacing w:line="192"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拟建</w:t>
            </w:r>
          </w:p>
        </w:tc>
        <w:tc>
          <w:tcPr>
            <w:tcW w:w="1433" w:type="dxa"/>
            <w:vAlign w:val="center"/>
          </w:tcPr>
          <w:p>
            <w:pPr>
              <w:spacing w:line="192"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600</w:t>
            </w:r>
          </w:p>
        </w:tc>
        <w:tc>
          <w:tcPr>
            <w:tcW w:w="1243" w:type="dxa"/>
            <w:vAlign w:val="center"/>
          </w:tcPr>
          <w:p>
            <w:pPr>
              <w:spacing w:line="192"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700</w:t>
            </w:r>
          </w:p>
        </w:tc>
        <w:tc>
          <w:tcPr>
            <w:tcW w:w="1645" w:type="dxa"/>
            <w:vAlign w:val="center"/>
          </w:tcPr>
          <w:p>
            <w:pPr>
              <w:spacing w:line="192" w:lineRule="auto"/>
              <w:jc w:val="center"/>
              <w:rPr>
                <w:rFonts w:asciiTheme="majorEastAsia" w:hAnsiTheme="majorEastAsia" w:eastAsiaTheme="majorEastAsia" w:cstheme="majorEastAsia"/>
                <w:szCs w:val="21"/>
              </w:rPr>
            </w:pPr>
          </w:p>
        </w:tc>
        <w:tc>
          <w:tcPr>
            <w:tcW w:w="1970" w:type="dxa"/>
            <w:vAlign w:val="center"/>
          </w:tcPr>
          <w:p>
            <w:pPr>
              <w:spacing w:line="192"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4" w:type="dxa"/>
            <w:vAlign w:val="center"/>
          </w:tcPr>
          <w:p>
            <w:pPr>
              <w:spacing w:line="192"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剪市镇污水处理厂</w:t>
            </w:r>
          </w:p>
        </w:tc>
        <w:tc>
          <w:tcPr>
            <w:tcW w:w="1074" w:type="dxa"/>
            <w:vAlign w:val="center"/>
          </w:tcPr>
          <w:p>
            <w:pPr>
              <w:spacing w:line="192"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拟建</w:t>
            </w:r>
          </w:p>
        </w:tc>
        <w:tc>
          <w:tcPr>
            <w:tcW w:w="1433" w:type="dxa"/>
            <w:vAlign w:val="center"/>
          </w:tcPr>
          <w:p>
            <w:pPr>
              <w:spacing w:line="192"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400</w:t>
            </w:r>
          </w:p>
        </w:tc>
        <w:tc>
          <w:tcPr>
            <w:tcW w:w="1243" w:type="dxa"/>
            <w:vAlign w:val="center"/>
          </w:tcPr>
          <w:p>
            <w:pPr>
              <w:spacing w:line="192"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600</w:t>
            </w:r>
          </w:p>
        </w:tc>
        <w:tc>
          <w:tcPr>
            <w:tcW w:w="1645" w:type="dxa"/>
            <w:vAlign w:val="center"/>
          </w:tcPr>
          <w:p>
            <w:pPr>
              <w:spacing w:line="192" w:lineRule="auto"/>
              <w:jc w:val="center"/>
              <w:rPr>
                <w:rFonts w:asciiTheme="majorEastAsia" w:hAnsiTheme="majorEastAsia" w:eastAsiaTheme="majorEastAsia" w:cstheme="majorEastAsia"/>
                <w:szCs w:val="21"/>
              </w:rPr>
            </w:pPr>
          </w:p>
        </w:tc>
        <w:tc>
          <w:tcPr>
            <w:tcW w:w="1970" w:type="dxa"/>
            <w:vAlign w:val="center"/>
          </w:tcPr>
          <w:p>
            <w:pPr>
              <w:spacing w:line="192"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4" w:type="dxa"/>
            <w:vAlign w:val="center"/>
          </w:tcPr>
          <w:p>
            <w:pPr>
              <w:spacing w:line="192"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龙潭镇污水处理厂</w:t>
            </w:r>
          </w:p>
        </w:tc>
        <w:tc>
          <w:tcPr>
            <w:tcW w:w="1074" w:type="dxa"/>
            <w:vAlign w:val="center"/>
          </w:tcPr>
          <w:p>
            <w:pPr>
              <w:spacing w:line="192"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拟建</w:t>
            </w:r>
          </w:p>
        </w:tc>
        <w:tc>
          <w:tcPr>
            <w:tcW w:w="1433" w:type="dxa"/>
            <w:vAlign w:val="center"/>
          </w:tcPr>
          <w:p>
            <w:pPr>
              <w:spacing w:line="192"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600</w:t>
            </w:r>
          </w:p>
        </w:tc>
        <w:tc>
          <w:tcPr>
            <w:tcW w:w="1243" w:type="dxa"/>
            <w:vAlign w:val="center"/>
          </w:tcPr>
          <w:p>
            <w:pPr>
              <w:spacing w:line="192"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1100</w:t>
            </w:r>
          </w:p>
        </w:tc>
        <w:tc>
          <w:tcPr>
            <w:tcW w:w="1645" w:type="dxa"/>
            <w:vAlign w:val="center"/>
          </w:tcPr>
          <w:p>
            <w:pPr>
              <w:spacing w:line="192" w:lineRule="auto"/>
              <w:jc w:val="center"/>
              <w:rPr>
                <w:rFonts w:asciiTheme="majorEastAsia" w:hAnsiTheme="majorEastAsia" w:eastAsiaTheme="majorEastAsia" w:cstheme="majorEastAsia"/>
                <w:szCs w:val="21"/>
              </w:rPr>
            </w:pPr>
          </w:p>
        </w:tc>
        <w:tc>
          <w:tcPr>
            <w:tcW w:w="1970" w:type="dxa"/>
            <w:vAlign w:val="center"/>
          </w:tcPr>
          <w:p>
            <w:pPr>
              <w:spacing w:line="192"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4" w:type="dxa"/>
            <w:vAlign w:val="center"/>
          </w:tcPr>
          <w:p>
            <w:pPr>
              <w:spacing w:line="192"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马鬃岭镇污水处理厂</w:t>
            </w:r>
          </w:p>
        </w:tc>
        <w:tc>
          <w:tcPr>
            <w:tcW w:w="1074" w:type="dxa"/>
            <w:vAlign w:val="center"/>
          </w:tcPr>
          <w:p>
            <w:pPr>
              <w:spacing w:line="192"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拟建</w:t>
            </w:r>
          </w:p>
        </w:tc>
        <w:tc>
          <w:tcPr>
            <w:tcW w:w="1433" w:type="dxa"/>
            <w:vAlign w:val="center"/>
          </w:tcPr>
          <w:p>
            <w:pPr>
              <w:spacing w:line="192"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600</w:t>
            </w:r>
          </w:p>
        </w:tc>
        <w:tc>
          <w:tcPr>
            <w:tcW w:w="1243" w:type="dxa"/>
            <w:vAlign w:val="center"/>
          </w:tcPr>
          <w:p>
            <w:pPr>
              <w:spacing w:line="192"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700</w:t>
            </w:r>
          </w:p>
        </w:tc>
        <w:tc>
          <w:tcPr>
            <w:tcW w:w="1645" w:type="dxa"/>
            <w:vAlign w:val="center"/>
          </w:tcPr>
          <w:p>
            <w:pPr>
              <w:spacing w:line="192" w:lineRule="auto"/>
              <w:jc w:val="center"/>
              <w:rPr>
                <w:rFonts w:asciiTheme="majorEastAsia" w:hAnsiTheme="majorEastAsia" w:eastAsiaTheme="majorEastAsia" w:cstheme="majorEastAsia"/>
                <w:szCs w:val="21"/>
              </w:rPr>
            </w:pPr>
          </w:p>
        </w:tc>
        <w:tc>
          <w:tcPr>
            <w:tcW w:w="1970" w:type="dxa"/>
            <w:vAlign w:val="center"/>
          </w:tcPr>
          <w:p>
            <w:pPr>
              <w:spacing w:line="192"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4" w:type="dxa"/>
            <w:vAlign w:val="center"/>
          </w:tcPr>
          <w:p>
            <w:pPr>
              <w:spacing w:line="192"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盘塘镇污水处理厂</w:t>
            </w:r>
          </w:p>
        </w:tc>
        <w:tc>
          <w:tcPr>
            <w:tcW w:w="1074" w:type="dxa"/>
            <w:vAlign w:val="center"/>
          </w:tcPr>
          <w:p>
            <w:pPr>
              <w:spacing w:line="192"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拟建</w:t>
            </w:r>
          </w:p>
        </w:tc>
        <w:tc>
          <w:tcPr>
            <w:tcW w:w="1433" w:type="dxa"/>
            <w:vAlign w:val="center"/>
          </w:tcPr>
          <w:p>
            <w:pPr>
              <w:spacing w:line="192"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700</w:t>
            </w:r>
          </w:p>
        </w:tc>
        <w:tc>
          <w:tcPr>
            <w:tcW w:w="1243" w:type="dxa"/>
            <w:vAlign w:val="center"/>
          </w:tcPr>
          <w:p>
            <w:pPr>
              <w:spacing w:line="192"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800</w:t>
            </w:r>
          </w:p>
        </w:tc>
        <w:tc>
          <w:tcPr>
            <w:tcW w:w="1645" w:type="dxa"/>
            <w:vAlign w:val="center"/>
          </w:tcPr>
          <w:p>
            <w:pPr>
              <w:spacing w:line="192" w:lineRule="auto"/>
              <w:jc w:val="center"/>
              <w:rPr>
                <w:rFonts w:asciiTheme="majorEastAsia" w:hAnsiTheme="majorEastAsia" w:eastAsiaTheme="majorEastAsia" w:cstheme="majorEastAsia"/>
                <w:szCs w:val="21"/>
              </w:rPr>
            </w:pPr>
          </w:p>
        </w:tc>
        <w:tc>
          <w:tcPr>
            <w:tcW w:w="1970" w:type="dxa"/>
            <w:vAlign w:val="center"/>
          </w:tcPr>
          <w:p>
            <w:pPr>
              <w:spacing w:line="192"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4" w:type="dxa"/>
            <w:vAlign w:val="center"/>
          </w:tcPr>
          <w:p>
            <w:pPr>
              <w:spacing w:line="192"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热市镇污水处理厂</w:t>
            </w:r>
          </w:p>
        </w:tc>
        <w:tc>
          <w:tcPr>
            <w:tcW w:w="1074" w:type="dxa"/>
            <w:vAlign w:val="center"/>
          </w:tcPr>
          <w:p>
            <w:pPr>
              <w:spacing w:line="192"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拟建</w:t>
            </w:r>
          </w:p>
        </w:tc>
        <w:tc>
          <w:tcPr>
            <w:tcW w:w="1433" w:type="dxa"/>
            <w:vAlign w:val="center"/>
          </w:tcPr>
          <w:p>
            <w:pPr>
              <w:spacing w:line="192"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800</w:t>
            </w:r>
          </w:p>
        </w:tc>
        <w:tc>
          <w:tcPr>
            <w:tcW w:w="1243" w:type="dxa"/>
            <w:vAlign w:val="center"/>
          </w:tcPr>
          <w:p>
            <w:pPr>
              <w:spacing w:line="192"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1500</w:t>
            </w:r>
          </w:p>
        </w:tc>
        <w:tc>
          <w:tcPr>
            <w:tcW w:w="1645" w:type="dxa"/>
            <w:vAlign w:val="center"/>
          </w:tcPr>
          <w:p>
            <w:pPr>
              <w:spacing w:line="192" w:lineRule="auto"/>
              <w:jc w:val="center"/>
              <w:rPr>
                <w:rFonts w:asciiTheme="majorEastAsia" w:hAnsiTheme="majorEastAsia" w:eastAsiaTheme="majorEastAsia" w:cstheme="majorEastAsia"/>
                <w:szCs w:val="21"/>
              </w:rPr>
            </w:pPr>
          </w:p>
        </w:tc>
        <w:tc>
          <w:tcPr>
            <w:tcW w:w="1970" w:type="dxa"/>
            <w:vAlign w:val="center"/>
          </w:tcPr>
          <w:p>
            <w:pPr>
              <w:spacing w:line="192"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4" w:type="dxa"/>
            <w:vAlign w:val="center"/>
          </w:tcPr>
          <w:p>
            <w:pPr>
              <w:spacing w:line="192"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三阳港镇污水处理厂</w:t>
            </w:r>
          </w:p>
        </w:tc>
        <w:tc>
          <w:tcPr>
            <w:tcW w:w="1074" w:type="dxa"/>
            <w:vAlign w:val="center"/>
          </w:tcPr>
          <w:p>
            <w:pPr>
              <w:spacing w:line="192"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拟建</w:t>
            </w:r>
          </w:p>
        </w:tc>
        <w:tc>
          <w:tcPr>
            <w:tcW w:w="1433" w:type="dxa"/>
            <w:vAlign w:val="center"/>
          </w:tcPr>
          <w:p>
            <w:pPr>
              <w:spacing w:line="192"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800</w:t>
            </w:r>
          </w:p>
        </w:tc>
        <w:tc>
          <w:tcPr>
            <w:tcW w:w="1243" w:type="dxa"/>
            <w:vAlign w:val="center"/>
          </w:tcPr>
          <w:p>
            <w:pPr>
              <w:spacing w:line="192"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1000</w:t>
            </w:r>
          </w:p>
        </w:tc>
        <w:tc>
          <w:tcPr>
            <w:tcW w:w="1645" w:type="dxa"/>
            <w:vAlign w:val="center"/>
          </w:tcPr>
          <w:p>
            <w:pPr>
              <w:spacing w:line="192" w:lineRule="auto"/>
              <w:jc w:val="center"/>
              <w:rPr>
                <w:rFonts w:asciiTheme="majorEastAsia" w:hAnsiTheme="majorEastAsia" w:eastAsiaTheme="majorEastAsia" w:cstheme="majorEastAsia"/>
                <w:szCs w:val="21"/>
              </w:rPr>
            </w:pPr>
          </w:p>
        </w:tc>
        <w:tc>
          <w:tcPr>
            <w:tcW w:w="1970" w:type="dxa"/>
            <w:vAlign w:val="center"/>
          </w:tcPr>
          <w:p>
            <w:pPr>
              <w:spacing w:line="192"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4" w:type="dxa"/>
            <w:vAlign w:val="center"/>
          </w:tcPr>
          <w:p>
            <w:pPr>
              <w:spacing w:line="192"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沙坪镇污水处理厂</w:t>
            </w:r>
          </w:p>
        </w:tc>
        <w:tc>
          <w:tcPr>
            <w:tcW w:w="1074" w:type="dxa"/>
            <w:vAlign w:val="center"/>
          </w:tcPr>
          <w:p>
            <w:pPr>
              <w:spacing w:line="192"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拟建</w:t>
            </w:r>
          </w:p>
        </w:tc>
        <w:tc>
          <w:tcPr>
            <w:tcW w:w="1433" w:type="dxa"/>
            <w:vAlign w:val="center"/>
          </w:tcPr>
          <w:p>
            <w:pPr>
              <w:spacing w:line="192"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600</w:t>
            </w:r>
          </w:p>
        </w:tc>
        <w:tc>
          <w:tcPr>
            <w:tcW w:w="1243" w:type="dxa"/>
            <w:vAlign w:val="center"/>
          </w:tcPr>
          <w:p>
            <w:pPr>
              <w:spacing w:line="192"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1100</w:t>
            </w:r>
          </w:p>
        </w:tc>
        <w:tc>
          <w:tcPr>
            <w:tcW w:w="1645" w:type="dxa"/>
            <w:vAlign w:val="center"/>
          </w:tcPr>
          <w:p>
            <w:pPr>
              <w:spacing w:line="192" w:lineRule="auto"/>
              <w:jc w:val="center"/>
              <w:rPr>
                <w:rFonts w:asciiTheme="majorEastAsia" w:hAnsiTheme="majorEastAsia" w:eastAsiaTheme="majorEastAsia" w:cstheme="majorEastAsia"/>
                <w:szCs w:val="21"/>
              </w:rPr>
            </w:pPr>
          </w:p>
        </w:tc>
        <w:tc>
          <w:tcPr>
            <w:tcW w:w="1970" w:type="dxa"/>
            <w:vAlign w:val="center"/>
          </w:tcPr>
          <w:p>
            <w:pPr>
              <w:spacing w:line="192"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4" w:type="dxa"/>
            <w:vAlign w:val="center"/>
          </w:tcPr>
          <w:p>
            <w:pPr>
              <w:spacing w:line="192"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夷望溪镇污水处理厂</w:t>
            </w:r>
          </w:p>
        </w:tc>
        <w:tc>
          <w:tcPr>
            <w:tcW w:w="1074" w:type="dxa"/>
            <w:vAlign w:val="center"/>
          </w:tcPr>
          <w:p>
            <w:pPr>
              <w:spacing w:line="192"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拟建</w:t>
            </w:r>
          </w:p>
        </w:tc>
        <w:tc>
          <w:tcPr>
            <w:tcW w:w="1433" w:type="dxa"/>
            <w:vAlign w:val="center"/>
          </w:tcPr>
          <w:p>
            <w:pPr>
              <w:spacing w:line="192"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400</w:t>
            </w:r>
          </w:p>
        </w:tc>
        <w:tc>
          <w:tcPr>
            <w:tcW w:w="1243" w:type="dxa"/>
            <w:vAlign w:val="center"/>
          </w:tcPr>
          <w:p>
            <w:pPr>
              <w:spacing w:line="192"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600</w:t>
            </w:r>
          </w:p>
        </w:tc>
        <w:tc>
          <w:tcPr>
            <w:tcW w:w="1645" w:type="dxa"/>
            <w:vAlign w:val="center"/>
          </w:tcPr>
          <w:p>
            <w:pPr>
              <w:spacing w:line="192" w:lineRule="auto"/>
              <w:jc w:val="center"/>
              <w:rPr>
                <w:rFonts w:asciiTheme="majorEastAsia" w:hAnsiTheme="majorEastAsia" w:eastAsiaTheme="majorEastAsia" w:cstheme="majorEastAsia"/>
                <w:szCs w:val="21"/>
              </w:rPr>
            </w:pPr>
          </w:p>
        </w:tc>
        <w:tc>
          <w:tcPr>
            <w:tcW w:w="1970" w:type="dxa"/>
            <w:vAlign w:val="center"/>
          </w:tcPr>
          <w:p>
            <w:pPr>
              <w:spacing w:line="192"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4" w:type="dxa"/>
            <w:vAlign w:val="center"/>
          </w:tcPr>
          <w:p>
            <w:pPr>
              <w:spacing w:line="192"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合计</w:t>
            </w:r>
          </w:p>
        </w:tc>
        <w:tc>
          <w:tcPr>
            <w:tcW w:w="1074" w:type="dxa"/>
            <w:vAlign w:val="center"/>
          </w:tcPr>
          <w:p>
            <w:pPr>
              <w:spacing w:line="192" w:lineRule="auto"/>
              <w:jc w:val="center"/>
              <w:rPr>
                <w:rFonts w:asciiTheme="majorEastAsia" w:hAnsiTheme="majorEastAsia" w:eastAsiaTheme="majorEastAsia" w:cstheme="majorEastAsia"/>
                <w:szCs w:val="21"/>
              </w:rPr>
            </w:pPr>
          </w:p>
        </w:tc>
        <w:tc>
          <w:tcPr>
            <w:tcW w:w="1433" w:type="dxa"/>
            <w:vAlign w:val="center"/>
          </w:tcPr>
          <w:p>
            <w:pPr>
              <w:spacing w:line="192"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116800</w:t>
            </w:r>
          </w:p>
        </w:tc>
        <w:tc>
          <w:tcPr>
            <w:tcW w:w="1243" w:type="dxa"/>
            <w:vAlign w:val="center"/>
          </w:tcPr>
          <w:p>
            <w:pPr>
              <w:spacing w:line="192"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678880</w:t>
            </w:r>
          </w:p>
        </w:tc>
        <w:tc>
          <w:tcPr>
            <w:tcW w:w="1645" w:type="dxa"/>
            <w:vAlign w:val="center"/>
          </w:tcPr>
          <w:p>
            <w:pPr>
              <w:spacing w:line="192"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33</w:t>
            </w:r>
          </w:p>
        </w:tc>
        <w:tc>
          <w:tcPr>
            <w:tcW w:w="1970" w:type="dxa"/>
            <w:vAlign w:val="center"/>
          </w:tcPr>
          <w:p>
            <w:pPr>
              <w:spacing w:line="192"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79</w:t>
            </w:r>
          </w:p>
        </w:tc>
      </w:tr>
    </w:tbl>
    <w:p>
      <w:pPr>
        <w:spacing w:line="500" w:lineRule="exact"/>
        <w:ind w:firstLine="442" w:firstLineChars="200"/>
        <w:rPr>
          <w:rFonts w:asciiTheme="majorEastAsia" w:hAnsiTheme="majorEastAsia" w:eastAsiaTheme="majorEastAsia" w:cstheme="majorEastAsia"/>
          <w:b/>
          <w:bCs/>
          <w:sz w:val="22"/>
          <w:szCs w:val="22"/>
        </w:rPr>
      </w:pPr>
      <w:r>
        <w:rPr>
          <w:rFonts w:hint="eastAsia" w:asciiTheme="majorEastAsia" w:hAnsiTheme="majorEastAsia" w:eastAsiaTheme="majorEastAsia" w:cstheme="majorEastAsia"/>
          <w:b/>
          <w:bCs/>
          <w:sz w:val="22"/>
          <w:szCs w:val="22"/>
        </w:rPr>
        <w:t>（2）纳管处理规划</w:t>
      </w:r>
    </w:p>
    <w:p>
      <w:pPr>
        <w:spacing w:line="360" w:lineRule="auto"/>
        <w:ind w:firstLine="440"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根据桃源县污水管网建设的分期特点，本工程将村（居）农村生活污水纳管分为两个时间节点： 现有纳管2020年，由于大部分集镇污水处理厂和配套管网建设时序为2019年-2020年，该部分管道资金和建设时序上均有保障。远期纳管2022年，届时集镇污水处理厂已启动远期建设规划。三年内计划纳管的村共79个。</w:t>
      </w:r>
    </w:p>
    <w:p>
      <w:pPr>
        <w:spacing w:line="360" w:lineRule="auto"/>
        <w:ind w:firstLine="442" w:firstLineChars="200"/>
        <w:jc w:val="center"/>
        <w:rPr>
          <w:rFonts w:asciiTheme="majorEastAsia" w:hAnsiTheme="majorEastAsia" w:eastAsiaTheme="majorEastAsia" w:cstheme="majorEastAsia"/>
          <w:b/>
          <w:bCs/>
          <w:sz w:val="22"/>
          <w:szCs w:val="22"/>
        </w:rPr>
      </w:pPr>
      <w:r>
        <w:rPr>
          <w:rFonts w:hint="eastAsia" w:asciiTheme="majorEastAsia" w:hAnsiTheme="majorEastAsia" w:eastAsiaTheme="majorEastAsia" w:cstheme="majorEastAsia"/>
          <w:b/>
          <w:bCs/>
          <w:sz w:val="22"/>
          <w:szCs w:val="22"/>
        </w:rPr>
        <w:t>表 4- 2 村（居）生活污水管处理计划一览表</w:t>
      </w:r>
    </w:p>
    <w:tbl>
      <w:tblPr>
        <w:tblStyle w:val="6"/>
        <w:tblW w:w="10130" w:type="dxa"/>
        <w:tblInd w:w="-3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3"/>
        <w:gridCol w:w="1007"/>
        <w:gridCol w:w="907"/>
        <w:gridCol w:w="1007"/>
        <w:gridCol w:w="1019"/>
        <w:gridCol w:w="2698"/>
        <w:gridCol w:w="1500"/>
        <w:gridCol w:w="1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403" w:type="dxa"/>
            <w:vMerge w:val="restart"/>
            <w:vAlign w:val="center"/>
          </w:tcPr>
          <w:p>
            <w:pPr>
              <w:spacing w:line="144" w:lineRule="auto"/>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序号</w:t>
            </w:r>
          </w:p>
        </w:tc>
        <w:tc>
          <w:tcPr>
            <w:tcW w:w="1007" w:type="dxa"/>
            <w:vMerge w:val="restart"/>
            <w:vAlign w:val="center"/>
          </w:tcPr>
          <w:p>
            <w:pPr>
              <w:spacing w:line="144" w:lineRule="auto"/>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乡镇</w:t>
            </w:r>
          </w:p>
          <w:p>
            <w:pPr>
              <w:spacing w:line="144" w:lineRule="auto"/>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名称</w:t>
            </w:r>
          </w:p>
        </w:tc>
        <w:tc>
          <w:tcPr>
            <w:tcW w:w="907" w:type="dxa"/>
            <w:vMerge w:val="restart"/>
            <w:vAlign w:val="center"/>
          </w:tcPr>
          <w:p>
            <w:pPr>
              <w:spacing w:line="144" w:lineRule="auto"/>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村（居）总数</w:t>
            </w:r>
          </w:p>
        </w:tc>
        <w:tc>
          <w:tcPr>
            <w:tcW w:w="1007" w:type="dxa"/>
            <w:vAlign w:val="center"/>
          </w:tcPr>
          <w:p>
            <w:pPr>
              <w:spacing w:line="144" w:lineRule="auto"/>
              <w:jc w:val="center"/>
              <w:rPr>
                <w:rFonts w:asciiTheme="majorEastAsia" w:hAnsiTheme="majorEastAsia" w:eastAsiaTheme="majorEastAsia" w:cstheme="majorEastAsia"/>
                <w:b/>
                <w:bCs/>
                <w:szCs w:val="21"/>
              </w:rPr>
            </w:pPr>
          </w:p>
        </w:tc>
        <w:tc>
          <w:tcPr>
            <w:tcW w:w="1019" w:type="dxa"/>
            <w:vAlign w:val="center"/>
          </w:tcPr>
          <w:p>
            <w:pPr>
              <w:spacing w:line="144" w:lineRule="auto"/>
              <w:jc w:val="center"/>
              <w:rPr>
                <w:rFonts w:asciiTheme="majorEastAsia" w:hAnsiTheme="majorEastAsia" w:eastAsiaTheme="majorEastAsia" w:cstheme="majorEastAsia"/>
                <w:b/>
                <w:bCs/>
                <w:szCs w:val="21"/>
              </w:rPr>
            </w:pPr>
          </w:p>
        </w:tc>
        <w:tc>
          <w:tcPr>
            <w:tcW w:w="5787" w:type="dxa"/>
            <w:gridSpan w:val="3"/>
            <w:vAlign w:val="center"/>
          </w:tcPr>
          <w:p>
            <w:pPr>
              <w:spacing w:line="144" w:lineRule="auto"/>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村（居）纳管处理情况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403" w:type="dxa"/>
            <w:vMerge w:val="continue"/>
            <w:vAlign w:val="center"/>
          </w:tcPr>
          <w:p>
            <w:pPr>
              <w:spacing w:line="144" w:lineRule="auto"/>
              <w:jc w:val="center"/>
              <w:rPr>
                <w:b/>
                <w:bCs/>
                <w:szCs w:val="21"/>
              </w:rPr>
            </w:pPr>
          </w:p>
        </w:tc>
        <w:tc>
          <w:tcPr>
            <w:tcW w:w="1007" w:type="dxa"/>
            <w:vMerge w:val="continue"/>
            <w:vAlign w:val="center"/>
          </w:tcPr>
          <w:p>
            <w:pPr>
              <w:spacing w:line="144" w:lineRule="auto"/>
              <w:jc w:val="center"/>
              <w:rPr>
                <w:b/>
                <w:bCs/>
                <w:szCs w:val="21"/>
              </w:rPr>
            </w:pPr>
          </w:p>
        </w:tc>
        <w:tc>
          <w:tcPr>
            <w:tcW w:w="907" w:type="dxa"/>
            <w:vMerge w:val="continue"/>
            <w:vAlign w:val="center"/>
          </w:tcPr>
          <w:p>
            <w:pPr>
              <w:spacing w:line="144" w:lineRule="auto"/>
              <w:jc w:val="center"/>
              <w:rPr>
                <w:b/>
                <w:bCs/>
                <w:szCs w:val="21"/>
              </w:rPr>
            </w:pPr>
          </w:p>
        </w:tc>
        <w:tc>
          <w:tcPr>
            <w:tcW w:w="1007" w:type="dxa"/>
            <w:vAlign w:val="center"/>
          </w:tcPr>
          <w:p>
            <w:pPr>
              <w:spacing w:line="144" w:lineRule="auto"/>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完全纳管数</w:t>
            </w:r>
          </w:p>
        </w:tc>
        <w:tc>
          <w:tcPr>
            <w:tcW w:w="1019" w:type="dxa"/>
            <w:vAlign w:val="center"/>
          </w:tcPr>
          <w:p>
            <w:pPr>
              <w:spacing w:line="144" w:lineRule="auto"/>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部分纳管数</w:t>
            </w:r>
          </w:p>
        </w:tc>
        <w:tc>
          <w:tcPr>
            <w:tcW w:w="2698" w:type="dxa"/>
            <w:vAlign w:val="center"/>
          </w:tcPr>
          <w:p>
            <w:pPr>
              <w:spacing w:line="144" w:lineRule="auto"/>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2019年纳管名单</w:t>
            </w:r>
          </w:p>
        </w:tc>
        <w:tc>
          <w:tcPr>
            <w:tcW w:w="1500" w:type="dxa"/>
            <w:vAlign w:val="center"/>
          </w:tcPr>
          <w:p>
            <w:pPr>
              <w:spacing w:line="144" w:lineRule="auto"/>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2022年完全纳管名单</w:t>
            </w:r>
          </w:p>
        </w:tc>
        <w:tc>
          <w:tcPr>
            <w:tcW w:w="1589" w:type="dxa"/>
            <w:vAlign w:val="center"/>
          </w:tcPr>
          <w:p>
            <w:pPr>
              <w:spacing w:line="144" w:lineRule="auto"/>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2022年部分纳管名单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4" w:hRule="atLeast"/>
        </w:trPr>
        <w:tc>
          <w:tcPr>
            <w:tcW w:w="403" w:type="dxa"/>
            <w:vAlign w:val="center"/>
          </w:tcPr>
          <w:p>
            <w:pPr>
              <w:spacing w:line="36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w:t>
            </w:r>
          </w:p>
        </w:tc>
        <w:tc>
          <w:tcPr>
            <w:tcW w:w="1007" w:type="dxa"/>
            <w:vAlign w:val="center"/>
          </w:tcPr>
          <w:p>
            <w:pPr>
              <w:spacing w:line="36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浔阳街道</w:t>
            </w:r>
          </w:p>
        </w:tc>
        <w:tc>
          <w:tcPr>
            <w:tcW w:w="907" w:type="dxa"/>
            <w:vAlign w:val="center"/>
          </w:tcPr>
          <w:p>
            <w:pPr>
              <w:spacing w:line="36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18</w:t>
            </w:r>
          </w:p>
        </w:tc>
        <w:tc>
          <w:tcPr>
            <w:tcW w:w="1007" w:type="dxa"/>
            <w:vAlign w:val="center"/>
          </w:tcPr>
          <w:p>
            <w:pPr>
              <w:spacing w:line="36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10</w:t>
            </w:r>
          </w:p>
        </w:tc>
        <w:tc>
          <w:tcPr>
            <w:tcW w:w="1019" w:type="dxa"/>
            <w:vAlign w:val="center"/>
          </w:tcPr>
          <w:p>
            <w:pPr>
              <w:spacing w:line="360" w:lineRule="auto"/>
              <w:jc w:val="center"/>
              <w:rPr>
                <w:rFonts w:asciiTheme="majorEastAsia" w:hAnsiTheme="majorEastAsia" w:eastAsiaTheme="majorEastAsia" w:cstheme="majorEastAsia"/>
                <w:szCs w:val="21"/>
              </w:rPr>
            </w:pPr>
          </w:p>
        </w:tc>
        <w:tc>
          <w:tcPr>
            <w:tcW w:w="2698" w:type="dxa"/>
          </w:tcPr>
          <w:p>
            <w:pPr>
              <w:spacing w:line="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尧河居委会、梅溪桥居委</w:t>
            </w:r>
          </w:p>
          <w:p>
            <w:pPr>
              <w:spacing w:line="2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会、八字路居委会、万寿</w:t>
            </w:r>
          </w:p>
          <w:p>
            <w:pPr>
              <w:spacing w:line="2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桥居委会、天子岗居委会、二里岗居委会、洞庭宫居委会、莲花湖居委会、廻峰村、箓萝坪村</w:t>
            </w:r>
          </w:p>
        </w:tc>
        <w:tc>
          <w:tcPr>
            <w:tcW w:w="1500" w:type="dxa"/>
          </w:tcPr>
          <w:p>
            <w:pPr>
              <w:spacing w:line="360" w:lineRule="auto"/>
              <w:jc w:val="center"/>
              <w:rPr>
                <w:rFonts w:asciiTheme="majorEastAsia" w:hAnsiTheme="majorEastAsia" w:eastAsiaTheme="majorEastAsia" w:cstheme="majorEastAsia"/>
                <w:szCs w:val="21"/>
              </w:rPr>
            </w:pPr>
          </w:p>
        </w:tc>
        <w:tc>
          <w:tcPr>
            <w:tcW w:w="1589" w:type="dxa"/>
          </w:tcPr>
          <w:p>
            <w:pPr>
              <w:spacing w:line="360" w:lineRule="auto"/>
              <w:jc w:val="center"/>
              <w:rPr>
                <w:rFonts w:asciiTheme="majorEastAsia" w:hAnsiTheme="majorEastAsia" w:eastAsiaTheme="majorEastAsia" w:cs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 w:type="dxa"/>
            <w:vAlign w:val="center"/>
          </w:tcPr>
          <w:p>
            <w:pPr>
              <w:spacing w:line="36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w:t>
            </w:r>
          </w:p>
        </w:tc>
        <w:tc>
          <w:tcPr>
            <w:tcW w:w="1007" w:type="dxa"/>
            <w:vAlign w:val="center"/>
          </w:tcPr>
          <w:p>
            <w:pPr>
              <w:spacing w:line="36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漳江街道</w:t>
            </w:r>
          </w:p>
        </w:tc>
        <w:tc>
          <w:tcPr>
            <w:tcW w:w="907" w:type="dxa"/>
            <w:vAlign w:val="center"/>
          </w:tcPr>
          <w:p>
            <w:pPr>
              <w:spacing w:line="36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26</w:t>
            </w:r>
          </w:p>
        </w:tc>
        <w:tc>
          <w:tcPr>
            <w:tcW w:w="1007" w:type="dxa"/>
            <w:vAlign w:val="center"/>
          </w:tcPr>
          <w:p>
            <w:pPr>
              <w:spacing w:line="36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11</w:t>
            </w:r>
          </w:p>
        </w:tc>
        <w:tc>
          <w:tcPr>
            <w:tcW w:w="1019" w:type="dxa"/>
            <w:vAlign w:val="center"/>
          </w:tcPr>
          <w:p>
            <w:pPr>
              <w:spacing w:line="360" w:lineRule="auto"/>
              <w:jc w:val="center"/>
              <w:rPr>
                <w:rFonts w:asciiTheme="majorEastAsia" w:hAnsiTheme="majorEastAsia" w:eastAsiaTheme="majorEastAsia" w:cstheme="majorEastAsia"/>
                <w:szCs w:val="21"/>
              </w:rPr>
            </w:pPr>
          </w:p>
        </w:tc>
        <w:tc>
          <w:tcPr>
            <w:tcW w:w="2698" w:type="dxa"/>
          </w:tcPr>
          <w:p>
            <w:pPr>
              <w:spacing w:line="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白佛阁居委会、桐木港居</w:t>
            </w:r>
          </w:p>
          <w:p>
            <w:pPr>
              <w:spacing w:line="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委会、官家坪居委会、渔</w:t>
            </w:r>
          </w:p>
          <w:p>
            <w:pPr>
              <w:spacing w:line="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父祠居委会、黄花井居委</w:t>
            </w:r>
          </w:p>
          <w:p>
            <w:pPr>
              <w:spacing w:line="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会、文星园居委会、西苑</w:t>
            </w:r>
          </w:p>
          <w:p>
            <w:pPr>
              <w:spacing w:line="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居委会、纺城路居委会、</w:t>
            </w:r>
          </w:p>
          <w:p>
            <w:pPr>
              <w:spacing w:line="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漳江阁居委会、文昌阁居委会、观音巷居委会</w:t>
            </w:r>
            <w:r>
              <w:rPr>
                <w:rFonts w:hint="eastAsia" w:asciiTheme="majorEastAsia" w:hAnsiTheme="majorEastAsia" w:eastAsiaTheme="majorEastAsia" w:cstheme="majorEastAsia"/>
                <w:szCs w:val="21"/>
              </w:rPr>
              <w:tab/>
            </w:r>
          </w:p>
        </w:tc>
        <w:tc>
          <w:tcPr>
            <w:tcW w:w="1500" w:type="dxa"/>
          </w:tcPr>
          <w:p>
            <w:pPr>
              <w:spacing w:line="360" w:lineRule="auto"/>
              <w:jc w:val="center"/>
              <w:rPr>
                <w:rFonts w:asciiTheme="majorEastAsia" w:hAnsiTheme="majorEastAsia" w:eastAsiaTheme="majorEastAsia" w:cstheme="majorEastAsia"/>
                <w:szCs w:val="21"/>
              </w:rPr>
            </w:pPr>
          </w:p>
        </w:tc>
        <w:tc>
          <w:tcPr>
            <w:tcW w:w="1589" w:type="dxa"/>
          </w:tcPr>
          <w:p>
            <w:pPr>
              <w:spacing w:line="360" w:lineRule="auto"/>
              <w:jc w:val="center"/>
              <w:rPr>
                <w:rFonts w:asciiTheme="majorEastAsia" w:hAnsiTheme="majorEastAsia" w:eastAsiaTheme="majorEastAsia" w:cstheme="majorEastAsia"/>
                <w:szCs w:val="21"/>
              </w:rPr>
            </w:pPr>
          </w:p>
        </w:tc>
      </w:tr>
    </w:tbl>
    <w:p>
      <w:pPr>
        <w:spacing w:line="360" w:lineRule="auto"/>
        <w:ind w:firstLine="442" w:firstLineChars="200"/>
        <w:jc w:val="center"/>
        <w:rPr>
          <w:rFonts w:asciiTheme="majorEastAsia" w:hAnsiTheme="majorEastAsia" w:eastAsiaTheme="majorEastAsia" w:cstheme="majorEastAsia"/>
          <w:b/>
          <w:bCs/>
          <w:sz w:val="22"/>
          <w:szCs w:val="22"/>
        </w:rPr>
      </w:pPr>
    </w:p>
    <w:p>
      <w:pPr>
        <w:spacing w:line="360" w:lineRule="auto"/>
        <w:ind w:firstLine="442" w:firstLineChars="200"/>
        <w:jc w:val="center"/>
        <w:rPr>
          <w:rFonts w:asciiTheme="majorEastAsia" w:hAnsiTheme="majorEastAsia" w:eastAsiaTheme="majorEastAsia" w:cstheme="majorEastAsia"/>
          <w:b/>
          <w:bCs/>
          <w:sz w:val="22"/>
          <w:szCs w:val="22"/>
        </w:rPr>
      </w:pPr>
    </w:p>
    <w:tbl>
      <w:tblPr>
        <w:tblStyle w:val="6"/>
        <w:tblW w:w="10050" w:type="dxa"/>
        <w:tblInd w:w="-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
        <w:gridCol w:w="1086"/>
        <w:gridCol w:w="851"/>
        <w:gridCol w:w="649"/>
        <w:gridCol w:w="694"/>
        <w:gridCol w:w="2508"/>
        <w:gridCol w:w="1623"/>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434" w:type="dxa"/>
            <w:vMerge w:val="restart"/>
            <w:vAlign w:val="center"/>
          </w:tcPr>
          <w:p>
            <w:pPr>
              <w:spacing w:line="144" w:lineRule="auto"/>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序号</w:t>
            </w:r>
          </w:p>
        </w:tc>
        <w:tc>
          <w:tcPr>
            <w:tcW w:w="1086" w:type="dxa"/>
            <w:vMerge w:val="restart"/>
            <w:vAlign w:val="center"/>
          </w:tcPr>
          <w:p>
            <w:pPr>
              <w:spacing w:line="144" w:lineRule="auto"/>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乡镇</w:t>
            </w:r>
          </w:p>
          <w:p>
            <w:pPr>
              <w:spacing w:line="144" w:lineRule="auto"/>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名称</w:t>
            </w:r>
          </w:p>
        </w:tc>
        <w:tc>
          <w:tcPr>
            <w:tcW w:w="851" w:type="dxa"/>
            <w:vMerge w:val="restart"/>
            <w:vAlign w:val="center"/>
          </w:tcPr>
          <w:p>
            <w:pPr>
              <w:spacing w:line="144" w:lineRule="auto"/>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村（居）总数</w:t>
            </w:r>
          </w:p>
        </w:tc>
        <w:tc>
          <w:tcPr>
            <w:tcW w:w="649" w:type="dxa"/>
            <w:vAlign w:val="center"/>
          </w:tcPr>
          <w:p>
            <w:pPr>
              <w:spacing w:line="144" w:lineRule="auto"/>
              <w:jc w:val="center"/>
              <w:rPr>
                <w:rFonts w:asciiTheme="majorEastAsia" w:hAnsiTheme="majorEastAsia" w:eastAsiaTheme="majorEastAsia" w:cstheme="majorEastAsia"/>
                <w:b/>
                <w:bCs/>
                <w:szCs w:val="21"/>
              </w:rPr>
            </w:pPr>
          </w:p>
        </w:tc>
        <w:tc>
          <w:tcPr>
            <w:tcW w:w="694" w:type="dxa"/>
            <w:vAlign w:val="center"/>
          </w:tcPr>
          <w:p>
            <w:pPr>
              <w:spacing w:line="144" w:lineRule="auto"/>
              <w:jc w:val="center"/>
              <w:rPr>
                <w:rFonts w:asciiTheme="majorEastAsia" w:hAnsiTheme="majorEastAsia" w:eastAsiaTheme="majorEastAsia" w:cstheme="majorEastAsia"/>
                <w:b/>
                <w:bCs/>
                <w:szCs w:val="21"/>
              </w:rPr>
            </w:pPr>
          </w:p>
        </w:tc>
        <w:tc>
          <w:tcPr>
            <w:tcW w:w="6336" w:type="dxa"/>
            <w:gridSpan w:val="3"/>
            <w:vAlign w:val="center"/>
          </w:tcPr>
          <w:p>
            <w:pPr>
              <w:spacing w:line="144" w:lineRule="auto"/>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村（居）纳管处理情况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434" w:type="dxa"/>
            <w:vMerge w:val="continue"/>
            <w:vAlign w:val="center"/>
          </w:tcPr>
          <w:p>
            <w:pPr>
              <w:spacing w:line="144" w:lineRule="auto"/>
              <w:jc w:val="center"/>
              <w:rPr>
                <w:b/>
                <w:bCs/>
                <w:szCs w:val="21"/>
              </w:rPr>
            </w:pPr>
          </w:p>
        </w:tc>
        <w:tc>
          <w:tcPr>
            <w:tcW w:w="1086" w:type="dxa"/>
            <w:vMerge w:val="continue"/>
            <w:vAlign w:val="center"/>
          </w:tcPr>
          <w:p>
            <w:pPr>
              <w:spacing w:line="144" w:lineRule="auto"/>
              <w:jc w:val="center"/>
              <w:rPr>
                <w:b/>
                <w:bCs/>
                <w:szCs w:val="21"/>
              </w:rPr>
            </w:pPr>
          </w:p>
        </w:tc>
        <w:tc>
          <w:tcPr>
            <w:tcW w:w="851" w:type="dxa"/>
            <w:vMerge w:val="continue"/>
            <w:vAlign w:val="center"/>
          </w:tcPr>
          <w:p>
            <w:pPr>
              <w:spacing w:line="144" w:lineRule="auto"/>
              <w:jc w:val="center"/>
              <w:rPr>
                <w:b/>
                <w:bCs/>
                <w:szCs w:val="21"/>
              </w:rPr>
            </w:pPr>
          </w:p>
        </w:tc>
        <w:tc>
          <w:tcPr>
            <w:tcW w:w="649" w:type="dxa"/>
            <w:vAlign w:val="center"/>
          </w:tcPr>
          <w:p>
            <w:pPr>
              <w:spacing w:line="144" w:lineRule="auto"/>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完全纳管数</w:t>
            </w:r>
          </w:p>
        </w:tc>
        <w:tc>
          <w:tcPr>
            <w:tcW w:w="694" w:type="dxa"/>
            <w:vAlign w:val="center"/>
          </w:tcPr>
          <w:p>
            <w:pPr>
              <w:spacing w:line="144" w:lineRule="auto"/>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部分纳管数</w:t>
            </w:r>
          </w:p>
        </w:tc>
        <w:tc>
          <w:tcPr>
            <w:tcW w:w="2508" w:type="dxa"/>
            <w:vAlign w:val="center"/>
          </w:tcPr>
          <w:p>
            <w:pPr>
              <w:spacing w:line="144" w:lineRule="auto"/>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2019年纳管名单</w:t>
            </w:r>
          </w:p>
        </w:tc>
        <w:tc>
          <w:tcPr>
            <w:tcW w:w="1623" w:type="dxa"/>
            <w:vAlign w:val="center"/>
          </w:tcPr>
          <w:p>
            <w:pPr>
              <w:spacing w:line="144" w:lineRule="auto"/>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2022年完全纳管名单</w:t>
            </w:r>
          </w:p>
        </w:tc>
        <w:tc>
          <w:tcPr>
            <w:tcW w:w="2205" w:type="dxa"/>
            <w:vAlign w:val="center"/>
          </w:tcPr>
          <w:p>
            <w:pPr>
              <w:spacing w:line="144" w:lineRule="auto"/>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2022年部分纳管名单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434" w:type="dxa"/>
            <w:vAlign w:val="center"/>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w:t>
            </w:r>
          </w:p>
        </w:tc>
        <w:tc>
          <w:tcPr>
            <w:tcW w:w="1086" w:type="dxa"/>
            <w:vAlign w:val="center"/>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陬市镇</w:t>
            </w:r>
          </w:p>
        </w:tc>
        <w:tc>
          <w:tcPr>
            <w:tcW w:w="851" w:type="dxa"/>
            <w:vAlign w:val="center"/>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20</w:t>
            </w:r>
          </w:p>
        </w:tc>
        <w:tc>
          <w:tcPr>
            <w:tcW w:w="649" w:type="dxa"/>
            <w:vAlign w:val="center"/>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8</w:t>
            </w:r>
          </w:p>
        </w:tc>
        <w:tc>
          <w:tcPr>
            <w:tcW w:w="694" w:type="dxa"/>
            <w:vAlign w:val="center"/>
          </w:tcPr>
          <w:p>
            <w:pPr>
              <w:spacing w:line="120" w:lineRule="auto"/>
              <w:jc w:val="center"/>
              <w:rPr>
                <w:rFonts w:asciiTheme="majorEastAsia" w:hAnsiTheme="majorEastAsia" w:eastAsiaTheme="majorEastAsia" w:cstheme="majorEastAsia"/>
                <w:szCs w:val="21"/>
              </w:rPr>
            </w:pPr>
          </w:p>
        </w:tc>
        <w:tc>
          <w:tcPr>
            <w:tcW w:w="2508" w:type="dxa"/>
          </w:tcPr>
          <w:p>
            <w:pPr>
              <w:spacing w:line="12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兴盛街居委会、下街居委</w:t>
            </w:r>
          </w:p>
          <w:p>
            <w:pPr>
              <w:spacing w:line="12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会、解放街居委会、李家</w:t>
            </w:r>
          </w:p>
          <w:p>
            <w:pPr>
              <w:spacing w:line="12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洲居委会、洋洲居委会、</w:t>
            </w:r>
          </w:p>
          <w:p>
            <w:pPr>
              <w:spacing w:line="12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万家嘴居委会、上街居委</w:t>
            </w:r>
          </w:p>
          <w:p>
            <w:pPr>
              <w:spacing w:line="12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会、长乐村</w:t>
            </w:r>
          </w:p>
        </w:tc>
        <w:tc>
          <w:tcPr>
            <w:tcW w:w="1623" w:type="dxa"/>
          </w:tcPr>
          <w:p>
            <w:pPr>
              <w:spacing w:line="120" w:lineRule="auto"/>
              <w:jc w:val="center"/>
              <w:rPr>
                <w:rFonts w:asciiTheme="majorEastAsia" w:hAnsiTheme="majorEastAsia" w:eastAsiaTheme="majorEastAsia" w:cstheme="majorEastAsia"/>
                <w:szCs w:val="21"/>
              </w:rPr>
            </w:pPr>
          </w:p>
        </w:tc>
        <w:tc>
          <w:tcPr>
            <w:tcW w:w="2205" w:type="dxa"/>
          </w:tcPr>
          <w:p>
            <w:pPr>
              <w:spacing w:line="120" w:lineRule="auto"/>
              <w:jc w:val="center"/>
              <w:rPr>
                <w:rFonts w:asciiTheme="majorEastAsia" w:hAnsiTheme="majorEastAsia" w:eastAsiaTheme="majorEastAsia" w:cs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dxa"/>
            <w:vAlign w:val="center"/>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w:t>
            </w:r>
          </w:p>
        </w:tc>
        <w:tc>
          <w:tcPr>
            <w:tcW w:w="1086" w:type="dxa"/>
            <w:vAlign w:val="center"/>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漆河镇</w:t>
            </w:r>
          </w:p>
        </w:tc>
        <w:tc>
          <w:tcPr>
            <w:tcW w:w="851" w:type="dxa"/>
            <w:vAlign w:val="center"/>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28</w:t>
            </w:r>
          </w:p>
        </w:tc>
        <w:tc>
          <w:tcPr>
            <w:tcW w:w="649" w:type="dxa"/>
            <w:vAlign w:val="center"/>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w:t>
            </w:r>
          </w:p>
        </w:tc>
        <w:tc>
          <w:tcPr>
            <w:tcW w:w="694" w:type="dxa"/>
            <w:vAlign w:val="center"/>
          </w:tcPr>
          <w:p>
            <w:pPr>
              <w:spacing w:line="120" w:lineRule="auto"/>
              <w:jc w:val="center"/>
              <w:rPr>
                <w:rFonts w:asciiTheme="majorEastAsia" w:hAnsiTheme="majorEastAsia" w:eastAsiaTheme="majorEastAsia" w:cstheme="majorEastAsia"/>
                <w:szCs w:val="21"/>
              </w:rPr>
            </w:pPr>
          </w:p>
        </w:tc>
        <w:tc>
          <w:tcPr>
            <w:tcW w:w="2508" w:type="dxa"/>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长寿街居委会、仙鹤路居</w:t>
            </w:r>
          </w:p>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委会、仙人山居委会、兴</w:t>
            </w:r>
          </w:p>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隆祠居委会</w:t>
            </w:r>
          </w:p>
        </w:tc>
        <w:tc>
          <w:tcPr>
            <w:tcW w:w="1623" w:type="dxa"/>
          </w:tcPr>
          <w:p>
            <w:pPr>
              <w:spacing w:line="120" w:lineRule="auto"/>
              <w:jc w:val="center"/>
              <w:rPr>
                <w:rFonts w:asciiTheme="majorEastAsia" w:hAnsiTheme="majorEastAsia" w:eastAsiaTheme="majorEastAsia" w:cstheme="majorEastAsia"/>
                <w:szCs w:val="21"/>
              </w:rPr>
            </w:pPr>
          </w:p>
        </w:tc>
        <w:tc>
          <w:tcPr>
            <w:tcW w:w="2205" w:type="dxa"/>
          </w:tcPr>
          <w:p>
            <w:pPr>
              <w:spacing w:line="120" w:lineRule="auto"/>
              <w:jc w:val="center"/>
              <w:rPr>
                <w:rFonts w:asciiTheme="majorEastAsia" w:hAnsiTheme="majorEastAsia" w:eastAsiaTheme="majorEastAsia" w:cs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dxa"/>
            <w:vAlign w:val="center"/>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5</w:t>
            </w:r>
          </w:p>
        </w:tc>
        <w:tc>
          <w:tcPr>
            <w:tcW w:w="1086" w:type="dxa"/>
            <w:vAlign w:val="center"/>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沙坪镇</w:t>
            </w:r>
          </w:p>
        </w:tc>
        <w:tc>
          <w:tcPr>
            <w:tcW w:w="851" w:type="dxa"/>
            <w:vAlign w:val="center"/>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16</w:t>
            </w:r>
          </w:p>
        </w:tc>
        <w:tc>
          <w:tcPr>
            <w:tcW w:w="649" w:type="dxa"/>
            <w:vAlign w:val="center"/>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w:t>
            </w:r>
          </w:p>
        </w:tc>
        <w:tc>
          <w:tcPr>
            <w:tcW w:w="694" w:type="dxa"/>
            <w:vAlign w:val="center"/>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w:t>
            </w:r>
          </w:p>
        </w:tc>
        <w:tc>
          <w:tcPr>
            <w:tcW w:w="2508" w:type="dxa"/>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ab/>
            </w:r>
          </w:p>
        </w:tc>
        <w:tc>
          <w:tcPr>
            <w:tcW w:w="1623" w:type="dxa"/>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万寿宫居委会、大兴居委会</w:t>
            </w:r>
          </w:p>
        </w:tc>
        <w:tc>
          <w:tcPr>
            <w:tcW w:w="2205" w:type="dxa"/>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金明村、沙坪村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dxa"/>
            <w:vAlign w:val="center"/>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6</w:t>
            </w:r>
          </w:p>
        </w:tc>
        <w:tc>
          <w:tcPr>
            <w:tcW w:w="1086" w:type="dxa"/>
            <w:vAlign w:val="center"/>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三阳港镇</w:t>
            </w:r>
          </w:p>
        </w:tc>
        <w:tc>
          <w:tcPr>
            <w:tcW w:w="851" w:type="dxa"/>
            <w:vAlign w:val="center"/>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13</w:t>
            </w:r>
          </w:p>
        </w:tc>
        <w:tc>
          <w:tcPr>
            <w:tcW w:w="649" w:type="dxa"/>
            <w:vAlign w:val="center"/>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w:t>
            </w:r>
          </w:p>
        </w:tc>
        <w:tc>
          <w:tcPr>
            <w:tcW w:w="694" w:type="dxa"/>
            <w:vAlign w:val="center"/>
          </w:tcPr>
          <w:p>
            <w:pPr>
              <w:spacing w:line="120" w:lineRule="auto"/>
              <w:jc w:val="center"/>
              <w:rPr>
                <w:rFonts w:asciiTheme="majorEastAsia" w:hAnsiTheme="majorEastAsia" w:eastAsiaTheme="majorEastAsia" w:cstheme="majorEastAsia"/>
                <w:szCs w:val="21"/>
              </w:rPr>
            </w:pPr>
          </w:p>
        </w:tc>
        <w:tc>
          <w:tcPr>
            <w:tcW w:w="2508" w:type="dxa"/>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ab/>
            </w:r>
          </w:p>
        </w:tc>
        <w:tc>
          <w:tcPr>
            <w:tcW w:w="1623" w:type="dxa"/>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三阳港村、新湖居委会</w:t>
            </w:r>
          </w:p>
        </w:tc>
        <w:tc>
          <w:tcPr>
            <w:tcW w:w="2205" w:type="dxa"/>
          </w:tcPr>
          <w:p>
            <w:pPr>
              <w:spacing w:line="120" w:lineRule="auto"/>
              <w:jc w:val="center"/>
              <w:rPr>
                <w:rFonts w:asciiTheme="majorEastAsia" w:hAnsiTheme="majorEastAsia" w:eastAsiaTheme="majorEastAsia" w:cs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dxa"/>
            <w:vAlign w:val="center"/>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7</w:t>
            </w:r>
          </w:p>
        </w:tc>
        <w:tc>
          <w:tcPr>
            <w:tcW w:w="1086" w:type="dxa"/>
            <w:vAlign w:val="center"/>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黄石镇</w:t>
            </w:r>
          </w:p>
        </w:tc>
        <w:tc>
          <w:tcPr>
            <w:tcW w:w="851" w:type="dxa"/>
            <w:vAlign w:val="center"/>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17</w:t>
            </w:r>
          </w:p>
        </w:tc>
        <w:tc>
          <w:tcPr>
            <w:tcW w:w="649" w:type="dxa"/>
            <w:vAlign w:val="center"/>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w:t>
            </w:r>
          </w:p>
        </w:tc>
        <w:tc>
          <w:tcPr>
            <w:tcW w:w="694" w:type="dxa"/>
            <w:vAlign w:val="center"/>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w:t>
            </w:r>
          </w:p>
        </w:tc>
        <w:tc>
          <w:tcPr>
            <w:tcW w:w="2508" w:type="dxa"/>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ab/>
            </w:r>
          </w:p>
        </w:tc>
        <w:tc>
          <w:tcPr>
            <w:tcW w:w="1623" w:type="dxa"/>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万寿居委会、和平居委会、花园村</w:t>
            </w:r>
          </w:p>
        </w:tc>
        <w:tc>
          <w:tcPr>
            <w:tcW w:w="2205" w:type="dxa"/>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凉井居委会、黄安村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dxa"/>
            <w:vAlign w:val="center"/>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8</w:t>
            </w:r>
          </w:p>
        </w:tc>
        <w:tc>
          <w:tcPr>
            <w:tcW w:w="1086" w:type="dxa"/>
            <w:vAlign w:val="center"/>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西安镇</w:t>
            </w:r>
          </w:p>
        </w:tc>
        <w:tc>
          <w:tcPr>
            <w:tcW w:w="851" w:type="dxa"/>
            <w:vAlign w:val="center"/>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11</w:t>
            </w:r>
          </w:p>
        </w:tc>
        <w:tc>
          <w:tcPr>
            <w:tcW w:w="649" w:type="dxa"/>
            <w:vAlign w:val="center"/>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w:t>
            </w:r>
          </w:p>
        </w:tc>
        <w:tc>
          <w:tcPr>
            <w:tcW w:w="694" w:type="dxa"/>
            <w:vAlign w:val="center"/>
          </w:tcPr>
          <w:p>
            <w:pPr>
              <w:spacing w:line="120" w:lineRule="auto"/>
              <w:jc w:val="center"/>
              <w:rPr>
                <w:rFonts w:asciiTheme="majorEastAsia" w:hAnsiTheme="majorEastAsia" w:eastAsiaTheme="majorEastAsia" w:cstheme="majorEastAsia"/>
                <w:szCs w:val="21"/>
              </w:rPr>
            </w:pPr>
          </w:p>
        </w:tc>
        <w:tc>
          <w:tcPr>
            <w:tcW w:w="2508" w:type="dxa"/>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ab/>
            </w:r>
          </w:p>
        </w:tc>
        <w:tc>
          <w:tcPr>
            <w:tcW w:w="1623" w:type="dxa"/>
          </w:tcPr>
          <w:p>
            <w:pPr>
              <w:spacing w:line="12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闵家坪居委会</w:t>
            </w:r>
          </w:p>
        </w:tc>
        <w:tc>
          <w:tcPr>
            <w:tcW w:w="2205" w:type="dxa"/>
          </w:tcPr>
          <w:p>
            <w:pPr>
              <w:spacing w:line="120" w:lineRule="auto"/>
              <w:jc w:val="center"/>
              <w:rPr>
                <w:rFonts w:asciiTheme="majorEastAsia" w:hAnsiTheme="majorEastAsia" w:eastAsiaTheme="majorEastAsia" w:cs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dxa"/>
            <w:vAlign w:val="center"/>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9</w:t>
            </w:r>
          </w:p>
        </w:tc>
        <w:tc>
          <w:tcPr>
            <w:tcW w:w="1086" w:type="dxa"/>
            <w:vAlign w:val="center"/>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理公港镇</w:t>
            </w:r>
          </w:p>
        </w:tc>
        <w:tc>
          <w:tcPr>
            <w:tcW w:w="851" w:type="dxa"/>
            <w:vAlign w:val="center"/>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17</w:t>
            </w:r>
          </w:p>
        </w:tc>
        <w:tc>
          <w:tcPr>
            <w:tcW w:w="649" w:type="dxa"/>
            <w:vAlign w:val="center"/>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w:t>
            </w:r>
          </w:p>
        </w:tc>
        <w:tc>
          <w:tcPr>
            <w:tcW w:w="694" w:type="dxa"/>
            <w:vAlign w:val="center"/>
          </w:tcPr>
          <w:p>
            <w:pPr>
              <w:spacing w:line="120" w:lineRule="auto"/>
              <w:jc w:val="center"/>
              <w:rPr>
                <w:rFonts w:asciiTheme="majorEastAsia" w:hAnsiTheme="majorEastAsia" w:eastAsiaTheme="majorEastAsia" w:cstheme="majorEastAsia"/>
                <w:szCs w:val="21"/>
              </w:rPr>
            </w:pPr>
          </w:p>
        </w:tc>
        <w:tc>
          <w:tcPr>
            <w:tcW w:w="2508" w:type="dxa"/>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ab/>
            </w:r>
          </w:p>
        </w:tc>
        <w:tc>
          <w:tcPr>
            <w:tcW w:w="1623" w:type="dxa"/>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兰溪居委会</w:t>
            </w:r>
          </w:p>
        </w:tc>
        <w:tc>
          <w:tcPr>
            <w:tcW w:w="2205" w:type="dxa"/>
          </w:tcPr>
          <w:p>
            <w:pPr>
              <w:spacing w:line="120" w:lineRule="auto"/>
              <w:jc w:val="center"/>
              <w:rPr>
                <w:rFonts w:asciiTheme="majorEastAsia" w:hAnsiTheme="majorEastAsia" w:eastAsiaTheme="majorEastAsia" w:cs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dxa"/>
            <w:vAlign w:val="center"/>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10</w:t>
            </w:r>
          </w:p>
        </w:tc>
        <w:tc>
          <w:tcPr>
            <w:tcW w:w="1086" w:type="dxa"/>
            <w:vAlign w:val="center"/>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龙潭镇</w:t>
            </w:r>
          </w:p>
        </w:tc>
        <w:tc>
          <w:tcPr>
            <w:tcW w:w="851" w:type="dxa"/>
            <w:vAlign w:val="center"/>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15</w:t>
            </w:r>
          </w:p>
        </w:tc>
        <w:tc>
          <w:tcPr>
            <w:tcW w:w="649" w:type="dxa"/>
            <w:vAlign w:val="center"/>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w:t>
            </w:r>
          </w:p>
        </w:tc>
        <w:tc>
          <w:tcPr>
            <w:tcW w:w="694" w:type="dxa"/>
            <w:vAlign w:val="center"/>
          </w:tcPr>
          <w:p>
            <w:pPr>
              <w:spacing w:line="120" w:lineRule="auto"/>
              <w:jc w:val="center"/>
              <w:rPr>
                <w:rFonts w:asciiTheme="majorEastAsia" w:hAnsiTheme="majorEastAsia" w:eastAsiaTheme="majorEastAsia" w:cstheme="majorEastAsia"/>
                <w:szCs w:val="21"/>
              </w:rPr>
            </w:pPr>
          </w:p>
        </w:tc>
        <w:tc>
          <w:tcPr>
            <w:tcW w:w="2508" w:type="dxa"/>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ab/>
            </w:r>
          </w:p>
        </w:tc>
        <w:tc>
          <w:tcPr>
            <w:tcW w:w="1623" w:type="dxa"/>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龙潭居委会、龙中居委会</w:t>
            </w:r>
          </w:p>
        </w:tc>
        <w:tc>
          <w:tcPr>
            <w:tcW w:w="2205" w:type="dxa"/>
          </w:tcPr>
          <w:p>
            <w:pPr>
              <w:spacing w:line="120" w:lineRule="auto"/>
              <w:jc w:val="center"/>
              <w:rPr>
                <w:rFonts w:asciiTheme="majorEastAsia" w:hAnsiTheme="majorEastAsia" w:eastAsiaTheme="majorEastAsia" w:cs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dxa"/>
            <w:vAlign w:val="center"/>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11</w:t>
            </w:r>
          </w:p>
        </w:tc>
        <w:tc>
          <w:tcPr>
            <w:tcW w:w="1086" w:type="dxa"/>
            <w:vAlign w:val="center"/>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剪市镇</w:t>
            </w:r>
          </w:p>
        </w:tc>
        <w:tc>
          <w:tcPr>
            <w:tcW w:w="851" w:type="dxa"/>
            <w:vAlign w:val="center"/>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9</w:t>
            </w:r>
          </w:p>
        </w:tc>
        <w:tc>
          <w:tcPr>
            <w:tcW w:w="649" w:type="dxa"/>
            <w:vAlign w:val="center"/>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w:t>
            </w:r>
          </w:p>
        </w:tc>
        <w:tc>
          <w:tcPr>
            <w:tcW w:w="694" w:type="dxa"/>
            <w:vAlign w:val="center"/>
          </w:tcPr>
          <w:p>
            <w:pPr>
              <w:spacing w:line="120" w:lineRule="auto"/>
              <w:jc w:val="center"/>
              <w:rPr>
                <w:rFonts w:asciiTheme="majorEastAsia" w:hAnsiTheme="majorEastAsia" w:eastAsiaTheme="majorEastAsia" w:cstheme="majorEastAsia"/>
                <w:szCs w:val="21"/>
              </w:rPr>
            </w:pPr>
          </w:p>
        </w:tc>
        <w:tc>
          <w:tcPr>
            <w:tcW w:w="2508" w:type="dxa"/>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ab/>
            </w:r>
          </w:p>
        </w:tc>
        <w:tc>
          <w:tcPr>
            <w:tcW w:w="1623" w:type="dxa"/>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中巷口居委会、剪家溪居委会</w:t>
            </w:r>
          </w:p>
        </w:tc>
        <w:tc>
          <w:tcPr>
            <w:tcW w:w="2205" w:type="dxa"/>
          </w:tcPr>
          <w:p>
            <w:pPr>
              <w:spacing w:line="120" w:lineRule="auto"/>
              <w:jc w:val="center"/>
              <w:rPr>
                <w:rFonts w:asciiTheme="majorEastAsia" w:hAnsiTheme="majorEastAsia" w:eastAsiaTheme="majorEastAsia" w:cs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dxa"/>
            <w:vAlign w:val="center"/>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12</w:t>
            </w:r>
          </w:p>
        </w:tc>
        <w:tc>
          <w:tcPr>
            <w:tcW w:w="1086" w:type="dxa"/>
            <w:vAlign w:val="center"/>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茶庵铺镇</w:t>
            </w:r>
          </w:p>
        </w:tc>
        <w:tc>
          <w:tcPr>
            <w:tcW w:w="851" w:type="dxa"/>
            <w:vAlign w:val="center"/>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19</w:t>
            </w:r>
          </w:p>
        </w:tc>
        <w:tc>
          <w:tcPr>
            <w:tcW w:w="649" w:type="dxa"/>
            <w:vAlign w:val="center"/>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w:t>
            </w:r>
          </w:p>
        </w:tc>
        <w:tc>
          <w:tcPr>
            <w:tcW w:w="694" w:type="dxa"/>
            <w:vAlign w:val="center"/>
          </w:tcPr>
          <w:p>
            <w:pPr>
              <w:spacing w:line="120" w:lineRule="auto"/>
              <w:jc w:val="center"/>
              <w:rPr>
                <w:rFonts w:asciiTheme="majorEastAsia" w:hAnsiTheme="majorEastAsia" w:eastAsiaTheme="majorEastAsia" w:cstheme="majorEastAsia"/>
                <w:szCs w:val="21"/>
              </w:rPr>
            </w:pPr>
          </w:p>
        </w:tc>
        <w:tc>
          <w:tcPr>
            <w:tcW w:w="2508" w:type="dxa"/>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ab/>
            </w:r>
          </w:p>
        </w:tc>
        <w:tc>
          <w:tcPr>
            <w:tcW w:w="1623" w:type="dxa"/>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桥东居委会、桥西居委会</w:t>
            </w:r>
          </w:p>
        </w:tc>
        <w:tc>
          <w:tcPr>
            <w:tcW w:w="2205" w:type="dxa"/>
          </w:tcPr>
          <w:p>
            <w:pPr>
              <w:spacing w:line="120" w:lineRule="auto"/>
              <w:jc w:val="center"/>
              <w:rPr>
                <w:rFonts w:asciiTheme="majorEastAsia" w:hAnsiTheme="majorEastAsia" w:eastAsiaTheme="majorEastAsia" w:cs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dxa"/>
            <w:vAlign w:val="center"/>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13</w:t>
            </w:r>
          </w:p>
        </w:tc>
        <w:tc>
          <w:tcPr>
            <w:tcW w:w="1086" w:type="dxa"/>
            <w:vAlign w:val="center"/>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盘塘镇</w:t>
            </w:r>
          </w:p>
        </w:tc>
        <w:tc>
          <w:tcPr>
            <w:tcW w:w="851" w:type="dxa"/>
            <w:vAlign w:val="center"/>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9</w:t>
            </w:r>
          </w:p>
        </w:tc>
        <w:tc>
          <w:tcPr>
            <w:tcW w:w="649" w:type="dxa"/>
            <w:vAlign w:val="center"/>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w:t>
            </w:r>
          </w:p>
        </w:tc>
        <w:tc>
          <w:tcPr>
            <w:tcW w:w="694" w:type="dxa"/>
            <w:vAlign w:val="center"/>
          </w:tcPr>
          <w:p>
            <w:pPr>
              <w:spacing w:line="120" w:lineRule="auto"/>
              <w:jc w:val="center"/>
              <w:rPr>
                <w:rFonts w:asciiTheme="majorEastAsia" w:hAnsiTheme="majorEastAsia" w:eastAsiaTheme="majorEastAsia" w:cstheme="majorEastAsia"/>
                <w:szCs w:val="21"/>
              </w:rPr>
            </w:pPr>
          </w:p>
        </w:tc>
        <w:tc>
          <w:tcPr>
            <w:tcW w:w="2508" w:type="dxa"/>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ab/>
            </w:r>
          </w:p>
        </w:tc>
        <w:tc>
          <w:tcPr>
            <w:tcW w:w="1623" w:type="dxa"/>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盘龙桥居委会</w:t>
            </w:r>
          </w:p>
        </w:tc>
        <w:tc>
          <w:tcPr>
            <w:tcW w:w="2205" w:type="dxa"/>
          </w:tcPr>
          <w:p>
            <w:pPr>
              <w:spacing w:line="120" w:lineRule="auto"/>
              <w:jc w:val="center"/>
              <w:rPr>
                <w:rFonts w:asciiTheme="majorEastAsia" w:hAnsiTheme="majorEastAsia" w:eastAsiaTheme="majorEastAsia" w:cs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dxa"/>
            <w:vAlign w:val="center"/>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14</w:t>
            </w:r>
          </w:p>
        </w:tc>
        <w:tc>
          <w:tcPr>
            <w:tcW w:w="1086" w:type="dxa"/>
            <w:vAlign w:val="center"/>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热市镇</w:t>
            </w:r>
          </w:p>
        </w:tc>
        <w:tc>
          <w:tcPr>
            <w:tcW w:w="851" w:type="dxa"/>
            <w:vAlign w:val="center"/>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27</w:t>
            </w:r>
          </w:p>
        </w:tc>
        <w:tc>
          <w:tcPr>
            <w:tcW w:w="649" w:type="dxa"/>
            <w:vAlign w:val="center"/>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w:t>
            </w:r>
          </w:p>
        </w:tc>
        <w:tc>
          <w:tcPr>
            <w:tcW w:w="694" w:type="dxa"/>
            <w:vAlign w:val="center"/>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w:t>
            </w:r>
          </w:p>
        </w:tc>
        <w:tc>
          <w:tcPr>
            <w:tcW w:w="2508" w:type="dxa"/>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ab/>
            </w:r>
          </w:p>
        </w:tc>
        <w:tc>
          <w:tcPr>
            <w:tcW w:w="1623" w:type="dxa"/>
            <w:vAlign w:val="center"/>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热水坑居委会</w:t>
            </w:r>
          </w:p>
        </w:tc>
        <w:tc>
          <w:tcPr>
            <w:tcW w:w="2205" w:type="dxa"/>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棠梨岗居委会、郝仙坪居委会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dxa"/>
            <w:vAlign w:val="center"/>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15</w:t>
            </w:r>
          </w:p>
        </w:tc>
        <w:tc>
          <w:tcPr>
            <w:tcW w:w="1086" w:type="dxa"/>
            <w:vAlign w:val="center"/>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观音寺镇</w:t>
            </w:r>
          </w:p>
        </w:tc>
        <w:tc>
          <w:tcPr>
            <w:tcW w:w="851" w:type="dxa"/>
            <w:vAlign w:val="center"/>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18</w:t>
            </w:r>
          </w:p>
        </w:tc>
        <w:tc>
          <w:tcPr>
            <w:tcW w:w="649" w:type="dxa"/>
            <w:vAlign w:val="center"/>
          </w:tcPr>
          <w:p>
            <w:pPr>
              <w:spacing w:line="120" w:lineRule="auto"/>
              <w:jc w:val="center"/>
              <w:rPr>
                <w:rFonts w:asciiTheme="majorEastAsia" w:hAnsiTheme="majorEastAsia" w:eastAsiaTheme="majorEastAsia" w:cstheme="majorEastAsia"/>
                <w:szCs w:val="21"/>
              </w:rPr>
            </w:pPr>
          </w:p>
        </w:tc>
        <w:tc>
          <w:tcPr>
            <w:tcW w:w="694" w:type="dxa"/>
            <w:vAlign w:val="center"/>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w:t>
            </w:r>
          </w:p>
        </w:tc>
        <w:tc>
          <w:tcPr>
            <w:tcW w:w="2508" w:type="dxa"/>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ab/>
            </w:r>
          </w:p>
        </w:tc>
        <w:tc>
          <w:tcPr>
            <w:tcW w:w="1623" w:type="dxa"/>
          </w:tcPr>
          <w:p>
            <w:pPr>
              <w:spacing w:line="120" w:lineRule="auto"/>
              <w:jc w:val="center"/>
              <w:rPr>
                <w:rFonts w:asciiTheme="majorEastAsia" w:hAnsiTheme="majorEastAsia" w:eastAsiaTheme="majorEastAsia" w:cstheme="majorEastAsia"/>
                <w:szCs w:val="21"/>
              </w:rPr>
            </w:pPr>
          </w:p>
        </w:tc>
        <w:tc>
          <w:tcPr>
            <w:tcW w:w="2205" w:type="dxa"/>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姚家坪、长潭坪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dxa"/>
            <w:vAlign w:val="center"/>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16</w:t>
            </w:r>
          </w:p>
        </w:tc>
        <w:tc>
          <w:tcPr>
            <w:tcW w:w="1086" w:type="dxa"/>
            <w:vAlign w:val="center"/>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马鬃岭镇</w:t>
            </w:r>
          </w:p>
        </w:tc>
        <w:tc>
          <w:tcPr>
            <w:tcW w:w="851" w:type="dxa"/>
            <w:vAlign w:val="center"/>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8</w:t>
            </w:r>
          </w:p>
        </w:tc>
        <w:tc>
          <w:tcPr>
            <w:tcW w:w="649" w:type="dxa"/>
            <w:vAlign w:val="center"/>
          </w:tcPr>
          <w:p>
            <w:pPr>
              <w:spacing w:line="120" w:lineRule="auto"/>
              <w:jc w:val="center"/>
              <w:rPr>
                <w:rFonts w:asciiTheme="majorEastAsia" w:hAnsiTheme="majorEastAsia" w:eastAsiaTheme="majorEastAsia" w:cstheme="majorEastAsia"/>
                <w:szCs w:val="21"/>
              </w:rPr>
            </w:pPr>
          </w:p>
        </w:tc>
        <w:tc>
          <w:tcPr>
            <w:tcW w:w="694" w:type="dxa"/>
            <w:vAlign w:val="center"/>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w:t>
            </w:r>
          </w:p>
        </w:tc>
        <w:tc>
          <w:tcPr>
            <w:tcW w:w="2508" w:type="dxa"/>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ab/>
            </w:r>
          </w:p>
        </w:tc>
        <w:tc>
          <w:tcPr>
            <w:tcW w:w="1623" w:type="dxa"/>
          </w:tcPr>
          <w:p>
            <w:pPr>
              <w:spacing w:line="120" w:lineRule="auto"/>
              <w:jc w:val="center"/>
              <w:rPr>
                <w:rFonts w:asciiTheme="majorEastAsia" w:hAnsiTheme="majorEastAsia" w:eastAsiaTheme="majorEastAsia" w:cstheme="majorEastAsia"/>
                <w:szCs w:val="21"/>
              </w:rPr>
            </w:pPr>
          </w:p>
        </w:tc>
        <w:tc>
          <w:tcPr>
            <w:tcW w:w="2205" w:type="dxa"/>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马鬃岭居委会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dxa"/>
            <w:vAlign w:val="center"/>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17</w:t>
            </w:r>
          </w:p>
        </w:tc>
        <w:tc>
          <w:tcPr>
            <w:tcW w:w="1086" w:type="dxa"/>
            <w:vAlign w:val="center"/>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架桥镇</w:t>
            </w:r>
          </w:p>
        </w:tc>
        <w:tc>
          <w:tcPr>
            <w:tcW w:w="851" w:type="dxa"/>
            <w:vAlign w:val="center"/>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12</w:t>
            </w:r>
          </w:p>
        </w:tc>
        <w:tc>
          <w:tcPr>
            <w:tcW w:w="649" w:type="dxa"/>
            <w:vAlign w:val="center"/>
          </w:tcPr>
          <w:p>
            <w:pPr>
              <w:spacing w:line="120" w:lineRule="auto"/>
              <w:jc w:val="center"/>
              <w:rPr>
                <w:rFonts w:asciiTheme="majorEastAsia" w:hAnsiTheme="majorEastAsia" w:eastAsiaTheme="majorEastAsia" w:cstheme="majorEastAsia"/>
                <w:szCs w:val="21"/>
              </w:rPr>
            </w:pPr>
          </w:p>
        </w:tc>
        <w:tc>
          <w:tcPr>
            <w:tcW w:w="694" w:type="dxa"/>
            <w:vAlign w:val="center"/>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w:t>
            </w:r>
          </w:p>
        </w:tc>
        <w:tc>
          <w:tcPr>
            <w:tcW w:w="2508" w:type="dxa"/>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ab/>
            </w:r>
          </w:p>
        </w:tc>
        <w:tc>
          <w:tcPr>
            <w:tcW w:w="1623" w:type="dxa"/>
          </w:tcPr>
          <w:p>
            <w:pPr>
              <w:spacing w:line="120" w:lineRule="auto"/>
              <w:jc w:val="center"/>
              <w:rPr>
                <w:rFonts w:asciiTheme="majorEastAsia" w:hAnsiTheme="majorEastAsia" w:eastAsiaTheme="majorEastAsia" w:cstheme="majorEastAsia"/>
                <w:szCs w:val="21"/>
              </w:rPr>
            </w:pPr>
          </w:p>
        </w:tc>
        <w:tc>
          <w:tcPr>
            <w:tcW w:w="2205" w:type="dxa"/>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东门桥居委会、架桥居委会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dxa"/>
            <w:vAlign w:val="center"/>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18</w:t>
            </w:r>
          </w:p>
        </w:tc>
        <w:tc>
          <w:tcPr>
            <w:tcW w:w="1086" w:type="dxa"/>
            <w:vAlign w:val="center"/>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夷望溪镇</w:t>
            </w:r>
          </w:p>
        </w:tc>
        <w:tc>
          <w:tcPr>
            <w:tcW w:w="851" w:type="dxa"/>
            <w:vAlign w:val="center"/>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16</w:t>
            </w:r>
          </w:p>
        </w:tc>
        <w:tc>
          <w:tcPr>
            <w:tcW w:w="649" w:type="dxa"/>
            <w:vAlign w:val="center"/>
          </w:tcPr>
          <w:p>
            <w:pPr>
              <w:spacing w:line="120" w:lineRule="auto"/>
              <w:jc w:val="center"/>
              <w:rPr>
                <w:rFonts w:asciiTheme="majorEastAsia" w:hAnsiTheme="majorEastAsia" w:eastAsiaTheme="majorEastAsia" w:cstheme="majorEastAsia"/>
                <w:szCs w:val="21"/>
              </w:rPr>
            </w:pPr>
          </w:p>
        </w:tc>
        <w:tc>
          <w:tcPr>
            <w:tcW w:w="694" w:type="dxa"/>
            <w:vAlign w:val="center"/>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w:t>
            </w:r>
          </w:p>
        </w:tc>
        <w:tc>
          <w:tcPr>
            <w:tcW w:w="2508" w:type="dxa"/>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ab/>
            </w:r>
          </w:p>
        </w:tc>
        <w:tc>
          <w:tcPr>
            <w:tcW w:w="1623" w:type="dxa"/>
          </w:tcPr>
          <w:p>
            <w:pPr>
              <w:spacing w:line="120" w:lineRule="auto"/>
              <w:jc w:val="center"/>
              <w:rPr>
                <w:rFonts w:asciiTheme="majorEastAsia" w:hAnsiTheme="majorEastAsia" w:eastAsiaTheme="majorEastAsia" w:cstheme="majorEastAsia"/>
                <w:szCs w:val="21"/>
              </w:rPr>
            </w:pPr>
          </w:p>
        </w:tc>
        <w:tc>
          <w:tcPr>
            <w:tcW w:w="2205" w:type="dxa"/>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凌津滩居委会、马石居委会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dxa"/>
            <w:vAlign w:val="center"/>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19</w:t>
            </w:r>
          </w:p>
        </w:tc>
        <w:tc>
          <w:tcPr>
            <w:tcW w:w="1086" w:type="dxa"/>
            <w:vAlign w:val="center"/>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双溪口镇</w:t>
            </w:r>
          </w:p>
        </w:tc>
        <w:tc>
          <w:tcPr>
            <w:tcW w:w="851" w:type="dxa"/>
            <w:vAlign w:val="center"/>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11</w:t>
            </w:r>
          </w:p>
        </w:tc>
        <w:tc>
          <w:tcPr>
            <w:tcW w:w="649" w:type="dxa"/>
            <w:vAlign w:val="center"/>
          </w:tcPr>
          <w:p>
            <w:pPr>
              <w:spacing w:line="120" w:lineRule="auto"/>
              <w:jc w:val="center"/>
              <w:rPr>
                <w:rFonts w:asciiTheme="majorEastAsia" w:hAnsiTheme="majorEastAsia" w:eastAsiaTheme="majorEastAsia" w:cstheme="majorEastAsia"/>
                <w:szCs w:val="21"/>
              </w:rPr>
            </w:pPr>
          </w:p>
        </w:tc>
        <w:tc>
          <w:tcPr>
            <w:tcW w:w="694" w:type="dxa"/>
            <w:vAlign w:val="center"/>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w:t>
            </w:r>
          </w:p>
        </w:tc>
        <w:tc>
          <w:tcPr>
            <w:tcW w:w="2508" w:type="dxa"/>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ab/>
            </w:r>
          </w:p>
        </w:tc>
        <w:tc>
          <w:tcPr>
            <w:tcW w:w="1623" w:type="dxa"/>
          </w:tcPr>
          <w:p>
            <w:pPr>
              <w:spacing w:line="120" w:lineRule="auto"/>
              <w:jc w:val="center"/>
              <w:rPr>
                <w:rFonts w:asciiTheme="majorEastAsia" w:hAnsiTheme="majorEastAsia" w:eastAsiaTheme="majorEastAsia" w:cstheme="majorEastAsia"/>
                <w:szCs w:val="21"/>
              </w:rPr>
            </w:pPr>
          </w:p>
        </w:tc>
        <w:tc>
          <w:tcPr>
            <w:tcW w:w="2205" w:type="dxa"/>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黄龙居委会、杨家坪村、龙珠山村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dxa"/>
            <w:vAlign w:val="center"/>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20</w:t>
            </w:r>
          </w:p>
        </w:tc>
        <w:tc>
          <w:tcPr>
            <w:tcW w:w="1086" w:type="dxa"/>
            <w:vAlign w:val="center"/>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九溪镇</w:t>
            </w:r>
          </w:p>
        </w:tc>
        <w:tc>
          <w:tcPr>
            <w:tcW w:w="851" w:type="dxa"/>
            <w:vAlign w:val="center"/>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13</w:t>
            </w:r>
          </w:p>
        </w:tc>
        <w:tc>
          <w:tcPr>
            <w:tcW w:w="649" w:type="dxa"/>
            <w:vAlign w:val="center"/>
          </w:tcPr>
          <w:p>
            <w:pPr>
              <w:spacing w:line="120" w:lineRule="auto"/>
              <w:jc w:val="center"/>
              <w:rPr>
                <w:rFonts w:asciiTheme="majorEastAsia" w:hAnsiTheme="majorEastAsia" w:eastAsiaTheme="majorEastAsia" w:cstheme="majorEastAsia"/>
                <w:szCs w:val="21"/>
              </w:rPr>
            </w:pPr>
          </w:p>
        </w:tc>
        <w:tc>
          <w:tcPr>
            <w:tcW w:w="694" w:type="dxa"/>
            <w:vAlign w:val="center"/>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w:t>
            </w:r>
          </w:p>
        </w:tc>
        <w:tc>
          <w:tcPr>
            <w:tcW w:w="2508" w:type="dxa"/>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ab/>
            </w:r>
          </w:p>
        </w:tc>
        <w:tc>
          <w:tcPr>
            <w:tcW w:w="1623" w:type="dxa"/>
          </w:tcPr>
          <w:p>
            <w:pPr>
              <w:spacing w:line="120" w:lineRule="auto"/>
              <w:jc w:val="center"/>
              <w:rPr>
                <w:rFonts w:asciiTheme="majorEastAsia" w:hAnsiTheme="majorEastAsia" w:eastAsiaTheme="majorEastAsia" w:cstheme="majorEastAsia"/>
                <w:szCs w:val="21"/>
              </w:rPr>
            </w:pPr>
          </w:p>
        </w:tc>
        <w:tc>
          <w:tcPr>
            <w:tcW w:w="2205" w:type="dxa"/>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九溪居委会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dxa"/>
            <w:vAlign w:val="center"/>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21</w:t>
            </w:r>
          </w:p>
        </w:tc>
        <w:tc>
          <w:tcPr>
            <w:tcW w:w="1086" w:type="dxa"/>
            <w:vAlign w:val="center"/>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牛车河镇</w:t>
            </w:r>
          </w:p>
        </w:tc>
        <w:tc>
          <w:tcPr>
            <w:tcW w:w="851" w:type="dxa"/>
            <w:vAlign w:val="center"/>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12</w:t>
            </w:r>
          </w:p>
        </w:tc>
        <w:tc>
          <w:tcPr>
            <w:tcW w:w="649" w:type="dxa"/>
            <w:vAlign w:val="center"/>
          </w:tcPr>
          <w:p>
            <w:pPr>
              <w:spacing w:line="120" w:lineRule="auto"/>
              <w:jc w:val="center"/>
              <w:rPr>
                <w:rFonts w:asciiTheme="majorEastAsia" w:hAnsiTheme="majorEastAsia" w:eastAsiaTheme="majorEastAsia" w:cstheme="majorEastAsia"/>
                <w:szCs w:val="21"/>
              </w:rPr>
            </w:pPr>
          </w:p>
        </w:tc>
        <w:tc>
          <w:tcPr>
            <w:tcW w:w="694" w:type="dxa"/>
            <w:vAlign w:val="center"/>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w:t>
            </w:r>
          </w:p>
        </w:tc>
        <w:tc>
          <w:tcPr>
            <w:tcW w:w="2508" w:type="dxa"/>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ab/>
            </w:r>
          </w:p>
        </w:tc>
        <w:tc>
          <w:tcPr>
            <w:tcW w:w="1623" w:type="dxa"/>
          </w:tcPr>
          <w:p>
            <w:pPr>
              <w:spacing w:line="120" w:lineRule="auto"/>
              <w:jc w:val="center"/>
              <w:rPr>
                <w:rFonts w:asciiTheme="majorEastAsia" w:hAnsiTheme="majorEastAsia" w:eastAsiaTheme="majorEastAsia" w:cstheme="majorEastAsia"/>
                <w:szCs w:val="21"/>
              </w:rPr>
            </w:pPr>
          </w:p>
        </w:tc>
        <w:tc>
          <w:tcPr>
            <w:tcW w:w="2205" w:type="dxa"/>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柿子坪居委会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dxa"/>
            <w:vAlign w:val="center"/>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22</w:t>
            </w:r>
          </w:p>
        </w:tc>
        <w:tc>
          <w:tcPr>
            <w:tcW w:w="1086" w:type="dxa"/>
            <w:vAlign w:val="center"/>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杨溪桥镇</w:t>
            </w:r>
          </w:p>
        </w:tc>
        <w:tc>
          <w:tcPr>
            <w:tcW w:w="851" w:type="dxa"/>
            <w:vAlign w:val="center"/>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14</w:t>
            </w:r>
          </w:p>
        </w:tc>
        <w:tc>
          <w:tcPr>
            <w:tcW w:w="649" w:type="dxa"/>
            <w:vAlign w:val="center"/>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w:t>
            </w:r>
          </w:p>
        </w:tc>
        <w:tc>
          <w:tcPr>
            <w:tcW w:w="694" w:type="dxa"/>
            <w:vAlign w:val="center"/>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w:t>
            </w:r>
          </w:p>
        </w:tc>
        <w:tc>
          <w:tcPr>
            <w:tcW w:w="2508" w:type="dxa"/>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ab/>
            </w:r>
          </w:p>
        </w:tc>
        <w:tc>
          <w:tcPr>
            <w:tcW w:w="1623" w:type="dxa"/>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杨溪桥居委会</w:t>
            </w:r>
          </w:p>
        </w:tc>
        <w:tc>
          <w:tcPr>
            <w:tcW w:w="2205" w:type="dxa"/>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冷家溪居委会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dxa"/>
            <w:vAlign w:val="center"/>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23</w:t>
            </w:r>
          </w:p>
        </w:tc>
        <w:tc>
          <w:tcPr>
            <w:tcW w:w="1086" w:type="dxa"/>
            <w:vAlign w:val="center"/>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郑家驿镇</w:t>
            </w:r>
          </w:p>
        </w:tc>
        <w:tc>
          <w:tcPr>
            <w:tcW w:w="851" w:type="dxa"/>
            <w:vAlign w:val="center"/>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14</w:t>
            </w:r>
          </w:p>
        </w:tc>
        <w:tc>
          <w:tcPr>
            <w:tcW w:w="649" w:type="dxa"/>
            <w:vAlign w:val="center"/>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w:t>
            </w:r>
          </w:p>
        </w:tc>
        <w:tc>
          <w:tcPr>
            <w:tcW w:w="694" w:type="dxa"/>
            <w:vAlign w:val="center"/>
          </w:tcPr>
          <w:p>
            <w:pPr>
              <w:spacing w:line="120" w:lineRule="auto"/>
              <w:jc w:val="center"/>
              <w:rPr>
                <w:rFonts w:asciiTheme="majorEastAsia" w:hAnsiTheme="majorEastAsia" w:eastAsiaTheme="majorEastAsia" w:cstheme="majorEastAsia"/>
                <w:szCs w:val="21"/>
              </w:rPr>
            </w:pPr>
          </w:p>
        </w:tc>
        <w:tc>
          <w:tcPr>
            <w:tcW w:w="2508" w:type="dxa"/>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ab/>
            </w:r>
          </w:p>
        </w:tc>
        <w:tc>
          <w:tcPr>
            <w:tcW w:w="1623" w:type="dxa"/>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郑家驿居委会</w:t>
            </w:r>
          </w:p>
        </w:tc>
        <w:tc>
          <w:tcPr>
            <w:tcW w:w="2205" w:type="dxa"/>
          </w:tcPr>
          <w:p>
            <w:pPr>
              <w:spacing w:line="120" w:lineRule="auto"/>
              <w:jc w:val="center"/>
              <w:rPr>
                <w:rFonts w:asciiTheme="majorEastAsia" w:hAnsiTheme="majorEastAsia" w:eastAsiaTheme="majorEastAsia" w:cs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434" w:type="dxa"/>
            <w:vMerge w:val="restart"/>
            <w:vAlign w:val="center"/>
          </w:tcPr>
          <w:p>
            <w:pPr>
              <w:spacing w:line="144" w:lineRule="auto"/>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序号</w:t>
            </w:r>
          </w:p>
        </w:tc>
        <w:tc>
          <w:tcPr>
            <w:tcW w:w="1086" w:type="dxa"/>
            <w:vMerge w:val="restart"/>
            <w:vAlign w:val="center"/>
          </w:tcPr>
          <w:p>
            <w:pPr>
              <w:spacing w:line="144" w:lineRule="auto"/>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乡镇</w:t>
            </w:r>
          </w:p>
          <w:p>
            <w:pPr>
              <w:spacing w:line="144" w:lineRule="auto"/>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名称</w:t>
            </w:r>
          </w:p>
        </w:tc>
        <w:tc>
          <w:tcPr>
            <w:tcW w:w="851" w:type="dxa"/>
            <w:vMerge w:val="restart"/>
            <w:vAlign w:val="center"/>
          </w:tcPr>
          <w:p>
            <w:pPr>
              <w:spacing w:line="144" w:lineRule="auto"/>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村（居）总数</w:t>
            </w:r>
          </w:p>
        </w:tc>
        <w:tc>
          <w:tcPr>
            <w:tcW w:w="649" w:type="dxa"/>
            <w:vAlign w:val="center"/>
          </w:tcPr>
          <w:p>
            <w:pPr>
              <w:spacing w:line="144" w:lineRule="auto"/>
              <w:jc w:val="center"/>
              <w:rPr>
                <w:rFonts w:asciiTheme="majorEastAsia" w:hAnsiTheme="majorEastAsia" w:eastAsiaTheme="majorEastAsia" w:cstheme="majorEastAsia"/>
                <w:b/>
                <w:bCs/>
                <w:szCs w:val="21"/>
              </w:rPr>
            </w:pPr>
          </w:p>
        </w:tc>
        <w:tc>
          <w:tcPr>
            <w:tcW w:w="694" w:type="dxa"/>
            <w:vAlign w:val="center"/>
          </w:tcPr>
          <w:p>
            <w:pPr>
              <w:spacing w:line="144" w:lineRule="auto"/>
              <w:jc w:val="center"/>
              <w:rPr>
                <w:rFonts w:asciiTheme="majorEastAsia" w:hAnsiTheme="majorEastAsia" w:eastAsiaTheme="majorEastAsia" w:cstheme="majorEastAsia"/>
                <w:b/>
                <w:bCs/>
                <w:szCs w:val="21"/>
              </w:rPr>
            </w:pPr>
          </w:p>
        </w:tc>
        <w:tc>
          <w:tcPr>
            <w:tcW w:w="6336" w:type="dxa"/>
            <w:gridSpan w:val="3"/>
            <w:vAlign w:val="center"/>
          </w:tcPr>
          <w:p>
            <w:pPr>
              <w:spacing w:line="144" w:lineRule="auto"/>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村（居）纳管处理情况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434" w:type="dxa"/>
            <w:vMerge w:val="continue"/>
            <w:vAlign w:val="center"/>
          </w:tcPr>
          <w:p>
            <w:pPr>
              <w:spacing w:line="144" w:lineRule="auto"/>
              <w:jc w:val="center"/>
              <w:rPr>
                <w:b/>
                <w:bCs/>
                <w:szCs w:val="21"/>
              </w:rPr>
            </w:pPr>
          </w:p>
        </w:tc>
        <w:tc>
          <w:tcPr>
            <w:tcW w:w="1086" w:type="dxa"/>
            <w:vMerge w:val="continue"/>
            <w:vAlign w:val="center"/>
          </w:tcPr>
          <w:p>
            <w:pPr>
              <w:spacing w:line="144" w:lineRule="auto"/>
              <w:jc w:val="center"/>
              <w:rPr>
                <w:b/>
                <w:bCs/>
                <w:szCs w:val="21"/>
              </w:rPr>
            </w:pPr>
          </w:p>
        </w:tc>
        <w:tc>
          <w:tcPr>
            <w:tcW w:w="851" w:type="dxa"/>
            <w:vMerge w:val="continue"/>
            <w:vAlign w:val="center"/>
          </w:tcPr>
          <w:p>
            <w:pPr>
              <w:spacing w:line="144" w:lineRule="auto"/>
              <w:jc w:val="center"/>
              <w:rPr>
                <w:b/>
                <w:bCs/>
                <w:szCs w:val="21"/>
              </w:rPr>
            </w:pPr>
          </w:p>
        </w:tc>
        <w:tc>
          <w:tcPr>
            <w:tcW w:w="649" w:type="dxa"/>
            <w:vAlign w:val="center"/>
          </w:tcPr>
          <w:p>
            <w:pPr>
              <w:spacing w:line="144" w:lineRule="auto"/>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完全纳管数</w:t>
            </w:r>
          </w:p>
        </w:tc>
        <w:tc>
          <w:tcPr>
            <w:tcW w:w="694" w:type="dxa"/>
            <w:vAlign w:val="center"/>
          </w:tcPr>
          <w:p>
            <w:pPr>
              <w:spacing w:line="144" w:lineRule="auto"/>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部分纳管数</w:t>
            </w:r>
          </w:p>
        </w:tc>
        <w:tc>
          <w:tcPr>
            <w:tcW w:w="2508" w:type="dxa"/>
            <w:vAlign w:val="center"/>
          </w:tcPr>
          <w:p>
            <w:pPr>
              <w:spacing w:line="144" w:lineRule="auto"/>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2019年纳管名单</w:t>
            </w:r>
          </w:p>
        </w:tc>
        <w:tc>
          <w:tcPr>
            <w:tcW w:w="1623" w:type="dxa"/>
            <w:vAlign w:val="center"/>
          </w:tcPr>
          <w:p>
            <w:pPr>
              <w:spacing w:line="144" w:lineRule="auto"/>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2022年完全纳管名单</w:t>
            </w:r>
          </w:p>
        </w:tc>
        <w:tc>
          <w:tcPr>
            <w:tcW w:w="2205" w:type="dxa"/>
            <w:vAlign w:val="center"/>
          </w:tcPr>
          <w:p>
            <w:pPr>
              <w:spacing w:line="144" w:lineRule="auto"/>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2022年部分纳管名单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dxa"/>
            <w:vAlign w:val="center"/>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24</w:t>
            </w:r>
          </w:p>
        </w:tc>
        <w:tc>
          <w:tcPr>
            <w:tcW w:w="1086" w:type="dxa"/>
            <w:vAlign w:val="center"/>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木塘垸镇</w:t>
            </w:r>
          </w:p>
        </w:tc>
        <w:tc>
          <w:tcPr>
            <w:tcW w:w="851" w:type="dxa"/>
            <w:vAlign w:val="center"/>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7</w:t>
            </w:r>
          </w:p>
        </w:tc>
        <w:tc>
          <w:tcPr>
            <w:tcW w:w="649" w:type="dxa"/>
            <w:vAlign w:val="center"/>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w:t>
            </w:r>
          </w:p>
        </w:tc>
        <w:tc>
          <w:tcPr>
            <w:tcW w:w="694" w:type="dxa"/>
            <w:vAlign w:val="center"/>
          </w:tcPr>
          <w:p>
            <w:pPr>
              <w:spacing w:line="120" w:lineRule="auto"/>
              <w:jc w:val="center"/>
              <w:rPr>
                <w:rFonts w:asciiTheme="majorEastAsia" w:hAnsiTheme="majorEastAsia" w:eastAsiaTheme="majorEastAsia" w:cstheme="majorEastAsia"/>
                <w:szCs w:val="21"/>
              </w:rPr>
            </w:pPr>
          </w:p>
        </w:tc>
        <w:tc>
          <w:tcPr>
            <w:tcW w:w="2508" w:type="dxa"/>
          </w:tcPr>
          <w:p>
            <w:pPr>
              <w:spacing w:line="120" w:lineRule="auto"/>
              <w:jc w:val="center"/>
              <w:rPr>
                <w:rFonts w:asciiTheme="majorEastAsia" w:hAnsiTheme="majorEastAsia" w:eastAsiaTheme="majorEastAsia" w:cstheme="majorEastAsia"/>
                <w:szCs w:val="21"/>
              </w:rPr>
            </w:pPr>
          </w:p>
        </w:tc>
        <w:tc>
          <w:tcPr>
            <w:tcW w:w="1623" w:type="dxa"/>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庆兰居委会</w:t>
            </w:r>
          </w:p>
        </w:tc>
        <w:tc>
          <w:tcPr>
            <w:tcW w:w="2205" w:type="dxa"/>
          </w:tcPr>
          <w:p>
            <w:pPr>
              <w:spacing w:line="120" w:lineRule="auto"/>
              <w:jc w:val="center"/>
              <w:rPr>
                <w:rFonts w:asciiTheme="majorEastAsia" w:hAnsiTheme="majorEastAsia" w:eastAsiaTheme="majorEastAsia" w:cs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dxa"/>
            <w:vAlign w:val="center"/>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25</w:t>
            </w:r>
          </w:p>
        </w:tc>
        <w:tc>
          <w:tcPr>
            <w:tcW w:w="1086" w:type="dxa"/>
            <w:vAlign w:val="center"/>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青林乡</w:t>
            </w:r>
          </w:p>
        </w:tc>
        <w:tc>
          <w:tcPr>
            <w:tcW w:w="851" w:type="dxa"/>
            <w:vAlign w:val="center"/>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13</w:t>
            </w:r>
          </w:p>
        </w:tc>
        <w:tc>
          <w:tcPr>
            <w:tcW w:w="649" w:type="dxa"/>
            <w:vAlign w:val="center"/>
          </w:tcPr>
          <w:p>
            <w:pPr>
              <w:spacing w:line="120" w:lineRule="auto"/>
              <w:jc w:val="center"/>
              <w:rPr>
                <w:rFonts w:asciiTheme="majorEastAsia" w:hAnsiTheme="majorEastAsia" w:eastAsiaTheme="majorEastAsia" w:cstheme="majorEastAsia"/>
                <w:szCs w:val="21"/>
              </w:rPr>
            </w:pPr>
          </w:p>
        </w:tc>
        <w:tc>
          <w:tcPr>
            <w:tcW w:w="694" w:type="dxa"/>
            <w:vAlign w:val="center"/>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w:t>
            </w:r>
          </w:p>
        </w:tc>
        <w:tc>
          <w:tcPr>
            <w:tcW w:w="2508" w:type="dxa"/>
          </w:tcPr>
          <w:p>
            <w:pPr>
              <w:spacing w:line="120" w:lineRule="auto"/>
              <w:jc w:val="center"/>
              <w:rPr>
                <w:rFonts w:asciiTheme="majorEastAsia" w:hAnsiTheme="majorEastAsia" w:eastAsiaTheme="majorEastAsia" w:cstheme="majorEastAsia"/>
                <w:szCs w:val="21"/>
              </w:rPr>
            </w:pPr>
          </w:p>
        </w:tc>
        <w:tc>
          <w:tcPr>
            <w:tcW w:w="1623" w:type="dxa"/>
          </w:tcPr>
          <w:p>
            <w:pPr>
              <w:spacing w:line="120" w:lineRule="auto"/>
              <w:jc w:val="center"/>
              <w:rPr>
                <w:rFonts w:asciiTheme="majorEastAsia" w:hAnsiTheme="majorEastAsia" w:eastAsiaTheme="majorEastAsia" w:cstheme="majorEastAsia"/>
                <w:szCs w:val="21"/>
              </w:rPr>
            </w:pPr>
          </w:p>
        </w:tc>
        <w:tc>
          <w:tcPr>
            <w:tcW w:w="2205" w:type="dxa"/>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青林村、金堰村、督粮冲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dxa"/>
            <w:vAlign w:val="center"/>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26</w:t>
            </w:r>
          </w:p>
        </w:tc>
        <w:tc>
          <w:tcPr>
            <w:tcW w:w="1086" w:type="dxa"/>
            <w:vAlign w:val="center"/>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枫树乡</w:t>
            </w:r>
          </w:p>
        </w:tc>
        <w:tc>
          <w:tcPr>
            <w:tcW w:w="851" w:type="dxa"/>
            <w:vAlign w:val="center"/>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12</w:t>
            </w:r>
          </w:p>
        </w:tc>
        <w:tc>
          <w:tcPr>
            <w:tcW w:w="649" w:type="dxa"/>
            <w:vAlign w:val="center"/>
          </w:tcPr>
          <w:p>
            <w:pPr>
              <w:spacing w:line="120" w:lineRule="auto"/>
              <w:jc w:val="center"/>
              <w:rPr>
                <w:rFonts w:asciiTheme="majorEastAsia" w:hAnsiTheme="majorEastAsia" w:eastAsiaTheme="majorEastAsia" w:cstheme="majorEastAsia"/>
                <w:szCs w:val="21"/>
              </w:rPr>
            </w:pPr>
          </w:p>
        </w:tc>
        <w:tc>
          <w:tcPr>
            <w:tcW w:w="694" w:type="dxa"/>
            <w:vAlign w:val="center"/>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w:t>
            </w:r>
          </w:p>
        </w:tc>
        <w:tc>
          <w:tcPr>
            <w:tcW w:w="2508" w:type="dxa"/>
          </w:tcPr>
          <w:p>
            <w:pPr>
              <w:spacing w:line="120" w:lineRule="auto"/>
              <w:jc w:val="center"/>
              <w:rPr>
                <w:rFonts w:asciiTheme="majorEastAsia" w:hAnsiTheme="majorEastAsia" w:eastAsiaTheme="majorEastAsia" w:cstheme="majorEastAsia"/>
                <w:szCs w:val="21"/>
              </w:rPr>
            </w:pPr>
          </w:p>
        </w:tc>
        <w:tc>
          <w:tcPr>
            <w:tcW w:w="1623" w:type="dxa"/>
          </w:tcPr>
          <w:p>
            <w:pPr>
              <w:spacing w:line="120" w:lineRule="auto"/>
              <w:jc w:val="center"/>
              <w:rPr>
                <w:rFonts w:asciiTheme="majorEastAsia" w:hAnsiTheme="majorEastAsia" w:eastAsiaTheme="majorEastAsia" w:cstheme="majorEastAsia"/>
                <w:szCs w:val="21"/>
              </w:rPr>
            </w:pPr>
          </w:p>
        </w:tc>
        <w:tc>
          <w:tcPr>
            <w:tcW w:w="2205" w:type="dxa"/>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庄家桥村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dxa"/>
            <w:vAlign w:val="center"/>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27</w:t>
            </w:r>
          </w:p>
        </w:tc>
        <w:tc>
          <w:tcPr>
            <w:tcW w:w="1086" w:type="dxa"/>
            <w:vAlign w:val="center"/>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佘家坪乡</w:t>
            </w:r>
          </w:p>
        </w:tc>
        <w:tc>
          <w:tcPr>
            <w:tcW w:w="851" w:type="dxa"/>
            <w:vAlign w:val="center"/>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9</w:t>
            </w:r>
          </w:p>
        </w:tc>
        <w:tc>
          <w:tcPr>
            <w:tcW w:w="649" w:type="dxa"/>
            <w:vAlign w:val="center"/>
          </w:tcPr>
          <w:p>
            <w:pPr>
              <w:spacing w:line="120" w:lineRule="auto"/>
              <w:jc w:val="center"/>
              <w:rPr>
                <w:rFonts w:asciiTheme="majorEastAsia" w:hAnsiTheme="majorEastAsia" w:eastAsiaTheme="majorEastAsia" w:cstheme="majorEastAsia"/>
                <w:szCs w:val="21"/>
              </w:rPr>
            </w:pPr>
          </w:p>
        </w:tc>
        <w:tc>
          <w:tcPr>
            <w:tcW w:w="694" w:type="dxa"/>
            <w:vAlign w:val="center"/>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w:t>
            </w:r>
          </w:p>
        </w:tc>
        <w:tc>
          <w:tcPr>
            <w:tcW w:w="2508" w:type="dxa"/>
          </w:tcPr>
          <w:p>
            <w:pPr>
              <w:spacing w:line="120" w:lineRule="auto"/>
              <w:jc w:val="center"/>
              <w:rPr>
                <w:rFonts w:asciiTheme="majorEastAsia" w:hAnsiTheme="majorEastAsia" w:eastAsiaTheme="majorEastAsia" w:cstheme="majorEastAsia"/>
                <w:szCs w:val="21"/>
              </w:rPr>
            </w:pPr>
          </w:p>
        </w:tc>
        <w:tc>
          <w:tcPr>
            <w:tcW w:w="1623" w:type="dxa"/>
          </w:tcPr>
          <w:p>
            <w:pPr>
              <w:spacing w:line="120" w:lineRule="auto"/>
              <w:jc w:val="center"/>
              <w:rPr>
                <w:rFonts w:asciiTheme="majorEastAsia" w:hAnsiTheme="majorEastAsia" w:eastAsiaTheme="majorEastAsia" w:cstheme="majorEastAsia"/>
                <w:szCs w:val="21"/>
              </w:rPr>
            </w:pPr>
          </w:p>
        </w:tc>
        <w:tc>
          <w:tcPr>
            <w:tcW w:w="2205" w:type="dxa"/>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南岳殿村、新港村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dxa"/>
            <w:vAlign w:val="center"/>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28</w:t>
            </w:r>
          </w:p>
        </w:tc>
        <w:tc>
          <w:tcPr>
            <w:tcW w:w="1086" w:type="dxa"/>
            <w:vAlign w:val="center"/>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泥窝潭乡</w:t>
            </w:r>
          </w:p>
        </w:tc>
        <w:tc>
          <w:tcPr>
            <w:tcW w:w="851" w:type="dxa"/>
            <w:vAlign w:val="center"/>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9</w:t>
            </w:r>
          </w:p>
        </w:tc>
        <w:tc>
          <w:tcPr>
            <w:tcW w:w="649" w:type="dxa"/>
            <w:vAlign w:val="center"/>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w:t>
            </w:r>
          </w:p>
        </w:tc>
        <w:tc>
          <w:tcPr>
            <w:tcW w:w="694" w:type="dxa"/>
            <w:vAlign w:val="center"/>
          </w:tcPr>
          <w:p>
            <w:pPr>
              <w:spacing w:line="120" w:lineRule="auto"/>
              <w:jc w:val="center"/>
              <w:rPr>
                <w:rFonts w:asciiTheme="majorEastAsia" w:hAnsiTheme="majorEastAsia" w:eastAsiaTheme="majorEastAsia" w:cstheme="majorEastAsia"/>
                <w:szCs w:val="21"/>
              </w:rPr>
            </w:pPr>
          </w:p>
        </w:tc>
        <w:tc>
          <w:tcPr>
            <w:tcW w:w="2508" w:type="dxa"/>
          </w:tcPr>
          <w:p>
            <w:pPr>
              <w:spacing w:line="120" w:lineRule="auto"/>
              <w:jc w:val="center"/>
              <w:rPr>
                <w:rFonts w:asciiTheme="majorEastAsia" w:hAnsiTheme="majorEastAsia" w:eastAsiaTheme="majorEastAsia" w:cstheme="majorEastAsia"/>
                <w:szCs w:val="21"/>
              </w:rPr>
            </w:pPr>
          </w:p>
        </w:tc>
        <w:tc>
          <w:tcPr>
            <w:tcW w:w="1623" w:type="dxa"/>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五马寨村</w:t>
            </w:r>
          </w:p>
        </w:tc>
        <w:tc>
          <w:tcPr>
            <w:tcW w:w="2205" w:type="dxa"/>
          </w:tcPr>
          <w:p>
            <w:pPr>
              <w:spacing w:line="120" w:lineRule="auto"/>
              <w:jc w:val="center"/>
              <w:rPr>
                <w:rFonts w:asciiTheme="majorEastAsia" w:hAnsiTheme="majorEastAsia" w:eastAsiaTheme="majorEastAsia" w:cs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dxa"/>
            <w:vAlign w:val="center"/>
          </w:tcPr>
          <w:p>
            <w:pPr>
              <w:spacing w:line="120" w:lineRule="auto"/>
              <w:jc w:val="center"/>
              <w:rPr>
                <w:rFonts w:asciiTheme="majorEastAsia" w:hAnsiTheme="majorEastAsia" w:eastAsiaTheme="majorEastAsia" w:cstheme="majorEastAsia"/>
                <w:szCs w:val="21"/>
              </w:rPr>
            </w:pPr>
          </w:p>
        </w:tc>
        <w:tc>
          <w:tcPr>
            <w:tcW w:w="1086" w:type="dxa"/>
            <w:vAlign w:val="center"/>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合计</w:t>
            </w:r>
          </w:p>
        </w:tc>
        <w:tc>
          <w:tcPr>
            <w:tcW w:w="851" w:type="dxa"/>
            <w:vAlign w:val="center"/>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413</w:t>
            </w:r>
          </w:p>
        </w:tc>
        <w:tc>
          <w:tcPr>
            <w:tcW w:w="649" w:type="dxa"/>
            <w:vAlign w:val="center"/>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54</w:t>
            </w:r>
          </w:p>
        </w:tc>
        <w:tc>
          <w:tcPr>
            <w:tcW w:w="694" w:type="dxa"/>
            <w:vAlign w:val="center"/>
          </w:tcPr>
          <w:p>
            <w:pPr>
              <w:spacing w:line="12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25</w:t>
            </w:r>
          </w:p>
        </w:tc>
        <w:tc>
          <w:tcPr>
            <w:tcW w:w="2508" w:type="dxa"/>
          </w:tcPr>
          <w:p>
            <w:pPr>
              <w:spacing w:line="120" w:lineRule="auto"/>
              <w:jc w:val="center"/>
              <w:rPr>
                <w:rFonts w:asciiTheme="majorEastAsia" w:hAnsiTheme="majorEastAsia" w:eastAsiaTheme="majorEastAsia" w:cstheme="majorEastAsia"/>
                <w:szCs w:val="21"/>
              </w:rPr>
            </w:pPr>
          </w:p>
        </w:tc>
        <w:tc>
          <w:tcPr>
            <w:tcW w:w="1623" w:type="dxa"/>
          </w:tcPr>
          <w:p>
            <w:pPr>
              <w:spacing w:line="120" w:lineRule="auto"/>
              <w:jc w:val="center"/>
              <w:rPr>
                <w:rFonts w:asciiTheme="majorEastAsia" w:hAnsiTheme="majorEastAsia" w:eastAsiaTheme="majorEastAsia" w:cstheme="majorEastAsia"/>
                <w:szCs w:val="21"/>
              </w:rPr>
            </w:pPr>
          </w:p>
        </w:tc>
        <w:tc>
          <w:tcPr>
            <w:tcW w:w="2205" w:type="dxa"/>
          </w:tcPr>
          <w:p>
            <w:pPr>
              <w:spacing w:line="120" w:lineRule="auto"/>
              <w:jc w:val="center"/>
              <w:rPr>
                <w:rFonts w:asciiTheme="majorEastAsia" w:hAnsiTheme="majorEastAsia" w:eastAsiaTheme="majorEastAsia" w:cstheme="majorEastAsia"/>
                <w:szCs w:val="21"/>
              </w:rPr>
            </w:pPr>
          </w:p>
        </w:tc>
      </w:tr>
    </w:tbl>
    <w:p>
      <w:pPr>
        <w:spacing w:line="360" w:lineRule="auto"/>
        <w:jc w:val="left"/>
        <w:rPr>
          <w:rFonts w:ascii="黑体" w:hAnsi="黑体" w:eastAsia="黑体" w:cs="黑体"/>
          <w:sz w:val="30"/>
          <w:szCs w:val="30"/>
        </w:rPr>
      </w:pPr>
    </w:p>
    <w:p>
      <w:pPr>
        <w:spacing w:line="360" w:lineRule="auto"/>
        <w:jc w:val="left"/>
        <w:rPr>
          <w:rFonts w:ascii="黑体" w:hAnsi="黑体" w:eastAsia="黑体" w:cs="黑体"/>
          <w:sz w:val="28"/>
          <w:szCs w:val="28"/>
        </w:rPr>
      </w:pPr>
      <w:r>
        <w:rPr>
          <w:rFonts w:hint="eastAsia" w:ascii="黑体" w:hAnsi="黑体" w:eastAsia="黑体" w:cs="黑体"/>
          <w:sz w:val="28"/>
          <w:szCs w:val="28"/>
        </w:rPr>
        <w:t>4.2.1  选址原则</w:t>
      </w:r>
    </w:p>
    <w:p>
      <w:pPr>
        <w:spacing w:line="500" w:lineRule="exact"/>
        <w:ind w:firstLine="442" w:firstLineChars="200"/>
        <w:rPr>
          <w:rFonts w:asciiTheme="majorEastAsia" w:hAnsiTheme="majorEastAsia" w:eastAsiaTheme="majorEastAsia" w:cstheme="majorEastAsia"/>
          <w:b/>
          <w:bCs/>
          <w:sz w:val="22"/>
          <w:szCs w:val="22"/>
        </w:rPr>
      </w:pPr>
      <w:r>
        <w:rPr>
          <w:rFonts w:hint="eastAsia" w:asciiTheme="majorEastAsia" w:hAnsiTheme="majorEastAsia" w:eastAsiaTheme="majorEastAsia" w:cstheme="majorEastAsia"/>
          <w:b/>
          <w:bCs/>
          <w:sz w:val="22"/>
          <w:szCs w:val="22"/>
        </w:rPr>
        <w:t>（1）集中式处理设施选址原则</w:t>
      </w:r>
    </w:p>
    <w:p>
      <w:pPr>
        <w:spacing w:line="360" w:lineRule="auto"/>
        <w:ind w:firstLine="440" w:firstLineChars="200"/>
        <w:jc w:val="left"/>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集中式污水处理设施占地相对较大，其位置对于集中点居民布局、环境保护要求、污水出路、污水管网系统的布局、工程的投资和运行管理都有重要意义。集中式污水处理设施选址，除应符合 城镇总体规划和排水工程专业规划要求外，还应考虑以下几个原则：</w:t>
      </w:r>
    </w:p>
    <w:p>
      <w:pPr>
        <w:spacing w:line="360" w:lineRule="auto"/>
        <w:ind w:firstLine="440" w:firstLineChars="200"/>
        <w:jc w:val="left"/>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1）应符合饮用水水源保护区、自然保护区等生态环境敏感区的有关规定；</w:t>
      </w:r>
    </w:p>
    <w:p>
      <w:pPr>
        <w:spacing w:line="360" w:lineRule="auto"/>
        <w:ind w:firstLine="440" w:firstLineChars="200"/>
        <w:jc w:val="left"/>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2）应符合国家和地方关于用地、供电、防洪、防雷、防灾等方面的要求；</w:t>
      </w:r>
    </w:p>
    <w:p>
      <w:pPr>
        <w:spacing w:line="360" w:lineRule="auto"/>
        <w:ind w:firstLine="440" w:firstLineChars="200"/>
        <w:jc w:val="left"/>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3）尽可能设在区域地势较低处，依靠地形坡度和重力流来收集污水，节约收集和运营成本；</w:t>
      </w:r>
    </w:p>
    <w:p>
      <w:pPr>
        <w:spacing w:line="360" w:lineRule="auto"/>
        <w:ind w:firstLine="440" w:firstLineChars="200"/>
        <w:jc w:val="left"/>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4）应充分结合区域特征，与处理设施出水的受纳水体或农田的实际情况相结合；</w:t>
      </w:r>
    </w:p>
    <w:p>
      <w:pPr>
        <w:spacing w:line="360" w:lineRule="auto"/>
        <w:ind w:firstLine="440" w:firstLineChars="200"/>
        <w:jc w:val="left"/>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5）节约用地，所占土地原利用价值低，充分考虑荒地、荒塘，尽量少占或不占耕地；</w:t>
      </w:r>
    </w:p>
    <w:p>
      <w:pPr>
        <w:spacing w:line="360" w:lineRule="auto"/>
        <w:ind w:firstLine="440" w:firstLineChars="200"/>
        <w:jc w:val="left"/>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6）场地工程地质条件好，便于建设施工，避免特殊工程；</w:t>
      </w:r>
    </w:p>
    <w:p>
      <w:pPr>
        <w:spacing w:line="360" w:lineRule="auto"/>
        <w:ind w:firstLine="440" w:firstLineChars="200"/>
        <w:jc w:val="left"/>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7）尽可能选择在居民分布点主导方向的下风向，并与村民居住地保持适宜的距离，满足相关卫生防护距离要求。</w:t>
      </w:r>
    </w:p>
    <w:p>
      <w:pPr>
        <w:spacing w:line="500" w:lineRule="exact"/>
        <w:ind w:firstLine="442" w:firstLineChars="200"/>
        <w:rPr>
          <w:rFonts w:asciiTheme="majorEastAsia" w:hAnsiTheme="majorEastAsia" w:eastAsiaTheme="majorEastAsia" w:cstheme="majorEastAsia"/>
          <w:b/>
          <w:bCs/>
          <w:sz w:val="22"/>
          <w:szCs w:val="22"/>
        </w:rPr>
      </w:pPr>
      <w:r>
        <w:rPr>
          <w:rFonts w:hint="eastAsia" w:asciiTheme="majorEastAsia" w:hAnsiTheme="majorEastAsia" w:eastAsiaTheme="majorEastAsia" w:cstheme="majorEastAsia"/>
          <w:b/>
          <w:bCs/>
          <w:sz w:val="22"/>
          <w:szCs w:val="22"/>
        </w:rPr>
        <w:t xml:space="preserve">（2）分散式处理设施选址原则 </w:t>
      </w:r>
    </w:p>
    <w:p>
      <w:pPr>
        <w:spacing w:line="360" w:lineRule="auto"/>
        <w:ind w:firstLine="440" w:firstLineChars="200"/>
        <w:jc w:val="left"/>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分散性处理设施选址应考虑以下几个原则：</w:t>
      </w:r>
    </w:p>
    <w:p>
      <w:pPr>
        <w:spacing w:line="360" w:lineRule="auto"/>
        <w:ind w:firstLine="440" w:firstLineChars="200"/>
        <w:jc w:val="left"/>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1）充分考虑住房周边地形、地势等因素；</w:t>
      </w:r>
    </w:p>
    <w:p>
      <w:pPr>
        <w:spacing w:line="360" w:lineRule="auto"/>
        <w:ind w:firstLine="440" w:firstLineChars="200"/>
        <w:jc w:val="left"/>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2）结合住房原化粪池位置、排水放方向及水位差，做到自流进水和出水；</w:t>
      </w:r>
    </w:p>
    <w:p>
      <w:pPr>
        <w:spacing w:line="360" w:lineRule="auto"/>
        <w:ind w:firstLine="440" w:firstLineChars="200"/>
        <w:jc w:val="left"/>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3）所占土地原利用价值低，充分考虑荒地，尽量少占或不占菜地或耕地；</w:t>
      </w:r>
    </w:p>
    <w:p>
      <w:pPr>
        <w:spacing w:line="360" w:lineRule="auto"/>
        <w:ind w:firstLine="440" w:firstLineChars="200"/>
        <w:jc w:val="left"/>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4）尽量缩短收集管网，减少工程投资。</w:t>
      </w:r>
    </w:p>
    <w:p>
      <w:pPr>
        <w:spacing w:line="540" w:lineRule="exact"/>
        <w:jc w:val="left"/>
        <w:rPr>
          <w:rFonts w:ascii="黑体" w:hAnsi="黑体" w:eastAsia="黑体" w:cs="黑体"/>
          <w:sz w:val="28"/>
          <w:szCs w:val="28"/>
        </w:rPr>
      </w:pPr>
      <w:r>
        <w:rPr>
          <w:rFonts w:hint="eastAsia" w:ascii="黑体" w:hAnsi="黑体" w:eastAsia="黑体" w:cs="黑体"/>
          <w:sz w:val="28"/>
          <w:szCs w:val="28"/>
        </w:rPr>
        <w:t>4.2.2  已建设施合理性分析</w:t>
      </w:r>
    </w:p>
    <w:p>
      <w:pPr>
        <w:spacing w:line="540" w:lineRule="exact"/>
        <w:ind w:firstLine="440" w:firstLineChars="200"/>
        <w:jc w:val="left"/>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桃源县已建成集中式污水处理站12座，三格式化粪池28494套，四格式净化系统2259套。现有集中式污水处理站均位于远离城镇村庄中的人口聚集区，设施出水基本为处理达标后经沟渠排入附近水体或用于农田灌溉。目前处理效果整体较好，根据第三方检测机构检测结果，设计规模20吨以上处理设施设施出水达标率为100%。现有集中式污水处理站出水执行的标准为《城镇污水处理厂污 染物排放标准》（GB18918-2002）一级B标准，该排放标准相关因子限值未超出本规划设定的相应排放标准要求，因此不需要进行改造。上述已建污水处理设施将纳入本规划范围统筹考虑。</w:t>
      </w:r>
    </w:p>
    <w:p>
      <w:pPr>
        <w:spacing w:line="540" w:lineRule="exact"/>
        <w:jc w:val="left"/>
        <w:rPr>
          <w:rFonts w:ascii="黑体" w:hAnsi="黑体" w:eastAsia="黑体" w:cs="黑体"/>
          <w:sz w:val="30"/>
          <w:szCs w:val="30"/>
        </w:rPr>
      </w:pPr>
      <w:r>
        <w:rPr>
          <w:rFonts w:hint="eastAsia" w:ascii="黑体" w:hAnsi="黑体" w:eastAsia="黑体" w:cs="黑体"/>
          <w:sz w:val="30"/>
          <w:szCs w:val="30"/>
        </w:rPr>
        <w:t>4.3  污水收集系统建设</w:t>
      </w:r>
    </w:p>
    <w:p>
      <w:pPr>
        <w:spacing w:line="540" w:lineRule="exact"/>
        <w:jc w:val="left"/>
        <w:rPr>
          <w:rFonts w:ascii="黑体" w:hAnsi="黑体" w:eastAsia="黑体" w:cs="黑体"/>
          <w:sz w:val="28"/>
          <w:szCs w:val="28"/>
        </w:rPr>
      </w:pPr>
      <w:r>
        <w:rPr>
          <w:rFonts w:hint="eastAsia" w:ascii="黑体" w:hAnsi="黑体" w:eastAsia="黑体" w:cs="黑体"/>
          <w:sz w:val="28"/>
          <w:szCs w:val="28"/>
        </w:rPr>
        <w:t>4.3.1  排水体制</w:t>
      </w:r>
    </w:p>
    <w:p>
      <w:pPr>
        <w:spacing w:line="540" w:lineRule="exact"/>
        <w:ind w:firstLine="440" w:firstLineChars="200"/>
        <w:jc w:val="left"/>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根据项目区内各村的排水现状，本规划推荐采用不完全分流制的排水体制。充分利用现有沟渠 塘系统作为雨水收集系统，新建黑水和灰水收集的污水管网。</w:t>
      </w:r>
    </w:p>
    <w:p>
      <w:pPr>
        <w:spacing w:line="540" w:lineRule="exact"/>
        <w:jc w:val="left"/>
        <w:rPr>
          <w:rFonts w:ascii="黑体" w:hAnsi="黑体" w:eastAsia="黑体" w:cs="黑体"/>
          <w:sz w:val="28"/>
          <w:szCs w:val="28"/>
        </w:rPr>
      </w:pPr>
      <w:r>
        <w:rPr>
          <w:rFonts w:hint="eastAsia" w:ascii="黑体" w:hAnsi="黑体" w:eastAsia="黑体" w:cs="黑体"/>
          <w:sz w:val="28"/>
          <w:szCs w:val="28"/>
        </w:rPr>
        <w:t>4.3.2  收集系统建设原则</w:t>
      </w:r>
    </w:p>
    <w:p>
      <w:pPr>
        <w:spacing w:line="540" w:lineRule="exact"/>
        <w:ind w:firstLine="440" w:firstLineChars="200"/>
        <w:jc w:val="left"/>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（1）结合农村实际设计污水收集系统，对不完善的管网进行改造，严格实行雨污分流。</w:t>
      </w:r>
    </w:p>
    <w:p>
      <w:pPr>
        <w:spacing w:line="540" w:lineRule="exact"/>
        <w:ind w:firstLine="440" w:firstLineChars="200"/>
        <w:jc w:val="left"/>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（2）统筹改厕与污水收集处理。推行“厕所分户改造、污水集中处理，与单户粪污分散处理相结合”的方式。新建农村住房必须配套建设化粪池，原有未配套化粪池或化粪池建设不符合要求 的农户，须根据农村改厕工程安排实施。对化粪池出水进行收集、利用和处理，根据污水产生量、 利用情况和村庄布局，确定是否建设统一收集管网。</w:t>
      </w:r>
    </w:p>
    <w:p>
      <w:pPr>
        <w:spacing w:line="540" w:lineRule="exact"/>
        <w:ind w:firstLine="440" w:firstLineChars="200"/>
        <w:jc w:val="left"/>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（3）采用分散处理与资源化利用模式的农户必须严格做到“黑灰”分离；采用纳管处理和集 中治理达标排放模式的农户原则要求做到“黑灰”分离，“黑水”尽可能实现就近资源化利用；不 能实现“黑灰”分离的必须增加化粪池容积。</w:t>
      </w:r>
    </w:p>
    <w:p>
      <w:pPr>
        <w:spacing w:line="540" w:lineRule="exact"/>
        <w:ind w:firstLine="440" w:firstLineChars="200"/>
        <w:jc w:val="left"/>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（4）优先采用顺坡就势等建设成本低、施工速度快的管道布设方式。结合村庄规划、地形标 高、排水流向，按照接管短、埋深合理、尽可能利用重力自流的原则布置污水管道。对不能利用重 力自流排水的地区，根据服务范围和处理设施位置确定提升设施的位置。</w:t>
      </w:r>
    </w:p>
    <w:p>
      <w:pPr>
        <w:spacing w:line="540" w:lineRule="exact"/>
        <w:ind w:firstLine="440" w:firstLineChars="200"/>
        <w:jc w:val="left"/>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（5）利用池塘、沟渠等自然水体消纳生活污水的必须确保不形成黑臭水体。</w:t>
      </w:r>
    </w:p>
    <w:p>
      <w:pPr>
        <w:spacing w:line="560" w:lineRule="exact"/>
        <w:jc w:val="left"/>
        <w:rPr>
          <w:rFonts w:ascii="黑体" w:hAnsi="黑体" w:eastAsia="黑体" w:cs="黑体"/>
          <w:sz w:val="28"/>
          <w:szCs w:val="28"/>
        </w:rPr>
      </w:pPr>
      <w:r>
        <w:rPr>
          <w:rFonts w:hint="eastAsia" w:ascii="黑体" w:hAnsi="黑体" w:eastAsia="黑体" w:cs="黑体"/>
          <w:sz w:val="28"/>
          <w:szCs w:val="28"/>
        </w:rPr>
        <w:t>4.3.3  农村生活污水收集系统</w:t>
      </w:r>
    </w:p>
    <w:p>
      <w:pPr>
        <w:spacing w:line="560" w:lineRule="exact"/>
        <w:ind w:firstLine="440" w:firstLineChars="200"/>
        <w:jc w:val="left"/>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按照村庄居民生活习惯和村落的基本情况和工程应用实际情况，生活污水收集系统可分为单户 收集系统、多户收集系统和农村居民集中点收集系统。若涉及农家乐或餐饮经营户，则必须设置隔 油池，若为普通住户，可不设隔油池。</w:t>
      </w:r>
    </w:p>
    <w:p>
      <w:pPr>
        <w:spacing w:line="560" w:lineRule="exact"/>
        <w:ind w:firstLine="440" w:firstLineChars="200"/>
        <w:jc w:val="left"/>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（1）单户收集系统一般污水量不大于 0.5m³/d，服务人口 5 人以下，服务家庭户数 1 户。</w:t>
      </w:r>
    </w:p>
    <w:p>
      <w:pPr>
        <w:spacing w:line="540" w:lineRule="exact"/>
        <w:ind w:firstLine="420" w:firstLineChars="200"/>
        <w:jc w:val="left"/>
        <w:rPr>
          <w:rFonts w:asciiTheme="majorEastAsia" w:hAnsiTheme="majorEastAsia" w:eastAsiaTheme="majorEastAsia" w:cstheme="majorEastAsia"/>
          <w:sz w:val="22"/>
          <w:szCs w:val="22"/>
        </w:rPr>
      </w:pPr>
      <w:r>
        <w:drawing>
          <wp:anchor distT="0" distB="0" distL="114935" distR="114935" simplePos="0" relativeHeight="251659264" behindDoc="0" locked="0" layoutInCell="1" allowOverlap="1">
            <wp:simplePos x="0" y="0"/>
            <wp:positionH relativeFrom="column">
              <wp:posOffset>914400</wp:posOffset>
            </wp:positionH>
            <wp:positionV relativeFrom="paragraph">
              <wp:posOffset>217170</wp:posOffset>
            </wp:positionV>
            <wp:extent cx="4483735" cy="1311910"/>
            <wp:effectExtent l="0" t="0" r="12065" b="2540"/>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cstate="print"/>
                    <a:stretch>
                      <a:fillRect/>
                    </a:stretch>
                  </pic:blipFill>
                  <pic:spPr>
                    <a:xfrm>
                      <a:off x="0" y="0"/>
                      <a:ext cx="4483735" cy="1311910"/>
                    </a:xfrm>
                    <a:prstGeom prst="rect">
                      <a:avLst/>
                    </a:prstGeom>
                    <a:noFill/>
                    <a:ln w="9525">
                      <a:noFill/>
                    </a:ln>
                  </pic:spPr>
                </pic:pic>
              </a:graphicData>
            </a:graphic>
          </wp:anchor>
        </w:drawing>
      </w:r>
    </w:p>
    <w:p>
      <w:pPr>
        <w:spacing w:line="360" w:lineRule="auto"/>
        <w:ind w:firstLine="440" w:firstLineChars="200"/>
        <w:jc w:val="left"/>
        <w:rPr>
          <w:rFonts w:asciiTheme="majorEastAsia" w:hAnsiTheme="majorEastAsia" w:eastAsiaTheme="majorEastAsia" w:cstheme="majorEastAsia"/>
          <w:sz w:val="22"/>
          <w:szCs w:val="22"/>
        </w:rPr>
      </w:pPr>
    </w:p>
    <w:p>
      <w:pPr>
        <w:spacing w:line="360" w:lineRule="auto"/>
        <w:ind w:firstLine="440" w:firstLineChars="200"/>
        <w:jc w:val="left"/>
        <w:rPr>
          <w:rFonts w:asciiTheme="majorEastAsia" w:hAnsiTheme="majorEastAsia" w:eastAsiaTheme="majorEastAsia" w:cstheme="majorEastAsia"/>
          <w:sz w:val="22"/>
          <w:szCs w:val="22"/>
        </w:rPr>
      </w:pPr>
    </w:p>
    <w:p>
      <w:pPr>
        <w:spacing w:line="360" w:lineRule="auto"/>
        <w:ind w:firstLine="440" w:firstLineChars="200"/>
        <w:jc w:val="left"/>
        <w:rPr>
          <w:rFonts w:asciiTheme="majorEastAsia" w:hAnsiTheme="majorEastAsia" w:eastAsiaTheme="majorEastAsia" w:cstheme="majorEastAsia"/>
          <w:sz w:val="22"/>
          <w:szCs w:val="22"/>
        </w:rPr>
      </w:pPr>
    </w:p>
    <w:p>
      <w:pPr>
        <w:spacing w:line="560" w:lineRule="exact"/>
        <w:rPr>
          <w:rFonts w:asciiTheme="majorEastAsia" w:hAnsiTheme="majorEastAsia" w:eastAsiaTheme="majorEastAsia" w:cstheme="majorEastAsia"/>
          <w:b/>
          <w:bCs/>
          <w:sz w:val="22"/>
          <w:szCs w:val="22"/>
        </w:rPr>
      </w:pPr>
    </w:p>
    <w:p>
      <w:pPr>
        <w:spacing w:line="560" w:lineRule="exact"/>
        <w:ind w:firstLine="442" w:firstLineChars="200"/>
        <w:jc w:val="center"/>
        <w:rPr>
          <w:rFonts w:asciiTheme="majorEastAsia" w:hAnsiTheme="majorEastAsia" w:eastAsiaTheme="majorEastAsia" w:cstheme="majorEastAsia"/>
          <w:b/>
          <w:bCs/>
          <w:sz w:val="22"/>
          <w:szCs w:val="22"/>
        </w:rPr>
      </w:pPr>
      <w:r>
        <w:rPr>
          <w:rFonts w:hint="eastAsia" w:asciiTheme="majorEastAsia" w:hAnsiTheme="majorEastAsia" w:eastAsiaTheme="majorEastAsia" w:cstheme="majorEastAsia"/>
          <w:b/>
          <w:bCs/>
          <w:sz w:val="22"/>
          <w:szCs w:val="22"/>
        </w:rPr>
        <w:t>图 4-1 单户式污水收集系统示意图</w:t>
      </w:r>
    </w:p>
    <w:p>
      <w:pPr>
        <w:spacing w:line="560" w:lineRule="exact"/>
        <w:ind w:right="-81" w:firstLine="440" w:firstLineChars="200"/>
        <w:jc w:val="left"/>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（2）多户收集系统一般污水量不大于5</w:t>
      </w:r>
      <w:r>
        <w:rPr>
          <w:rFonts w:hint="eastAsia" w:asciiTheme="majorEastAsia" w:hAnsiTheme="majorEastAsia" w:eastAsiaTheme="majorEastAsia" w:cstheme="majorEastAsia"/>
          <w:spacing w:val="-2"/>
          <w:sz w:val="22"/>
          <w:szCs w:val="22"/>
        </w:rPr>
        <w:t>m</w:t>
      </w:r>
      <w:r>
        <w:rPr>
          <w:rFonts w:hint="eastAsia" w:asciiTheme="majorEastAsia" w:hAnsiTheme="majorEastAsia" w:eastAsiaTheme="majorEastAsia" w:cstheme="majorEastAsia"/>
          <w:sz w:val="22"/>
          <w:szCs w:val="22"/>
        </w:rPr>
        <w:t>³</w:t>
      </w:r>
      <w:r>
        <w:rPr>
          <w:rFonts w:hint="eastAsia" w:asciiTheme="majorEastAsia" w:hAnsiTheme="majorEastAsia" w:eastAsiaTheme="majorEastAsia" w:cstheme="majorEastAsia"/>
          <w:spacing w:val="1"/>
          <w:sz w:val="22"/>
          <w:szCs w:val="22"/>
        </w:rPr>
        <w:t>/</w:t>
      </w:r>
      <w:r>
        <w:rPr>
          <w:rFonts w:hint="eastAsia" w:asciiTheme="majorEastAsia" w:hAnsiTheme="majorEastAsia" w:eastAsiaTheme="majorEastAsia" w:cstheme="majorEastAsia"/>
          <w:sz w:val="22"/>
          <w:szCs w:val="22"/>
        </w:rPr>
        <w:t>d</w:t>
      </w:r>
      <w:r>
        <w:rPr>
          <w:rFonts w:hint="eastAsia" w:asciiTheme="majorEastAsia" w:hAnsiTheme="majorEastAsia" w:eastAsiaTheme="majorEastAsia" w:cstheme="majorEastAsia"/>
          <w:spacing w:val="-60"/>
          <w:sz w:val="22"/>
          <w:szCs w:val="22"/>
        </w:rPr>
        <w:t>，</w:t>
      </w:r>
      <w:r>
        <w:rPr>
          <w:rFonts w:hint="eastAsia" w:asciiTheme="majorEastAsia" w:hAnsiTheme="majorEastAsia" w:eastAsiaTheme="majorEastAsia" w:cstheme="majorEastAsia"/>
          <w:sz w:val="22"/>
          <w:szCs w:val="22"/>
        </w:rPr>
        <w:t>服务人口50 人以下</w:t>
      </w:r>
      <w:r>
        <w:rPr>
          <w:rFonts w:hint="eastAsia" w:asciiTheme="majorEastAsia" w:hAnsiTheme="majorEastAsia" w:eastAsiaTheme="majorEastAsia" w:cstheme="majorEastAsia"/>
          <w:spacing w:val="-58"/>
          <w:sz w:val="22"/>
          <w:szCs w:val="22"/>
        </w:rPr>
        <w:t>，</w:t>
      </w:r>
      <w:r>
        <w:rPr>
          <w:rFonts w:hint="eastAsia" w:asciiTheme="majorEastAsia" w:hAnsiTheme="majorEastAsia" w:eastAsiaTheme="majorEastAsia" w:cstheme="majorEastAsia"/>
          <w:sz w:val="22"/>
          <w:szCs w:val="22"/>
        </w:rPr>
        <w:t>服务农户户数2～10户，污水处理设施布置在村落中；在单户收集系统基础上，将各户的污水用管道引入污水处理设施。</w:t>
      </w:r>
    </w:p>
    <w:p>
      <w:pPr>
        <w:spacing w:line="360" w:lineRule="auto"/>
        <w:ind w:firstLine="420" w:firstLineChars="200"/>
        <w:jc w:val="center"/>
        <w:rPr>
          <w:rFonts w:asciiTheme="majorEastAsia" w:hAnsiTheme="majorEastAsia" w:eastAsiaTheme="majorEastAsia" w:cstheme="majorEastAsia"/>
          <w:b/>
          <w:bCs/>
          <w:sz w:val="22"/>
          <w:szCs w:val="22"/>
        </w:rPr>
      </w:pPr>
      <w:r>
        <w:drawing>
          <wp:anchor distT="0" distB="0" distL="114300" distR="114300" simplePos="0" relativeHeight="251661312" behindDoc="1" locked="0" layoutInCell="1" allowOverlap="1">
            <wp:simplePos x="0" y="0"/>
            <wp:positionH relativeFrom="page">
              <wp:posOffset>966470</wp:posOffset>
            </wp:positionH>
            <wp:positionV relativeFrom="paragraph">
              <wp:posOffset>252095</wp:posOffset>
            </wp:positionV>
            <wp:extent cx="5433060" cy="2362200"/>
            <wp:effectExtent l="0" t="0" r="15240" b="0"/>
            <wp:wrapNone/>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7" cstate="print"/>
                    <a:stretch>
                      <a:fillRect/>
                    </a:stretch>
                  </pic:blipFill>
                  <pic:spPr>
                    <a:xfrm>
                      <a:off x="0" y="0"/>
                      <a:ext cx="5433060" cy="2362200"/>
                    </a:xfrm>
                    <a:prstGeom prst="rect">
                      <a:avLst/>
                    </a:prstGeom>
                    <a:noFill/>
                    <a:ln w="9525">
                      <a:noFill/>
                    </a:ln>
                  </pic:spPr>
                </pic:pic>
              </a:graphicData>
            </a:graphic>
          </wp:anchor>
        </w:drawing>
      </w:r>
    </w:p>
    <w:p>
      <w:pPr>
        <w:spacing w:line="360" w:lineRule="auto"/>
        <w:ind w:firstLine="442" w:firstLineChars="200"/>
        <w:jc w:val="center"/>
        <w:rPr>
          <w:rFonts w:asciiTheme="majorEastAsia" w:hAnsiTheme="majorEastAsia" w:eastAsiaTheme="majorEastAsia" w:cstheme="majorEastAsia"/>
          <w:b/>
          <w:bCs/>
          <w:sz w:val="22"/>
          <w:szCs w:val="22"/>
        </w:rPr>
      </w:pPr>
    </w:p>
    <w:p>
      <w:pPr>
        <w:spacing w:line="360" w:lineRule="auto"/>
        <w:ind w:firstLine="442" w:firstLineChars="200"/>
        <w:jc w:val="center"/>
        <w:rPr>
          <w:rFonts w:asciiTheme="majorEastAsia" w:hAnsiTheme="majorEastAsia" w:eastAsiaTheme="majorEastAsia" w:cstheme="majorEastAsia"/>
          <w:b/>
          <w:bCs/>
          <w:sz w:val="22"/>
          <w:szCs w:val="22"/>
        </w:rPr>
      </w:pPr>
    </w:p>
    <w:p>
      <w:pPr>
        <w:spacing w:line="360" w:lineRule="auto"/>
        <w:ind w:firstLine="442" w:firstLineChars="200"/>
        <w:jc w:val="center"/>
        <w:rPr>
          <w:rFonts w:asciiTheme="majorEastAsia" w:hAnsiTheme="majorEastAsia" w:eastAsiaTheme="majorEastAsia" w:cstheme="majorEastAsia"/>
          <w:b/>
          <w:bCs/>
          <w:sz w:val="22"/>
          <w:szCs w:val="22"/>
        </w:rPr>
      </w:pPr>
    </w:p>
    <w:p>
      <w:pPr>
        <w:spacing w:line="360" w:lineRule="auto"/>
        <w:ind w:firstLine="442" w:firstLineChars="200"/>
        <w:jc w:val="center"/>
        <w:rPr>
          <w:rFonts w:asciiTheme="majorEastAsia" w:hAnsiTheme="majorEastAsia" w:eastAsiaTheme="majorEastAsia" w:cstheme="majorEastAsia"/>
          <w:b/>
          <w:bCs/>
          <w:sz w:val="22"/>
          <w:szCs w:val="22"/>
        </w:rPr>
      </w:pPr>
    </w:p>
    <w:p>
      <w:pPr>
        <w:spacing w:line="360" w:lineRule="auto"/>
        <w:ind w:firstLine="442" w:firstLineChars="200"/>
        <w:jc w:val="center"/>
        <w:rPr>
          <w:rFonts w:asciiTheme="majorEastAsia" w:hAnsiTheme="majorEastAsia" w:eastAsiaTheme="majorEastAsia" w:cstheme="majorEastAsia"/>
          <w:b/>
          <w:bCs/>
          <w:sz w:val="22"/>
          <w:szCs w:val="22"/>
        </w:rPr>
      </w:pPr>
    </w:p>
    <w:p>
      <w:pPr>
        <w:spacing w:line="360" w:lineRule="auto"/>
        <w:ind w:firstLine="442" w:firstLineChars="200"/>
        <w:jc w:val="center"/>
        <w:rPr>
          <w:rFonts w:asciiTheme="majorEastAsia" w:hAnsiTheme="majorEastAsia" w:eastAsiaTheme="majorEastAsia" w:cstheme="majorEastAsia"/>
          <w:b/>
          <w:bCs/>
          <w:sz w:val="22"/>
          <w:szCs w:val="22"/>
        </w:rPr>
      </w:pPr>
    </w:p>
    <w:p>
      <w:pPr>
        <w:spacing w:line="360" w:lineRule="auto"/>
        <w:ind w:firstLine="442" w:firstLineChars="200"/>
        <w:jc w:val="center"/>
        <w:rPr>
          <w:rFonts w:asciiTheme="majorEastAsia" w:hAnsiTheme="majorEastAsia" w:eastAsiaTheme="majorEastAsia" w:cstheme="majorEastAsia"/>
          <w:b/>
          <w:bCs/>
          <w:sz w:val="22"/>
          <w:szCs w:val="22"/>
        </w:rPr>
      </w:pPr>
    </w:p>
    <w:p>
      <w:pPr>
        <w:spacing w:line="560" w:lineRule="exact"/>
        <w:ind w:firstLine="442" w:firstLineChars="200"/>
        <w:jc w:val="center"/>
        <w:rPr>
          <w:rFonts w:asciiTheme="majorEastAsia" w:hAnsiTheme="majorEastAsia" w:eastAsiaTheme="majorEastAsia" w:cstheme="majorEastAsia"/>
          <w:b/>
          <w:bCs/>
          <w:sz w:val="22"/>
          <w:szCs w:val="22"/>
        </w:rPr>
      </w:pPr>
    </w:p>
    <w:p>
      <w:pPr>
        <w:spacing w:line="560" w:lineRule="exact"/>
        <w:ind w:firstLine="442" w:firstLineChars="200"/>
        <w:jc w:val="center"/>
        <w:rPr>
          <w:rFonts w:asciiTheme="majorEastAsia" w:hAnsiTheme="majorEastAsia" w:eastAsiaTheme="majorEastAsia" w:cstheme="majorEastAsia"/>
          <w:b/>
          <w:bCs/>
          <w:sz w:val="22"/>
          <w:szCs w:val="22"/>
        </w:rPr>
      </w:pPr>
      <w:r>
        <w:rPr>
          <w:rFonts w:hint="eastAsia" w:asciiTheme="majorEastAsia" w:hAnsiTheme="majorEastAsia" w:eastAsiaTheme="majorEastAsia" w:cstheme="majorEastAsia"/>
          <w:b/>
          <w:bCs/>
          <w:sz w:val="22"/>
          <w:szCs w:val="22"/>
        </w:rPr>
        <w:t>图 4-2 多户式污水收集系统示意图</w:t>
      </w:r>
    </w:p>
    <w:p>
      <w:pPr>
        <w:numPr>
          <w:ilvl w:val="0"/>
          <w:numId w:val="3"/>
        </w:numPr>
        <w:spacing w:line="560" w:lineRule="exact"/>
        <w:ind w:firstLine="440" w:firstLineChars="200"/>
        <w:jc w:val="left"/>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集中点收集系统服务农户户数 10户以上的集中点；网管设置在单户收集系统基础上，将 各户的污水用管道引入污水处理设施。</w:t>
      </w:r>
    </w:p>
    <w:p>
      <w:pPr>
        <w:spacing w:line="560" w:lineRule="exact"/>
        <w:jc w:val="center"/>
        <w:rPr>
          <w:rFonts w:asciiTheme="majorEastAsia" w:hAnsiTheme="majorEastAsia" w:eastAsiaTheme="majorEastAsia" w:cstheme="majorEastAsia"/>
          <w:b/>
          <w:bCs/>
          <w:sz w:val="22"/>
          <w:szCs w:val="22"/>
        </w:rPr>
      </w:pPr>
      <w:r>
        <w:drawing>
          <wp:anchor distT="0" distB="0" distL="114300" distR="114300" simplePos="0" relativeHeight="251660288" behindDoc="1" locked="0" layoutInCell="1" allowOverlap="1">
            <wp:simplePos x="0" y="0"/>
            <wp:positionH relativeFrom="column">
              <wp:posOffset>-304800</wp:posOffset>
            </wp:positionH>
            <wp:positionV relativeFrom="paragraph">
              <wp:posOffset>-36830</wp:posOffset>
            </wp:positionV>
            <wp:extent cx="6603365" cy="2002155"/>
            <wp:effectExtent l="0" t="0" r="6985" b="17145"/>
            <wp:wrapTight wrapText="bothSides">
              <wp:wrapPolygon>
                <wp:start x="0" y="0"/>
                <wp:lineTo x="0" y="21374"/>
                <wp:lineTo x="21561" y="21374"/>
                <wp:lineTo x="21561" y="0"/>
                <wp:lineTo x="0" y="0"/>
              </wp:wrapPolygon>
            </wp:wrapTight>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8" cstate="print"/>
                    <a:stretch>
                      <a:fillRect/>
                    </a:stretch>
                  </pic:blipFill>
                  <pic:spPr>
                    <a:xfrm>
                      <a:off x="0" y="0"/>
                      <a:ext cx="6603365" cy="2002155"/>
                    </a:xfrm>
                    <a:prstGeom prst="rect">
                      <a:avLst/>
                    </a:prstGeom>
                    <a:noFill/>
                    <a:ln w="9525">
                      <a:noFill/>
                    </a:ln>
                  </pic:spPr>
                </pic:pic>
              </a:graphicData>
            </a:graphic>
          </wp:anchor>
        </w:drawing>
      </w:r>
      <w:r>
        <w:rPr>
          <w:rFonts w:hint="eastAsia" w:asciiTheme="majorEastAsia" w:hAnsiTheme="majorEastAsia" w:eastAsiaTheme="majorEastAsia" w:cstheme="majorEastAsia"/>
          <w:b/>
          <w:bCs/>
          <w:sz w:val="22"/>
          <w:szCs w:val="22"/>
        </w:rPr>
        <w:t>图 4-3 居民集中点污水收集系统示意图</w:t>
      </w:r>
    </w:p>
    <w:p>
      <w:pPr>
        <w:spacing w:line="680" w:lineRule="exact"/>
        <w:jc w:val="left"/>
        <w:rPr>
          <w:rFonts w:ascii="黑体" w:hAnsi="黑体" w:eastAsia="黑体" w:cs="黑体"/>
          <w:sz w:val="30"/>
          <w:szCs w:val="30"/>
        </w:rPr>
      </w:pPr>
      <w:r>
        <w:rPr>
          <w:rFonts w:hint="eastAsia" w:ascii="黑体" w:hAnsi="黑体" w:eastAsia="黑体" w:cs="黑体"/>
          <w:sz w:val="30"/>
          <w:szCs w:val="30"/>
        </w:rPr>
        <w:t>4.4  污水处理技术工艺选择</w:t>
      </w:r>
    </w:p>
    <w:p>
      <w:pPr>
        <w:spacing w:line="680" w:lineRule="exact"/>
        <w:jc w:val="left"/>
        <w:rPr>
          <w:rFonts w:asciiTheme="majorEastAsia" w:hAnsiTheme="majorEastAsia" w:eastAsiaTheme="majorEastAsia" w:cstheme="majorEastAsia"/>
          <w:sz w:val="22"/>
          <w:szCs w:val="22"/>
        </w:rPr>
      </w:pPr>
      <w:r>
        <w:rPr>
          <w:rFonts w:hint="eastAsia" w:ascii="黑体" w:hAnsi="黑体" w:eastAsia="黑体" w:cs="黑体"/>
          <w:sz w:val="28"/>
          <w:szCs w:val="28"/>
        </w:rPr>
        <w:t>4.4.1  工艺选择原则</w:t>
      </w:r>
    </w:p>
    <w:p>
      <w:pPr>
        <w:spacing w:line="500" w:lineRule="exact"/>
        <w:ind w:firstLine="440" w:firstLineChars="200"/>
        <w:jc w:val="left"/>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污水处理工艺方案的优化选择是确保污水处理系统运行性能、确保出水水质、降低费用的关键， 需从整体优化的观念出发，结合设计规模、污水水质特性以及当地的实际条件和要求，并借鉴类似 工程的成功经验，选择切实可行的处理工艺方案，在确定处理工艺的过程中应遵照以下原则：</w:t>
      </w:r>
    </w:p>
    <w:p>
      <w:pPr>
        <w:spacing w:line="500" w:lineRule="exact"/>
        <w:ind w:firstLine="440" w:firstLineChars="200"/>
        <w:jc w:val="left"/>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（1）鼓励优先选择氮磷资源化与尾水利用的技术手段或途径。厕所粪污经过无害化处理后， 可通过堆肥等方式，就地就近用于庭院绿化和农田灌溉等。可通过农田沟渠、塘堰等排灌系统生态化改造，栽种水生植物，建设植物隔离带等，对尾水进一步利用和净化。</w:t>
      </w:r>
    </w:p>
    <w:p>
      <w:pPr>
        <w:spacing w:line="500" w:lineRule="exact"/>
        <w:ind w:firstLine="440" w:firstLineChars="200"/>
        <w:jc w:val="left"/>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（2）根据村庄自然地理条件、居民分布、污水治理规模、排放标准、经济水平等因素，选择适宜当地的污水处理技术工艺。</w:t>
      </w:r>
    </w:p>
    <w:p>
      <w:pPr>
        <w:spacing w:line="500" w:lineRule="exact"/>
        <w:ind w:firstLine="440" w:firstLineChars="200"/>
        <w:jc w:val="left"/>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（3）尽量采用低成本、低能耗、易维护、高效率的汚水处理技术。有条件的地区，可采用人工湿地、氧化塘等无动力或微动力处理工艺。</w:t>
      </w:r>
    </w:p>
    <w:p>
      <w:pPr>
        <w:spacing w:line="500" w:lineRule="exact"/>
        <w:ind w:firstLine="440" w:firstLineChars="200"/>
        <w:jc w:val="left"/>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（4）农家乐、农家院等农村餐饮服务点、民宿等需配备隔油池（器），对污水进行预处理。</w:t>
      </w:r>
    </w:p>
    <w:p>
      <w:pPr>
        <w:spacing w:line="660" w:lineRule="exact"/>
        <w:jc w:val="left"/>
        <w:rPr>
          <w:rFonts w:ascii="黑体" w:hAnsi="黑体" w:eastAsia="黑体" w:cs="黑体"/>
          <w:sz w:val="28"/>
          <w:szCs w:val="28"/>
        </w:rPr>
      </w:pPr>
      <w:r>
        <w:rPr>
          <w:rFonts w:hint="eastAsia" w:ascii="黑体" w:hAnsi="黑体" w:eastAsia="黑体" w:cs="黑体"/>
          <w:sz w:val="28"/>
          <w:szCs w:val="28"/>
        </w:rPr>
        <w:t>4.4.2  工艺比选</w:t>
      </w:r>
    </w:p>
    <w:p>
      <w:pPr>
        <w:spacing w:line="500" w:lineRule="exact"/>
        <w:ind w:firstLine="440" w:firstLineChars="200"/>
        <w:jc w:val="left"/>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目前国内采用的农村生活污水处理技术种类繁多，应根据桃源县实际情况，因村因地制宜，选 择适宜的处理工艺。如位于生态敏感区，排水水质要求高或用地非常紧张的地区，可采用 A</w:t>
      </w:r>
      <w:r>
        <w:rPr>
          <w:rFonts w:hint="eastAsia" w:asciiTheme="majorEastAsia" w:hAnsiTheme="majorEastAsia" w:eastAsiaTheme="majorEastAsia" w:cstheme="majorEastAsia"/>
          <w:sz w:val="22"/>
          <w:szCs w:val="22"/>
          <w:vertAlign w:val="superscript"/>
        </w:rPr>
        <w:t>2</w:t>
      </w:r>
      <w:r>
        <w:rPr>
          <w:rFonts w:hint="eastAsia" w:asciiTheme="majorEastAsia" w:hAnsiTheme="majorEastAsia" w:eastAsiaTheme="majorEastAsia" w:cstheme="majorEastAsia"/>
          <w:sz w:val="22"/>
          <w:szCs w:val="22"/>
        </w:rPr>
        <w:t>/O 一体化处理装置的工艺。排水水质要求相对没那没高且用地没那么紧张的地区，可选择运行费用低、 易于管理维护的人工湿地或稳定塘工艺。</w:t>
      </w:r>
    </w:p>
    <w:p>
      <w:pPr>
        <w:spacing w:line="500" w:lineRule="exact"/>
        <w:jc w:val="center"/>
        <w:rPr>
          <w:rFonts w:asciiTheme="majorEastAsia" w:hAnsiTheme="majorEastAsia" w:eastAsiaTheme="majorEastAsia" w:cstheme="majorEastAsia"/>
          <w:b/>
          <w:bCs/>
          <w:sz w:val="22"/>
          <w:szCs w:val="22"/>
        </w:rPr>
      </w:pPr>
      <w:r>
        <w:rPr>
          <w:rFonts w:hint="eastAsia" w:asciiTheme="majorEastAsia" w:hAnsiTheme="majorEastAsia" w:eastAsiaTheme="majorEastAsia" w:cstheme="majorEastAsia"/>
          <w:b/>
          <w:bCs/>
          <w:sz w:val="22"/>
          <w:szCs w:val="22"/>
        </w:rPr>
        <w:t>表 4- 3  桃源县农村污水处理工艺推荐表</w:t>
      </w:r>
    </w:p>
    <w:tbl>
      <w:tblPr>
        <w:tblStyle w:val="6"/>
        <w:tblW w:w="10215" w:type="dxa"/>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2775"/>
        <w:gridCol w:w="2010"/>
        <w:gridCol w:w="2640"/>
        <w:gridCol w:w="1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vAlign w:val="center"/>
          </w:tcPr>
          <w:p>
            <w:pPr>
              <w:spacing w:line="500" w:lineRule="exact"/>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规模</w:t>
            </w:r>
          </w:p>
        </w:tc>
        <w:tc>
          <w:tcPr>
            <w:tcW w:w="2775" w:type="dxa"/>
            <w:vAlign w:val="center"/>
          </w:tcPr>
          <w:p>
            <w:pPr>
              <w:spacing w:line="500" w:lineRule="exact"/>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排水标准</w:t>
            </w:r>
          </w:p>
        </w:tc>
        <w:tc>
          <w:tcPr>
            <w:tcW w:w="2010" w:type="dxa"/>
            <w:vAlign w:val="center"/>
          </w:tcPr>
          <w:p>
            <w:pPr>
              <w:spacing w:line="500" w:lineRule="exact"/>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处理模式</w:t>
            </w:r>
          </w:p>
        </w:tc>
        <w:tc>
          <w:tcPr>
            <w:tcW w:w="2640" w:type="dxa"/>
            <w:vAlign w:val="center"/>
          </w:tcPr>
          <w:p>
            <w:pPr>
              <w:spacing w:line="500" w:lineRule="exact"/>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优点</w:t>
            </w:r>
          </w:p>
        </w:tc>
        <w:tc>
          <w:tcPr>
            <w:tcW w:w="1830" w:type="dxa"/>
            <w:vAlign w:val="center"/>
          </w:tcPr>
          <w:p>
            <w:pPr>
              <w:spacing w:line="500" w:lineRule="exact"/>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缺点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960" w:type="dxa"/>
            <w:vMerge w:val="restart"/>
            <w:vAlign w:val="center"/>
          </w:tcPr>
          <w:p>
            <w:pPr>
              <w:spacing w:line="4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集中式</w:t>
            </w:r>
          </w:p>
        </w:tc>
        <w:tc>
          <w:tcPr>
            <w:tcW w:w="2775" w:type="dxa"/>
            <w:vMerge w:val="restart"/>
            <w:vAlign w:val="center"/>
          </w:tcPr>
          <w:p>
            <w:pPr>
              <w:spacing w:line="4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《农村生活污水处理设施水 污染物排放标准》一级标准</w:t>
            </w:r>
          </w:p>
        </w:tc>
        <w:tc>
          <w:tcPr>
            <w:tcW w:w="2010" w:type="dxa"/>
            <w:vAlign w:val="center"/>
          </w:tcPr>
          <w:p>
            <w:pPr>
              <w:spacing w:line="4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A²/O一体化处理</w:t>
            </w:r>
          </w:p>
          <w:p>
            <w:pPr>
              <w:spacing w:line="4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装置</w:t>
            </w:r>
          </w:p>
        </w:tc>
        <w:tc>
          <w:tcPr>
            <w:tcW w:w="2640" w:type="dxa"/>
            <w:vAlign w:val="center"/>
          </w:tcPr>
          <w:p>
            <w:pPr>
              <w:spacing w:line="4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处理负荷高、效果好、达标稳定性好、占地面积少。</w:t>
            </w:r>
          </w:p>
        </w:tc>
        <w:tc>
          <w:tcPr>
            <w:tcW w:w="1830" w:type="dxa"/>
            <w:vAlign w:val="center"/>
          </w:tcPr>
          <w:p>
            <w:pPr>
              <w:spacing w:line="400" w:lineRule="exact"/>
              <w:jc w:val="left"/>
              <w:rPr>
                <w:rFonts w:asciiTheme="majorEastAsia" w:hAnsiTheme="majorEastAsia" w:eastAsiaTheme="majorEastAsia" w:cstheme="majorEastAsia"/>
                <w:sz w:val="22"/>
                <w:szCs w:val="22"/>
              </w:rPr>
            </w:pPr>
            <w:r>
              <w:rPr>
                <w:rFonts w:hint="eastAsia" w:ascii="宋体" w:hAnsi="宋体" w:eastAsia="宋体"/>
              </w:rPr>
              <w:t>建设成本高、运行费用高、运行管理复杂难度大。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960" w:type="dxa"/>
            <w:vMerge w:val="continue"/>
            <w:vAlign w:val="center"/>
          </w:tcPr>
          <w:p>
            <w:pPr>
              <w:spacing w:line="400" w:lineRule="exact"/>
              <w:jc w:val="center"/>
              <w:rPr>
                <w:rFonts w:asciiTheme="majorEastAsia" w:hAnsiTheme="majorEastAsia" w:eastAsiaTheme="majorEastAsia" w:cstheme="majorEastAsia"/>
                <w:szCs w:val="21"/>
              </w:rPr>
            </w:pPr>
          </w:p>
        </w:tc>
        <w:tc>
          <w:tcPr>
            <w:tcW w:w="2775" w:type="dxa"/>
            <w:vMerge w:val="continue"/>
            <w:vAlign w:val="center"/>
          </w:tcPr>
          <w:p>
            <w:pPr>
              <w:spacing w:line="400" w:lineRule="exact"/>
              <w:jc w:val="center"/>
              <w:rPr>
                <w:rFonts w:asciiTheme="majorEastAsia" w:hAnsiTheme="majorEastAsia" w:eastAsiaTheme="majorEastAsia" w:cstheme="majorEastAsia"/>
                <w:szCs w:val="21"/>
              </w:rPr>
            </w:pPr>
          </w:p>
        </w:tc>
        <w:tc>
          <w:tcPr>
            <w:tcW w:w="2010" w:type="dxa"/>
            <w:vAlign w:val="center"/>
          </w:tcPr>
          <w:p>
            <w:pPr>
              <w:spacing w:line="4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微动力+人工湿地</w:t>
            </w:r>
          </w:p>
        </w:tc>
        <w:tc>
          <w:tcPr>
            <w:tcW w:w="2640" w:type="dxa"/>
            <w:vAlign w:val="center"/>
          </w:tcPr>
          <w:p>
            <w:pPr>
              <w:spacing w:line="4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处理效果好、运行费用低、</w:t>
            </w:r>
          </w:p>
          <w:p>
            <w:pPr>
              <w:spacing w:line="4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管理维护简便。</w:t>
            </w:r>
          </w:p>
        </w:tc>
        <w:tc>
          <w:tcPr>
            <w:tcW w:w="1830" w:type="dxa"/>
            <w:vAlign w:val="center"/>
          </w:tcPr>
          <w:p>
            <w:pPr>
              <w:spacing w:line="400" w:lineRule="exact"/>
              <w:jc w:val="center"/>
              <w:rPr>
                <w:rFonts w:asciiTheme="majorEastAsia" w:hAnsiTheme="majorEastAsia" w:eastAsiaTheme="majorEastAsia" w:cstheme="majorEastAsia"/>
                <w:sz w:val="22"/>
                <w:szCs w:val="22"/>
              </w:rPr>
            </w:pPr>
            <w:r>
              <w:rPr>
                <w:rFonts w:hint="eastAsia" w:ascii="宋体" w:hAnsi="宋体" w:eastAsia="宋体"/>
              </w:rPr>
              <w:t>建设成本较高，占地面积较大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vMerge w:val="continue"/>
            <w:vAlign w:val="center"/>
          </w:tcPr>
          <w:p>
            <w:pPr>
              <w:spacing w:line="400" w:lineRule="exact"/>
              <w:jc w:val="center"/>
              <w:rPr>
                <w:rFonts w:asciiTheme="majorEastAsia" w:hAnsiTheme="majorEastAsia" w:eastAsiaTheme="majorEastAsia" w:cstheme="majorEastAsia"/>
                <w:szCs w:val="21"/>
              </w:rPr>
            </w:pPr>
          </w:p>
        </w:tc>
        <w:tc>
          <w:tcPr>
            <w:tcW w:w="2775" w:type="dxa"/>
            <w:vAlign w:val="center"/>
          </w:tcPr>
          <w:p>
            <w:pPr>
              <w:spacing w:line="4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《农村生活污水处理设施水</w:t>
            </w:r>
          </w:p>
          <w:p>
            <w:pPr>
              <w:spacing w:line="4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污染物排放标准》二级标准</w:t>
            </w:r>
          </w:p>
        </w:tc>
        <w:tc>
          <w:tcPr>
            <w:tcW w:w="2010" w:type="dxa"/>
            <w:vAlign w:val="center"/>
          </w:tcPr>
          <w:p>
            <w:pPr>
              <w:spacing w:line="4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微动力+人工湿地</w:t>
            </w:r>
          </w:p>
          <w:p>
            <w:pPr>
              <w:spacing w:line="4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（稳定塘）</w:t>
            </w:r>
          </w:p>
        </w:tc>
        <w:tc>
          <w:tcPr>
            <w:tcW w:w="2640" w:type="dxa"/>
            <w:vAlign w:val="center"/>
          </w:tcPr>
          <w:p>
            <w:pPr>
              <w:spacing w:line="4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处理效果好、运行费用低、</w:t>
            </w:r>
          </w:p>
          <w:p>
            <w:pPr>
              <w:spacing w:line="4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管理维护简便。</w:t>
            </w:r>
          </w:p>
        </w:tc>
        <w:tc>
          <w:tcPr>
            <w:tcW w:w="1830" w:type="dxa"/>
            <w:vAlign w:val="center"/>
          </w:tcPr>
          <w:p>
            <w:pPr>
              <w:spacing w:line="400" w:lineRule="exact"/>
              <w:jc w:val="center"/>
              <w:rPr>
                <w:rFonts w:asciiTheme="majorEastAsia" w:hAnsiTheme="majorEastAsia" w:eastAsiaTheme="majorEastAsia" w:cstheme="majorEastAsia"/>
                <w:sz w:val="22"/>
                <w:szCs w:val="22"/>
              </w:rPr>
            </w:pPr>
            <w:r>
              <w:rPr>
                <w:rFonts w:hint="eastAsia" w:ascii="宋体" w:hAnsi="宋体" w:eastAsia="宋体"/>
              </w:rPr>
              <w:t>建设成本较高，占地面积较强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vMerge w:val="continue"/>
            <w:vAlign w:val="center"/>
          </w:tcPr>
          <w:p>
            <w:pPr>
              <w:spacing w:line="400" w:lineRule="exact"/>
              <w:jc w:val="center"/>
              <w:rPr>
                <w:rFonts w:asciiTheme="majorEastAsia" w:hAnsiTheme="majorEastAsia" w:eastAsiaTheme="majorEastAsia" w:cstheme="majorEastAsia"/>
                <w:szCs w:val="21"/>
              </w:rPr>
            </w:pPr>
          </w:p>
        </w:tc>
        <w:tc>
          <w:tcPr>
            <w:tcW w:w="2775" w:type="dxa"/>
            <w:vAlign w:val="center"/>
          </w:tcPr>
          <w:p>
            <w:pPr>
              <w:spacing w:line="4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《农村生活污水处理设施水</w:t>
            </w:r>
          </w:p>
          <w:p>
            <w:pPr>
              <w:spacing w:line="4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污染物排放标准》三级标准</w:t>
            </w:r>
          </w:p>
        </w:tc>
        <w:tc>
          <w:tcPr>
            <w:tcW w:w="2010" w:type="dxa"/>
            <w:vAlign w:val="center"/>
          </w:tcPr>
          <w:p>
            <w:pPr>
              <w:spacing w:line="4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厌氧+人工湿地</w:t>
            </w:r>
          </w:p>
          <w:p>
            <w:pPr>
              <w:spacing w:line="4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（稳定塘）</w:t>
            </w:r>
          </w:p>
        </w:tc>
        <w:tc>
          <w:tcPr>
            <w:tcW w:w="2640" w:type="dxa"/>
            <w:vAlign w:val="center"/>
          </w:tcPr>
          <w:p>
            <w:pPr>
              <w:spacing w:line="400" w:lineRule="exact"/>
              <w:jc w:val="center"/>
              <w:rPr>
                <w:rFonts w:asciiTheme="majorEastAsia" w:hAnsiTheme="majorEastAsia" w:eastAsiaTheme="majorEastAsia" w:cstheme="majorEastAsia"/>
                <w:szCs w:val="21"/>
              </w:rPr>
            </w:pPr>
            <w:r>
              <w:rPr>
                <w:rFonts w:hint="eastAsia" w:ascii="宋体" w:hAnsi="宋体" w:eastAsia="宋体"/>
              </w:rPr>
              <w:t>运行费用低、管理维护简便。</w:t>
            </w:r>
          </w:p>
        </w:tc>
        <w:tc>
          <w:tcPr>
            <w:tcW w:w="1830" w:type="dxa"/>
            <w:vAlign w:val="center"/>
          </w:tcPr>
          <w:p>
            <w:pPr>
              <w:spacing w:line="400" w:lineRule="exact"/>
              <w:jc w:val="center"/>
              <w:rPr>
                <w:rFonts w:asciiTheme="majorEastAsia" w:hAnsiTheme="majorEastAsia" w:eastAsiaTheme="majorEastAsia" w:cstheme="majorEastAsia"/>
                <w:sz w:val="22"/>
                <w:szCs w:val="22"/>
              </w:rPr>
            </w:pPr>
            <w:r>
              <w:rPr>
                <w:rFonts w:hint="eastAsia" w:ascii="宋体" w:hAnsi="宋体" w:eastAsia="宋体"/>
              </w:rPr>
              <w:t>占地面积大、季节适应性不强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vAlign w:val="center"/>
          </w:tcPr>
          <w:p>
            <w:pPr>
              <w:spacing w:line="4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分散式</w:t>
            </w:r>
          </w:p>
        </w:tc>
        <w:tc>
          <w:tcPr>
            <w:tcW w:w="2775" w:type="dxa"/>
            <w:vAlign w:val="center"/>
          </w:tcPr>
          <w:p>
            <w:pPr>
              <w:spacing w:line="4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《农村生活污水处理设施水</w:t>
            </w:r>
          </w:p>
          <w:p>
            <w:pPr>
              <w:spacing w:line="4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污染物排放标准》三级标准</w:t>
            </w:r>
          </w:p>
        </w:tc>
        <w:tc>
          <w:tcPr>
            <w:tcW w:w="2010" w:type="dxa"/>
            <w:vAlign w:val="center"/>
          </w:tcPr>
          <w:p>
            <w:pPr>
              <w:spacing w:line="4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四格池</w:t>
            </w:r>
          </w:p>
          <w:p>
            <w:pPr>
              <w:spacing w:line="4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（庭院式小型湿地）</w:t>
            </w:r>
          </w:p>
        </w:tc>
        <w:tc>
          <w:tcPr>
            <w:tcW w:w="2640" w:type="dxa"/>
            <w:vAlign w:val="center"/>
          </w:tcPr>
          <w:p>
            <w:pPr>
              <w:spacing w:line="400" w:lineRule="exact"/>
              <w:jc w:val="center"/>
              <w:rPr>
                <w:rFonts w:asciiTheme="majorEastAsia" w:hAnsiTheme="majorEastAsia" w:eastAsiaTheme="majorEastAsia" w:cstheme="majorEastAsia"/>
                <w:szCs w:val="21"/>
              </w:rPr>
            </w:pPr>
            <w:r>
              <w:rPr>
                <w:rFonts w:hint="eastAsia" w:ascii="宋体" w:hAnsi="宋体" w:eastAsia="宋体"/>
              </w:rPr>
              <w:t>运行费用低、管理维护简便。</w:t>
            </w:r>
          </w:p>
        </w:tc>
        <w:tc>
          <w:tcPr>
            <w:tcW w:w="1830" w:type="dxa"/>
            <w:vAlign w:val="center"/>
          </w:tcPr>
          <w:p>
            <w:pPr>
              <w:spacing w:line="400" w:lineRule="exact"/>
              <w:jc w:val="center"/>
              <w:rPr>
                <w:rFonts w:asciiTheme="majorEastAsia" w:hAnsiTheme="majorEastAsia" w:eastAsiaTheme="majorEastAsia" w:cstheme="majorEastAsia"/>
                <w:sz w:val="22"/>
                <w:szCs w:val="22"/>
              </w:rPr>
            </w:pPr>
            <w:r>
              <w:rPr>
                <w:rFonts w:hint="eastAsia" w:ascii="宋体" w:hAnsi="宋体" w:eastAsia="宋体"/>
              </w:rPr>
              <w:t>占地面积大、季节适应性不强</w:t>
            </w:r>
          </w:p>
        </w:tc>
      </w:tr>
    </w:tbl>
    <w:p>
      <w:pPr>
        <w:jc w:val="left"/>
        <w:rPr>
          <w:rFonts w:ascii="黑体" w:hAnsi="黑体" w:eastAsia="黑体" w:cs="黑体"/>
          <w:sz w:val="32"/>
        </w:rPr>
      </w:pPr>
      <w:r>
        <w:rPr>
          <w:rFonts w:hint="eastAsia" w:ascii="黑体" w:hAnsi="黑体" w:eastAsia="黑体" w:cs="黑体"/>
          <w:sz w:val="32"/>
        </w:rPr>
        <w:t>4.5 设施出水排放要求</w:t>
      </w:r>
    </w:p>
    <w:p>
      <w:pPr>
        <w:jc w:val="left"/>
        <w:rPr>
          <w:rFonts w:ascii="黑体" w:hAnsi="黑体" w:eastAsia="黑体" w:cs="黑体"/>
          <w:sz w:val="28"/>
        </w:rPr>
      </w:pPr>
      <w:r>
        <w:rPr>
          <w:rFonts w:hint="eastAsia" w:ascii="黑体" w:hAnsi="黑体" w:eastAsia="黑体" w:cs="黑体"/>
          <w:sz w:val="28"/>
        </w:rPr>
        <w:t>4.5.1 设施出水排放标准</w:t>
      </w:r>
    </w:p>
    <w:p>
      <w:pPr>
        <w:ind w:firstLine="440" w:firstLineChars="200"/>
        <w:jc w:val="left"/>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根据《农村生活污水处理设施水污染物排放标准》（DB43/1665-2019），针对农村生活污水处理设施出水排放去向、受纳水体环境功能和治理规模，农村生活污水处理设施水污染物排放标准分为一级标准、二级标准和三级标准。</w:t>
      </w:r>
    </w:p>
    <w:p>
      <w:pPr>
        <w:ind w:firstLine="440" w:firstLineChars="200"/>
        <w:jc w:val="left"/>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1）出水排入《地表水环境质量标准》（GB3838-2002）地表水Ⅲ类功能水域（划定的饮用源保护区和游泳区除外）且规模在10m³/d（含）～500m³/d（不含）时，执行一级标准；规模在10m/d（不含）以下时，执行二级标准。</w:t>
      </w:r>
    </w:p>
    <w:p>
      <w:pPr>
        <w:ind w:firstLine="440" w:firstLineChars="200"/>
        <w:jc w:val="left"/>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（2）出水排入《地表水环境质量标准》（GB3838-2002）地表水Ⅳ类、Ⅴ类功能水域且规模10m³/d（含）～500m³/d（不含）时，执行二级标准；规模在10m³/d（不含）以下时，执行三级标准。</w:t>
      </w:r>
    </w:p>
    <w:p>
      <w:pPr>
        <w:ind w:firstLine="440" w:firstLineChars="200"/>
        <w:jc w:val="left"/>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（3）出水排入村庄附近池塘等环境功能未明确的水体时，执行三级标准；县级以上人民政府</w:t>
      </w:r>
    </w:p>
    <w:p>
      <w:pPr>
        <w:jc w:val="left"/>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可根据水环境保护实际需求，执行更严格的排放限值。</w:t>
      </w:r>
    </w:p>
    <w:p>
      <w:pPr>
        <w:spacing w:line="500" w:lineRule="exact"/>
        <w:jc w:val="center"/>
        <w:rPr>
          <w:rFonts w:asciiTheme="majorEastAsia" w:hAnsiTheme="majorEastAsia" w:eastAsiaTheme="majorEastAsia" w:cstheme="majorEastAsia"/>
          <w:b/>
          <w:bCs/>
          <w:sz w:val="22"/>
          <w:szCs w:val="22"/>
        </w:rPr>
      </w:pPr>
      <w:r>
        <w:rPr>
          <w:rFonts w:hint="eastAsia" w:asciiTheme="majorEastAsia" w:hAnsiTheme="majorEastAsia" w:eastAsiaTheme="majorEastAsia" w:cstheme="majorEastAsia"/>
          <w:b/>
          <w:bCs/>
          <w:sz w:val="22"/>
          <w:szCs w:val="22"/>
        </w:rPr>
        <w:t>表4- 4 农村生活污水处理设施污染物排放标准</w:t>
      </w:r>
    </w:p>
    <w:tbl>
      <w:tblPr>
        <w:tblStyle w:val="6"/>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190"/>
        <w:gridCol w:w="2627"/>
        <w:gridCol w:w="1926"/>
        <w:gridCol w:w="1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9" w:type="dxa"/>
            <w:gridSpan w:val="2"/>
          </w:tcPr>
          <w:p>
            <w:pPr>
              <w:spacing w:line="500" w:lineRule="exact"/>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标准类别</w:t>
            </w:r>
          </w:p>
        </w:tc>
        <w:tc>
          <w:tcPr>
            <w:tcW w:w="6479" w:type="dxa"/>
            <w:gridSpan w:val="3"/>
          </w:tcPr>
          <w:p>
            <w:pPr>
              <w:spacing w:line="500" w:lineRule="exact"/>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《农村生活污水处理设施水污染物排放标准》（DB43/1665-2019）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pacing w:line="5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序号</w:t>
            </w:r>
          </w:p>
        </w:tc>
        <w:tc>
          <w:tcPr>
            <w:tcW w:w="2190" w:type="dxa"/>
          </w:tcPr>
          <w:p>
            <w:pPr>
              <w:spacing w:line="5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项目</w:t>
            </w:r>
          </w:p>
        </w:tc>
        <w:tc>
          <w:tcPr>
            <w:tcW w:w="2627" w:type="dxa"/>
          </w:tcPr>
          <w:p>
            <w:pPr>
              <w:spacing w:line="5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一级标准</w:t>
            </w:r>
          </w:p>
        </w:tc>
        <w:tc>
          <w:tcPr>
            <w:tcW w:w="1926" w:type="dxa"/>
          </w:tcPr>
          <w:p>
            <w:pPr>
              <w:spacing w:line="5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二级标准</w:t>
            </w:r>
          </w:p>
        </w:tc>
        <w:tc>
          <w:tcPr>
            <w:tcW w:w="1926" w:type="dxa"/>
          </w:tcPr>
          <w:p>
            <w:pPr>
              <w:spacing w:line="5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三级标准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pacing w:line="5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w:t>
            </w:r>
          </w:p>
        </w:tc>
        <w:tc>
          <w:tcPr>
            <w:tcW w:w="2190" w:type="dxa"/>
          </w:tcPr>
          <w:p>
            <w:pPr>
              <w:spacing w:line="5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Ph(无量纲）</w:t>
            </w:r>
          </w:p>
        </w:tc>
        <w:tc>
          <w:tcPr>
            <w:tcW w:w="6479" w:type="dxa"/>
            <w:gridSpan w:val="3"/>
          </w:tcPr>
          <w:p>
            <w:pPr>
              <w:spacing w:line="5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pacing w:line="5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w:t>
            </w:r>
          </w:p>
        </w:tc>
        <w:tc>
          <w:tcPr>
            <w:tcW w:w="2190" w:type="dxa"/>
          </w:tcPr>
          <w:p>
            <w:pPr>
              <w:spacing w:line="5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悬浮物（SS）</w:t>
            </w:r>
          </w:p>
        </w:tc>
        <w:tc>
          <w:tcPr>
            <w:tcW w:w="2627" w:type="dxa"/>
          </w:tcPr>
          <w:p>
            <w:pPr>
              <w:spacing w:line="5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20</w:t>
            </w:r>
          </w:p>
        </w:tc>
        <w:tc>
          <w:tcPr>
            <w:tcW w:w="1926" w:type="dxa"/>
          </w:tcPr>
          <w:p>
            <w:pPr>
              <w:spacing w:line="5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30</w:t>
            </w:r>
          </w:p>
        </w:tc>
        <w:tc>
          <w:tcPr>
            <w:tcW w:w="1926" w:type="dxa"/>
          </w:tcPr>
          <w:p>
            <w:pPr>
              <w:spacing w:line="5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50</w:t>
            </w:r>
          </w:p>
        </w:tc>
      </w:tr>
    </w:tbl>
    <w:p>
      <w:pPr>
        <w:spacing w:line="500" w:lineRule="exact"/>
        <w:jc w:val="center"/>
        <w:rPr>
          <w:rFonts w:asciiTheme="majorEastAsia" w:hAnsiTheme="majorEastAsia" w:eastAsiaTheme="majorEastAsia" w:cstheme="majorEastAsia"/>
          <w:b/>
          <w:bCs/>
          <w:sz w:val="22"/>
          <w:szCs w:val="22"/>
        </w:rPr>
      </w:pPr>
    </w:p>
    <w:tbl>
      <w:tblPr>
        <w:tblStyle w:val="6"/>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2190"/>
        <w:gridCol w:w="2235"/>
        <w:gridCol w:w="2115"/>
        <w:gridCol w:w="2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 w:type="dxa"/>
            <w:vAlign w:val="center"/>
          </w:tcPr>
          <w:p>
            <w:pPr>
              <w:spacing w:line="5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w:t>
            </w:r>
          </w:p>
        </w:tc>
        <w:tc>
          <w:tcPr>
            <w:tcW w:w="2190" w:type="dxa"/>
            <w:vAlign w:val="center"/>
          </w:tcPr>
          <w:p>
            <w:pPr>
              <w:spacing w:line="5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生化需氧量（BOD</w:t>
            </w:r>
            <w:r>
              <w:rPr>
                <w:rFonts w:hint="eastAsia" w:asciiTheme="majorEastAsia" w:hAnsiTheme="majorEastAsia" w:eastAsiaTheme="majorEastAsia" w:cstheme="majorEastAsia"/>
                <w:szCs w:val="21"/>
                <w:vertAlign w:val="subscript"/>
              </w:rPr>
              <w:t>5</w:t>
            </w:r>
            <w:r>
              <w:rPr>
                <w:rFonts w:hint="eastAsia" w:asciiTheme="majorEastAsia" w:hAnsiTheme="majorEastAsia" w:eastAsiaTheme="majorEastAsia" w:cstheme="majorEastAsia"/>
                <w:szCs w:val="21"/>
              </w:rPr>
              <w:t>）</w:t>
            </w:r>
          </w:p>
        </w:tc>
        <w:tc>
          <w:tcPr>
            <w:tcW w:w="2235" w:type="dxa"/>
            <w:vAlign w:val="center"/>
          </w:tcPr>
          <w:p>
            <w:pPr>
              <w:spacing w:line="5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w:t>
            </w:r>
          </w:p>
        </w:tc>
        <w:tc>
          <w:tcPr>
            <w:tcW w:w="2115" w:type="dxa"/>
            <w:vAlign w:val="center"/>
          </w:tcPr>
          <w:p>
            <w:pPr>
              <w:spacing w:line="5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w:t>
            </w:r>
          </w:p>
        </w:tc>
        <w:tc>
          <w:tcPr>
            <w:tcW w:w="2114" w:type="dxa"/>
            <w:vAlign w:val="center"/>
          </w:tcPr>
          <w:p>
            <w:pPr>
              <w:spacing w:line="5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 w:type="dxa"/>
            <w:vAlign w:val="center"/>
          </w:tcPr>
          <w:p>
            <w:pPr>
              <w:spacing w:line="5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w:t>
            </w:r>
          </w:p>
        </w:tc>
        <w:tc>
          <w:tcPr>
            <w:tcW w:w="2190" w:type="dxa"/>
            <w:vAlign w:val="center"/>
          </w:tcPr>
          <w:p>
            <w:pPr>
              <w:spacing w:line="5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化学需氧量（COD</w:t>
            </w:r>
            <w:r>
              <w:rPr>
                <w:rFonts w:hint="eastAsia" w:asciiTheme="majorEastAsia" w:hAnsiTheme="majorEastAsia" w:eastAsiaTheme="majorEastAsia" w:cstheme="majorEastAsia"/>
                <w:szCs w:val="21"/>
                <w:vertAlign w:val="subscript"/>
              </w:rPr>
              <w:t>cr</w:t>
            </w:r>
            <w:r>
              <w:rPr>
                <w:rFonts w:hint="eastAsia" w:asciiTheme="majorEastAsia" w:hAnsiTheme="majorEastAsia" w:eastAsiaTheme="majorEastAsia" w:cstheme="majorEastAsia"/>
                <w:szCs w:val="21"/>
              </w:rPr>
              <w:t>）</w:t>
            </w:r>
          </w:p>
        </w:tc>
        <w:tc>
          <w:tcPr>
            <w:tcW w:w="2235" w:type="dxa"/>
            <w:vAlign w:val="center"/>
          </w:tcPr>
          <w:p>
            <w:pPr>
              <w:spacing w:line="5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60</w:t>
            </w:r>
          </w:p>
        </w:tc>
        <w:tc>
          <w:tcPr>
            <w:tcW w:w="2115" w:type="dxa"/>
            <w:vAlign w:val="center"/>
          </w:tcPr>
          <w:p>
            <w:pPr>
              <w:spacing w:line="5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100</w:t>
            </w:r>
          </w:p>
        </w:tc>
        <w:tc>
          <w:tcPr>
            <w:tcW w:w="2114" w:type="dxa"/>
            <w:vAlign w:val="center"/>
          </w:tcPr>
          <w:p>
            <w:pPr>
              <w:spacing w:line="5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 w:type="dxa"/>
            <w:vAlign w:val="center"/>
          </w:tcPr>
          <w:p>
            <w:pPr>
              <w:spacing w:line="5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5</w:t>
            </w:r>
          </w:p>
        </w:tc>
        <w:tc>
          <w:tcPr>
            <w:tcW w:w="2190" w:type="dxa"/>
            <w:vAlign w:val="center"/>
          </w:tcPr>
          <w:p>
            <w:pPr>
              <w:spacing w:line="5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氨氮（以N计）</w:t>
            </w:r>
          </w:p>
        </w:tc>
        <w:tc>
          <w:tcPr>
            <w:tcW w:w="2235" w:type="dxa"/>
            <w:vAlign w:val="center"/>
          </w:tcPr>
          <w:p>
            <w:pPr>
              <w:spacing w:line="5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8（15）</w:t>
            </w:r>
            <w:r>
              <w:rPr>
                <w:rFonts w:hint="eastAsia" w:asciiTheme="majorEastAsia" w:hAnsiTheme="majorEastAsia" w:eastAsiaTheme="majorEastAsia" w:cstheme="majorEastAsia"/>
                <w:szCs w:val="21"/>
                <w:vertAlign w:val="superscript"/>
              </w:rPr>
              <w:t>a</w:t>
            </w:r>
          </w:p>
        </w:tc>
        <w:tc>
          <w:tcPr>
            <w:tcW w:w="4229" w:type="dxa"/>
            <w:gridSpan w:val="2"/>
            <w:vAlign w:val="center"/>
          </w:tcPr>
          <w:p>
            <w:pPr>
              <w:spacing w:line="5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25（30）</w:t>
            </w:r>
            <w:r>
              <w:rPr>
                <w:rFonts w:hint="eastAsia" w:asciiTheme="majorEastAsia" w:hAnsiTheme="majorEastAsia" w:eastAsiaTheme="majorEastAsia" w:cstheme="majorEastAsia"/>
                <w:szCs w:val="21"/>
                <w:vertAlign w:val="superscript"/>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 w:type="dxa"/>
            <w:vAlign w:val="center"/>
          </w:tcPr>
          <w:p>
            <w:pPr>
              <w:spacing w:line="5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6</w:t>
            </w:r>
          </w:p>
        </w:tc>
        <w:tc>
          <w:tcPr>
            <w:tcW w:w="2190" w:type="dxa"/>
            <w:vAlign w:val="center"/>
          </w:tcPr>
          <w:p>
            <w:pPr>
              <w:spacing w:line="5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总氮（以N计）</w:t>
            </w:r>
            <w:r>
              <w:rPr>
                <w:rFonts w:hint="eastAsia" w:asciiTheme="majorEastAsia" w:hAnsiTheme="majorEastAsia" w:eastAsiaTheme="majorEastAsia" w:cstheme="majorEastAsia"/>
                <w:szCs w:val="21"/>
                <w:vertAlign w:val="superscript"/>
              </w:rPr>
              <w:t>b</w:t>
            </w:r>
          </w:p>
        </w:tc>
        <w:tc>
          <w:tcPr>
            <w:tcW w:w="2235" w:type="dxa"/>
            <w:vAlign w:val="center"/>
          </w:tcPr>
          <w:p>
            <w:pPr>
              <w:spacing w:line="5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20</w:t>
            </w:r>
          </w:p>
        </w:tc>
        <w:tc>
          <w:tcPr>
            <w:tcW w:w="4229" w:type="dxa"/>
            <w:gridSpan w:val="2"/>
            <w:vAlign w:val="center"/>
          </w:tcPr>
          <w:p>
            <w:pPr>
              <w:spacing w:line="5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 w:type="dxa"/>
            <w:vAlign w:val="center"/>
          </w:tcPr>
          <w:p>
            <w:pPr>
              <w:spacing w:line="5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7</w:t>
            </w:r>
          </w:p>
        </w:tc>
        <w:tc>
          <w:tcPr>
            <w:tcW w:w="2190" w:type="dxa"/>
            <w:vAlign w:val="center"/>
          </w:tcPr>
          <w:p>
            <w:pPr>
              <w:spacing w:line="5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总磷（以P计）</w:t>
            </w:r>
            <w:r>
              <w:rPr>
                <w:rFonts w:hint="eastAsia" w:asciiTheme="majorEastAsia" w:hAnsiTheme="majorEastAsia" w:eastAsiaTheme="majorEastAsia" w:cstheme="majorEastAsia"/>
                <w:szCs w:val="21"/>
                <w:vertAlign w:val="superscript"/>
              </w:rPr>
              <w:t>b</w:t>
            </w:r>
          </w:p>
        </w:tc>
        <w:tc>
          <w:tcPr>
            <w:tcW w:w="2235" w:type="dxa"/>
            <w:vAlign w:val="center"/>
          </w:tcPr>
          <w:p>
            <w:pPr>
              <w:spacing w:line="5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w:t>
            </w:r>
          </w:p>
        </w:tc>
        <w:tc>
          <w:tcPr>
            <w:tcW w:w="4229" w:type="dxa"/>
            <w:gridSpan w:val="2"/>
            <w:vAlign w:val="center"/>
          </w:tcPr>
          <w:p>
            <w:pPr>
              <w:spacing w:line="5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 w:type="dxa"/>
            <w:vAlign w:val="center"/>
          </w:tcPr>
          <w:p>
            <w:pPr>
              <w:spacing w:line="5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8</w:t>
            </w:r>
          </w:p>
        </w:tc>
        <w:tc>
          <w:tcPr>
            <w:tcW w:w="2190" w:type="dxa"/>
            <w:vAlign w:val="center"/>
          </w:tcPr>
          <w:p>
            <w:pPr>
              <w:spacing w:line="5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动植物油</w:t>
            </w:r>
            <w:r>
              <w:rPr>
                <w:rFonts w:hint="eastAsia" w:asciiTheme="majorEastAsia" w:hAnsiTheme="majorEastAsia" w:eastAsiaTheme="majorEastAsia" w:cstheme="majorEastAsia"/>
                <w:szCs w:val="21"/>
                <w:vertAlign w:val="superscript"/>
              </w:rPr>
              <w:t>c</w:t>
            </w:r>
          </w:p>
        </w:tc>
        <w:tc>
          <w:tcPr>
            <w:tcW w:w="2235" w:type="dxa"/>
            <w:vAlign w:val="center"/>
          </w:tcPr>
          <w:p>
            <w:pPr>
              <w:spacing w:line="5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w:t>
            </w:r>
          </w:p>
        </w:tc>
        <w:tc>
          <w:tcPr>
            <w:tcW w:w="4229" w:type="dxa"/>
            <w:gridSpan w:val="2"/>
            <w:vAlign w:val="center"/>
          </w:tcPr>
          <w:p>
            <w:pPr>
              <w:spacing w:line="5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 w:type="dxa"/>
            <w:vAlign w:val="center"/>
          </w:tcPr>
          <w:p>
            <w:pPr>
              <w:spacing w:line="5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9</w:t>
            </w:r>
          </w:p>
        </w:tc>
        <w:tc>
          <w:tcPr>
            <w:tcW w:w="2190" w:type="dxa"/>
            <w:vAlign w:val="center"/>
          </w:tcPr>
          <w:p>
            <w:pPr>
              <w:spacing w:line="5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阴离子表面活性剂</w:t>
            </w:r>
          </w:p>
        </w:tc>
        <w:tc>
          <w:tcPr>
            <w:tcW w:w="6464" w:type="dxa"/>
            <w:gridSpan w:val="3"/>
            <w:vAlign w:val="center"/>
          </w:tcPr>
          <w:p>
            <w:pPr>
              <w:spacing w:line="5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 w:type="dxa"/>
            <w:vAlign w:val="center"/>
          </w:tcPr>
          <w:p>
            <w:pPr>
              <w:spacing w:line="5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10</w:t>
            </w:r>
          </w:p>
        </w:tc>
        <w:tc>
          <w:tcPr>
            <w:tcW w:w="2190" w:type="dxa"/>
            <w:vAlign w:val="center"/>
          </w:tcPr>
          <w:p>
            <w:pPr>
              <w:spacing w:line="5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水温℃</w:t>
            </w:r>
          </w:p>
        </w:tc>
        <w:tc>
          <w:tcPr>
            <w:tcW w:w="6464" w:type="dxa"/>
            <w:gridSpan w:val="3"/>
            <w:vAlign w:val="center"/>
          </w:tcPr>
          <w:p>
            <w:pPr>
              <w:spacing w:line="5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5"/>
          </w:tcPr>
          <w:p>
            <w:pPr>
              <w:spacing w:line="5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a括号外数值为水温＞12°C时的控制指标，括号内数值为水温≤12°C时的控制指标。</w:t>
            </w:r>
          </w:p>
          <w:p>
            <w:pPr>
              <w:spacing w:line="5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b出水排入封闭水体或超标因子为氮磷的不达标水体时增加的控制指标。</w:t>
            </w:r>
          </w:p>
          <w:p>
            <w:pPr>
              <w:spacing w:line="5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c进水含餐饮服务的农村污水处理设施增加的控制指标。</w:t>
            </w:r>
          </w:p>
        </w:tc>
      </w:tr>
    </w:tbl>
    <w:p>
      <w:pPr>
        <w:spacing w:line="460" w:lineRule="exact"/>
        <w:ind w:firstLine="440" w:firstLineChars="200"/>
        <w:jc w:val="left"/>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尾水利用应满足国家、湖南省或当地相应的标准或要求：</w:t>
      </w:r>
    </w:p>
    <w:p>
      <w:pPr>
        <w:spacing w:line="460" w:lineRule="exact"/>
        <w:ind w:firstLine="440" w:firstLineChars="200"/>
        <w:jc w:val="left"/>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（1）回用于农田、林地、草地等施肥的，应符合施肥的相关标准和要求，不得造成环境污染；</w:t>
      </w:r>
    </w:p>
    <w:p>
      <w:pPr>
        <w:spacing w:line="460" w:lineRule="exact"/>
        <w:ind w:firstLine="440" w:firstLineChars="200"/>
        <w:jc w:val="left"/>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（2）回用于农田灌溉的，相关控制标准应满足《农田灌溉水质标准》（GB5084-2005）规定；</w:t>
      </w:r>
    </w:p>
    <w:p>
      <w:pPr>
        <w:spacing w:line="460" w:lineRule="exact"/>
        <w:ind w:firstLine="440" w:firstLineChars="200"/>
        <w:jc w:val="left"/>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（3）回用于渔业的，相关控制标准应满足《渔业水质标准》（GB11607-89）规定；</w:t>
      </w:r>
    </w:p>
    <w:p>
      <w:pPr>
        <w:spacing w:line="460" w:lineRule="exact"/>
        <w:ind w:firstLine="440" w:firstLineChars="200"/>
        <w:jc w:val="left"/>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（4）回用于景观环境的，相关控制标准应满足《城市污水再生利用 景观环境用水水质》（GB/T18921-2002）规定；</w:t>
      </w:r>
    </w:p>
    <w:p>
      <w:pPr>
        <w:spacing w:line="460" w:lineRule="exact"/>
        <w:ind w:firstLine="440" w:firstLineChars="200"/>
        <w:jc w:val="left"/>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（5）回用于其他用途的，执行国家或湖南省相应回用水水质标准。</w:t>
      </w:r>
    </w:p>
    <w:p>
      <w:pPr>
        <w:spacing w:line="460" w:lineRule="exact"/>
        <w:jc w:val="left"/>
        <w:rPr>
          <w:rFonts w:ascii="黑体" w:hAnsi="黑体" w:eastAsia="黑体" w:cs="黑体"/>
          <w:sz w:val="28"/>
          <w:szCs w:val="28"/>
        </w:rPr>
      </w:pPr>
      <w:r>
        <w:rPr>
          <w:rFonts w:hint="eastAsia" w:ascii="黑体" w:hAnsi="黑体" w:eastAsia="黑体" w:cs="黑体"/>
          <w:sz w:val="28"/>
          <w:szCs w:val="28"/>
        </w:rPr>
        <w:t>4.5.2  村庄分类</w:t>
      </w:r>
    </w:p>
    <w:p>
      <w:pPr>
        <w:spacing w:line="460" w:lineRule="exact"/>
        <w:ind w:firstLine="440" w:firstLineChars="200"/>
        <w:jc w:val="left"/>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纳入城镇污水处理厂处理的村（居）生活污水应满足污水纳管水质标准要求，不能纳入污水处 理厂的村按生态敏感程度和排水去向不同，划分为一类村（居）、二类村（居）和三类村（居）。</w:t>
      </w:r>
    </w:p>
    <w:p>
      <w:pPr>
        <w:spacing w:line="460" w:lineRule="exact"/>
        <w:ind w:firstLine="440" w:firstLineChars="200"/>
        <w:jc w:val="left"/>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 xml:space="preserve"> 一类村（居）：位于饮用水水源一、二级保护区、自然保护区核心区、缓冲区陆域范围以及划 定的III类水体中游泳区内的村庄，生活污水经处理后应资源化利用或引入保护区外排放，不具备外引条件的，可通过农田灌溉、植树、造林等方式回用，或排入湿地进行二次处理。 </w:t>
      </w:r>
    </w:p>
    <w:p>
      <w:pPr>
        <w:spacing w:line="460" w:lineRule="exact"/>
        <w:ind w:firstLine="440" w:firstLineChars="200"/>
        <w:jc w:val="left"/>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二类村（居）：生活污水排入湖南省水功能区划定的III类水体（不包括游泳区）的村庄，污水处理设施规模在 500m3/d（不含）-10m3/d（含）时应满足《农村生活污水处理设施水污染物排放标 准》（DB43/1665-2019）表1规定的一级标准要求，规模在10m3/d（不含）以下时应满足表1规定的二级标准要求。</w:t>
      </w:r>
    </w:p>
    <w:p>
      <w:pPr>
        <w:spacing w:line="460" w:lineRule="exact"/>
        <w:ind w:firstLine="440" w:firstLineChars="200"/>
        <w:jc w:val="left"/>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三类村（居）：生活污水排入未明确功能目标水体的村庄。污水处理设施规模在 500m3/d（不</w:t>
      </w:r>
    </w:p>
    <w:p>
      <w:pPr>
        <w:spacing w:line="460" w:lineRule="exact"/>
        <w:jc w:val="left"/>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含）-10m3/d（含）时应满足《农村生活污水处理设施水污染物排放标准》（DB43/1665-2019）表1</w:t>
      </w:r>
    </w:p>
    <w:p>
      <w:pPr>
        <w:spacing w:line="460" w:lineRule="exact"/>
        <w:jc w:val="left"/>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 xml:space="preserve">规定的二级标准要求，规模在10m3/d（不含）以下时应满足表1规定的三级标准要求。 </w:t>
      </w:r>
    </w:p>
    <w:p>
      <w:pPr>
        <w:spacing w:line="460" w:lineRule="exact"/>
        <w:ind w:firstLine="440" w:firstLineChars="200"/>
        <w:jc w:val="left"/>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桃源县村庄分类情况如下表所示：</w:t>
      </w:r>
    </w:p>
    <w:p>
      <w:pPr>
        <w:spacing w:line="460" w:lineRule="exact"/>
        <w:ind w:firstLine="442" w:firstLineChars="200"/>
        <w:jc w:val="center"/>
        <w:rPr>
          <w:rFonts w:asciiTheme="majorEastAsia" w:hAnsiTheme="majorEastAsia" w:eastAsiaTheme="majorEastAsia" w:cstheme="majorEastAsia"/>
          <w:b/>
          <w:bCs/>
          <w:sz w:val="22"/>
          <w:szCs w:val="22"/>
        </w:rPr>
      </w:pPr>
      <w:r>
        <w:rPr>
          <w:rFonts w:hint="eastAsia" w:asciiTheme="majorEastAsia" w:hAnsiTheme="majorEastAsia" w:eastAsiaTheme="majorEastAsia" w:cstheme="majorEastAsia"/>
          <w:b/>
          <w:bCs/>
          <w:sz w:val="22"/>
          <w:szCs w:val="22"/>
        </w:rPr>
        <w:t>表 4-5 桃源县村庄分类统计表</w:t>
      </w:r>
    </w:p>
    <w:tbl>
      <w:tblPr>
        <w:tblStyle w:val="6"/>
        <w:tblW w:w="10440"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200"/>
        <w:gridCol w:w="2379"/>
        <w:gridCol w:w="2298"/>
        <w:gridCol w:w="3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652" w:type="dxa"/>
            <w:vAlign w:val="center"/>
          </w:tcPr>
          <w:p>
            <w:pPr>
              <w:spacing w:line="340" w:lineRule="exact"/>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序号</w:t>
            </w:r>
          </w:p>
        </w:tc>
        <w:tc>
          <w:tcPr>
            <w:tcW w:w="1200" w:type="dxa"/>
            <w:vAlign w:val="center"/>
          </w:tcPr>
          <w:p>
            <w:pPr>
              <w:spacing w:line="340" w:lineRule="exact"/>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街道/镇名</w:t>
            </w:r>
          </w:p>
        </w:tc>
        <w:tc>
          <w:tcPr>
            <w:tcW w:w="2379" w:type="dxa"/>
            <w:vAlign w:val="center"/>
          </w:tcPr>
          <w:p>
            <w:pPr>
              <w:spacing w:line="340" w:lineRule="exact"/>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一类村庄</w:t>
            </w:r>
          </w:p>
          <w:p>
            <w:pPr>
              <w:spacing w:line="340" w:lineRule="exact"/>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（原则不排放）</w:t>
            </w:r>
          </w:p>
        </w:tc>
        <w:tc>
          <w:tcPr>
            <w:tcW w:w="2298" w:type="dxa"/>
            <w:vAlign w:val="center"/>
          </w:tcPr>
          <w:p>
            <w:pPr>
              <w:spacing w:line="340" w:lineRule="exact"/>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二类村庄</w:t>
            </w:r>
          </w:p>
          <w:p>
            <w:pPr>
              <w:spacing w:line="340" w:lineRule="exact"/>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（排地表Ⅲ类水体）</w:t>
            </w:r>
          </w:p>
        </w:tc>
        <w:tc>
          <w:tcPr>
            <w:tcW w:w="3911" w:type="dxa"/>
            <w:vAlign w:val="center"/>
          </w:tcPr>
          <w:p>
            <w:pPr>
              <w:spacing w:line="340" w:lineRule="exact"/>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三类村庄</w:t>
            </w:r>
          </w:p>
          <w:p>
            <w:pPr>
              <w:spacing w:line="340" w:lineRule="exact"/>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（排未明水体）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652" w:type="dxa"/>
            <w:vAlign w:val="center"/>
          </w:tcPr>
          <w:p>
            <w:pPr>
              <w:spacing w:line="3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w:t>
            </w:r>
          </w:p>
        </w:tc>
        <w:tc>
          <w:tcPr>
            <w:tcW w:w="1200" w:type="dxa"/>
            <w:vAlign w:val="center"/>
          </w:tcPr>
          <w:p>
            <w:pPr>
              <w:spacing w:line="3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浔阳街道</w:t>
            </w:r>
          </w:p>
        </w:tc>
        <w:tc>
          <w:tcPr>
            <w:tcW w:w="2379" w:type="dxa"/>
            <w:vAlign w:val="center"/>
          </w:tcPr>
          <w:p>
            <w:pPr>
              <w:spacing w:line="340" w:lineRule="exact"/>
              <w:jc w:val="center"/>
              <w:rPr>
                <w:rFonts w:asciiTheme="majorEastAsia" w:hAnsiTheme="majorEastAsia" w:eastAsiaTheme="majorEastAsia" w:cstheme="majorEastAsia"/>
                <w:szCs w:val="21"/>
              </w:rPr>
            </w:pPr>
            <w:r>
              <w:rPr>
                <w:rFonts w:hint="eastAsia" w:ascii="宋体" w:hAnsi="宋体" w:eastAsia="宋体"/>
              </w:rPr>
              <w:t>丰禾村、仙石村、大平村、福庆山村、教仁村、绿溪口村</w:t>
            </w:r>
          </w:p>
        </w:tc>
        <w:tc>
          <w:tcPr>
            <w:tcW w:w="2298" w:type="dxa"/>
            <w:vAlign w:val="center"/>
          </w:tcPr>
          <w:p>
            <w:pPr>
              <w:spacing w:line="340" w:lineRule="exact"/>
              <w:jc w:val="center"/>
              <w:rPr>
                <w:rFonts w:asciiTheme="majorEastAsia" w:hAnsiTheme="majorEastAsia" w:eastAsiaTheme="majorEastAsia" w:cstheme="majorEastAsia"/>
                <w:szCs w:val="21"/>
              </w:rPr>
            </w:pPr>
          </w:p>
        </w:tc>
        <w:tc>
          <w:tcPr>
            <w:tcW w:w="3911" w:type="dxa"/>
            <w:vAlign w:val="center"/>
          </w:tcPr>
          <w:p>
            <w:pPr>
              <w:spacing w:line="340" w:lineRule="exact"/>
              <w:jc w:val="center"/>
              <w:rPr>
                <w:rFonts w:asciiTheme="majorEastAsia" w:hAnsiTheme="majorEastAsia" w:eastAsiaTheme="majorEastAsia" w:cstheme="majorEastAsia"/>
                <w:szCs w:val="21"/>
              </w:rPr>
            </w:pPr>
            <w:r>
              <w:rPr>
                <w:rFonts w:hint="eastAsia" w:ascii="宋体" w:hAnsi="宋体" w:eastAsia="宋体"/>
              </w:rPr>
              <w:t>镇江渡村、铁船堰村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trPr>
        <w:tc>
          <w:tcPr>
            <w:tcW w:w="652" w:type="dxa"/>
            <w:vAlign w:val="center"/>
          </w:tcPr>
          <w:p>
            <w:pPr>
              <w:spacing w:line="3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w:t>
            </w:r>
          </w:p>
        </w:tc>
        <w:tc>
          <w:tcPr>
            <w:tcW w:w="1200" w:type="dxa"/>
            <w:vAlign w:val="center"/>
          </w:tcPr>
          <w:p>
            <w:pPr>
              <w:spacing w:line="3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漳江街道</w:t>
            </w:r>
          </w:p>
        </w:tc>
        <w:tc>
          <w:tcPr>
            <w:tcW w:w="2379" w:type="dxa"/>
            <w:vAlign w:val="center"/>
          </w:tcPr>
          <w:p>
            <w:pPr>
              <w:spacing w:line="340" w:lineRule="exact"/>
              <w:jc w:val="center"/>
              <w:rPr>
                <w:rFonts w:asciiTheme="majorEastAsia" w:hAnsiTheme="majorEastAsia" w:eastAsiaTheme="majorEastAsia" w:cstheme="majorEastAsia"/>
                <w:szCs w:val="21"/>
              </w:rPr>
            </w:pPr>
            <w:r>
              <w:rPr>
                <w:rFonts w:hint="eastAsia" w:ascii="宋体" w:hAnsi="宋体" w:eastAsia="宋体"/>
              </w:rPr>
              <w:t>楚旺居委会、交岩居委会、胜利村、高湖村、富强村、均田坪村、延泉村、金雁村、云台村</w:t>
            </w:r>
          </w:p>
        </w:tc>
        <w:tc>
          <w:tcPr>
            <w:tcW w:w="2298" w:type="dxa"/>
            <w:vAlign w:val="center"/>
          </w:tcPr>
          <w:p>
            <w:pPr>
              <w:spacing w:line="340" w:lineRule="exact"/>
              <w:jc w:val="center"/>
              <w:rPr>
                <w:rFonts w:asciiTheme="majorEastAsia" w:hAnsiTheme="majorEastAsia" w:eastAsiaTheme="majorEastAsia" w:cstheme="majorEastAsia"/>
                <w:szCs w:val="21"/>
              </w:rPr>
            </w:pPr>
          </w:p>
        </w:tc>
        <w:tc>
          <w:tcPr>
            <w:tcW w:w="3911" w:type="dxa"/>
            <w:vAlign w:val="center"/>
          </w:tcPr>
          <w:p>
            <w:pPr>
              <w:spacing w:line="340" w:lineRule="exact"/>
              <w:jc w:val="center"/>
              <w:rPr>
                <w:rFonts w:asciiTheme="majorEastAsia" w:hAnsiTheme="majorEastAsia" w:eastAsiaTheme="majorEastAsia" w:cstheme="majorEastAsia"/>
                <w:szCs w:val="21"/>
              </w:rPr>
            </w:pPr>
            <w:r>
              <w:rPr>
                <w:rFonts w:hint="eastAsia" w:ascii="宋体" w:hAnsi="宋体" w:eastAsia="宋体"/>
              </w:rPr>
              <w:t>海螺山、和谐村、高桥村、金凤村、高岩村、金旺村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652" w:type="dxa"/>
            <w:vAlign w:val="center"/>
          </w:tcPr>
          <w:p>
            <w:pPr>
              <w:spacing w:line="3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w:t>
            </w:r>
          </w:p>
        </w:tc>
        <w:tc>
          <w:tcPr>
            <w:tcW w:w="1200" w:type="dxa"/>
            <w:vAlign w:val="center"/>
          </w:tcPr>
          <w:p>
            <w:pPr>
              <w:spacing w:line="3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陬市镇</w:t>
            </w:r>
          </w:p>
        </w:tc>
        <w:tc>
          <w:tcPr>
            <w:tcW w:w="2379" w:type="dxa"/>
            <w:vAlign w:val="center"/>
          </w:tcPr>
          <w:p>
            <w:pPr>
              <w:spacing w:line="3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神仙桥村</w:t>
            </w:r>
          </w:p>
        </w:tc>
        <w:tc>
          <w:tcPr>
            <w:tcW w:w="2298" w:type="dxa"/>
            <w:vAlign w:val="center"/>
          </w:tcPr>
          <w:p>
            <w:pPr>
              <w:spacing w:line="340" w:lineRule="exact"/>
              <w:jc w:val="center"/>
              <w:rPr>
                <w:rFonts w:asciiTheme="majorEastAsia" w:hAnsiTheme="majorEastAsia" w:eastAsiaTheme="majorEastAsia" w:cstheme="majorEastAsia"/>
                <w:szCs w:val="21"/>
              </w:rPr>
            </w:pPr>
          </w:p>
        </w:tc>
        <w:tc>
          <w:tcPr>
            <w:tcW w:w="3911" w:type="dxa"/>
            <w:vAlign w:val="center"/>
          </w:tcPr>
          <w:p>
            <w:pPr>
              <w:spacing w:line="340" w:lineRule="exact"/>
              <w:jc w:val="center"/>
              <w:rPr>
                <w:rFonts w:asciiTheme="majorEastAsia" w:hAnsiTheme="majorEastAsia" w:eastAsiaTheme="majorEastAsia" w:cstheme="majorEastAsia"/>
                <w:szCs w:val="21"/>
              </w:rPr>
            </w:pPr>
            <w:r>
              <w:rPr>
                <w:rFonts w:hint="eastAsia" w:ascii="宋体" w:hAnsi="宋体" w:eastAsia="宋体"/>
              </w:rPr>
              <w:t>高湾村、小马山村、团结路村、新茶庵铺、酒铺岗村、福德山村、鸬鹚州村、畬田村、青龙村、观音桥村、三里铺村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652" w:type="dxa"/>
            <w:vAlign w:val="center"/>
          </w:tcPr>
          <w:p>
            <w:pPr>
              <w:spacing w:line="3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w:t>
            </w:r>
          </w:p>
        </w:tc>
        <w:tc>
          <w:tcPr>
            <w:tcW w:w="1200" w:type="dxa"/>
            <w:vAlign w:val="center"/>
          </w:tcPr>
          <w:p>
            <w:pPr>
              <w:spacing w:line="3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漆河镇</w:t>
            </w:r>
          </w:p>
        </w:tc>
        <w:tc>
          <w:tcPr>
            <w:tcW w:w="2379" w:type="dxa"/>
            <w:vAlign w:val="center"/>
          </w:tcPr>
          <w:p>
            <w:pPr>
              <w:spacing w:line="340" w:lineRule="exact"/>
              <w:jc w:val="center"/>
              <w:rPr>
                <w:rFonts w:asciiTheme="majorEastAsia" w:hAnsiTheme="majorEastAsia" w:eastAsiaTheme="majorEastAsia" w:cstheme="majorEastAsia"/>
                <w:szCs w:val="21"/>
              </w:rPr>
            </w:pPr>
            <w:r>
              <w:rPr>
                <w:rFonts w:hint="eastAsia" w:ascii="宋体" w:hAnsi="宋体" w:eastAsia="宋体"/>
              </w:rPr>
              <w:t>龙昌村、铁佛寺村、汉宫庙村、玉皇坪村、曙光村</w:t>
            </w:r>
          </w:p>
        </w:tc>
        <w:tc>
          <w:tcPr>
            <w:tcW w:w="2298" w:type="dxa"/>
            <w:vAlign w:val="center"/>
          </w:tcPr>
          <w:p>
            <w:pPr>
              <w:spacing w:line="3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重阳村</w:t>
            </w:r>
          </w:p>
        </w:tc>
        <w:tc>
          <w:tcPr>
            <w:tcW w:w="3911" w:type="dxa"/>
            <w:vAlign w:val="center"/>
          </w:tcPr>
          <w:p>
            <w:pPr>
              <w:spacing w:line="340" w:lineRule="exact"/>
              <w:jc w:val="center"/>
              <w:rPr>
                <w:rFonts w:asciiTheme="majorEastAsia" w:hAnsiTheme="majorEastAsia" w:eastAsiaTheme="majorEastAsia" w:cstheme="majorEastAsia"/>
                <w:szCs w:val="21"/>
              </w:rPr>
            </w:pPr>
            <w:r>
              <w:rPr>
                <w:rFonts w:hint="eastAsia" w:ascii="宋体" w:hAnsi="宋体" w:eastAsia="宋体"/>
              </w:rPr>
              <w:t>黄甲铺、八房坪、涌泉村、石板坪村、列桥村、黄婆店村、聚宝山村、吕家村、街头坪村、灵岩寺村、勒马山村、长寿寺村、杨家庄村、夺旗山村、乾元村、枫岭村、聚宝山村、华岩河村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652" w:type="dxa"/>
            <w:vAlign w:val="center"/>
          </w:tcPr>
          <w:p>
            <w:pPr>
              <w:spacing w:line="3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5</w:t>
            </w:r>
          </w:p>
        </w:tc>
        <w:tc>
          <w:tcPr>
            <w:tcW w:w="1200" w:type="dxa"/>
            <w:vAlign w:val="center"/>
          </w:tcPr>
          <w:p>
            <w:pPr>
              <w:spacing w:line="3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沙坪镇</w:t>
            </w:r>
          </w:p>
        </w:tc>
        <w:tc>
          <w:tcPr>
            <w:tcW w:w="2379" w:type="dxa"/>
            <w:vAlign w:val="center"/>
          </w:tcPr>
          <w:p>
            <w:pPr>
              <w:spacing w:line="340" w:lineRule="exact"/>
              <w:jc w:val="center"/>
              <w:rPr>
                <w:rFonts w:asciiTheme="majorEastAsia" w:hAnsiTheme="majorEastAsia" w:eastAsiaTheme="majorEastAsia" w:cstheme="majorEastAsia"/>
                <w:szCs w:val="21"/>
              </w:rPr>
            </w:pPr>
            <w:r>
              <w:rPr>
                <w:rFonts w:hint="eastAsia" w:ascii="宋体" w:hAnsi="宋体" w:eastAsia="宋体"/>
              </w:rPr>
              <w:t>兰坪村、乌云界村、向阳村、老屋棚村、赛阳村、竹山村</w:t>
            </w:r>
          </w:p>
        </w:tc>
        <w:tc>
          <w:tcPr>
            <w:tcW w:w="2298" w:type="dxa"/>
            <w:vAlign w:val="center"/>
          </w:tcPr>
          <w:p>
            <w:pPr>
              <w:spacing w:line="340" w:lineRule="exact"/>
              <w:jc w:val="center"/>
              <w:rPr>
                <w:rFonts w:ascii="宋体" w:hAnsi="宋体" w:eastAsia="宋体"/>
              </w:rPr>
            </w:pPr>
            <w:r>
              <w:rPr>
                <w:rFonts w:hint="eastAsia" w:ascii="宋体" w:hAnsi="宋体" w:eastAsia="宋体"/>
              </w:rPr>
              <w:t>金明村、沙坪村、芦花</w:t>
            </w:r>
          </w:p>
          <w:p>
            <w:pPr>
              <w:spacing w:line="340" w:lineRule="exact"/>
              <w:jc w:val="center"/>
              <w:rPr>
                <w:rFonts w:asciiTheme="majorEastAsia" w:hAnsiTheme="majorEastAsia" w:eastAsiaTheme="majorEastAsia" w:cstheme="majorEastAsia"/>
                <w:szCs w:val="21"/>
              </w:rPr>
            </w:pPr>
            <w:r>
              <w:rPr>
                <w:rFonts w:hint="eastAsia" w:ascii="宋体" w:hAnsi="宋体" w:eastAsia="宋体"/>
              </w:rPr>
              <w:t>居委会、西溪村、湖湘坪村</w:t>
            </w:r>
          </w:p>
        </w:tc>
        <w:tc>
          <w:tcPr>
            <w:tcW w:w="3911" w:type="dxa"/>
            <w:vAlign w:val="center"/>
          </w:tcPr>
          <w:p>
            <w:pPr>
              <w:spacing w:line="340" w:lineRule="exact"/>
              <w:jc w:val="center"/>
              <w:rPr>
                <w:rFonts w:asciiTheme="majorEastAsia" w:hAnsiTheme="majorEastAsia" w:eastAsiaTheme="majorEastAsia" w:cstheme="majorEastAsia"/>
                <w:szCs w:val="21"/>
              </w:rPr>
            </w:pPr>
            <w:r>
              <w:rPr>
                <w:rFonts w:hint="eastAsia" w:ascii="宋体" w:hAnsi="宋体" w:eastAsia="宋体"/>
              </w:rPr>
              <w:t>红官村、新跃村、太平村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652" w:type="dxa"/>
            <w:vAlign w:val="center"/>
          </w:tcPr>
          <w:p>
            <w:pPr>
              <w:spacing w:line="3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6</w:t>
            </w:r>
          </w:p>
        </w:tc>
        <w:tc>
          <w:tcPr>
            <w:tcW w:w="1200" w:type="dxa"/>
            <w:vAlign w:val="center"/>
          </w:tcPr>
          <w:p>
            <w:pPr>
              <w:spacing w:line="3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三阳港镇</w:t>
            </w:r>
          </w:p>
        </w:tc>
        <w:tc>
          <w:tcPr>
            <w:tcW w:w="2379" w:type="dxa"/>
            <w:vAlign w:val="center"/>
          </w:tcPr>
          <w:p>
            <w:pPr>
              <w:spacing w:line="340" w:lineRule="exact"/>
              <w:jc w:val="center"/>
              <w:rPr>
                <w:rFonts w:asciiTheme="majorEastAsia" w:hAnsiTheme="majorEastAsia" w:eastAsiaTheme="majorEastAsia" w:cstheme="majorEastAsia"/>
                <w:szCs w:val="21"/>
              </w:rPr>
            </w:pPr>
            <w:r>
              <w:rPr>
                <w:rFonts w:hint="eastAsia" w:ascii="宋体" w:hAnsi="宋体" w:eastAsia="宋体"/>
              </w:rPr>
              <w:t>花山洞村、土黄坪村、茅叶寺村、袁家坪村</w:t>
            </w:r>
          </w:p>
        </w:tc>
        <w:tc>
          <w:tcPr>
            <w:tcW w:w="2298" w:type="dxa"/>
            <w:vAlign w:val="center"/>
          </w:tcPr>
          <w:p>
            <w:pPr>
              <w:spacing w:line="340" w:lineRule="exact"/>
              <w:jc w:val="center"/>
              <w:rPr>
                <w:rFonts w:asciiTheme="majorEastAsia" w:hAnsiTheme="majorEastAsia" w:eastAsiaTheme="majorEastAsia" w:cstheme="majorEastAsia"/>
                <w:szCs w:val="21"/>
              </w:rPr>
            </w:pPr>
            <w:r>
              <w:rPr>
                <w:rFonts w:hint="eastAsia" w:ascii="宋体" w:hAnsi="宋体" w:eastAsia="宋体"/>
              </w:rPr>
              <w:t>太平桥居委会、黄柏山村</w:t>
            </w:r>
          </w:p>
        </w:tc>
        <w:tc>
          <w:tcPr>
            <w:tcW w:w="3911" w:type="dxa"/>
            <w:vAlign w:val="center"/>
          </w:tcPr>
          <w:p>
            <w:pPr>
              <w:spacing w:line="340" w:lineRule="exact"/>
              <w:jc w:val="center"/>
              <w:rPr>
                <w:rFonts w:asciiTheme="majorEastAsia" w:hAnsiTheme="majorEastAsia" w:eastAsiaTheme="majorEastAsia" w:cstheme="majorEastAsia"/>
                <w:szCs w:val="21"/>
              </w:rPr>
            </w:pPr>
            <w:r>
              <w:rPr>
                <w:rFonts w:hint="eastAsia" w:ascii="宋体" w:hAnsi="宋体" w:eastAsia="宋体"/>
              </w:rPr>
              <w:t>九庄堉村、向家坪村、沙坡堉村、跑马岭村、白栗坪村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652" w:type="dxa"/>
            <w:vAlign w:val="center"/>
          </w:tcPr>
          <w:p>
            <w:pPr>
              <w:spacing w:line="3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7</w:t>
            </w:r>
          </w:p>
        </w:tc>
        <w:tc>
          <w:tcPr>
            <w:tcW w:w="1200" w:type="dxa"/>
            <w:vAlign w:val="center"/>
          </w:tcPr>
          <w:p>
            <w:pPr>
              <w:spacing w:line="3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黄石镇</w:t>
            </w:r>
          </w:p>
        </w:tc>
        <w:tc>
          <w:tcPr>
            <w:tcW w:w="2379" w:type="dxa"/>
            <w:vAlign w:val="center"/>
          </w:tcPr>
          <w:p>
            <w:pPr>
              <w:spacing w:line="340" w:lineRule="exact"/>
              <w:jc w:val="center"/>
              <w:rPr>
                <w:rFonts w:asciiTheme="majorEastAsia" w:hAnsiTheme="majorEastAsia" w:eastAsiaTheme="majorEastAsia" w:cstheme="majorEastAsia"/>
                <w:szCs w:val="21"/>
              </w:rPr>
            </w:pPr>
            <w:r>
              <w:rPr>
                <w:rFonts w:hint="eastAsia" w:ascii="宋体" w:hAnsi="宋体" w:eastAsia="宋体"/>
              </w:rPr>
              <w:t>金洪居委会、黄安村、东山村、芭茅洲村、新铺村、茶源村、香山村</w:t>
            </w:r>
          </w:p>
        </w:tc>
        <w:tc>
          <w:tcPr>
            <w:tcW w:w="2298" w:type="dxa"/>
            <w:vAlign w:val="center"/>
          </w:tcPr>
          <w:p>
            <w:pPr>
              <w:spacing w:line="340" w:lineRule="exact"/>
              <w:jc w:val="center"/>
              <w:rPr>
                <w:rFonts w:asciiTheme="majorEastAsia" w:hAnsiTheme="majorEastAsia" w:eastAsiaTheme="majorEastAsia" w:cstheme="majorEastAsia"/>
                <w:szCs w:val="21"/>
              </w:rPr>
            </w:pPr>
            <w:r>
              <w:rPr>
                <w:rFonts w:hint="eastAsia" w:ascii="宋体" w:hAnsi="宋体" w:eastAsia="宋体"/>
              </w:rPr>
              <w:t>凉井居委会、新桥村</w:t>
            </w:r>
          </w:p>
        </w:tc>
        <w:tc>
          <w:tcPr>
            <w:tcW w:w="3911" w:type="dxa"/>
            <w:vAlign w:val="center"/>
          </w:tcPr>
          <w:p>
            <w:pPr>
              <w:spacing w:line="340" w:lineRule="exact"/>
              <w:jc w:val="center"/>
              <w:rPr>
                <w:rFonts w:asciiTheme="majorEastAsia" w:hAnsiTheme="majorEastAsia" w:eastAsiaTheme="majorEastAsia" w:cstheme="majorEastAsia"/>
                <w:szCs w:val="21"/>
              </w:rPr>
            </w:pPr>
            <w:r>
              <w:rPr>
                <w:rFonts w:hint="eastAsia" w:ascii="宋体" w:hAnsi="宋体" w:eastAsia="宋体"/>
              </w:rPr>
              <w:t>杨柳村、大谷村、观音洞、新湾村、桃花井村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652" w:type="dxa"/>
            <w:vAlign w:val="center"/>
          </w:tcPr>
          <w:p>
            <w:pPr>
              <w:spacing w:line="3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8</w:t>
            </w:r>
          </w:p>
        </w:tc>
        <w:tc>
          <w:tcPr>
            <w:tcW w:w="1200" w:type="dxa"/>
            <w:vAlign w:val="center"/>
          </w:tcPr>
          <w:p>
            <w:pPr>
              <w:spacing w:line="3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西安镇</w:t>
            </w:r>
          </w:p>
        </w:tc>
        <w:tc>
          <w:tcPr>
            <w:tcW w:w="2379" w:type="dxa"/>
            <w:vAlign w:val="center"/>
          </w:tcPr>
          <w:p>
            <w:pPr>
              <w:spacing w:line="340" w:lineRule="exact"/>
              <w:jc w:val="center"/>
              <w:rPr>
                <w:rFonts w:asciiTheme="majorEastAsia" w:hAnsiTheme="majorEastAsia" w:eastAsiaTheme="majorEastAsia" w:cstheme="majorEastAsia"/>
                <w:szCs w:val="21"/>
              </w:rPr>
            </w:pPr>
          </w:p>
        </w:tc>
        <w:tc>
          <w:tcPr>
            <w:tcW w:w="2298" w:type="dxa"/>
            <w:vAlign w:val="center"/>
          </w:tcPr>
          <w:p>
            <w:pPr>
              <w:spacing w:line="340" w:lineRule="exact"/>
              <w:jc w:val="center"/>
              <w:rPr>
                <w:rFonts w:ascii="宋体" w:hAnsi="宋体" w:eastAsia="宋体"/>
              </w:rPr>
            </w:pPr>
            <w:r>
              <w:rPr>
                <w:rFonts w:hint="eastAsia" w:ascii="宋体" w:hAnsi="宋体" w:eastAsia="宋体"/>
              </w:rPr>
              <w:t>大水田村、西安村、桥</w:t>
            </w:r>
          </w:p>
          <w:p>
            <w:pPr>
              <w:spacing w:line="340" w:lineRule="exact"/>
              <w:jc w:val="center"/>
              <w:rPr>
                <w:rFonts w:asciiTheme="majorEastAsia" w:hAnsiTheme="majorEastAsia" w:eastAsiaTheme="majorEastAsia" w:cstheme="majorEastAsia"/>
                <w:szCs w:val="21"/>
              </w:rPr>
            </w:pPr>
            <w:r>
              <w:rPr>
                <w:rFonts w:hint="eastAsia" w:ascii="宋体" w:hAnsi="宋体" w:eastAsia="宋体"/>
              </w:rPr>
              <w:t>塘村</w:t>
            </w:r>
          </w:p>
        </w:tc>
        <w:tc>
          <w:tcPr>
            <w:tcW w:w="3911" w:type="dxa"/>
            <w:vAlign w:val="center"/>
          </w:tcPr>
          <w:p>
            <w:pPr>
              <w:spacing w:line="340" w:lineRule="exact"/>
              <w:jc w:val="center"/>
              <w:rPr>
                <w:rFonts w:asciiTheme="majorEastAsia" w:hAnsiTheme="majorEastAsia" w:eastAsiaTheme="majorEastAsia" w:cstheme="majorEastAsia"/>
                <w:szCs w:val="21"/>
              </w:rPr>
            </w:pPr>
            <w:r>
              <w:rPr>
                <w:rFonts w:hint="eastAsia" w:ascii="宋体" w:hAnsi="宋体" w:eastAsia="宋体"/>
              </w:rPr>
              <w:t>磨子坪村、大池塘村、白洋坪村、薛家冲村、杨柳山村、桃安村、东安村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652" w:type="dxa"/>
            <w:vAlign w:val="center"/>
          </w:tcPr>
          <w:p>
            <w:pPr>
              <w:spacing w:line="3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9</w:t>
            </w:r>
          </w:p>
        </w:tc>
        <w:tc>
          <w:tcPr>
            <w:tcW w:w="1200" w:type="dxa"/>
            <w:vAlign w:val="center"/>
          </w:tcPr>
          <w:p>
            <w:pPr>
              <w:spacing w:line="3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理公港镇</w:t>
            </w:r>
          </w:p>
        </w:tc>
        <w:tc>
          <w:tcPr>
            <w:tcW w:w="2379" w:type="dxa"/>
            <w:vAlign w:val="center"/>
          </w:tcPr>
          <w:p>
            <w:pPr>
              <w:spacing w:line="3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张家山村</w:t>
            </w:r>
          </w:p>
        </w:tc>
        <w:tc>
          <w:tcPr>
            <w:tcW w:w="2298" w:type="dxa"/>
            <w:vAlign w:val="center"/>
          </w:tcPr>
          <w:p>
            <w:pPr>
              <w:spacing w:line="340" w:lineRule="exact"/>
              <w:jc w:val="center"/>
              <w:rPr>
                <w:rFonts w:asciiTheme="majorEastAsia" w:hAnsiTheme="majorEastAsia" w:eastAsiaTheme="majorEastAsia" w:cstheme="majorEastAsia"/>
                <w:szCs w:val="21"/>
              </w:rPr>
            </w:pPr>
          </w:p>
        </w:tc>
        <w:tc>
          <w:tcPr>
            <w:tcW w:w="3911" w:type="dxa"/>
            <w:vAlign w:val="center"/>
          </w:tcPr>
          <w:p>
            <w:pPr>
              <w:spacing w:line="340" w:lineRule="exact"/>
              <w:jc w:val="center"/>
              <w:rPr>
                <w:rFonts w:asciiTheme="majorEastAsia" w:hAnsiTheme="majorEastAsia" w:eastAsiaTheme="majorEastAsia" w:cstheme="majorEastAsia"/>
                <w:szCs w:val="21"/>
              </w:rPr>
            </w:pPr>
            <w:r>
              <w:rPr>
                <w:rFonts w:hint="eastAsia" w:ascii="宋体" w:hAnsi="宋体" w:eastAsia="宋体"/>
              </w:rPr>
              <w:t>青年居委会、观音垭村、小河口村、狮子坪村、杨公桥村、千丈河村、陈家界村、杜坪村、陈家界村、八斗丘村、殷家坪村、黄家坪村、交界村、城关村、金鸡山村</w:t>
            </w:r>
          </w:p>
        </w:tc>
      </w:tr>
    </w:tbl>
    <w:p>
      <w:pPr>
        <w:spacing w:line="360" w:lineRule="exact"/>
        <w:ind w:firstLine="442" w:firstLineChars="200"/>
        <w:jc w:val="center"/>
        <w:rPr>
          <w:rFonts w:asciiTheme="majorEastAsia" w:hAnsiTheme="majorEastAsia" w:eastAsiaTheme="majorEastAsia" w:cstheme="majorEastAsia"/>
          <w:b/>
          <w:bCs/>
          <w:sz w:val="22"/>
          <w:szCs w:val="22"/>
        </w:rPr>
      </w:pPr>
    </w:p>
    <w:tbl>
      <w:tblPr>
        <w:tblStyle w:val="6"/>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200"/>
        <w:gridCol w:w="2379"/>
        <w:gridCol w:w="2298"/>
        <w:gridCol w:w="3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652" w:type="dxa"/>
            <w:vAlign w:val="center"/>
          </w:tcPr>
          <w:p>
            <w:pPr>
              <w:spacing w:line="340" w:lineRule="exact"/>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序号</w:t>
            </w:r>
          </w:p>
        </w:tc>
        <w:tc>
          <w:tcPr>
            <w:tcW w:w="1200" w:type="dxa"/>
            <w:vAlign w:val="center"/>
          </w:tcPr>
          <w:p>
            <w:pPr>
              <w:spacing w:line="340" w:lineRule="exact"/>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街道/镇名</w:t>
            </w:r>
          </w:p>
        </w:tc>
        <w:tc>
          <w:tcPr>
            <w:tcW w:w="2379" w:type="dxa"/>
            <w:vAlign w:val="center"/>
          </w:tcPr>
          <w:p>
            <w:pPr>
              <w:spacing w:line="340" w:lineRule="exact"/>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一类村庄</w:t>
            </w:r>
          </w:p>
          <w:p>
            <w:pPr>
              <w:spacing w:line="340" w:lineRule="exact"/>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（原则不排放）</w:t>
            </w:r>
          </w:p>
        </w:tc>
        <w:tc>
          <w:tcPr>
            <w:tcW w:w="2298" w:type="dxa"/>
            <w:vAlign w:val="center"/>
          </w:tcPr>
          <w:p>
            <w:pPr>
              <w:spacing w:line="340" w:lineRule="exact"/>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二类村庄</w:t>
            </w:r>
          </w:p>
          <w:p>
            <w:pPr>
              <w:spacing w:line="340" w:lineRule="exact"/>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（排地表Ⅲ类水体）</w:t>
            </w:r>
          </w:p>
        </w:tc>
        <w:tc>
          <w:tcPr>
            <w:tcW w:w="3911" w:type="dxa"/>
            <w:vAlign w:val="center"/>
          </w:tcPr>
          <w:p>
            <w:pPr>
              <w:spacing w:line="340" w:lineRule="exact"/>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三类村庄</w:t>
            </w:r>
          </w:p>
          <w:p>
            <w:pPr>
              <w:spacing w:line="340" w:lineRule="exact"/>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（排未明水体）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652" w:type="dxa"/>
            <w:vAlign w:val="center"/>
          </w:tcPr>
          <w:p>
            <w:pPr>
              <w:spacing w:line="3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10</w:t>
            </w:r>
          </w:p>
        </w:tc>
        <w:tc>
          <w:tcPr>
            <w:tcW w:w="1200" w:type="dxa"/>
            <w:vAlign w:val="center"/>
          </w:tcPr>
          <w:p>
            <w:pPr>
              <w:spacing w:line="340" w:lineRule="exact"/>
              <w:jc w:val="center"/>
              <w:rPr>
                <w:rFonts w:asciiTheme="majorEastAsia" w:hAnsiTheme="majorEastAsia" w:eastAsiaTheme="majorEastAsia" w:cstheme="majorEastAsia"/>
                <w:szCs w:val="21"/>
              </w:rPr>
            </w:pPr>
            <w:r>
              <w:rPr>
                <w:rFonts w:hint="eastAsia" w:ascii="宋体" w:hAnsi="宋体" w:eastAsia="宋体"/>
              </w:rPr>
              <w:t>龙潭镇</w:t>
            </w:r>
          </w:p>
        </w:tc>
        <w:tc>
          <w:tcPr>
            <w:tcW w:w="2379" w:type="dxa"/>
            <w:vAlign w:val="center"/>
          </w:tcPr>
          <w:p>
            <w:pPr>
              <w:spacing w:line="340" w:lineRule="exact"/>
              <w:jc w:val="center"/>
              <w:rPr>
                <w:rFonts w:asciiTheme="majorEastAsia" w:hAnsiTheme="majorEastAsia" w:eastAsiaTheme="majorEastAsia" w:cstheme="majorEastAsia"/>
                <w:szCs w:val="21"/>
              </w:rPr>
            </w:pPr>
            <w:r>
              <w:rPr>
                <w:rFonts w:hint="eastAsia" w:ascii="宋体" w:hAnsi="宋体" w:eastAsia="宋体"/>
              </w:rPr>
              <w:t>落家坪村</w:t>
            </w:r>
          </w:p>
        </w:tc>
        <w:tc>
          <w:tcPr>
            <w:tcW w:w="2298" w:type="dxa"/>
            <w:vAlign w:val="center"/>
          </w:tcPr>
          <w:p>
            <w:pPr>
              <w:jc w:val="center"/>
              <w:rPr>
                <w:rFonts w:ascii="宋体" w:hAnsi="宋体" w:eastAsia="宋体"/>
              </w:rPr>
            </w:pPr>
            <w:r>
              <w:rPr>
                <w:rFonts w:hint="eastAsia" w:ascii="宋体" w:hAnsi="宋体" w:eastAsia="宋体"/>
              </w:rPr>
              <w:t>鄢家溪村、小伏溪村、</w:t>
            </w:r>
          </w:p>
          <w:p>
            <w:pPr>
              <w:spacing w:line="340" w:lineRule="exact"/>
              <w:jc w:val="center"/>
              <w:rPr>
                <w:rFonts w:asciiTheme="majorEastAsia" w:hAnsiTheme="majorEastAsia" w:eastAsiaTheme="majorEastAsia" w:cstheme="majorEastAsia"/>
                <w:szCs w:val="21"/>
              </w:rPr>
            </w:pPr>
            <w:r>
              <w:rPr>
                <w:rFonts w:hint="eastAsia" w:ascii="宋体" w:hAnsi="宋体" w:eastAsia="宋体"/>
              </w:rPr>
              <w:t>梁皇殿村</w:t>
            </w:r>
          </w:p>
        </w:tc>
        <w:tc>
          <w:tcPr>
            <w:tcW w:w="3911" w:type="dxa"/>
            <w:vAlign w:val="center"/>
          </w:tcPr>
          <w:p>
            <w:pPr>
              <w:jc w:val="center"/>
              <w:rPr>
                <w:rFonts w:ascii="宋体" w:hAnsi="宋体" w:eastAsia="宋体"/>
              </w:rPr>
            </w:pPr>
            <w:r>
              <w:rPr>
                <w:rFonts w:hint="eastAsia" w:ascii="宋体" w:hAnsi="宋体" w:eastAsia="宋体"/>
              </w:rPr>
              <w:t>东风村、同观山村、枣儿垭村、杜家坊村、</w:t>
            </w:r>
          </w:p>
          <w:p>
            <w:pPr>
              <w:spacing w:line="340" w:lineRule="exact"/>
              <w:jc w:val="center"/>
              <w:rPr>
                <w:rFonts w:asciiTheme="majorEastAsia" w:hAnsiTheme="majorEastAsia" w:eastAsiaTheme="majorEastAsia" w:cstheme="majorEastAsia"/>
                <w:szCs w:val="21"/>
              </w:rPr>
            </w:pPr>
            <w:r>
              <w:rPr>
                <w:rFonts w:hint="eastAsia" w:ascii="宋体" w:hAnsi="宋体" w:eastAsia="宋体"/>
              </w:rPr>
              <w:t>丁家坊村、翠峰村、仙花山村、梨树垭村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652" w:type="dxa"/>
            <w:vAlign w:val="center"/>
          </w:tcPr>
          <w:p>
            <w:pPr>
              <w:spacing w:line="3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11</w:t>
            </w:r>
          </w:p>
        </w:tc>
        <w:tc>
          <w:tcPr>
            <w:tcW w:w="1200" w:type="dxa"/>
            <w:vAlign w:val="center"/>
          </w:tcPr>
          <w:p>
            <w:pPr>
              <w:spacing w:line="340" w:lineRule="exact"/>
              <w:jc w:val="center"/>
              <w:rPr>
                <w:rFonts w:asciiTheme="majorEastAsia" w:hAnsiTheme="majorEastAsia" w:eastAsiaTheme="majorEastAsia" w:cstheme="majorEastAsia"/>
                <w:szCs w:val="21"/>
              </w:rPr>
            </w:pPr>
            <w:r>
              <w:rPr>
                <w:rFonts w:hint="eastAsia" w:ascii="宋体" w:hAnsi="宋体" w:eastAsia="宋体"/>
              </w:rPr>
              <w:t>剪市镇</w:t>
            </w:r>
          </w:p>
        </w:tc>
        <w:tc>
          <w:tcPr>
            <w:tcW w:w="2379" w:type="dxa"/>
            <w:vAlign w:val="center"/>
          </w:tcPr>
          <w:p>
            <w:pPr>
              <w:spacing w:line="340" w:lineRule="exact"/>
              <w:jc w:val="center"/>
              <w:rPr>
                <w:rFonts w:asciiTheme="majorEastAsia" w:hAnsiTheme="majorEastAsia" w:eastAsiaTheme="majorEastAsia" w:cstheme="majorEastAsia"/>
                <w:szCs w:val="21"/>
              </w:rPr>
            </w:pPr>
            <w:r>
              <w:rPr>
                <w:rFonts w:hint="eastAsia" w:ascii="宋体" w:hAnsi="宋体" w:eastAsia="宋体"/>
              </w:rPr>
              <w:t>狮子殿村、沙萝村、玉皇殿村</w:t>
            </w:r>
          </w:p>
        </w:tc>
        <w:tc>
          <w:tcPr>
            <w:tcW w:w="2298" w:type="dxa"/>
            <w:vAlign w:val="center"/>
          </w:tcPr>
          <w:p>
            <w:pPr>
              <w:spacing w:line="340" w:lineRule="exact"/>
              <w:jc w:val="center"/>
              <w:rPr>
                <w:rFonts w:asciiTheme="majorEastAsia" w:hAnsiTheme="majorEastAsia" w:eastAsiaTheme="majorEastAsia" w:cstheme="majorEastAsia"/>
                <w:szCs w:val="21"/>
              </w:rPr>
            </w:pPr>
            <w:r>
              <w:rPr>
                <w:rFonts w:hint="eastAsia" w:ascii="宋体" w:hAnsi="宋体" w:eastAsia="宋体"/>
              </w:rPr>
              <w:t>喜雨村</w:t>
            </w:r>
          </w:p>
        </w:tc>
        <w:tc>
          <w:tcPr>
            <w:tcW w:w="3911" w:type="dxa"/>
            <w:vAlign w:val="center"/>
          </w:tcPr>
          <w:p>
            <w:pPr>
              <w:spacing w:line="3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八公桥村、十字路村、双龙村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652" w:type="dxa"/>
            <w:vAlign w:val="center"/>
          </w:tcPr>
          <w:p>
            <w:pPr>
              <w:spacing w:line="3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12</w:t>
            </w:r>
          </w:p>
        </w:tc>
        <w:tc>
          <w:tcPr>
            <w:tcW w:w="1200" w:type="dxa"/>
            <w:vAlign w:val="center"/>
          </w:tcPr>
          <w:p>
            <w:pPr>
              <w:spacing w:line="3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茶庵铺镇</w:t>
            </w:r>
          </w:p>
        </w:tc>
        <w:tc>
          <w:tcPr>
            <w:tcW w:w="2379" w:type="dxa"/>
            <w:vAlign w:val="center"/>
          </w:tcPr>
          <w:p>
            <w:pPr>
              <w:spacing w:line="340" w:lineRule="exact"/>
              <w:jc w:val="center"/>
              <w:rPr>
                <w:rFonts w:asciiTheme="majorEastAsia" w:hAnsiTheme="majorEastAsia" w:eastAsiaTheme="majorEastAsia" w:cstheme="majorEastAsia"/>
                <w:szCs w:val="21"/>
              </w:rPr>
            </w:pPr>
            <w:r>
              <w:rPr>
                <w:rFonts w:hint="eastAsia" w:ascii="宋体" w:hAnsi="宋体" w:eastAsia="宋体"/>
              </w:rPr>
              <w:t>古溶溪村</w:t>
            </w:r>
          </w:p>
        </w:tc>
        <w:tc>
          <w:tcPr>
            <w:tcW w:w="2298" w:type="dxa"/>
            <w:vAlign w:val="center"/>
          </w:tcPr>
          <w:p>
            <w:pPr>
              <w:jc w:val="center"/>
              <w:rPr>
                <w:rFonts w:ascii="宋体" w:hAnsi="宋体" w:eastAsia="宋体"/>
              </w:rPr>
            </w:pPr>
            <w:r>
              <w:rPr>
                <w:rFonts w:hint="eastAsia" w:ascii="宋体" w:hAnsi="宋体" w:eastAsia="宋体"/>
              </w:rPr>
              <w:t>新店驿村、黄鹿坪村、</w:t>
            </w:r>
          </w:p>
          <w:p>
            <w:pPr>
              <w:jc w:val="center"/>
              <w:rPr>
                <w:rFonts w:ascii="宋体" w:hAnsi="宋体" w:eastAsia="宋体"/>
              </w:rPr>
            </w:pPr>
            <w:r>
              <w:rPr>
                <w:rFonts w:hint="eastAsia" w:ascii="宋体" w:hAnsi="宋体" w:eastAsia="宋体"/>
              </w:rPr>
              <w:t>松阳坪村、三元潭村、</w:t>
            </w:r>
          </w:p>
          <w:p>
            <w:pPr>
              <w:jc w:val="center"/>
              <w:rPr>
                <w:rFonts w:ascii="宋体" w:hAnsi="宋体" w:eastAsia="宋体"/>
              </w:rPr>
            </w:pPr>
            <w:r>
              <w:rPr>
                <w:rFonts w:hint="eastAsia" w:ascii="宋体" w:hAnsi="宋体" w:eastAsia="宋体"/>
              </w:rPr>
              <w:t>七里冲村、尚寺坪村、</w:t>
            </w:r>
          </w:p>
          <w:p>
            <w:pPr>
              <w:jc w:val="center"/>
              <w:rPr>
                <w:rFonts w:ascii="宋体" w:hAnsi="宋体" w:eastAsia="宋体"/>
              </w:rPr>
            </w:pPr>
            <w:r>
              <w:rPr>
                <w:rFonts w:hint="eastAsia" w:ascii="宋体" w:hAnsi="宋体" w:eastAsia="宋体"/>
              </w:rPr>
              <w:t>成功坪村、六家冲村、</w:t>
            </w:r>
          </w:p>
          <w:p>
            <w:pPr>
              <w:spacing w:line="340" w:lineRule="exact"/>
              <w:jc w:val="center"/>
              <w:rPr>
                <w:rFonts w:asciiTheme="majorEastAsia" w:hAnsiTheme="majorEastAsia" w:eastAsiaTheme="majorEastAsia" w:cstheme="majorEastAsia"/>
                <w:szCs w:val="21"/>
              </w:rPr>
            </w:pPr>
            <w:r>
              <w:rPr>
                <w:rFonts w:hint="eastAsia" w:ascii="宋体" w:hAnsi="宋体" w:eastAsia="宋体"/>
              </w:rPr>
              <w:t>茶庵铺村、李梓溪村</w:t>
            </w:r>
          </w:p>
        </w:tc>
        <w:tc>
          <w:tcPr>
            <w:tcW w:w="3911" w:type="dxa"/>
            <w:vAlign w:val="center"/>
          </w:tcPr>
          <w:p>
            <w:pPr>
              <w:jc w:val="center"/>
              <w:rPr>
                <w:rFonts w:asciiTheme="majorEastAsia" w:hAnsiTheme="majorEastAsia" w:eastAsiaTheme="majorEastAsia" w:cstheme="majorEastAsia"/>
                <w:szCs w:val="21"/>
              </w:rPr>
            </w:pPr>
            <w:r>
              <w:rPr>
                <w:rFonts w:hint="eastAsia" w:ascii="宋体" w:hAnsi="宋体" w:eastAsia="宋体"/>
              </w:rPr>
              <w:t>太平铺居委会、长板铺村、铁山溪村、木旺溪村、湖塘村、小桃源村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52" w:type="dxa"/>
            <w:vAlign w:val="center"/>
          </w:tcPr>
          <w:p>
            <w:pPr>
              <w:spacing w:line="3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13</w:t>
            </w:r>
          </w:p>
        </w:tc>
        <w:tc>
          <w:tcPr>
            <w:tcW w:w="1200" w:type="dxa"/>
            <w:vAlign w:val="center"/>
          </w:tcPr>
          <w:p>
            <w:pPr>
              <w:spacing w:line="340" w:lineRule="exact"/>
              <w:jc w:val="center"/>
              <w:rPr>
                <w:rFonts w:asciiTheme="majorEastAsia" w:hAnsiTheme="majorEastAsia" w:eastAsiaTheme="majorEastAsia" w:cstheme="majorEastAsia"/>
                <w:szCs w:val="21"/>
              </w:rPr>
            </w:pPr>
            <w:r>
              <w:rPr>
                <w:rFonts w:hint="eastAsia" w:ascii="宋体" w:hAnsi="宋体" w:eastAsia="宋体"/>
              </w:rPr>
              <w:t>盘塘镇</w:t>
            </w:r>
          </w:p>
        </w:tc>
        <w:tc>
          <w:tcPr>
            <w:tcW w:w="2379" w:type="dxa"/>
            <w:vAlign w:val="center"/>
          </w:tcPr>
          <w:p>
            <w:pPr>
              <w:spacing w:line="340" w:lineRule="exact"/>
              <w:jc w:val="center"/>
              <w:rPr>
                <w:rFonts w:asciiTheme="majorEastAsia" w:hAnsiTheme="majorEastAsia" w:eastAsiaTheme="majorEastAsia" w:cstheme="majorEastAsia"/>
                <w:szCs w:val="21"/>
              </w:rPr>
            </w:pPr>
            <w:r>
              <w:rPr>
                <w:rFonts w:hint="eastAsia" w:ascii="宋体" w:hAnsi="宋体" w:eastAsia="宋体"/>
              </w:rPr>
              <w:t>常青村</w:t>
            </w:r>
          </w:p>
        </w:tc>
        <w:tc>
          <w:tcPr>
            <w:tcW w:w="2298" w:type="dxa"/>
            <w:vAlign w:val="center"/>
          </w:tcPr>
          <w:p>
            <w:pPr>
              <w:spacing w:line="340" w:lineRule="exact"/>
              <w:jc w:val="center"/>
              <w:rPr>
                <w:rFonts w:asciiTheme="majorEastAsia" w:hAnsiTheme="majorEastAsia" w:eastAsiaTheme="majorEastAsia" w:cstheme="majorEastAsia"/>
                <w:szCs w:val="21"/>
              </w:rPr>
            </w:pPr>
          </w:p>
        </w:tc>
        <w:tc>
          <w:tcPr>
            <w:tcW w:w="3911" w:type="dxa"/>
            <w:vAlign w:val="center"/>
          </w:tcPr>
          <w:p>
            <w:pPr>
              <w:jc w:val="center"/>
              <w:rPr>
                <w:rFonts w:asciiTheme="majorEastAsia" w:hAnsiTheme="majorEastAsia" w:eastAsiaTheme="majorEastAsia" w:cstheme="majorEastAsia"/>
                <w:szCs w:val="21"/>
              </w:rPr>
            </w:pPr>
            <w:r>
              <w:rPr>
                <w:rFonts w:hint="eastAsia" w:ascii="宋体" w:hAnsi="宋体" w:eastAsia="宋体"/>
              </w:rPr>
              <w:t>迴龙庵居委会、莲蓬岗村、朱家港村、红岩山村、黄叶岗村、青草岗村、董家坪村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652" w:type="dxa"/>
            <w:vAlign w:val="center"/>
          </w:tcPr>
          <w:p>
            <w:pPr>
              <w:spacing w:line="3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14</w:t>
            </w:r>
          </w:p>
        </w:tc>
        <w:tc>
          <w:tcPr>
            <w:tcW w:w="1200" w:type="dxa"/>
            <w:vAlign w:val="center"/>
          </w:tcPr>
          <w:p>
            <w:pPr>
              <w:spacing w:line="3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热市镇</w:t>
            </w:r>
          </w:p>
        </w:tc>
        <w:tc>
          <w:tcPr>
            <w:tcW w:w="2379" w:type="dxa"/>
            <w:vAlign w:val="center"/>
          </w:tcPr>
          <w:p>
            <w:pPr>
              <w:spacing w:line="340" w:lineRule="exact"/>
              <w:jc w:val="center"/>
              <w:rPr>
                <w:rFonts w:asciiTheme="majorEastAsia" w:hAnsiTheme="majorEastAsia" w:eastAsiaTheme="majorEastAsia" w:cstheme="majorEastAsia"/>
                <w:szCs w:val="21"/>
              </w:rPr>
            </w:pPr>
            <w:r>
              <w:rPr>
                <w:rFonts w:hint="eastAsia" w:ascii="宋体" w:hAnsi="宋体" w:eastAsia="宋体"/>
              </w:rPr>
              <w:t>山河村、云盘山村、夏家峪村</w:t>
            </w:r>
          </w:p>
        </w:tc>
        <w:tc>
          <w:tcPr>
            <w:tcW w:w="2298" w:type="dxa"/>
            <w:vAlign w:val="center"/>
          </w:tcPr>
          <w:p>
            <w:pPr>
              <w:jc w:val="center"/>
              <w:rPr>
                <w:rFonts w:ascii="宋体" w:hAnsi="宋体" w:eastAsia="宋体"/>
              </w:rPr>
            </w:pPr>
            <w:r>
              <w:rPr>
                <w:rFonts w:hint="eastAsia" w:ascii="宋体" w:hAnsi="宋体" w:eastAsia="宋体"/>
              </w:rPr>
              <w:t>永凤村、龙家嘴村、会</w:t>
            </w:r>
          </w:p>
          <w:p>
            <w:pPr>
              <w:spacing w:line="340" w:lineRule="exact"/>
              <w:jc w:val="center"/>
              <w:rPr>
                <w:rFonts w:asciiTheme="majorEastAsia" w:hAnsiTheme="majorEastAsia" w:eastAsiaTheme="majorEastAsia" w:cstheme="majorEastAsia"/>
                <w:szCs w:val="21"/>
              </w:rPr>
            </w:pPr>
            <w:r>
              <w:rPr>
                <w:rFonts w:hint="eastAsia" w:ascii="宋体" w:hAnsi="宋体" w:eastAsia="宋体"/>
              </w:rPr>
              <w:t>同村、戈尔潭村</w:t>
            </w:r>
          </w:p>
        </w:tc>
        <w:tc>
          <w:tcPr>
            <w:tcW w:w="3911" w:type="dxa"/>
            <w:vAlign w:val="center"/>
          </w:tcPr>
          <w:p>
            <w:pPr>
              <w:jc w:val="center"/>
              <w:rPr>
                <w:rFonts w:asciiTheme="majorEastAsia" w:hAnsiTheme="majorEastAsia" w:eastAsiaTheme="majorEastAsia" w:cstheme="majorEastAsia"/>
                <w:szCs w:val="21"/>
              </w:rPr>
            </w:pPr>
            <w:r>
              <w:rPr>
                <w:rFonts w:hint="eastAsia" w:ascii="宋体" w:hAnsi="宋体" w:eastAsia="宋体"/>
              </w:rPr>
              <w:t>棠梨岗居委会、郝仙坪居委会、桃子村、马家堰村、莒蒲村、天会村、暴家村、岩桥坪村、郭家垭村、刘坪村、和平村、凤鸣村、彰善村、荣禄村、大田村、明月村、白鹤村、太平寺村、菖蒲村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652" w:type="dxa"/>
            <w:vAlign w:val="center"/>
          </w:tcPr>
          <w:p>
            <w:pPr>
              <w:spacing w:line="3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15</w:t>
            </w:r>
          </w:p>
        </w:tc>
        <w:tc>
          <w:tcPr>
            <w:tcW w:w="1200" w:type="dxa"/>
            <w:vAlign w:val="center"/>
          </w:tcPr>
          <w:p>
            <w:pPr>
              <w:spacing w:line="3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观音寺镇</w:t>
            </w:r>
          </w:p>
        </w:tc>
        <w:tc>
          <w:tcPr>
            <w:tcW w:w="2379" w:type="dxa"/>
            <w:vAlign w:val="center"/>
          </w:tcPr>
          <w:p>
            <w:pPr>
              <w:jc w:val="center"/>
              <w:rPr>
                <w:rFonts w:asciiTheme="majorEastAsia" w:hAnsiTheme="majorEastAsia" w:eastAsiaTheme="majorEastAsia" w:cstheme="majorEastAsia"/>
                <w:szCs w:val="21"/>
              </w:rPr>
            </w:pPr>
            <w:r>
              <w:rPr>
                <w:rFonts w:hint="eastAsia" w:ascii="宋体" w:hAnsi="宋体" w:eastAsia="宋体"/>
              </w:rPr>
              <w:t>万阳山村、马宗山村、杨家溪村</w:t>
            </w:r>
          </w:p>
        </w:tc>
        <w:tc>
          <w:tcPr>
            <w:tcW w:w="2298" w:type="dxa"/>
            <w:vAlign w:val="center"/>
          </w:tcPr>
          <w:p>
            <w:pPr>
              <w:jc w:val="center"/>
              <w:rPr>
                <w:rFonts w:ascii="宋体" w:hAnsi="宋体" w:eastAsia="宋体"/>
              </w:rPr>
            </w:pPr>
            <w:r>
              <w:rPr>
                <w:rFonts w:hint="eastAsia" w:ascii="宋体" w:hAnsi="宋体" w:eastAsia="宋体"/>
              </w:rPr>
              <w:t>燕家坪、舒溪村、高都</w:t>
            </w:r>
          </w:p>
          <w:p>
            <w:pPr>
              <w:jc w:val="center"/>
              <w:rPr>
                <w:rFonts w:ascii="宋体" w:hAnsi="宋体" w:eastAsia="宋体"/>
              </w:rPr>
            </w:pPr>
            <w:r>
              <w:rPr>
                <w:rFonts w:hint="eastAsia" w:ascii="宋体" w:hAnsi="宋体" w:eastAsia="宋体"/>
              </w:rPr>
              <w:t>驿、大伏溪村、会人溪</w:t>
            </w:r>
          </w:p>
          <w:p>
            <w:pPr>
              <w:jc w:val="center"/>
              <w:rPr>
                <w:rFonts w:ascii="宋体" w:hAnsi="宋体" w:eastAsia="宋体"/>
              </w:rPr>
            </w:pPr>
            <w:r>
              <w:rPr>
                <w:rFonts w:hint="eastAsia" w:ascii="宋体" w:hAnsi="宋体" w:eastAsia="宋体"/>
              </w:rPr>
              <w:t>村、李家坪村、曾家河</w:t>
            </w:r>
          </w:p>
          <w:p>
            <w:pPr>
              <w:jc w:val="center"/>
              <w:rPr>
                <w:rFonts w:ascii="宋体" w:hAnsi="宋体" w:eastAsia="宋体"/>
              </w:rPr>
            </w:pPr>
            <w:r>
              <w:rPr>
                <w:rFonts w:hint="eastAsia" w:ascii="宋体" w:hAnsi="宋体" w:eastAsia="宋体"/>
              </w:rPr>
              <w:t>村、汤田界村、桃儿峪</w:t>
            </w:r>
          </w:p>
          <w:p>
            <w:pPr>
              <w:spacing w:line="340" w:lineRule="exact"/>
              <w:jc w:val="center"/>
              <w:rPr>
                <w:rFonts w:asciiTheme="majorEastAsia" w:hAnsiTheme="majorEastAsia" w:eastAsiaTheme="majorEastAsia" w:cstheme="majorEastAsia"/>
                <w:szCs w:val="21"/>
              </w:rPr>
            </w:pPr>
            <w:r>
              <w:rPr>
                <w:rFonts w:hint="eastAsia" w:ascii="宋体" w:hAnsi="宋体" w:eastAsia="宋体"/>
              </w:rPr>
              <w:t>村、东阳溪村、姚家坪村</w:t>
            </w:r>
          </w:p>
        </w:tc>
        <w:tc>
          <w:tcPr>
            <w:tcW w:w="3911" w:type="dxa"/>
            <w:vAlign w:val="center"/>
          </w:tcPr>
          <w:p>
            <w:pPr>
              <w:jc w:val="center"/>
              <w:rPr>
                <w:rFonts w:asciiTheme="majorEastAsia" w:hAnsiTheme="majorEastAsia" w:eastAsiaTheme="majorEastAsia" w:cstheme="majorEastAsia"/>
                <w:szCs w:val="21"/>
              </w:rPr>
            </w:pPr>
            <w:r>
              <w:rPr>
                <w:rFonts w:hint="eastAsia" w:ascii="宋体" w:hAnsi="宋体" w:eastAsia="宋体"/>
              </w:rPr>
              <w:t>野猪溪村、长潭坪村、李家坪村、羊楼坪村、汤田界村、道头山村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652" w:type="dxa"/>
            <w:vAlign w:val="center"/>
          </w:tcPr>
          <w:p>
            <w:pPr>
              <w:spacing w:line="3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16</w:t>
            </w:r>
          </w:p>
        </w:tc>
        <w:tc>
          <w:tcPr>
            <w:tcW w:w="1200" w:type="dxa"/>
            <w:vAlign w:val="center"/>
          </w:tcPr>
          <w:p>
            <w:pPr>
              <w:spacing w:line="3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马鬃岭镇</w:t>
            </w:r>
          </w:p>
        </w:tc>
        <w:tc>
          <w:tcPr>
            <w:tcW w:w="2379" w:type="dxa"/>
            <w:vAlign w:val="center"/>
          </w:tcPr>
          <w:p>
            <w:pPr>
              <w:spacing w:line="340" w:lineRule="exact"/>
              <w:jc w:val="center"/>
              <w:rPr>
                <w:rFonts w:asciiTheme="majorEastAsia" w:hAnsiTheme="majorEastAsia" w:eastAsiaTheme="majorEastAsia" w:cstheme="majorEastAsia"/>
                <w:szCs w:val="21"/>
              </w:rPr>
            </w:pPr>
            <w:r>
              <w:rPr>
                <w:rFonts w:hint="eastAsia" w:ascii="宋体" w:hAnsi="宋体" w:eastAsia="宋体"/>
              </w:rPr>
              <w:t>木槎桥村</w:t>
            </w:r>
          </w:p>
        </w:tc>
        <w:tc>
          <w:tcPr>
            <w:tcW w:w="2298" w:type="dxa"/>
            <w:vAlign w:val="center"/>
          </w:tcPr>
          <w:p>
            <w:pPr>
              <w:spacing w:line="340" w:lineRule="exact"/>
              <w:jc w:val="center"/>
              <w:rPr>
                <w:rFonts w:asciiTheme="majorEastAsia" w:hAnsiTheme="majorEastAsia" w:eastAsiaTheme="majorEastAsia" w:cstheme="majorEastAsia"/>
                <w:szCs w:val="21"/>
              </w:rPr>
            </w:pPr>
          </w:p>
        </w:tc>
        <w:tc>
          <w:tcPr>
            <w:tcW w:w="3911" w:type="dxa"/>
            <w:vAlign w:val="center"/>
          </w:tcPr>
          <w:p>
            <w:pPr>
              <w:jc w:val="center"/>
              <w:rPr>
                <w:rFonts w:asciiTheme="majorEastAsia" w:hAnsiTheme="majorEastAsia" w:eastAsiaTheme="majorEastAsia" w:cstheme="majorEastAsia"/>
                <w:szCs w:val="21"/>
              </w:rPr>
            </w:pPr>
            <w:r>
              <w:rPr>
                <w:rFonts w:hint="eastAsia" w:ascii="宋体" w:hAnsi="宋体" w:eastAsia="宋体"/>
              </w:rPr>
              <w:t>马鬃岭居委会、理鸣村、刘炎村、三口堰村、兴庵村、平安村、兴街村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652" w:type="dxa"/>
            <w:vAlign w:val="center"/>
          </w:tcPr>
          <w:p>
            <w:pPr>
              <w:spacing w:line="3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17</w:t>
            </w:r>
          </w:p>
        </w:tc>
        <w:tc>
          <w:tcPr>
            <w:tcW w:w="1200" w:type="dxa"/>
            <w:vAlign w:val="center"/>
          </w:tcPr>
          <w:p>
            <w:pPr>
              <w:spacing w:line="3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架桥镇</w:t>
            </w:r>
          </w:p>
        </w:tc>
        <w:tc>
          <w:tcPr>
            <w:tcW w:w="2379" w:type="dxa"/>
            <w:vAlign w:val="center"/>
          </w:tcPr>
          <w:p>
            <w:pPr>
              <w:spacing w:line="340" w:lineRule="exact"/>
              <w:jc w:val="center"/>
              <w:rPr>
                <w:rFonts w:asciiTheme="majorEastAsia" w:hAnsiTheme="majorEastAsia" w:eastAsiaTheme="majorEastAsia" w:cstheme="majorEastAsia"/>
                <w:szCs w:val="21"/>
              </w:rPr>
            </w:pPr>
          </w:p>
        </w:tc>
        <w:tc>
          <w:tcPr>
            <w:tcW w:w="2298" w:type="dxa"/>
            <w:vAlign w:val="center"/>
          </w:tcPr>
          <w:p>
            <w:pPr>
              <w:spacing w:line="340" w:lineRule="exact"/>
              <w:jc w:val="center"/>
              <w:rPr>
                <w:rFonts w:asciiTheme="majorEastAsia" w:hAnsiTheme="majorEastAsia" w:eastAsiaTheme="majorEastAsia" w:cstheme="majorEastAsia"/>
                <w:szCs w:val="21"/>
              </w:rPr>
            </w:pPr>
          </w:p>
        </w:tc>
        <w:tc>
          <w:tcPr>
            <w:tcW w:w="3911" w:type="dxa"/>
            <w:vAlign w:val="center"/>
          </w:tcPr>
          <w:p>
            <w:pPr>
              <w:jc w:val="center"/>
              <w:rPr>
                <w:rFonts w:asciiTheme="majorEastAsia" w:hAnsiTheme="majorEastAsia" w:eastAsiaTheme="majorEastAsia" w:cstheme="majorEastAsia"/>
                <w:szCs w:val="21"/>
              </w:rPr>
            </w:pPr>
            <w:r>
              <w:rPr>
                <w:rFonts w:hint="eastAsia" w:ascii="宋体" w:hAnsi="宋体" w:eastAsia="宋体"/>
              </w:rPr>
              <w:t>东门桥居委会、架桥居委会、朝阳村、马路村、祠堂村、栖凤山村、黄龙村、翰林村、先锋村、茶林村、叶家坡村、挖断岗村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652" w:type="dxa"/>
            <w:vAlign w:val="center"/>
          </w:tcPr>
          <w:p>
            <w:pPr>
              <w:spacing w:line="3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18</w:t>
            </w:r>
          </w:p>
        </w:tc>
        <w:tc>
          <w:tcPr>
            <w:tcW w:w="1200" w:type="dxa"/>
            <w:vAlign w:val="center"/>
          </w:tcPr>
          <w:p>
            <w:pPr>
              <w:spacing w:line="3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夷望溪镇</w:t>
            </w:r>
          </w:p>
        </w:tc>
        <w:tc>
          <w:tcPr>
            <w:tcW w:w="2379" w:type="dxa"/>
            <w:vAlign w:val="center"/>
          </w:tcPr>
          <w:p>
            <w:pPr>
              <w:jc w:val="center"/>
              <w:rPr>
                <w:rFonts w:asciiTheme="majorEastAsia" w:hAnsiTheme="majorEastAsia" w:eastAsiaTheme="majorEastAsia" w:cstheme="majorEastAsia"/>
                <w:szCs w:val="21"/>
              </w:rPr>
            </w:pPr>
            <w:r>
              <w:rPr>
                <w:rFonts w:hint="eastAsia" w:ascii="宋体" w:hAnsi="宋体" w:eastAsia="宋体"/>
              </w:rPr>
              <w:t>马石居委会、凌津滩居委会、龙潭溪村、岩巴嘴村、竹园村</w:t>
            </w:r>
          </w:p>
        </w:tc>
        <w:tc>
          <w:tcPr>
            <w:tcW w:w="2298" w:type="dxa"/>
            <w:vAlign w:val="center"/>
          </w:tcPr>
          <w:p>
            <w:pPr>
              <w:jc w:val="center"/>
              <w:rPr>
                <w:rFonts w:ascii="宋体" w:hAnsi="宋体" w:eastAsia="宋体"/>
              </w:rPr>
            </w:pPr>
            <w:r>
              <w:rPr>
                <w:rFonts w:hint="eastAsia" w:ascii="宋体" w:hAnsi="宋体" w:eastAsia="宋体"/>
              </w:rPr>
              <w:t>松林村、兴隆居委会、</w:t>
            </w:r>
          </w:p>
          <w:p>
            <w:pPr>
              <w:jc w:val="center"/>
              <w:rPr>
                <w:rFonts w:ascii="宋体" w:hAnsi="宋体" w:eastAsia="宋体"/>
              </w:rPr>
            </w:pPr>
            <w:r>
              <w:rPr>
                <w:rFonts w:hint="eastAsia" w:ascii="宋体" w:hAnsi="宋体" w:eastAsia="宋体"/>
              </w:rPr>
              <w:t>夷望溪村、红鹤村、桂</w:t>
            </w:r>
          </w:p>
          <w:p>
            <w:pPr>
              <w:jc w:val="center"/>
              <w:rPr>
                <w:rFonts w:ascii="宋体" w:hAnsi="宋体" w:eastAsia="宋体"/>
              </w:rPr>
            </w:pPr>
            <w:r>
              <w:rPr>
                <w:rFonts w:hint="eastAsia" w:ascii="宋体" w:hAnsi="宋体" w:eastAsia="宋体"/>
              </w:rPr>
              <w:t>竹园村、仙人溪村、牧</w:t>
            </w:r>
          </w:p>
          <w:p>
            <w:pPr>
              <w:spacing w:line="340" w:lineRule="exact"/>
              <w:jc w:val="center"/>
              <w:rPr>
                <w:rFonts w:asciiTheme="majorEastAsia" w:hAnsiTheme="majorEastAsia" w:eastAsiaTheme="majorEastAsia" w:cstheme="majorEastAsia"/>
                <w:szCs w:val="21"/>
              </w:rPr>
            </w:pPr>
            <w:r>
              <w:rPr>
                <w:rFonts w:hint="eastAsia" w:ascii="宋体" w:hAnsi="宋体" w:eastAsia="宋体"/>
              </w:rPr>
              <w:t>马口村、大同村</w:t>
            </w:r>
          </w:p>
        </w:tc>
        <w:tc>
          <w:tcPr>
            <w:tcW w:w="3911" w:type="dxa"/>
            <w:vAlign w:val="center"/>
          </w:tcPr>
          <w:p>
            <w:pPr>
              <w:spacing w:line="340" w:lineRule="exact"/>
              <w:jc w:val="center"/>
              <w:rPr>
                <w:rFonts w:asciiTheme="majorEastAsia" w:hAnsiTheme="majorEastAsia" w:eastAsiaTheme="majorEastAsia" w:cstheme="majorEastAsia"/>
                <w:szCs w:val="21"/>
              </w:rPr>
            </w:pPr>
            <w:r>
              <w:rPr>
                <w:rFonts w:hint="eastAsia" w:ascii="宋体" w:hAnsi="宋体" w:eastAsia="宋体"/>
              </w:rPr>
              <w:t>简家溪村、大樟树村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pPr>
              <w:spacing w:line="3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19</w:t>
            </w:r>
          </w:p>
        </w:tc>
        <w:tc>
          <w:tcPr>
            <w:tcW w:w="1200" w:type="dxa"/>
            <w:vAlign w:val="center"/>
          </w:tcPr>
          <w:p>
            <w:pPr>
              <w:spacing w:line="3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双溪口镇</w:t>
            </w:r>
          </w:p>
        </w:tc>
        <w:tc>
          <w:tcPr>
            <w:tcW w:w="2379" w:type="dxa"/>
            <w:vAlign w:val="center"/>
          </w:tcPr>
          <w:p>
            <w:pPr>
              <w:spacing w:line="340" w:lineRule="exact"/>
              <w:jc w:val="center"/>
              <w:rPr>
                <w:rFonts w:asciiTheme="majorEastAsia" w:hAnsiTheme="majorEastAsia" w:eastAsiaTheme="majorEastAsia" w:cstheme="majorEastAsia"/>
                <w:szCs w:val="21"/>
              </w:rPr>
            </w:pPr>
          </w:p>
        </w:tc>
        <w:tc>
          <w:tcPr>
            <w:tcW w:w="2298" w:type="dxa"/>
            <w:vAlign w:val="center"/>
          </w:tcPr>
          <w:p>
            <w:pPr>
              <w:spacing w:line="340" w:lineRule="exact"/>
              <w:jc w:val="center"/>
              <w:rPr>
                <w:rFonts w:asciiTheme="majorEastAsia" w:hAnsiTheme="majorEastAsia" w:eastAsiaTheme="majorEastAsia" w:cstheme="majorEastAsia"/>
                <w:szCs w:val="21"/>
              </w:rPr>
            </w:pPr>
          </w:p>
        </w:tc>
        <w:tc>
          <w:tcPr>
            <w:tcW w:w="3911" w:type="dxa"/>
            <w:vAlign w:val="center"/>
          </w:tcPr>
          <w:p>
            <w:pPr>
              <w:jc w:val="center"/>
              <w:rPr>
                <w:rFonts w:asciiTheme="majorEastAsia" w:hAnsiTheme="majorEastAsia" w:eastAsiaTheme="majorEastAsia" w:cstheme="majorEastAsia"/>
                <w:szCs w:val="21"/>
              </w:rPr>
            </w:pPr>
            <w:r>
              <w:rPr>
                <w:rFonts w:hint="eastAsia" w:ascii="宋体" w:hAnsi="宋体" w:eastAsia="宋体"/>
              </w:rPr>
              <w:t>黄龙居委会、杨家坪村、复兴居委会、龙珠山村、烽火岗村、先锋村、金紫山村、幸福岗村、一字山村、东阳山村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652" w:type="dxa"/>
            <w:vAlign w:val="center"/>
          </w:tcPr>
          <w:p>
            <w:pPr>
              <w:spacing w:line="3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20</w:t>
            </w:r>
          </w:p>
        </w:tc>
        <w:tc>
          <w:tcPr>
            <w:tcW w:w="1200" w:type="dxa"/>
            <w:vAlign w:val="center"/>
          </w:tcPr>
          <w:p>
            <w:pPr>
              <w:spacing w:line="3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九溪镇</w:t>
            </w:r>
          </w:p>
        </w:tc>
        <w:tc>
          <w:tcPr>
            <w:tcW w:w="2379" w:type="dxa"/>
            <w:vAlign w:val="center"/>
          </w:tcPr>
          <w:p>
            <w:pPr>
              <w:spacing w:line="340" w:lineRule="exact"/>
              <w:jc w:val="center"/>
              <w:rPr>
                <w:rFonts w:asciiTheme="majorEastAsia" w:hAnsiTheme="majorEastAsia" w:eastAsiaTheme="majorEastAsia" w:cstheme="majorEastAsia"/>
                <w:szCs w:val="21"/>
              </w:rPr>
            </w:pPr>
          </w:p>
        </w:tc>
        <w:tc>
          <w:tcPr>
            <w:tcW w:w="2298" w:type="dxa"/>
            <w:vAlign w:val="center"/>
          </w:tcPr>
          <w:p>
            <w:pPr>
              <w:jc w:val="center"/>
              <w:rPr>
                <w:rFonts w:ascii="宋体" w:hAnsi="宋体" w:eastAsia="宋体"/>
              </w:rPr>
            </w:pPr>
            <w:r>
              <w:rPr>
                <w:rFonts w:hint="eastAsia" w:ascii="宋体" w:hAnsi="宋体" w:eastAsia="宋体"/>
              </w:rPr>
              <w:t>九溪居委会、兴龙村、</w:t>
            </w:r>
          </w:p>
          <w:p>
            <w:pPr>
              <w:spacing w:line="340" w:lineRule="exact"/>
              <w:jc w:val="center"/>
              <w:rPr>
                <w:rFonts w:asciiTheme="majorEastAsia" w:hAnsiTheme="majorEastAsia" w:eastAsiaTheme="majorEastAsia" w:cstheme="majorEastAsia"/>
                <w:szCs w:val="21"/>
              </w:rPr>
            </w:pPr>
            <w:r>
              <w:rPr>
                <w:rFonts w:hint="eastAsia" w:ascii="宋体" w:hAnsi="宋体" w:eastAsia="宋体"/>
              </w:rPr>
              <w:t>孙家河村、六一阁村</w:t>
            </w:r>
          </w:p>
        </w:tc>
        <w:tc>
          <w:tcPr>
            <w:tcW w:w="3911" w:type="dxa"/>
            <w:vAlign w:val="center"/>
          </w:tcPr>
          <w:p>
            <w:pPr>
              <w:jc w:val="center"/>
              <w:rPr>
                <w:rFonts w:asciiTheme="majorEastAsia" w:hAnsiTheme="majorEastAsia" w:eastAsiaTheme="majorEastAsia" w:cstheme="majorEastAsia"/>
                <w:szCs w:val="21"/>
              </w:rPr>
            </w:pPr>
            <w:r>
              <w:rPr>
                <w:rFonts w:hint="eastAsia" w:ascii="宋体" w:hAnsi="宋体" w:eastAsia="宋体"/>
              </w:rPr>
              <w:t>青华村、围坪村、板桥村、凉桥村、正气村、白岩村、笔架村、官坪村、土金村</w:t>
            </w:r>
          </w:p>
        </w:tc>
      </w:tr>
    </w:tbl>
    <w:p>
      <w:pPr>
        <w:spacing w:line="360" w:lineRule="exact"/>
        <w:ind w:firstLine="442" w:firstLineChars="200"/>
        <w:jc w:val="center"/>
        <w:rPr>
          <w:rFonts w:asciiTheme="majorEastAsia" w:hAnsiTheme="majorEastAsia" w:eastAsiaTheme="majorEastAsia" w:cstheme="majorEastAsia"/>
          <w:b/>
          <w:bCs/>
          <w:sz w:val="22"/>
          <w:szCs w:val="22"/>
        </w:rPr>
      </w:pPr>
    </w:p>
    <w:tbl>
      <w:tblPr>
        <w:tblStyle w:val="6"/>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200"/>
        <w:gridCol w:w="2379"/>
        <w:gridCol w:w="2298"/>
        <w:gridCol w:w="3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652" w:type="dxa"/>
            <w:vAlign w:val="center"/>
          </w:tcPr>
          <w:p>
            <w:pPr>
              <w:spacing w:line="340" w:lineRule="exact"/>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序号</w:t>
            </w:r>
          </w:p>
        </w:tc>
        <w:tc>
          <w:tcPr>
            <w:tcW w:w="1200" w:type="dxa"/>
            <w:vAlign w:val="center"/>
          </w:tcPr>
          <w:p>
            <w:pPr>
              <w:spacing w:line="340" w:lineRule="exact"/>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街道/镇名</w:t>
            </w:r>
          </w:p>
        </w:tc>
        <w:tc>
          <w:tcPr>
            <w:tcW w:w="2379" w:type="dxa"/>
            <w:vAlign w:val="center"/>
          </w:tcPr>
          <w:p>
            <w:pPr>
              <w:spacing w:line="340" w:lineRule="exact"/>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一类村庄</w:t>
            </w:r>
          </w:p>
          <w:p>
            <w:pPr>
              <w:spacing w:line="340" w:lineRule="exact"/>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（原则不排放）</w:t>
            </w:r>
          </w:p>
        </w:tc>
        <w:tc>
          <w:tcPr>
            <w:tcW w:w="2298" w:type="dxa"/>
            <w:vAlign w:val="center"/>
          </w:tcPr>
          <w:p>
            <w:pPr>
              <w:spacing w:line="340" w:lineRule="exact"/>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二类村庄</w:t>
            </w:r>
          </w:p>
          <w:p>
            <w:pPr>
              <w:spacing w:line="340" w:lineRule="exact"/>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（排地表Ⅲ类水体）</w:t>
            </w:r>
          </w:p>
        </w:tc>
        <w:tc>
          <w:tcPr>
            <w:tcW w:w="3911" w:type="dxa"/>
            <w:vAlign w:val="center"/>
          </w:tcPr>
          <w:p>
            <w:pPr>
              <w:spacing w:line="340" w:lineRule="exact"/>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三类村庄</w:t>
            </w:r>
          </w:p>
          <w:p>
            <w:pPr>
              <w:spacing w:line="340" w:lineRule="exact"/>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（排未明水体）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652" w:type="dxa"/>
            <w:vAlign w:val="center"/>
          </w:tcPr>
          <w:p>
            <w:pPr>
              <w:spacing w:line="3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21</w:t>
            </w:r>
          </w:p>
        </w:tc>
        <w:tc>
          <w:tcPr>
            <w:tcW w:w="1200" w:type="dxa"/>
            <w:vAlign w:val="center"/>
          </w:tcPr>
          <w:p>
            <w:pPr>
              <w:spacing w:line="3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牛车河镇</w:t>
            </w:r>
          </w:p>
        </w:tc>
        <w:tc>
          <w:tcPr>
            <w:tcW w:w="2379" w:type="dxa"/>
            <w:vAlign w:val="center"/>
          </w:tcPr>
          <w:p>
            <w:pPr>
              <w:jc w:val="center"/>
              <w:rPr>
                <w:rFonts w:asciiTheme="majorEastAsia" w:hAnsiTheme="majorEastAsia" w:eastAsiaTheme="majorEastAsia" w:cstheme="majorEastAsia"/>
                <w:szCs w:val="21"/>
              </w:rPr>
            </w:pPr>
            <w:r>
              <w:rPr>
                <w:rFonts w:hint="eastAsia" w:ascii="宋体" w:hAnsi="宋体" w:eastAsia="宋体"/>
              </w:rPr>
              <w:t>毛公坝村、汤家溪村、三龙村、唐家坪村</w:t>
            </w:r>
          </w:p>
        </w:tc>
        <w:tc>
          <w:tcPr>
            <w:tcW w:w="2298" w:type="dxa"/>
            <w:vAlign w:val="center"/>
          </w:tcPr>
          <w:p>
            <w:pPr>
              <w:spacing w:line="340" w:lineRule="exact"/>
              <w:jc w:val="center"/>
              <w:rPr>
                <w:rFonts w:asciiTheme="majorEastAsia" w:hAnsiTheme="majorEastAsia" w:eastAsiaTheme="majorEastAsia" w:cstheme="majorEastAsia"/>
                <w:szCs w:val="21"/>
              </w:rPr>
            </w:pPr>
          </w:p>
        </w:tc>
        <w:tc>
          <w:tcPr>
            <w:tcW w:w="3911" w:type="dxa"/>
            <w:vAlign w:val="center"/>
          </w:tcPr>
          <w:p>
            <w:pPr>
              <w:jc w:val="center"/>
              <w:rPr>
                <w:rFonts w:asciiTheme="majorEastAsia" w:hAnsiTheme="majorEastAsia" w:eastAsiaTheme="majorEastAsia" w:cstheme="majorEastAsia"/>
                <w:szCs w:val="21"/>
              </w:rPr>
            </w:pPr>
            <w:r>
              <w:rPr>
                <w:rFonts w:hint="eastAsia" w:ascii="宋体" w:hAnsi="宋体" w:eastAsia="宋体"/>
              </w:rPr>
              <w:t>丁家坪居委会、马路坪、殷家桥、大庄坪村、北斗溪村、毛坪村、三红村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652" w:type="dxa"/>
            <w:vAlign w:val="center"/>
          </w:tcPr>
          <w:p>
            <w:pPr>
              <w:spacing w:line="3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22</w:t>
            </w:r>
          </w:p>
        </w:tc>
        <w:tc>
          <w:tcPr>
            <w:tcW w:w="1200" w:type="dxa"/>
            <w:vAlign w:val="center"/>
          </w:tcPr>
          <w:p>
            <w:pPr>
              <w:spacing w:line="3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杨溪桥镇</w:t>
            </w:r>
          </w:p>
        </w:tc>
        <w:tc>
          <w:tcPr>
            <w:tcW w:w="2379" w:type="dxa"/>
            <w:vAlign w:val="center"/>
          </w:tcPr>
          <w:p>
            <w:pPr>
              <w:jc w:val="center"/>
              <w:rPr>
                <w:rFonts w:asciiTheme="majorEastAsia" w:hAnsiTheme="majorEastAsia" w:eastAsiaTheme="majorEastAsia" w:cstheme="majorEastAsia"/>
                <w:szCs w:val="21"/>
              </w:rPr>
            </w:pPr>
            <w:r>
              <w:rPr>
                <w:rFonts w:hint="eastAsia" w:ascii="宋体" w:hAnsi="宋体" w:eastAsia="宋体"/>
              </w:rPr>
              <w:t>岩吾溪村、牯牛山村、十八登村</w:t>
            </w:r>
          </w:p>
        </w:tc>
        <w:tc>
          <w:tcPr>
            <w:tcW w:w="2298" w:type="dxa"/>
            <w:vAlign w:val="center"/>
          </w:tcPr>
          <w:p>
            <w:pPr>
              <w:jc w:val="center"/>
              <w:rPr>
                <w:rFonts w:ascii="宋体" w:hAnsi="宋体" w:eastAsia="宋体"/>
              </w:rPr>
            </w:pPr>
            <w:r>
              <w:rPr>
                <w:rFonts w:hint="eastAsia" w:ascii="宋体" w:hAnsi="宋体" w:eastAsia="宋体"/>
              </w:rPr>
              <w:t>江里溪村、铁山溪村、</w:t>
            </w:r>
          </w:p>
          <w:p>
            <w:pPr>
              <w:jc w:val="center"/>
              <w:rPr>
                <w:rFonts w:ascii="宋体" w:hAnsi="宋体" w:eastAsia="宋体"/>
              </w:rPr>
            </w:pPr>
            <w:r>
              <w:rPr>
                <w:rFonts w:hint="eastAsia" w:ascii="宋体" w:hAnsi="宋体" w:eastAsia="宋体"/>
              </w:rPr>
              <w:t>羯羊铺村、朝阳庵村、</w:t>
            </w:r>
          </w:p>
          <w:p>
            <w:pPr>
              <w:jc w:val="center"/>
              <w:rPr>
                <w:rFonts w:ascii="宋体" w:hAnsi="宋体" w:eastAsia="宋体"/>
              </w:rPr>
            </w:pPr>
            <w:r>
              <w:rPr>
                <w:rFonts w:hint="eastAsia" w:ascii="宋体" w:hAnsi="宋体" w:eastAsia="宋体"/>
              </w:rPr>
              <w:t>蔡家塘村、煌山村、落</w:t>
            </w:r>
          </w:p>
          <w:p>
            <w:pPr>
              <w:spacing w:line="340" w:lineRule="exact"/>
              <w:jc w:val="center"/>
              <w:rPr>
                <w:rFonts w:asciiTheme="majorEastAsia" w:hAnsiTheme="majorEastAsia" w:eastAsiaTheme="majorEastAsia" w:cstheme="majorEastAsia"/>
                <w:szCs w:val="21"/>
              </w:rPr>
            </w:pPr>
            <w:r>
              <w:rPr>
                <w:rFonts w:hint="eastAsia" w:ascii="宋体" w:hAnsi="宋体" w:eastAsia="宋体"/>
              </w:rPr>
              <w:t>马洞村</w:t>
            </w:r>
          </w:p>
        </w:tc>
        <w:tc>
          <w:tcPr>
            <w:tcW w:w="3911" w:type="dxa"/>
            <w:vAlign w:val="center"/>
          </w:tcPr>
          <w:p>
            <w:pPr>
              <w:spacing w:line="340" w:lineRule="exact"/>
              <w:jc w:val="center"/>
              <w:rPr>
                <w:rFonts w:asciiTheme="majorEastAsia" w:hAnsiTheme="majorEastAsia" w:eastAsiaTheme="majorEastAsia" w:cstheme="majorEastAsia"/>
                <w:szCs w:val="21"/>
              </w:rPr>
            </w:pPr>
            <w:r>
              <w:rPr>
                <w:rFonts w:hint="eastAsia" w:ascii="宋体" w:hAnsi="宋体" w:eastAsia="宋体"/>
              </w:rPr>
              <w:t>冷家溪居委会、沙堤村、黄泥田村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652" w:type="dxa"/>
            <w:vAlign w:val="center"/>
          </w:tcPr>
          <w:p>
            <w:pPr>
              <w:spacing w:line="3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23</w:t>
            </w:r>
          </w:p>
        </w:tc>
        <w:tc>
          <w:tcPr>
            <w:tcW w:w="1200" w:type="dxa"/>
            <w:vAlign w:val="center"/>
          </w:tcPr>
          <w:p>
            <w:pPr>
              <w:spacing w:line="3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郑家驿镇</w:t>
            </w:r>
          </w:p>
        </w:tc>
        <w:tc>
          <w:tcPr>
            <w:tcW w:w="2379" w:type="dxa"/>
            <w:vAlign w:val="center"/>
          </w:tcPr>
          <w:p>
            <w:pPr>
              <w:jc w:val="center"/>
              <w:rPr>
                <w:rFonts w:asciiTheme="majorEastAsia" w:hAnsiTheme="majorEastAsia" w:eastAsiaTheme="majorEastAsia" w:cstheme="majorEastAsia"/>
                <w:szCs w:val="21"/>
              </w:rPr>
            </w:pPr>
            <w:r>
              <w:rPr>
                <w:rFonts w:hint="eastAsia" w:ascii="宋体" w:hAnsi="宋体" w:eastAsia="宋体"/>
              </w:rPr>
              <w:t>青铜溪村、游鹿溪村、五里村、三阳桥村</w:t>
            </w:r>
          </w:p>
        </w:tc>
        <w:tc>
          <w:tcPr>
            <w:tcW w:w="2298" w:type="dxa"/>
            <w:vAlign w:val="center"/>
          </w:tcPr>
          <w:p>
            <w:pPr>
              <w:jc w:val="center"/>
              <w:rPr>
                <w:rFonts w:asciiTheme="majorEastAsia" w:hAnsiTheme="majorEastAsia" w:eastAsiaTheme="majorEastAsia" w:cstheme="majorEastAsia"/>
                <w:szCs w:val="21"/>
              </w:rPr>
            </w:pPr>
            <w:r>
              <w:rPr>
                <w:rFonts w:hint="eastAsia" w:ascii="宋体" w:hAnsi="宋体" w:eastAsia="宋体"/>
              </w:rPr>
              <w:t>寺坪居委会、郑家河村、常吉村、麦家河村、澄溪桥村</w:t>
            </w:r>
          </w:p>
        </w:tc>
        <w:tc>
          <w:tcPr>
            <w:tcW w:w="3911" w:type="dxa"/>
            <w:vAlign w:val="center"/>
          </w:tcPr>
          <w:p>
            <w:pPr>
              <w:jc w:val="center"/>
              <w:rPr>
                <w:rFonts w:asciiTheme="majorEastAsia" w:hAnsiTheme="majorEastAsia" w:eastAsiaTheme="majorEastAsia" w:cstheme="majorEastAsia"/>
                <w:szCs w:val="21"/>
              </w:rPr>
            </w:pPr>
            <w:r>
              <w:rPr>
                <w:rFonts w:hint="eastAsia" w:ascii="宋体" w:hAnsi="宋体" w:eastAsia="宋体"/>
              </w:rPr>
              <w:t>鲜花村、梨子岗村、新石村、高岩村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52" w:type="dxa"/>
            <w:vAlign w:val="center"/>
          </w:tcPr>
          <w:p>
            <w:pPr>
              <w:spacing w:line="3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24</w:t>
            </w:r>
          </w:p>
        </w:tc>
        <w:tc>
          <w:tcPr>
            <w:tcW w:w="1200" w:type="dxa"/>
            <w:vAlign w:val="center"/>
          </w:tcPr>
          <w:p>
            <w:pPr>
              <w:spacing w:line="3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木塘垸镇</w:t>
            </w:r>
          </w:p>
        </w:tc>
        <w:tc>
          <w:tcPr>
            <w:tcW w:w="2379" w:type="dxa"/>
            <w:vAlign w:val="center"/>
          </w:tcPr>
          <w:p>
            <w:pPr>
              <w:spacing w:line="340" w:lineRule="exact"/>
              <w:jc w:val="center"/>
              <w:rPr>
                <w:rFonts w:asciiTheme="majorEastAsia" w:hAnsiTheme="majorEastAsia" w:eastAsiaTheme="majorEastAsia" w:cstheme="majorEastAsia"/>
                <w:szCs w:val="21"/>
              </w:rPr>
            </w:pPr>
            <w:r>
              <w:rPr>
                <w:rFonts w:hint="eastAsia" w:ascii="宋体" w:hAnsi="宋体" w:eastAsia="宋体"/>
              </w:rPr>
              <w:t>湖田村</w:t>
            </w:r>
          </w:p>
        </w:tc>
        <w:tc>
          <w:tcPr>
            <w:tcW w:w="2298" w:type="dxa"/>
            <w:vAlign w:val="center"/>
          </w:tcPr>
          <w:p>
            <w:pPr>
              <w:jc w:val="center"/>
              <w:rPr>
                <w:rFonts w:ascii="宋体" w:hAnsi="宋体" w:eastAsia="宋体"/>
              </w:rPr>
            </w:pPr>
            <w:r>
              <w:rPr>
                <w:rFonts w:hint="eastAsia" w:ascii="宋体" w:hAnsi="宋体" w:eastAsia="宋体"/>
              </w:rPr>
              <w:t>孔家河村、仁丰村、马</w:t>
            </w:r>
          </w:p>
          <w:p>
            <w:pPr>
              <w:spacing w:line="340" w:lineRule="exact"/>
              <w:jc w:val="center"/>
              <w:rPr>
                <w:rFonts w:asciiTheme="majorEastAsia" w:hAnsiTheme="majorEastAsia" w:eastAsiaTheme="majorEastAsia" w:cstheme="majorEastAsia"/>
                <w:szCs w:val="21"/>
              </w:rPr>
            </w:pPr>
            <w:r>
              <w:rPr>
                <w:rFonts w:hint="eastAsia" w:ascii="宋体" w:hAnsi="宋体" w:eastAsia="宋体"/>
              </w:rPr>
              <w:t>鞍坡村</w:t>
            </w:r>
          </w:p>
        </w:tc>
        <w:tc>
          <w:tcPr>
            <w:tcW w:w="3911" w:type="dxa"/>
            <w:vAlign w:val="center"/>
          </w:tcPr>
          <w:p>
            <w:pPr>
              <w:jc w:val="center"/>
              <w:rPr>
                <w:rFonts w:asciiTheme="majorEastAsia" w:hAnsiTheme="majorEastAsia" w:eastAsiaTheme="majorEastAsia" w:cstheme="majorEastAsia"/>
                <w:szCs w:val="21"/>
              </w:rPr>
            </w:pPr>
            <w:r>
              <w:rPr>
                <w:rFonts w:hint="eastAsia" w:ascii="宋体" w:hAnsi="宋体" w:eastAsia="宋体"/>
              </w:rPr>
              <w:t>正洪居委会、金山村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52" w:type="dxa"/>
            <w:vAlign w:val="center"/>
          </w:tcPr>
          <w:p>
            <w:pPr>
              <w:spacing w:line="3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25</w:t>
            </w:r>
          </w:p>
        </w:tc>
        <w:tc>
          <w:tcPr>
            <w:tcW w:w="1200" w:type="dxa"/>
            <w:vAlign w:val="center"/>
          </w:tcPr>
          <w:p>
            <w:pPr>
              <w:spacing w:line="3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青林乡</w:t>
            </w:r>
          </w:p>
        </w:tc>
        <w:tc>
          <w:tcPr>
            <w:tcW w:w="2379" w:type="dxa"/>
            <w:vAlign w:val="center"/>
          </w:tcPr>
          <w:p>
            <w:pPr>
              <w:spacing w:line="3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九龙山村、莫南回维村、姜岩村、白洋河村</w:t>
            </w:r>
          </w:p>
        </w:tc>
        <w:tc>
          <w:tcPr>
            <w:tcW w:w="2298" w:type="dxa"/>
            <w:vAlign w:val="center"/>
          </w:tcPr>
          <w:p>
            <w:pPr>
              <w:spacing w:line="340" w:lineRule="exact"/>
              <w:jc w:val="center"/>
              <w:rPr>
                <w:rFonts w:asciiTheme="majorEastAsia" w:hAnsiTheme="majorEastAsia" w:eastAsiaTheme="majorEastAsia" w:cstheme="majorEastAsia"/>
                <w:szCs w:val="21"/>
              </w:rPr>
            </w:pPr>
            <w:r>
              <w:rPr>
                <w:rFonts w:hint="eastAsia" w:ascii="宋体" w:hAnsi="宋体" w:eastAsia="宋体"/>
              </w:rPr>
              <w:t>三岗村</w:t>
            </w:r>
          </w:p>
        </w:tc>
        <w:tc>
          <w:tcPr>
            <w:tcW w:w="3911" w:type="dxa"/>
            <w:vAlign w:val="center"/>
          </w:tcPr>
          <w:p>
            <w:pPr>
              <w:jc w:val="center"/>
              <w:rPr>
                <w:rFonts w:asciiTheme="majorEastAsia" w:hAnsiTheme="majorEastAsia" w:eastAsiaTheme="majorEastAsia" w:cstheme="majorEastAsia"/>
                <w:szCs w:val="21"/>
              </w:rPr>
            </w:pPr>
            <w:r>
              <w:rPr>
                <w:rFonts w:hint="eastAsia" w:ascii="宋体" w:hAnsi="宋体" w:eastAsia="宋体"/>
              </w:rPr>
              <w:t>采菱村、龙潭桥村、老官坪村、明月山、浯溪河村、督粮冲、金堰村、青林村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652" w:type="dxa"/>
            <w:vAlign w:val="center"/>
          </w:tcPr>
          <w:p>
            <w:pPr>
              <w:spacing w:line="3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26</w:t>
            </w:r>
          </w:p>
        </w:tc>
        <w:tc>
          <w:tcPr>
            <w:tcW w:w="1200" w:type="dxa"/>
            <w:vAlign w:val="center"/>
          </w:tcPr>
          <w:p>
            <w:pPr>
              <w:spacing w:line="3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枫树乡</w:t>
            </w:r>
          </w:p>
        </w:tc>
        <w:tc>
          <w:tcPr>
            <w:tcW w:w="2379" w:type="dxa"/>
            <w:vAlign w:val="center"/>
          </w:tcPr>
          <w:p>
            <w:pPr>
              <w:jc w:val="center"/>
              <w:rPr>
                <w:rFonts w:asciiTheme="majorEastAsia" w:hAnsiTheme="majorEastAsia" w:eastAsiaTheme="majorEastAsia" w:cstheme="majorEastAsia"/>
                <w:szCs w:val="21"/>
              </w:rPr>
            </w:pPr>
            <w:r>
              <w:rPr>
                <w:rFonts w:hint="eastAsia" w:ascii="宋体" w:hAnsi="宋体" w:eastAsia="宋体"/>
              </w:rPr>
              <w:t>田河坝村</w:t>
            </w:r>
          </w:p>
        </w:tc>
        <w:tc>
          <w:tcPr>
            <w:tcW w:w="2298" w:type="dxa"/>
            <w:vAlign w:val="center"/>
          </w:tcPr>
          <w:p>
            <w:pPr>
              <w:spacing w:line="3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白洋河村、万福新村、</w:t>
            </w:r>
          </w:p>
          <w:p>
            <w:pPr>
              <w:spacing w:line="3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红旗村、丰渡嘴村、金</w:t>
            </w:r>
          </w:p>
          <w:p>
            <w:pPr>
              <w:spacing w:line="3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鸡村</w:t>
            </w:r>
          </w:p>
        </w:tc>
        <w:tc>
          <w:tcPr>
            <w:tcW w:w="3911"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庄家桥村、维回村、桐岭村、大马山村、金凤桥村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652" w:type="dxa"/>
            <w:vAlign w:val="center"/>
          </w:tcPr>
          <w:p>
            <w:pPr>
              <w:spacing w:line="3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27</w:t>
            </w:r>
          </w:p>
        </w:tc>
        <w:tc>
          <w:tcPr>
            <w:tcW w:w="1200" w:type="dxa"/>
            <w:vAlign w:val="center"/>
          </w:tcPr>
          <w:p>
            <w:pPr>
              <w:spacing w:line="3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佘家坪乡</w:t>
            </w:r>
          </w:p>
        </w:tc>
        <w:tc>
          <w:tcPr>
            <w:tcW w:w="2379" w:type="dxa"/>
            <w:vAlign w:val="center"/>
          </w:tcPr>
          <w:p>
            <w:pPr>
              <w:spacing w:line="340" w:lineRule="exact"/>
              <w:jc w:val="center"/>
              <w:rPr>
                <w:rFonts w:asciiTheme="majorEastAsia" w:hAnsiTheme="majorEastAsia" w:eastAsiaTheme="majorEastAsia" w:cstheme="majorEastAsia"/>
                <w:szCs w:val="21"/>
              </w:rPr>
            </w:pPr>
            <w:r>
              <w:rPr>
                <w:rFonts w:hint="eastAsia" w:ascii="宋体" w:hAnsi="宋体" w:eastAsia="宋体"/>
              </w:rPr>
              <w:t>新港村</w:t>
            </w:r>
          </w:p>
        </w:tc>
        <w:tc>
          <w:tcPr>
            <w:tcW w:w="2298" w:type="dxa"/>
            <w:vAlign w:val="center"/>
          </w:tcPr>
          <w:p>
            <w:pPr>
              <w:jc w:val="center"/>
              <w:rPr>
                <w:rFonts w:ascii="宋体" w:hAnsi="宋体" w:eastAsia="宋体"/>
              </w:rPr>
            </w:pPr>
            <w:r>
              <w:rPr>
                <w:rFonts w:hint="eastAsia" w:ascii="宋体" w:hAnsi="宋体" w:eastAsia="宋体"/>
              </w:rPr>
              <w:t>苏家堆村、龙潮寺村、</w:t>
            </w:r>
          </w:p>
          <w:p>
            <w:pPr>
              <w:jc w:val="center"/>
              <w:rPr>
                <w:rFonts w:ascii="宋体" w:hAnsi="宋体" w:eastAsia="宋体"/>
              </w:rPr>
            </w:pPr>
            <w:r>
              <w:rPr>
                <w:rFonts w:hint="eastAsia" w:ascii="宋体" w:hAnsi="宋体" w:eastAsia="宋体"/>
              </w:rPr>
              <w:t>雷峰山村、前山桥村、</w:t>
            </w:r>
          </w:p>
          <w:p>
            <w:pPr>
              <w:spacing w:line="340" w:lineRule="exact"/>
              <w:jc w:val="center"/>
              <w:rPr>
                <w:rFonts w:asciiTheme="majorEastAsia" w:hAnsiTheme="majorEastAsia" w:eastAsiaTheme="majorEastAsia" w:cstheme="majorEastAsia"/>
                <w:szCs w:val="21"/>
              </w:rPr>
            </w:pPr>
            <w:r>
              <w:rPr>
                <w:rFonts w:hint="eastAsia" w:ascii="宋体" w:hAnsi="宋体" w:eastAsia="宋体"/>
              </w:rPr>
              <w:t>南岳殿村</w:t>
            </w:r>
          </w:p>
        </w:tc>
        <w:tc>
          <w:tcPr>
            <w:tcW w:w="3911" w:type="dxa"/>
            <w:vAlign w:val="center"/>
          </w:tcPr>
          <w:p>
            <w:pPr>
              <w:jc w:val="center"/>
              <w:rPr>
                <w:rFonts w:asciiTheme="majorEastAsia" w:hAnsiTheme="majorEastAsia" w:eastAsiaTheme="majorEastAsia" w:cstheme="majorEastAsia"/>
                <w:szCs w:val="21"/>
              </w:rPr>
            </w:pPr>
            <w:r>
              <w:rPr>
                <w:rFonts w:hint="eastAsia" w:ascii="宋体" w:hAnsi="宋体" w:eastAsia="宋体"/>
              </w:rPr>
              <w:t>三圣殿村、赫曦峪村、龙阳坪村、东岳殿村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652" w:type="dxa"/>
            <w:vAlign w:val="center"/>
          </w:tcPr>
          <w:p>
            <w:pPr>
              <w:spacing w:line="3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28</w:t>
            </w:r>
          </w:p>
        </w:tc>
        <w:tc>
          <w:tcPr>
            <w:tcW w:w="1200" w:type="dxa"/>
            <w:vAlign w:val="center"/>
          </w:tcPr>
          <w:p>
            <w:pPr>
              <w:spacing w:line="3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泥窝潭乡</w:t>
            </w:r>
          </w:p>
        </w:tc>
        <w:tc>
          <w:tcPr>
            <w:tcW w:w="2379" w:type="dxa"/>
            <w:vAlign w:val="center"/>
          </w:tcPr>
          <w:p>
            <w:pPr>
              <w:spacing w:line="340" w:lineRule="exact"/>
              <w:jc w:val="center"/>
              <w:rPr>
                <w:rFonts w:asciiTheme="majorEastAsia" w:hAnsiTheme="majorEastAsia" w:eastAsiaTheme="majorEastAsia" w:cstheme="majorEastAsia"/>
                <w:szCs w:val="21"/>
              </w:rPr>
            </w:pPr>
            <w:r>
              <w:rPr>
                <w:rFonts w:hint="eastAsia" w:ascii="宋体" w:hAnsi="宋体" w:eastAsia="宋体"/>
              </w:rPr>
              <w:t>古岩堉村、青龙山村</w:t>
            </w:r>
          </w:p>
        </w:tc>
        <w:tc>
          <w:tcPr>
            <w:tcW w:w="2298" w:type="dxa"/>
            <w:vAlign w:val="center"/>
          </w:tcPr>
          <w:p>
            <w:pPr>
              <w:jc w:val="center"/>
              <w:rPr>
                <w:rFonts w:ascii="宋体" w:hAnsi="宋体" w:eastAsia="宋体"/>
              </w:rPr>
            </w:pPr>
            <w:r>
              <w:rPr>
                <w:rFonts w:hint="eastAsia" w:ascii="宋体" w:hAnsi="宋体" w:eastAsia="宋体"/>
              </w:rPr>
              <w:t>牛车磴村、灵雨寺村、</w:t>
            </w:r>
          </w:p>
          <w:p>
            <w:pPr>
              <w:jc w:val="center"/>
              <w:rPr>
                <w:rFonts w:ascii="宋体" w:hAnsi="宋体" w:eastAsia="宋体"/>
              </w:rPr>
            </w:pPr>
            <w:r>
              <w:rPr>
                <w:rFonts w:hint="eastAsia" w:ascii="宋体" w:hAnsi="宋体" w:eastAsia="宋体"/>
              </w:rPr>
              <w:t>燕岩庙村、官宦坪村、</w:t>
            </w:r>
          </w:p>
          <w:p>
            <w:pPr>
              <w:spacing w:line="340" w:lineRule="exact"/>
              <w:jc w:val="center"/>
              <w:rPr>
                <w:rFonts w:asciiTheme="majorEastAsia" w:hAnsiTheme="majorEastAsia" w:eastAsiaTheme="majorEastAsia" w:cstheme="majorEastAsia"/>
                <w:szCs w:val="21"/>
              </w:rPr>
            </w:pPr>
            <w:r>
              <w:rPr>
                <w:rFonts w:hint="eastAsia" w:ascii="宋体" w:hAnsi="宋体" w:eastAsia="宋体"/>
              </w:rPr>
              <w:t>枫树坪村</w:t>
            </w:r>
          </w:p>
        </w:tc>
        <w:tc>
          <w:tcPr>
            <w:tcW w:w="3911" w:type="dxa"/>
            <w:vAlign w:val="center"/>
          </w:tcPr>
          <w:p>
            <w:pPr>
              <w:jc w:val="center"/>
              <w:rPr>
                <w:rFonts w:asciiTheme="majorEastAsia" w:hAnsiTheme="majorEastAsia" w:eastAsiaTheme="majorEastAsia" w:cstheme="majorEastAsia"/>
                <w:szCs w:val="21"/>
              </w:rPr>
            </w:pPr>
            <w:r>
              <w:rPr>
                <w:rFonts w:hint="eastAsia" w:ascii="宋体" w:hAnsi="宋体" w:eastAsia="宋体"/>
              </w:rPr>
              <w:t>岩溪寺村</w:t>
            </w:r>
          </w:p>
        </w:tc>
      </w:tr>
    </w:tbl>
    <w:p>
      <w:pPr>
        <w:spacing w:line="360" w:lineRule="auto"/>
        <w:jc w:val="left"/>
        <w:rPr>
          <w:rFonts w:ascii="黑体" w:hAnsi="黑体" w:eastAsia="黑体" w:cs="黑体"/>
          <w:sz w:val="30"/>
          <w:szCs w:val="30"/>
        </w:rPr>
      </w:pPr>
    </w:p>
    <w:p>
      <w:pPr>
        <w:spacing w:line="360" w:lineRule="auto"/>
        <w:jc w:val="left"/>
        <w:rPr>
          <w:rFonts w:ascii="黑体" w:hAnsi="黑体" w:eastAsia="黑体" w:cs="黑体"/>
          <w:b/>
          <w:bCs/>
          <w:sz w:val="30"/>
          <w:szCs w:val="30"/>
        </w:rPr>
      </w:pPr>
      <w:r>
        <w:rPr>
          <w:rFonts w:hint="eastAsia" w:ascii="黑体" w:hAnsi="黑体" w:eastAsia="黑体" w:cs="黑体"/>
          <w:b/>
          <w:bCs/>
          <w:sz w:val="30"/>
          <w:szCs w:val="30"/>
        </w:rPr>
        <w:t>4.6 固体废物处理处置</w:t>
      </w:r>
    </w:p>
    <w:p>
      <w:pPr>
        <w:spacing w:line="360" w:lineRule="auto"/>
        <w:jc w:val="left"/>
        <w:rPr>
          <w:rFonts w:ascii="黑体" w:hAnsi="黑体" w:eastAsia="黑体" w:cs="黑体"/>
          <w:b/>
          <w:bCs/>
          <w:sz w:val="28"/>
          <w:szCs w:val="28"/>
        </w:rPr>
      </w:pPr>
      <w:r>
        <w:rPr>
          <w:rFonts w:hint="eastAsia" w:ascii="黑体" w:hAnsi="黑体" w:eastAsia="黑体" w:cs="黑体"/>
          <w:b/>
          <w:bCs/>
          <w:sz w:val="28"/>
          <w:szCs w:val="28"/>
        </w:rPr>
        <w:t>4.6.1 处理处置原则</w:t>
      </w:r>
    </w:p>
    <w:p>
      <w:pPr>
        <w:spacing w:line="360" w:lineRule="auto"/>
        <w:ind w:firstLine="440" w:firstLineChars="200"/>
        <w:jc w:val="left"/>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（1）统筹农村生活污水与污泥、粪污、隔油栅渣等固体废物处理处置。参考《农村生活污水</w:t>
      </w:r>
    </w:p>
    <w:p>
      <w:pPr>
        <w:spacing w:line="360" w:lineRule="auto"/>
        <w:ind w:firstLine="440" w:firstLineChars="200"/>
        <w:jc w:val="left"/>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处理工程技术标准》（GB/T 51347），对污水处理中产生的污泥，采用自然干化、堆肥等方式，也可采用与农村固体有机物协同处理或进入市政系统与市政污泥一并处理。</w:t>
      </w:r>
    </w:p>
    <w:p>
      <w:pPr>
        <w:numPr>
          <w:ilvl w:val="0"/>
          <w:numId w:val="4"/>
        </w:numPr>
        <w:spacing w:line="360" w:lineRule="auto"/>
        <w:ind w:firstLine="440" w:firstLineChars="200"/>
        <w:jc w:val="left"/>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鼓励对固体废物进行资源化利用。参考《农用污泥污染物控制标准》（GB 4284）、《城镇污水处理厂污泥处置园林绿化用泥质》（GB/T 23486）等相关要求，对满足标准的固体废物，就近处理与资源化利用。</w:t>
      </w:r>
    </w:p>
    <w:p>
      <w:pPr>
        <w:spacing w:line="360" w:lineRule="auto"/>
        <w:jc w:val="left"/>
        <w:rPr>
          <w:rFonts w:asciiTheme="majorEastAsia" w:hAnsiTheme="majorEastAsia" w:eastAsiaTheme="majorEastAsia" w:cstheme="majorEastAsia"/>
          <w:sz w:val="22"/>
          <w:szCs w:val="22"/>
        </w:rPr>
      </w:pPr>
    </w:p>
    <w:p>
      <w:pPr>
        <w:spacing w:line="360" w:lineRule="auto"/>
        <w:jc w:val="left"/>
        <w:rPr>
          <w:rFonts w:ascii="黑体" w:hAnsi="黑体" w:eastAsia="黑体" w:cs="黑体"/>
          <w:b/>
          <w:bCs/>
          <w:sz w:val="28"/>
          <w:szCs w:val="28"/>
        </w:rPr>
      </w:pPr>
      <w:r>
        <w:rPr>
          <w:rFonts w:hint="eastAsia" w:ascii="黑体" w:hAnsi="黑体" w:eastAsia="黑体" w:cs="黑体"/>
          <w:b/>
          <w:bCs/>
          <w:sz w:val="28"/>
          <w:szCs w:val="28"/>
        </w:rPr>
        <w:t>4.6.2 处理处置方式</w:t>
      </w:r>
    </w:p>
    <w:p>
      <w:pPr>
        <w:spacing w:line="360" w:lineRule="auto"/>
        <w:ind w:firstLine="440" w:firstLineChars="200"/>
        <w:jc w:val="left"/>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根据本项目农村污水处理设施规模不大、污泥量少的特点，对集中式污水处理设施产生的污泥</w:t>
      </w:r>
    </w:p>
    <w:p>
      <w:pPr>
        <w:spacing w:line="360" w:lineRule="auto"/>
        <w:jc w:val="left"/>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采用就近土地利用与集中至城市污水处理厂统一处理处置相结合的方式。满足农用标准的污泥，优</w:t>
      </w:r>
    </w:p>
    <w:p>
      <w:pPr>
        <w:spacing w:line="360" w:lineRule="auto"/>
        <w:jc w:val="left"/>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先就近土地利用；不能实现就近就地资源化利用的污泥，通过污泥收集车定期收集后，运送至相应</w:t>
      </w:r>
    </w:p>
    <w:p>
      <w:pPr>
        <w:spacing w:line="360" w:lineRule="auto"/>
        <w:jc w:val="left"/>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的生活污水处理厂污泥处理设施，统一处理处置。栅渣按农村生活垃圾进行收运处理，收集至附近</w:t>
      </w:r>
    </w:p>
    <w:p>
      <w:pPr>
        <w:spacing w:line="360" w:lineRule="auto"/>
        <w:jc w:val="left"/>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农村生活垃圾转运站，再进行统一处理。化粪池需定期清理，发酵完全后农田回用。</w:t>
      </w:r>
    </w:p>
    <w:p>
      <w:pPr>
        <w:spacing w:line="360" w:lineRule="auto"/>
        <w:jc w:val="left"/>
        <w:rPr>
          <w:rFonts w:ascii="黑体" w:hAnsi="黑体" w:eastAsia="黑体" w:cs="黑体"/>
          <w:b/>
          <w:bCs/>
          <w:sz w:val="30"/>
          <w:szCs w:val="30"/>
        </w:rPr>
      </w:pPr>
      <w:r>
        <w:rPr>
          <w:rFonts w:hint="eastAsia" w:ascii="黑体" w:hAnsi="黑体" w:eastAsia="黑体" w:cs="黑体"/>
          <w:b/>
          <w:bCs/>
          <w:sz w:val="30"/>
          <w:szCs w:val="30"/>
        </w:rPr>
        <w:t>4.7 验收移交</w:t>
      </w:r>
    </w:p>
    <w:p>
      <w:pPr>
        <w:spacing w:line="360" w:lineRule="auto"/>
        <w:ind w:firstLine="440" w:firstLineChars="200"/>
        <w:jc w:val="left"/>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农村生活污水处理设施建设既要保证工程质量合格，也要保证出水水质达标。工程验收后，项</w:t>
      </w:r>
    </w:p>
    <w:p>
      <w:pPr>
        <w:spacing w:line="360" w:lineRule="auto"/>
        <w:jc w:val="left"/>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目实施及管理部门应妥善保管竣工图等相关资料，以备查验。环保验收和运维移交应确保污水处理</w:t>
      </w:r>
    </w:p>
    <w:p>
      <w:pPr>
        <w:spacing w:line="360" w:lineRule="auto"/>
        <w:jc w:val="left"/>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水质水量、工艺、规模与设计相符，设备材料完整。对生活污水处理设施建设和运维统一打包、</w:t>
      </w:r>
    </w:p>
    <w:p>
      <w:pPr>
        <w:spacing w:line="360" w:lineRule="auto"/>
        <w:jc w:val="left"/>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不存在运维移交环节的，应因地制宜进行管理。</w:t>
      </w:r>
    </w:p>
    <w:p>
      <w:pPr>
        <w:spacing w:line="360" w:lineRule="auto"/>
        <w:jc w:val="left"/>
        <w:rPr>
          <w:rFonts w:asciiTheme="majorEastAsia" w:hAnsiTheme="majorEastAsia" w:eastAsiaTheme="majorEastAsia" w:cstheme="majorEastAsia"/>
          <w:sz w:val="22"/>
          <w:szCs w:val="22"/>
        </w:rPr>
      </w:pPr>
    </w:p>
    <w:p>
      <w:pPr>
        <w:spacing w:line="360" w:lineRule="auto"/>
        <w:jc w:val="left"/>
        <w:rPr>
          <w:rFonts w:asciiTheme="majorEastAsia" w:hAnsiTheme="majorEastAsia" w:eastAsiaTheme="majorEastAsia" w:cstheme="majorEastAsia"/>
          <w:sz w:val="22"/>
          <w:szCs w:val="22"/>
        </w:rPr>
      </w:pPr>
    </w:p>
    <w:p>
      <w:pPr>
        <w:spacing w:line="360" w:lineRule="auto"/>
        <w:jc w:val="left"/>
        <w:rPr>
          <w:rFonts w:asciiTheme="majorEastAsia" w:hAnsiTheme="majorEastAsia" w:eastAsiaTheme="majorEastAsia" w:cstheme="majorEastAsia"/>
          <w:sz w:val="22"/>
          <w:szCs w:val="22"/>
        </w:rPr>
      </w:pPr>
    </w:p>
    <w:p>
      <w:pPr>
        <w:spacing w:line="360" w:lineRule="auto"/>
        <w:jc w:val="left"/>
        <w:rPr>
          <w:rFonts w:asciiTheme="majorEastAsia" w:hAnsiTheme="majorEastAsia" w:eastAsiaTheme="majorEastAsia" w:cstheme="majorEastAsia"/>
          <w:sz w:val="22"/>
          <w:szCs w:val="22"/>
        </w:rPr>
      </w:pPr>
    </w:p>
    <w:p>
      <w:pPr>
        <w:spacing w:line="360" w:lineRule="auto"/>
        <w:jc w:val="left"/>
        <w:rPr>
          <w:rFonts w:asciiTheme="majorEastAsia" w:hAnsiTheme="majorEastAsia" w:eastAsiaTheme="majorEastAsia" w:cstheme="majorEastAsia"/>
          <w:sz w:val="22"/>
          <w:szCs w:val="22"/>
        </w:rPr>
      </w:pPr>
    </w:p>
    <w:p>
      <w:pPr>
        <w:spacing w:line="360" w:lineRule="auto"/>
        <w:jc w:val="left"/>
        <w:rPr>
          <w:rFonts w:asciiTheme="majorEastAsia" w:hAnsiTheme="majorEastAsia" w:eastAsiaTheme="majorEastAsia" w:cstheme="majorEastAsia"/>
          <w:sz w:val="22"/>
          <w:szCs w:val="22"/>
        </w:rPr>
      </w:pPr>
    </w:p>
    <w:p>
      <w:pPr>
        <w:spacing w:line="360" w:lineRule="auto"/>
        <w:jc w:val="left"/>
        <w:rPr>
          <w:rFonts w:asciiTheme="majorEastAsia" w:hAnsiTheme="majorEastAsia" w:eastAsiaTheme="majorEastAsia" w:cstheme="majorEastAsia"/>
          <w:sz w:val="22"/>
          <w:szCs w:val="22"/>
        </w:rPr>
      </w:pPr>
    </w:p>
    <w:p>
      <w:pPr>
        <w:spacing w:line="360" w:lineRule="auto"/>
        <w:jc w:val="left"/>
        <w:rPr>
          <w:rFonts w:asciiTheme="majorEastAsia" w:hAnsiTheme="majorEastAsia" w:eastAsiaTheme="majorEastAsia" w:cstheme="majorEastAsia"/>
          <w:sz w:val="22"/>
          <w:szCs w:val="22"/>
        </w:rPr>
      </w:pPr>
    </w:p>
    <w:p>
      <w:pPr>
        <w:spacing w:line="360" w:lineRule="auto"/>
        <w:jc w:val="left"/>
        <w:rPr>
          <w:rFonts w:asciiTheme="majorEastAsia" w:hAnsiTheme="majorEastAsia" w:eastAsiaTheme="majorEastAsia" w:cstheme="majorEastAsia"/>
          <w:sz w:val="22"/>
          <w:szCs w:val="22"/>
        </w:rPr>
      </w:pPr>
    </w:p>
    <w:p>
      <w:pPr>
        <w:spacing w:line="360" w:lineRule="auto"/>
        <w:jc w:val="left"/>
        <w:rPr>
          <w:rFonts w:asciiTheme="majorEastAsia" w:hAnsiTheme="majorEastAsia" w:eastAsiaTheme="majorEastAsia" w:cstheme="majorEastAsia"/>
          <w:sz w:val="22"/>
          <w:szCs w:val="22"/>
        </w:rPr>
      </w:pPr>
    </w:p>
    <w:p>
      <w:pPr>
        <w:spacing w:line="360" w:lineRule="auto"/>
        <w:jc w:val="left"/>
        <w:rPr>
          <w:rFonts w:asciiTheme="majorEastAsia" w:hAnsiTheme="majorEastAsia" w:eastAsiaTheme="majorEastAsia" w:cstheme="majorEastAsia"/>
          <w:sz w:val="22"/>
          <w:szCs w:val="22"/>
        </w:rPr>
      </w:pPr>
    </w:p>
    <w:p>
      <w:pPr>
        <w:spacing w:line="360" w:lineRule="auto"/>
        <w:jc w:val="left"/>
        <w:rPr>
          <w:rFonts w:asciiTheme="majorEastAsia" w:hAnsiTheme="majorEastAsia" w:eastAsiaTheme="majorEastAsia" w:cstheme="majorEastAsia"/>
          <w:sz w:val="22"/>
          <w:szCs w:val="22"/>
        </w:rPr>
      </w:pPr>
    </w:p>
    <w:p>
      <w:pPr>
        <w:spacing w:line="360" w:lineRule="auto"/>
        <w:jc w:val="left"/>
        <w:rPr>
          <w:rFonts w:asciiTheme="majorEastAsia" w:hAnsiTheme="majorEastAsia" w:eastAsiaTheme="majorEastAsia" w:cstheme="majorEastAsia"/>
          <w:sz w:val="22"/>
          <w:szCs w:val="22"/>
        </w:rPr>
      </w:pPr>
    </w:p>
    <w:p>
      <w:pPr>
        <w:spacing w:line="360" w:lineRule="auto"/>
        <w:jc w:val="left"/>
        <w:rPr>
          <w:rFonts w:asciiTheme="majorEastAsia" w:hAnsiTheme="majorEastAsia" w:eastAsiaTheme="majorEastAsia" w:cstheme="majorEastAsia"/>
          <w:sz w:val="22"/>
          <w:szCs w:val="22"/>
        </w:rPr>
      </w:pPr>
    </w:p>
    <w:p>
      <w:pPr>
        <w:spacing w:line="360" w:lineRule="auto"/>
        <w:jc w:val="left"/>
        <w:rPr>
          <w:rFonts w:asciiTheme="majorEastAsia" w:hAnsiTheme="majorEastAsia" w:eastAsiaTheme="majorEastAsia" w:cstheme="majorEastAsia"/>
          <w:sz w:val="22"/>
          <w:szCs w:val="22"/>
        </w:rPr>
      </w:pPr>
    </w:p>
    <w:p>
      <w:pPr>
        <w:spacing w:line="360" w:lineRule="auto"/>
        <w:jc w:val="left"/>
        <w:rPr>
          <w:rFonts w:asciiTheme="majorEastAsia" w:hAnsiTheme="majorEastAsia" w:eastAsiaTheme="majorEastAsia" w:cstheme="majorEastAsia"/>
          <w:sz w:val="22"/>
          <w:szCs w:val="22"/>
        </w:rPr>
      </w:pPr>
    </w:p>
    <w:p>
      <w:pPr>
        <w:spacing w:line="360" w:lineRule="auto"/>
        <w:jc w:val="left"/>
        <w:rPr>
          <w:rFonts w:asciiTheme="majorEastAsia" w:hAnsiTheme="majorEastAsia" w:eastAsiaTheme="majorEastAsia" w:cstheme="majorEastAsia"/>
          <w:sz w:val="22"/>
          <w:szCs w:val="22"/>
        </w:rPr>
      </w:pPr>
    </w:p>
    <w:p>
      <w:pPr>
        <w:spacing w:line="360" w:lineRule="auto"/>
        <w:jc w:val="center"/>
        <w:rPr>
          <w:rFonts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第5章</w:t>
      </w:r>
      <w:r>
        <w:rPr>
          <w:rFonts w:hint="eastAsia" w:asciiTheme="majorEastAsia" w:hAnsiTheme="majorEastAsia" w:eastAsiaTheme="majorEastAsia" w:cstheme="majorEastAsia"/>
          <w:b/>
          <w:bCs/>
          <w:sz w:val="44"/>
          <w:szCs w:val="44"/>
        </w:rPr>
        <w:tab/>
      </w:r>
      <w:r>
        <w:rPr>
          <w:rFonts w:hint="eastAsia" w:asciiTheme="majorEastAsia" w:hAnsiTheme="majorEastAsia" w:eastAsiaTheme="majorEastAsia" w:cstheme="majorEastAsia"/>
          <w:b/>
          <w:bCs/>
          <w:sz w:val="44"/>
          <w:szCs w:val="44"/>
        </w:rPr>
        <w:t>设施运行管理</w:t>
      </w:r>
    </w:p>
    <w:p>
      <w:pPr>
        <w:spacing w:line="360" w:lineRule="auto"/>
        <w:rPr>
          <w:rFonts w:ascii="黑体" w:hAnsi="黑体" w:eastAsia="黑体" w:cs="黑体"/>
          <w:sz w:val="30"/>
          <w:szCs w:val="30"/>
        </w:rPr>
      </w:pPr>
    </w:p>
    <w:p>
      <w:pPr>
        <w:spacing w:line="360" w:lineRule="auto"/>
        <w:rPr>
          <w:rFonts w:ascii="黑体" w:hAnsi="黑体" w:eastAsia="黑体" w:cs="黑体"/>
          <w:b/>
          <w:bCs/>
          <w:sz w:val="30"/>
          <w:szCs w:val="30"/>
        </w:rPr>
      </w:pPr>
      <w:r>
        <w:rPr>
          <w:rFonts w:hint="eastAsia" w:ascii="黑体" w:hAnsi="黑体" w:eastAsia="黑体" w:cs="黑体"/>
          <w:b/>
          <w:bCs/>
          <w:sz w:val="30"/>
          <w:szCs w:val="30"/>
        </w:rPr>
        <w:t>5.1  运维管理</w:t>
      </w:r>
    </w:p>
    <w:p>
      <w:pPr>
        <w:spacing w:line="360" w:lineRule="auto"/>
        <w:rPr>
          <w:rFonts w:ascii="黑体" w:hAnsi="黑体" w:eastAsia="黑体" w:cs="黑体"/>
          <w:b/>
          <w:bCs/>
          <w:sz w:val="28"/>
          <w:szCs w:val="28"/>
        </w:rPr>
      </w:pPr>
      <w:r>
        <w:rPr>
          <w:rFonts w:hint="eastAsia" w:ascii="黑体" w:hAnsi="黑体" w:eastAsia="黑体" w:cs="黑体"/>
          <w:b/>
          <w:bCs/>
          <w:sz w:val="28"/>
          <w:szCs w:val="28"/>
        </w:rPr>
        <w:t>5.1.1  组织架构</w:t>
      </w:r>
    </w:p>
    <w:p>
      <w:pPr>
        <w:spacing w:line="360" w:lineRule="auto"/>
        <w:ind w:firstLine="440" w:firstLineChars="200"/>
        <w:jc w:val="left"/>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建立以县级政府为责任主体、乡镇（街道）为管理主体、村级组织为落实主体、农户为受益主 体、运维机构为服务主体的农村生活污水处理设施“五位一体”运维管理体系。</w:t>
      </w:r>
    </w:p>
    <w:p>
      <w:pPr>
        <w:spacing w:line="360" w:lineRule="auto"/>
        <w:jc w:val="left"/>
        <w:rPr>
          <w:rFonts w:asciiTheme="majorEastAsia" w:hAnsiTheme="majorEastAsia" w:eastAsiaTheme="majorEastAsia" w:cstheme="majorEastAsia"/>
          <w:sz w:val="22"/>
          <w:szCs w:val="22"/>
        </w:rPr>
      </w:pPr>
      <w:r>
        <w:drawing>
          <wp:anchor distT="0" distB="0" distL="114935" distR="114935" simplePos="0" relativeHeight="251662336" behindDoc="1" locked="0" layoutInCell="1" allowOverlap="1">
            <wp:simplePos x="0" y="0"/>
            <wp:positionH relativeFrom="page">
              <wp:posOffset>902970</wp:posOffset>
            </wp:positionH>
            <wp:positionV relativeFrom="paragraph">
              <wp:posOffset>100330</wp:posOffset>
            </wp:positionV>
            <wp:extent cx="5353685" cy="4355465"/>
            <wp:effectExtent l="0" t="0" r="18415" b="6985"/>
            <wp:wrapTight wrapText="bothSides">
              <wp:wrapPolygon>
                <wp:start x="0" y="0"/>
                <wp:lineTo x="0" y="21540"/>
                <wp:lineTo x="21521" y="21540"/>
                <wp:lineTo x="21521" y="0"/>
                <wp:lineTo x="0" y="0"/>
              </wp:wrapPolygon>
            </wp:wrapTight>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9" cstate="print"/>
                    <a:stretch>
                      <a:fillRect/>
                    </a:stretch>
                  </pic:blipFill>
                  <pic:spPr>
                    <a:xfrm>
                      <a:off x="0" y="0"/>
                      <a:ext cx="5353685" cy="4355465"/>
                    </a:xfrm>
                    <a:prstGeom prst="rect">
                      <a:avLst/>
                    </a:prstGeom>
                    <a:noFill/>
                    <a:ln w="9525">
                      <a:noFill/>
                    </a:ln>
                  </pic:spPr>
                </pic:pic>
              </a:graphicData>
            </a:graphic>
          </wp:anchor>
        </w:drawing>
      </w:r>
    </w:p>
    <w:p>
      <w:pPr>
        <w:spacing w:line="500" w:lineRule="exact"/>
        <w:rPr>
          <w:rFonts w:ascii="黑体" w:hAnsi="黑体" w:eastAsia="黑体" w:cs="黑体"/>
          <w:b/>
          <w:bCs/>
          <w:sz w:val="30"/>
          <w:szCs w:val="30"/>
        </w:rPr>
      </w:pPr>
    </w:p>
    <w:p>
      <w:pPr>
        <w:spacing w:line="500" w:lineRule="exact"/>
        <w:rPr>
          <w:rFonts w:ascii="黑体" w:hAnsi="黑体" w:eastAsia="黑体" w:cs="黑体"/>
          <w:b/>
          <w:bCs/>
          <w:sz w:val="30"/>
          <w:szCs w:val="30"/>
        </w:rPr>
      </w:pPr>
    </w:p>
    <w:p>
      <w:pPr>
        <w:spacing w:line="500" w:lineRule="exact"/>
        <w:rPr>
          <w:rFonts w:ascii="黑体" w:hAnsi="黑体" w:eastAsia="黑体" w:cs="黑体"/>
          <w:b/>
          <w:bCs/>
          <w:sz w:val="30"/>
          <w:szCs w:val="30"/>
        </w:rPr>
      </w:pPr>
    </w:p>
    <w:p>
      <w:pPr>
        <w:spacing w:line="500" w:lineRule="exact"/>
        <w:rPr>
          <w:rFonts w:ascii="黑体" w:hAnsi="黑体" w:eastAsia="黑体" w:cs="黑体"/>
          <w:b/>
          <w:bCs/>
          <w:sz w:val="30"/>
          <w:szCs w:val="30"/>
        </w:rPr>
      </w:pPr>
    </w:p>
    <w:p>
      <w:pPr>
        <w:spacing w:line="500" w:lineRule="exact"/>
        <w:rPr>
          <w:rFonts w:ascii="黑体" w:hAnsi="黑体" w:eastAsia="黑体" w:cs="黑体"/>
          <w:b/>
          <w:bCs/>
          <w:sz w:val="30"/>
          <w:szCs w:val="30"/>
        </w:rPr>
      </w:pPr>
    </w:p>
    <w:p>
      <w:pPr>
        <w:spacing w:line="500" w:lineRule="exact"/>
        <w:rPr>
          <w:rFonts w:ascii="黑体" w:hAnsi="黑体" w:eastAsia="黑体" w:cs="黑体"/>
          <w:b/>
          <w:bCs/>
          <w:sz w:val="30"/>
          <w:szCs w:val="30"/>
        </w:rPr>
      </w:pPr>
    </w:p>
    <w:p>
      <w:pPr>
        <w:spacing w:line="500" w:lineRule="exact"/>
        <w:rPr>
          <w:rFonts w:ascii="黑体" w:hAnsi="黑体" w:eastAsia="黑体" w:cs="黑体"/>
          <w:b/>
          <w:bCs/>
          <w:sz w:val="30"/>
          <w:szCs w:val="30"/>
        </w:rPr>
      </w:pPr>
    </w:p>
    <w:p>
      <w:pPr>
        <w:spacing w:line="500" w:lineRule="exact"/>
        <w:rPr>
          <w:rFonts w:ascii="黑体" w:hAnsi="黑体" w:eastAsia="黑体" w:cs="黑体"/>
          <w:b/>
          <w:bCs/>
          <w:sz w:val="30"/>
          <w:szCs w:val="30"/>
        </w:rPr>
      </w:pPr>
    </w:p>
    <w:p>
      <w:pPr>
        <w:spacing w:line="500" w:lineRule="exact"/>
        <w:rPr>
          <w:rFonts w:ascii="黑体" w:hAnsi="黑体" w:eastAsia="黑体" w:cs="黑体"/>
          <w:b/>
          <w:bCs/>
          <w:sz w:val="30"/>
          <w:szCs w:val="30"/>
        </w:rPr>
      </w:pPr>
    </w:p>
    <w:p>
      <w:pPr>
        <w:spacing w:line="500" w:lineRule="exact"/>
        <w:rPr>
          <w:rFonts w:ascii="黑体" w:hAnsi="黑体" w:eastAsia="黑体" w:cs="黑体"/>
          <w:b/>
          <w:bCs/>
          <w:sz w:val="30"/>
          <w:szCs w:val="30"/>
        </w:rPr>
      </w:pPr>
    </w:p>
    <w:p>
      <w:pPr>
        <w:spacing w:line="500" w:lineRule="exact"/>
        <w:rPr>
          <w:rFonts w:ascii="黑体" w:hAnsi="黑体" w:eastAsia="黑体" w:cs="黑体"/>
          <w:b/>
          <w:bCs/>
          <w:sz w:val="30"/>
          <w:szCs w:val="30"/>
        </w:rPr>
      </w:pPr>
    </w:p>
    <w:p>
      <w:pPr>
        <w:spacing w:line="500" w:lineRule="exact"/>
        <w:rPr>
          <w:rFonts w:ascii="黑体" w:hAnsi="黑体" w:eastAsia="黑体" w:cs="黑体"/>
          <w:b/>
          <w:bCs/>
          <w:sz w:val="30"/>
          <w:szCs w:val="30"/>
        </w:rPr>
      </w:pPr>
    </w:p>
    <w:p>
      <w:pPr>
        <w:spacing w:line="500" w:lineRule="exact"/>
        <w:rPr>
          <w:rFonts w:ascii="黑体" w:hAnsi="黑体" w:eastAsia="黑体" w:cs="黑体"/>
          <w:b/>
          <w:bCs/>
          <w:sz w:val="30"/>
          <w:szCs w:val="30"/>
        </w:rPr>
      </w:pPr>
    </w:p>
    <w:p>
      <w:pPr>
        <w:spacing w:line="500" w:lineRule="exact"/>
        <w:jc w:val="center"/>
        <w:rPr>
          <w:rFonts w:ascii="黑体" w:hAnsi="黑体" w:eastAsia="黑体" w:cs="黑体"/>
          <w:b/>
          <w:bCs/>
          <w:sz w:val="30"/>
          <w:szCs w:val="30"/>
        </w:rPr>
      </w:pPr>
      <w:r>
        <w:rPr>
          <w:rFonts w:hint="eastAsia" w:ascii="黑体" w:hAnsi="黑体" w:eastAsia="黑体" w:cs="黑体"/>
          <w:sz w:val="24"/>
        </w:rPr>
        <w:t>图</w:t>
      </w:r>
      <w:r>
        <w:rPr>
          <w:rFonts w:hint="eastAsia" w:ascii="黑体" w:hAnsi="黑体" w:eastAsia="黑体" w:cs="黑体"/>
          <w:spacing w:val="49"/>
          <w:sz w:val="24"/>
        </w:rPr>
        <w:t xml:space="preserve"> </w:t>
      </w:r>
      <w:r>
        <w:rPr>
          <w:rFonts w:hint="eastAsia" w:ascii="黑体" w:hAnsi="黑体" w:eastAsia="黑体" w:cs="黑体"/>
          <w:b/>
          <w:bCs/>
          <w:sz w:val="24"/>
        </w:rPr>
        <w:t>5</w:t>
      </w:r>
      <w:r>
        <w:rPr>
          <w:rFonts w:hint="eastAsia" w:ascii="黑体" w:hAnsi="黑体" w:eastAsia="黑体" w:cs="黑体"/>
          <w:b/>
          <w:bCs/>
          <w:spacing w:val="-1"/>
          <w:sz w:val="24"/>
        </w:rPr>
        <w:t>-</w:t>
      </w:r>
      <w:r>
        <w:rPr>
          <w:rFonts w:hint="eastAsia" w:ascii="黑体" w:hAnsi="黑体" w:eastAsia="黑体" w:cs="黑体"/>
          <w:b/>
          <w:bCs/>
          <w:sz w:val="24"/>
        </w:rPr>
        <w:t xml:space="preserve">1  </w:t>
      </w:r>
      <w:r>
        <w:rPr>
          <w:rFonts w:hint="eastAsia" w:ascii="黑体" w:hAnsi="黑体" w:eastAsia="黑体" w:cs="黑体"/>
          <w:sz w:val="24"/>
        </w:rPr>
        <w:t>五</w:t>
      </w:r>
      <w:r>
        <w:rPr>
          <w:rFonts w:hint="eastAsia" w:ascii="黑体" w:hAnsi="黑体" w:eastAsia="黑体" w:cs="黑体"/>
          <w:spacing w:val="2"/>
          <w:sz w:val="24"/>
        </w:rPr>
        <w:t>位</w:t>
      </w:r>
      <w:r>
        <w:rPr>
          <w:rFonts w:hint="eastAsia" w:ascii="黑体" w:hAnsi="黑体" w:eastAsia="黑体" w:cs="黑体"/>
          <w:sz w:val="24"/>
        </w:rPr>
        <w:t>一</w:t>
      </w:r>
      <w:r>
        <w:rPr>
          <w:rFonts w:hint="eastAsia" w:ascii="黑体" w:hAnsi="黑体" w:eastAsia="黑体" w:cs="黑体"/>
          <w:spacing w:val="2"/>
          <w:sz w:val="24"/>
        </w:rPr>
        <w:t>体</w:t>
      </w:r>
      <w:r>
        <w:rPr>
          <w:rFonts w:hint="eastAsia" w:ascii="黑体" w:hAnsi="黑体" w:eastAsia="黑体" w:cs="黑体"/>
          <w:sz w:val="24"/>
        </w:rPr>
        <w:t>运维</w:t>
      </w:r>
      <w:r>
        <w:rPr>
          <w:rFonts w:hint="eastAsia" w:ascii="黑体" w:hAnsi="黑体" w:eastAsia="黑体" w:cs="黑体"/>
          <w:spacing w:val="2"/>
          <w:sz w:val="24"/>
        </w:rPr>
        <w:t>管</w:t>
      </w:r>
      <w:r>
        <w:rPr>
          <w:rFonts w:hint="eastAsia" w:ascii="黑体" w:hAnsi="黑体" w:eastAsia="黑体" w:cs="黑体"/>
          <w:sz w:val="24"/>
        </w:rPr>
        <w:t>理</w:t>
      </w:r>
      <w:r>
        <w:rPr>
          <w:rFonts w:hint="eastAsia" w:ascii="黑体" w:hAnsi="黑体" w:eastAsia="黑体" w:cs="黑体"/>
          <w:spacing w:val="2"/>
          <w:sz w:val="24"/>
        </w:rPr>
        <w:t>框</w:t>
      </w:r>
      <w:r>
        <w:rPr>
          <w:rFonts w:hint="eastAsia" w:ascii="黑体" w:hAnsi="黑体" w:eastAsia="黑体" w:cs="黑体"/>
          <w:sz w:val="24"/>
        </w:rPr>
        <w:t>架图</w:t>
      </w:r>
    </w:p>
    <w:p>
      <w:pPr>
        <w:spacing w:line="500" w:lineRule="exact"/>
        <w:rPr>
          <w:rFonts w:ascii="黑体" w:hAnsi="黑体" w:eastAsia="黑体" w:cs="黑体"/>
          <w:b/>
          <w:bCs/>
          <w:sz w:val="30"/>
          <w:szCs w:val="30"/>
        </w:rPr>
      </w:pPr>
    </w:p>
    <w:p>
      <w:pPr>
        <w:spacing w:line="500" w:lineRule="exact"/>
        <w:rPr>
          <w:rFonts w:ascii="黑体" w:hAnsi="黑体" w:eastAsia="黑体" w:cs="黑体"/>
          <w:b/>
          <w:bCs/>
          <w:sz w:val="28"/>
          <w:szCs w:val="28"/>
        </w:rPr>
      </w:pPr>
      <w:r>
        <w:rPr>
          <w:rFonts w:hint="eastAsia" w:ascii="黑体" w:hAnsi="黑体" w:eastAsia="黑体" w:cs="黑体"/>
          <w:b/>
          <w:bCs/>
          <w:sz w:val="28"/>
          <w:szCs w:val="28"/>
        </w:rPr>
        <w:t>5.1.2  设施运维模式</w:t>
      </w:r>
    </w:p>
    <w:p>
      <w:pPr>
        <w:spacing w:line="360" w:lineRule="auto"/>
        <w:ind w:firstLine="440" w:firstLineChars="200"/>
        <w:jc w:val="left"/>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桃源县农村生活污水治理设施运维整体以乡镇（环保站）为单元实施分片运行维护管理，对纳</w:t>
      </w:r>
    </w:p>
    <w:p>
      <w:pPr>
        <w:spacing w:line="500" w:lineRule="exact"/>
        <w:jc w:val="left"/>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入城镇污水处理厂的村（居）采用城乡一体化运维方式，其他村（居）的处理设施运行、维护和维 修、保养由第三方专业运维单位按片区托管或总承包的方式开展运维管理服务；对所处地区偏远、布局分散、运维技术水平要求不高的村庄，可采用自行运维方式。运维管理的设施应包括处理设施</w:t>
      </w:r>
    </w:p>
    <w:p>
      <w:pPr>
        <w:spacing w:line="500" w:lineRule="exact"/>
        <w:jc w:val="left"/>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和配套管网系统，不宜拆分管理。</w:t>
      </w:r>
    </w:p>
    <w:p>
      <w:pPr>
        <w:spacing w:line="500" w:lineRule="exact"/>
        <w:rPr>
          <w:rFonts w:ascii="黑体" w:hAnsi="黑体" w:eastAsia="黑体" w:cs="黑体"/>
          <w:b/>
          <w:bCs/>
          <w:sz w:val="30"/>
          <w:szCs w:val="30"/>
        </w:rPr>
      </w:pPr>
      <w:r>
        <w:rPr>
          <w:rFonts w:hint="eastAsia" w:ascii="黑体" w:hAnsi="黑体" w:eastAsia="黑体" w:cs="黑体"/>
          <w:b/>
          <w:bCs/>
          <w:sz w:val="30"/>
          <w:szCs w:val="30"/>
        </w:rPr>
        <w:t>5.1.3  设施运维服务</w:t>
      </w:r>
    </w:p>
    <w:p>
      <w:pPr>
        <w:spacing w:line="500" w:lineRule="exact"/>
        <w:ind w:firstLine="440" w:firstLineChars="200"/>
        <w:jc w:val="left"/>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（1）农户污水收集与资源化利用设施的运维管理由受益农户负责，主要职责是对化粪池和接 户井以内管网进行清掏及维护。</w:t>
      </w:r>
    </w:p>
    <w:p>
      <w:pPr>
        <w:spacing w:line="500" w:lineRule="exact"/>
        <w:ind w:firstLine="440" w:firstLineChars="200"/>
        <w:jc w:val="left"/>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（2）接户井外管网系统和处理设施由运维服务机构负责，分散式污水处理设施运维宜由农户 负责，并接受运维服务机构的指导。</w:t>
      </w:r>
    </w:p>
    <w:p>
      <w:pPr>
        <w:spacing w:line="500" w:lineRule="exact"/>
        <w:ind w:firstLine="440" w:firstLineChars="200"/>
        <w:jc w:val="left"/>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（3）运维服务机构应具备相应的专业服务能力，并建立设施运行维护管理制度，通过信息化</w:t>
      </w:r>
    </w:p>
    <w:p>
      <w:pPr>
        <w:spacing w:line="500" w:lineRule="exact"/>
        <w:jc w:val="left"/>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手段提高运维管理效率和管理水平。参考《农村生活污水处理工程技术标准》 （GB/T 51347 ）要 求，对农村生活污水管道及附属物做定期检修排查，定期清理处理设施且做好运维记录，定期对终端设施的进出水水质和水量进行观察记录、按规定对进出水水质进行抽样检测，定期对乡镇、村庄和农户等参与污水处理设施运维的人员开展技术管理培训，提高规范化水平。</w:t>
      </w:r>
    </w:p>
    <w:p>
      <w:pPr>
        <w:spacing w:line="500" w:lineRule="exact"/>
        <w:rPr>
          <w:rFonts w:ascii="黑体" w:hAnsi="黑体" w:eastAsia="黑体" w:cs="黑体"/>
          <w:b/>
          <w:bCs/>
          <w:sz w:val="30"/>
          <w:szCs w:val="30"/>
        </w:rPr>
      </w:pPr>
      <w:r>
        <w:rPr>
          <w:rFonts w:hint="eastAsia" w:ascii="黑体" w:hAnsi="黑体" w:eastAsia="黑体" w:cs="黑体"/>
          <w:b/>
          <w:bCs/>
          <w:sz w:val="30"/>
          <w:szCs w:val="30"/>
        </w:rPr>
        <w:t>5.1.4  建设和运维机制</w:t>
      </w:r>
    </w:p>
    <w:p>
      <w:pPr>
        <w:spacing w:line="500" w:lineRule="exact"/>
        <w:ind w:firstLine="440" w:firstLineChars="200"/>
        <w:jc w:val="left"/>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（1）建立以“五位一体”农村生活污水设施运维管理体系，完善制度建设。</w:t>
      </w:r>
    </w:p>
    <w:p>
      <w:pPr>
        <w:spacing w:line="500" w:lineRule="exact"/>
        <w:ind w:firstLine="440" w:firstLineChars="200"/>
        <w:jc w:val="left"/>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（2）完善法规政策，颁布农村生活污水治理管理办法，以全方位的政策法规保障有效的农村生活污水治理，保证农村生活污水治理的成效。</w:t>
      </w:r>
    </w:p>
    <w:p>
      <w:pPr>
        <w:spacing w:line="500" w:lineRule="exact"/>
        <w:ind w:firstLine="440" w:firstLineChars="200"/>
        <w:jc w:val="left"/>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（3）优化运维管理体系，实现户内设施由农户自负其责的长效管理机制，形成终端、管网统一运维的第三方服务模式。</w:t>
      </w:r>
    </w:p>
    <w:p>
      <w:pPr>
        <w:spacing w:line="500" w:lineRule="exact"/>
        <w:ind w:firstLine="440" w:firstLineChars="200"/>
        <w:jc w:val="left"/>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（4）加强对第三方专业服务机构的督查考核，规范日常管理，督查考核结果与运维服务费用拨付挂钩。同时及时处理生态环境局、住建局、农业农村局等相关部门针对农村生活污水治理设施 的意见及建议。切实加强农村经营企业、个人等生活污水的收集处理工作，对擅自将不符合接入条 件的污水接入农村生活污水的处理设施的企业、个人采取批评教育处罚等措施，尤其是村内农家乐 餐饮污水必须设置隔油池预处理，方可排入管网，确保农村生活污水治理设施一次建成、长久使用、</w:t>
      </w:r>
    </w:p>
    <w:p>
      <w:pPr>
        <w:spacing w:line="500" w:lineRule="exact"/>
        <w:jc w:val="left"/>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持续发挥效用，切实改善农村环境。</w:t>
      </w:r>
    </w:p>
    <w:p>
      <w:pPr>
        <w:spacing w:line="500" w:lineRule="exact"/>
        <w:ind w:firstLine="440" w:firstLineChars="200"/>
        <w:jc w:val="left"/>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（5）实行考核激励，对农村生活污水治理设施运维管理工作表现优秀的予以奖励，对指导服务不利的部门和管理不到位的单位，及时汇报上级，予以严格问责。重点考核终端运行率及终端运</w:t>
      </w:r>
    </w:p>
    <w:p>
      <w:pPr>
        <w:spacing w:line="360" w:lineRule="auto"/>
        <w:jc w:val="left"/>
        <w:rPr>
          <w:rFonts w:asciiTheme="majorEastAsia" w:hAnsiTheme="majorEastAsia" w:eastAsiaTheme="majorEastAsia" w:cstheme="majorEastAsia"/>
          <w:sz w:val="22"/>
          <w:szCs w:val="22"/>
        </w:rPr>
      </w:pPr>
    </w:p>
    <w:p>
      <w:pPr>
        <w:spacing w:line="520" w:lineRule="exact"/>
        <w:jc w:val="left"/>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行出水合格率的两项指标，定期对农村生活污水治理设施的运行维护保养进行指导、监管，及时做</w:t>
      </w:r>
    </w:p>
    <w:p>
      <w:pPr>
        <w:spacing w:line="520" w:lineRule="exact"/>
        <w:jc w:val="left"/>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好运维管理工作考核报告，完善农村生活污水治理设施运维监管服务平台的建设，同时应当接受群 众举报，及时传达群众意见，可以设置监督员，对污水处理设施出现不正常运转、其他污染源私自 接入管网或农户侵占终端场地等情况，及时上报。</w:t>
      </w:r>
    </w:p>
    <w:p>
      <w:pPr>
        <w:spacing w:line="520" w:lineRule="exact"/>
        <w:ind w:firstLine="440" w:firstLineChars="200"/>
        <w:jc w:val="left"/>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（6）探索建立污水治理受益农户付费制度，对使用自来水的农户将污水处理费用纳入自来水价中；对采用纳管处理模式、集中处理达标排放模式、分散处理达标排放模式的自供水农户按户或 用水量支付污水处理费用，逐步实现受益农户污水处理付费制度。</w:t>
      </w:r>
    </w:p>
    <w:p>
      <w:pPr>
        <w:spacing w:line="520" w:lineRule="exact"/>
        <w:rPr>
          <w:rFonts w:ascii="黑体" w:hAnsi="黑体" w:eastAsia="黑体" w:cs="黑体"/>
          <w:b/>
          <w:bCs/>
          <w:sz w:val="30"/>
          <w:szCs w:val="30"/>
        </w:rPr>
      </w:pPr>
      <w:r>
        <w:rPr>
          <w:rFonts w:hint="eastAsia" w:ascii="黑体" w:hAnsi="黑体" w:eastAsia="黑体" w:cs="黑体"/>
          <w:b/>
          <w:bCs/>
          <w:sz w:val="30"/>
          <w:szCs w:val="30"/>
        </w:rPr>
        <w:t>5.2  环境监管</w:t>
      </w:r>
    </w:p>
    <w:p>
      <w:pPr>
        <w:spacing w:line="520" w:lineRule="exact"/>
        <w:rPr>
          <w:rFonts w:ascii="黑体" w:hAnsi="黑体" w:eastAsia="黑体" w:cs="黑体"/>
          <w:b/>
          <w:bCs/>
          <w:sz w:val="28"/>
          <w:szCs w:val="28"/>
        </w:rPr>
      </w:pPr>
      <w:r>
        <w:rPr>
          <w:rFonts w:hint="eastAsia" w:ascii="黑体" w:hAnsi="黑体" w:eastAsia="黑体" w:cs="黑体"/>
          <w:b/>
          <w:bCs/>
          <w:sz w:val="28"/>
          <w:szCs w:val="28"/>
        </w:rPr>
        <w:t>5.2.1  监测制度</w:t>
      </w:r>
    </w:p>
    <w:p>
      <w:pPr>
        <w:spacing w:line="520" w:lineRule="exact"/>
        <w:ind w:firstLine="440" w:firstLineChars="200"/>
        <w:jc w:val="left"/>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（1）加强对日处理能力 20 吨及以上的农村生活污水处理设施出水水质监测，日处理能力20 吨及以下的农村生活污水处理设施，不定期开展监测。</w:t>
      </w:r>
    </w:p>
    <w:p>
      <w:pPr>
        <w:spacing w:line="520" w:lineRule="exact"/>
        <w:ind w:firstLine="440" w:firstLineChars="200"/>
        <w:jc w:val="left"/>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（2）以县域为单位建立和完善处理设施管理台账，包括基础档案信息数据库和数字化监管平 台建设，建立终端管理信息反馈机制，掌握县域农村生活污水处理设施分布和运行情况。综合运用 互联网、物联网等技术，实现数据整合，远程可监管，信息及时传达，降低维护人员成本。积极推 进农村生活污水运维管理的规范化、法制化、智能化，切实强化责任，落实各项保障，做到“设施 硬件达标”“出水水质达标”和“日常运维达标”，以点带面提升全县农村生活污水治理设施运维管理水平。实现了全县农村生活污水处理的可监管、可追溯、可考评“全程监管”的目标。</w:t>
      </w:r>
    </w:p>
    <w:p>
      <w:pPr>
        <w:spacing w:line="520" w:lineRule="exact"/>
        <w:rPr>
          <w:rFonts w:ascii="黑体" w:hAnsi="黑体" w:eastAsia="黑体" w:cs="黑体"/>
          <w:b/>
          <w:bCs/>
          <w:sz w:val="28"/>
          <w:szCs w:val="28"/>
        </w:rPr>
      </w:pPr>
      <w:r>
        <w:rPr>
          <w:rFonts w:hint="eastAsia" w:ascii="黑体" w:hAnsi="黑体" w:eastAsia="黑体" w:cs="黑体"/>
          <w:b/>
          <w:bCs/>
          <w:sz w:val="28"/>
          <w:szCs w:val="28"/>
        </w:rPr>
        <w:t>5.2.2  考核体系</w:t>
      </w:r>
    </w:p>
    <w:p>
      <w:pPr>
        <w:spacing w:line="520" w:lineRule="exact"/>
        <w:ind w:firstLine="440" w:firstLineChars="200"/>
        <w:jc w:val="left"/>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由县人民政府统一组织，制定并执行县域农村生活污水处理设施运维管理工作考核办法。从出 水达标率、设施正常运行情况、吨水运行成本等方面评价农村生活污水处理设施运行维护情况，评 价结果作为运维管理部门对运维机构服务质量考核依据之一，考核结果与运维费用支付挂钩。出台 “以奖代补政策”，并与县对各乡镇年度考核挂钩。</w:t>
      </w:r>
    </w:p>
    <w:p>
      <w:pPr>
        <w:spacing w:line="520" w:lineRule="exact"/>
        <w:ind w:firstLine="440" w:firstLineChars="200"/>
        <w:jc w:val="left"/>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运维公司作为农村生活污水第三方运维机构，为更好地做好各项运维工作，应结合公司实际， 制定公司运维内部管理体系相关制度，详细规定组织机构、岗位工作职责、选聘、培训、考核评价 制度、档案资料管理制度、施工现场管理制度、应急管理制度、农户投诉处理办法及流程、农户满</w:t>
      </w:r>
    </w:p>
    <w:p>
      <w:pPr>
        <w:spacing w:line="360" w:lineRule="auto"/>
        <w:jc w:val="left"/>
        <w:rPr>
          <w:rFonts w:asciiTheme="majorEastAsia" w:hAnsiTheme="majorEastAsia" w:eastAsiaTheme="majorEastAsia" w:cstheme="majorEastAsia"/>
          <w:sz w:val="22"/>
          <w:szCs w:val="22"/>
        </w:rPr>
      </w:pPr>
    </w:p>
    <w:p>
      <w:pPr>
        <w:spacing w:line="360" w:lineRule="auto"/>
        <w:jc w:val="left"/>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意度调查制度等。逐步完善运维管理系统。建议加强对运维人员专业度的重视，强化运维队伍规范</w:t>
      </w:r>
    </w:p>
    <w:p>
      <w:pPr>
        <w:spacing w:line="360" w:lineRule="auto"/>
        <w:jc w:val="left"/>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性，定期开展专业培训，采用人员分级培训方式，有侧重的加深理念观念与提升技术水平，并可采 取淘汰竞争机制。在各乡镇配备专业工程师、水处理专家等，定期、及时为乡镇水处理提供技术服 务。</w:t>
      </w:r>
    </w:p>
    <w:p>
      <w:pPr>
        <w:spacing w:line="360" w:lineRule="auto"/>
        <w:ind w:firstLine="440" w:firstLineChars="200"/>
        <w:jc w:val="left"/>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建立健全群众参与监督工作机制，有效发挥群众主体作用，充分调动广大群众积极参与并监督 农村生活污水处理设施运行情况，提高运维管理水平。</w:t>
      </w:r>
    </w:p>
    <w:p>
      <w:pPr>
        <w:spacing w:line="360" w:lineRule="auto"/>
        <w:jc w:val="left"/>
        <w:rPr>
          <w:rFonts w:asciiTheme="majorEastAsia" w:hAnsiTheme="majorEastAsia" w:eastAsiaTheme="majorEastAsia" w:cstheme="majorEastAsia"/>
          <w:sz w:val="22"/>
          <w:szCs w:val="22"/>
        </w:rPr>
      </w:pPr>
    </w:p>
    <w:p>
      <w:pPr>
        <w:spacing w:line="360" w:lineRule="auto"/>
        <w:jc w:val="left"/>
        <w:rPr>
          <w:rFonts w:asciiTheme="majorEastAsia" w:hAnsiTheme="majorEastAsia" w:eastAsiaTheme="majorEastAsia" w:cstheme="majorEastAsia"/>
          <w:sz w:val="22"/>
          <w:szCs w:val="22"/>
        </w:rPr>
      </w:pPr>
    </w:p>
    <w:p>
      <w:pPr>
        <w:spacing w:line="360" w:lineRule="auto"/>
        <w:jc w:val="left"/>
        <w:rPr>
          <w:rFonts w:asciiTheme="majorEastAsia" w:hAnsiTheme="majorEastAsia" w:eastAsiaTheme="majorEastAsia" w:cstheme="majorEastAsia"/>
          <w:sz w:val="22"/>
          <w:szCs w:val="22"/>
        </w:rPr>
      </w:pPr>
    </w:p>
    <w:p>
      <w:pPr>
        <w:spacing w:line="360" w:lineRule="auto"/>
        <w:jc w:val="left"/>
        <w:rPr>
          <w:rFonts w:asciiTheme="majorEastAsia" w:hAnsiTheme="majorEastAsia" w:eastAsiaTheme="majorEastAsia" w:cstheme="majorEastAsia"/>
          <w:sz w:val="22"/>
          <w:szCs w:val="22"/>
        </w:rPr>
      </w:pPr>
    </w:p>
    <w:p>
      <w:pPr>
        <w:spacing w:line="360" w:lineRule="auto"/>
        <w:jc w:val="left"/>
        <w:rPr>
          <w:rFonts w:asciiTheme="majorEastAsia" w:hAnsiTheme="majorEastAsia" w:eastAsiaTheme="majorEastAsia" w:cstheme="majorEastAsia"/>
          <w:sz w:val="22"/>
          <w:szCs w:val="22"/>
        </w:rPr>
      </w:pPr>
    </w:p>
    <w:p>
      <w:pPr>
        <w:spacing w:line="360" w:lineRule="auto"/>
        <w:jc w:val="left"/>
        <w:rPr>
          <w:rFonts w:asciiTheme="majorEastAsia" w:hAnsiTheme="majorEastAsia" w:eastAsiaTheme="majorEastAsia" w:cstheme="majorEastAsia"/>
          <w:sz w:val="22"/>
          <w:szCs w:val="22"/>
        </w:rPr>
      </w:pPr>
    </w:p>
    <w:p>
      <w:pPr>
        <w:spacing w:line="360" w:lineRule="auto"/>
        <w:jc w:val="left"/>
        <w:rPr>
          <w:rFonts w:asciiTheme="majorEastAsia" w:hAnsiTheme="majorEastAsia" w:eastAsiaTheme="majorEastAsia" w:cstheme="majorEastAsia"/>
          <w:sz w:val="22"/>
          <w:szCs w:val="22"/>
        </w:rPr>
      </w:pPr>
    </w:p>
    <w:p>
      <w:pPr>
        <w:spacing w:line="360" w:lineRule="auto"/>
        <w:jc w:val="left"/>
        <w:rPr>
          <w:rFonts w:asciiTheme="majorEastAsia" w:hAnsiTheme="majorEastAsia" w:eastAsiaTheme="majorEastAsia" w:cstheme="majorEastAsia"/>
          <w:sz w:val="22"/>
          <w:szCs w:val="22"/>
        </w:rPr>
      </w:pPr>
    </w:p>
    <w:p>
      <w:pPr>
        <w:spacing w:line="360" w:lineRule="auto"/>
        <w:jc w:val="left"/>
        <w:rPr>
          <w:rFonts w:asciiTheme="majorEastAsia" w:hAnsiTheme="majorEastAsia" w:eastAsiaTheme="majorEastAsia" w:cstheme="majorEastAsia"/>
          <w:sz w:val="22"/>
          <w:szCs w:val="22"/>
        </w:rPr>
      </w:pPr>
    </w:p>
    <w:p>
      <w:pPr>
        <w:spacing w:line="360" w:lineRule="auto"/>
        <w:jc w:val="left"/>
        <w:rPr>
          <w:rFonts w:asciiTheme="majorEastAsia" w:hAnsiTheme="majorEastAsia" w:eastAsiaTheme="majorEastAsia" w:cstheme="majorEastAsia"/>
          <w:sz w:val="22"/>
          <w:szCs w:val="22"/>
        </w:rPr>
      </w:pPr>
    </w:p>
    <w:p>
      <w:pPr>
        <w:spacing w:line="360" w:lineRule="auto"/>
        <w:jc w:val="left"/>
        <w:rPr>
          <w:rFonts w:asciiTheme="majorEastAsia" w:hAnsiTheme="majorEastAsia" w:eastAsiaTheme="majorEastAsia" w:cstheme="majorEastAsia"/>
          <w:sz w:val="22"/>
          <w:szCs w:val="22"/>
        </w:rPr>
      </w:pPr>
    </w:p>
    <w:p>
      <w:pPr>
        <w:spacing w:line="360" w:lineRule="auto"/>
        <w:jc w:val="left"/>
        <w:rPr>
          <w:rFonts w:asciiTheme="majorEastAsia" w:hAnsiTheme="majorEastAsia" w:eastAsiaTheme="majorEastAsia" w:cstheme="majorEastAsia"/>
          <w:sz w:val="22"/>
          <w:szCs w:val="22"/>
        </w:rPr>
      </w:pPr>
    </w:p>
    <w:p>
      <w:pPr>
        <w:spacing w:line="360" w:lineRule="auto"/>
        <w:jc w:val="left"/>
        <w:rPr>
          <w:rFonts w:asciiTheme="majorEastAsia" w:hAnsiTheme="majorEastAsia" w:eastAsiaTheme="majorEastAsia" w:cstheme="majorEastAsia"/>
          <w:sz w:val="22"/>
          <w:szCs w:val="22"/>
        </w:rPr>
      </w:pPr>
    </w:p>
    <w:p>
      <w:pPr>
        <w:spacing w:line="360" w:lineRule="auto"/>
        <w:jc w:val="left"/>
        <w:rPr>
          <w:rFonts w:asciiTheme="majorEastAsia" w:hAnsiTheme="majorEastAsia" w:eastAsiaTheme="majorEastAsia" w:cstheme="majorEastAsia"/>
          <w:sz w:val="22"/>
          <w:szCs w:val="22"/>
        </w:rPr>
      </w:pPr>
    </w:p>
    <w:p>
      <w:pPr>
        <w:spacing w:line="360" w:lineRule="auto"/>
        <w:jc w:val="left"/>
        <w:rPr>
          <w:rFonts w:asciiTheme="majorEastAsia" w:hAnsiTheme="majorEastAsia" w:eastAsiaTheme="majorEastAsia" w:cstheme="majorEastAsia"/>
          <w:sz w:val="22"/>
          <w:szCs w:val="22"/>
        </w:rPr>
      </w:pPr>
    </w:p>
    <w:p>
      <w:pPr>
        <w:spacing w:line="360" w:lineRule="auto"/>
        <w:jc w:val="left"/>
        <w:rPr>
          <w:rFonts w:asciiTheme="majorEastAsia" w:hAnsiTheme="majorEastAsia" w:eastAsiaTheme="majorEastAsia" w:cstheme="majorEastAsia"/>
          <w:sz w:val="22"/>
          <w:szCs w:val="22"/>
        </w:rPr>
      </w:pPr>
    </w:p>
    <w:p>
      <w:pPr>
        <w:spacing w:line="360" w:lineRule="auto"/>
        <w:jc w:val="left"/>
        <w:rPr>
          <w:rFonts w:asciiTheme="majorEastAsia" w:hAnsiTheme="majorEastAsia" w:eastAsiaTheme="majorEastAsia" w:cstheme="majorEastAsia"/>
          <w:sz w:val="22"/>
          <w:szCs w:val="22"/>
        </w:rPr>
      </w:pPr>
    </w:p>
    <w:p>
      <w:pPr>
        <w:spacing w:line="360" w:lineRule="auto"/>
        <w:jc w:val="left"/>
        <w:rPr>
          <w:rFonts w:asciiTheme="majorEastAsia" w:hAnsiTheme="majorEastAsia" w:eastAsiaTheme="majorEastAsia" w:cstheme="majorEastAsia"/>
          <w:sz w:val="22"/>
          <w:szCs w:val="22"/>
        </w:rPr>
      </w:pPr>
    </w:p>
    <w:p>
      <w:pPr>
        <w:spacing w:line="360" w:lineRule="auto"/>
        <w:jc w:val="left"/>
        <w:rPr>
          <w:rFonts w:asciiTheme="majorEastAsia" w:hAnsiTheme="majorEastAsia" w:eastAsiaTheme="majorEastAsia" w:cstheme="majorEastAsia"/>
          <w:sz w:val="22"/>
          <w:szCs w:val="22"/>
        </w:rPr>
      </w:pPr>
    </w:p>
    <w:p>
      <w:pPr>
        <w:spacing w:line="360" w:lineRule="auto"/>
        <w:jc w:val="left"/>
        <w:rPr>
          <w:rFonts w:asciiTheme="majorEastAsia" w:hAnsiTheme="majorEastAsia" w:eastAsiaTheme="majorEastAsia" w:cstheme="majorEastAsia"/>
          <w:sz w:val="22"/>
          <w:szCs w:val="22"/>
        </w:rPr>
      </w:pPr>
    </w:p>
    <w:p>
      <w:pPr>
        <w:spacing w:line="360" w:lineRule="auto"/>
        <w:jc w:val="left"/>
        <w:rPr>
          <w:rFonts w:asciiTheme="majorEastAsia" w:hAnsiTheme="majorEastAsia" w:eastAsiaTheme="majorEastAsia" w:cstheme="majorEastAsia"/>
          <w:sz w:val="22"/>
          <w:szCs w:val="22"/>
        </w:rPr>
      </w:pPr>
    </w:p>
    <w:p>
      <w:pPr>
        <w:spacing w:line="360" w:lineRule="auto"/>
        <w:jc w:val="left"/>
        <w:rPr>
          <w:rFonts w:asciiTheme="majorEastAsia" w:hAnsiTheme="majorEastAsia" w:eastAsiaTheme="majorEastAsia" w:cstheme="majorEastAsia"/>
          <w:sz w:val="22"/>
          <w:szCs w:val="22"/>
        </w:rPr>
      </w:pPr>
    </w:p>
    <w:p>
      <w:pPr>
        <w:spacing w:line="360" w:lineRule="auto"/>
        <w:jc w:val="center"/>
        <w:rPr>
          <w:rFonts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第6章</w:t>
      </w:r>
      <w:r>
        <w:rPr>
          <w:rFonts w:hint="eastAsia" w:asciiTheme="majorEastAsia" w:hAnsiTheme="majorEastAsia" w:eastAsiaTheme="majorEastAsia" w:cstheme="majorEastAsia"/>
          <w:b/>
          <w:bCs/>
          <w:sz w:val="44"/>
          <w:szCs w:val="44"/>
        </w:rPr>
        <w:tab/>
      </w:r>
      <w:r>
        <w:rPr>
          <w:rFonts w:hint="eastAsia" w:asciiTheme="majorEastAsia" w:hAnsiTheme="majorEastAsia" w:eastAsiaTheme="majorEastAsia" w:cstheme="majorEastAsia"/>
          <w:b/>
          <w:bCs/>
          <w:sz w:val="44"/>
          <w:szCs w:val="44"/>
        </w:rPr>
        <w:t>工程估算与资金筹措</w:t>
      </w:r>
    </w:p>
    <w:p>
      <w:pPr>
        <w:spacing w:line="360" w:lineRule="auto"/>
        <w:rPr>
          <w:rFonts w:ascii="黑体" w:hAnsi="黑体" w:eastAsia="黑体" w:cs="黑体"/>
          <w:sz w:val="30"/>
          <w:szCs w:val="30"/>
        </w:rPr>
      </w:pPr>
    </w:p>
    <w:p>
      <w:pPr>
        <w:spacing w:line="360" w:lineRule="auto"/>
        <w:rPr>
          <w:rFonts w:ascii="黑体" w:hAnsi="黑体" w:eastAsia="黑体" w:cs="黑体"/>
          <w:b/>
          <w:bCs/>
          <w:sz w:val="30"/>
          <w:szCs w:val="30"/>
        </w:rPr>
      </w:pPr>
      <w:r>
        <w:rPr>
          <w:rFonts w:hint="eastAsia" w:ascii="黑体" w:hAnsi="黑体" w:eastAsia="黑体" w:cs="黑体"/>
          <w:b/>
          <w:bCs/>
          <w:sz w:val="30"/>
          <w:szCs w:val="30"/>
        </w:rPr>
        <w:t>6.1  工程概况</w:t>
      </w:r>
    </w:p>
    <w:p>
      <w:pPr>
        <w:spacing w:line="360" w:lineRule="auto"/>
        <w:ind w:firstLine="440" w:firstLineChars="200"/>
        <w:jc w:val="left"/>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本次农村生活污水治理专项规划涉及全县 2 个街道、22 个镇、4 个乡，共计 413 个行政村（居）， 其中已规划全部纳入城镇污水处理厂的行政村（居）为 54 个，拟治理的行政村（居）为 359 个。 共建设集中式污水处理站 423 个，分散式污水处理设施 168729 套，配套污水管网 407km，工程综 合占地 65.44  亩。农村改厕由农业农村部门负责，本规划建设内容中不包括改厕工程。</w:t>
      </w:r>
    </w:p>
    <w:p>
      <w:pPr>
        <w:spacing w:line="360" w:lineRule="auto"/>
        <w:jc w:val="center"/>
        <w:rPr>
          <w:rFonts w:asciiTheme="majorEastAsia" w:hAnsiTheme="majorEastAsia" w:eastAsiaTheme="majorEastAsia" w:cstheme="majorEastAsia"/>
          <w:sz w:val="22"/>
          <w:szCs w:val="22"/>
        </w:rPr>
      </w:pPr>
      <w:r>
        <w:rPr>
          <w:rFonts w:hint="eastAsia" w:ascii="黑体" w:hAnsi="黑体" w:eastAsia="黑体" w:cs="黑体"/>
          <w:b/>
          <w:bCs/>
          <w:sz w:val="22"/>
          <w:szCs w:val="22"/>
        </w:rPr>
        <w:t>表 6- 1  农村生活污水处理设施建设工程量清单</w:t>
      </w:r>
    </w:p>
    <w:tbl>
      <w:tblPr>
        <w:tblStyle w:val="5"/>
        <w:tblW w:w="9240" w:type="dxa"/>
        <w:tblInd w:w="95" w:type="dxa"/>
        <w:tblLayout w:type="fixed"/>
        <w:tblCellMar>
          <w:top w:w="0" w:type="dxa"/>
          <w:left w:w="0" w:type="dxa"/>
          <w:bottom w:w="0" w:type="dxa"/>
          <w:right w:w="0" w:type="dxa"/>
        </w:tblCellMar>
      </w:tblPr>
      <w:tblGrid>
        <w:gridCol w:w="1918"/>
        <w:gridCol w:w="3994"/>
        <w:gridCol w:w="1663"/>
        <w:gridCol w:w="1665"/>
      </w:tblGrid>
      <w:tr>
        <w:tblPrEx>
          <w:tblCellMar>
            <w:top w:w="0" w:type="dxa"/>
            <w:left w:w="0" w:type="dxa"/>
            <w:bottom w:w="0" w:type="dxa"/>
            <w:right w:w="0" w:type="dxa"/>
          </w:tblCellMar>
        </w:tblPrEx>
        <w:trPr>
          <w:trHeight w:val="560" w:hRule="exact"/>
        </w:trPr>
        <w:tc>
          <w:tcPr>
            <w:tcW w:w="1918"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设施分类</w:t>
            </w:r>
          </w:p>
        </w:tc>
        <w:tc>
          <w:tcPr>
            <w:tcW w:w="3994"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工程内容或类型</w:t>
            </w:r>
          </w:p>
        </w:tc>
        <w:tc>
          <w:tcPr>
            <w:tcW w:w="1663"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单位</w:t>
            </w:r>
          </w:p>
        </w:tc>
        <w:tc>
          <w:tcPr>
            <w:tcW w:w="1665"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数量</w:t>
            </w:r>
          </w:p>
        </w:tc>
      </w:tr>
      <w:tr>
        <w:tblPrEx>
          <w:tblCellMar>
            <w:top w:w="0" w:type="dxa"/>
            <w:left w:w="0" w:type="dxa"/>
            <w:bottom w:w="0" w:type="dxa"/>
            <w:right w:w="0" w:type="dxa"/>
          </w:tblCellMar>
        </w:tblPrEx>
        <w:trPr>
          <w:trHeight w:val="560" w:hRule="exact"/>
        </w:trPr>
        <w:tc>
          <w:tcPr>
            <w:tcW w:w="1918" w:type="dxa"/>
            <w:vMerge w:val="restart"/>
            <w:tcBorders>
              <w:top w:val="single" w:color="000000" w:sz="2" w:space="0"/>
              <w:left w:val="single" w:color="000000" w:sz="2" w:space="0"/>
              <w:right w:val="single" w:color="000000" w:sz="2" w:space="0"/>
            </w:tcBorders>
            <w:vAlign w:val="center"/>
          </w:tcPr>
          <w:p>
            <w:pPr>
              <w:jc w:val="center"/>
              <w:rPr>
                <w:rFonts w:asciiTheme="majorEastAsia" w:hAnsiTheme="majorEastAsia" w:eastAsiaTheme="majorEastAsia" w:cstheme="majorEastAsia"/>
              </w:rPr>
            </w:pPr>
          </w:p>
          <w:p>
            <w:pPr>
              <w:jc w:val="center"/>
              <w:rPr>
                <w:rFonts w:asciiTheme="majorEastAsia" w:hAnsiTheme="majorEastAsia" w:eastAsiaTheme="majorEastAsia" w:cstheme="majorEastAsia"/>
              </w:rPr>
            </w:pPr>
          </w:p>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分散式处理设施</w:t>
            </w:r>
          </w:p>
        </w:tc>
        <w:tc>
          <w:tcPr>
            <w:tcW w:w="3994"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三格式化粪池升级</w:t>
            </w:r>
          </w:p>
        </w:tc>
        <w:tc>
          <w:tcPr>
            <w:tcW w:w="1663"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套</w:t>
            </w:r>
          </w:p>
        </w:tc>
        <w:tc>
          <w:tcPr>
            <w:tcW w:w="1665"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19323</w:t>
            </w:r>
          </w:p>
        </w:tc>
      </w:tr>
      <w:tr>
        <w:tblPrEx>
          <w:tblCellMar>
            <w:top w:w="0" w:type="dxa"/>
            <w:left w:w="0" w:type="dxa"/>
            <w:bottom w:w="0" w:type="dxa"/>
            <w:right w:w="0" w:type="dxa"/>
          </w:tblCellMar>
        </w:tblPrEx>
        <w:trPr>
          <w:trHeight w:val="560" w:hRule="exact"/>
        </w:trPr>
        <w:tc>
          <w:tcPr>
            <w:tcW w:w="1918" w:type="dxa"/>
            <w:vMerge w:val="continue"/>
            <w:tcBorders>
              <w:left w:val="single" w:color="000000" w:sz="2" w:space="0"/>
              <w:right w:val="single" w:color="000000" w:sz="2" w:space="0"/>
            </w:tcBorders>
            <w:vAlign w:val="center"/>
          </w:tcPr>
          <w:p>
            <w:pPr>
              <w:jc w:val="center"/>
              <w:rPr>
                <w:rFonts w:asciiTheme="majorEastAsia" w:hAnsiTheme="majorEastAsia" w:eastAsiaTheme="majorEastAsia" w:cstheme="majorEastAsia"/>
              </w:rPr>
            </w:pPr>
          </w:p>
        </w:tc>
        <w:tc>
          <w:tcPr>
            <w:tcW w:w="3994"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四格池</w:t>
            </w:r>
          </w:p>
        </w:tc>
        <w:tc>
          <w:tcPr>
            <w:tcW w:w="1663"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套</w:t>
            </w:r>
          </w:p>
        </w:tc>
        <w:tc>
          <w:tcPr>
            <w:tcW w:w="1665"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149237</w:t>
            </w:r>
          </w:p>
        </w:tc>
      </w:tr>
      <w:tr>
        <w:tblPrEx>
          <w:tblCellMar>
            <w:top w:w="0" w:type="dxa"/>
            <w:left w:w="0" w:type="dxa"/>
            <w:bottom w:w="0" w:type="dxa"/>
            <w:right w:w="0" w:type="dxa"/>
          </w:tblCellMar>
        </w:tblPrEx>
        <w:trPr>
          <w:trHeight w:val="560" w:hRule="exact"/>
        </w:trPr>
        <w:tc>
          <w:tcPr>
            <w:tcW w:w="1918" w:type="dxa"/>
            <w:vMerge w:val="continue"/>
            <w:tcBorders>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p>
        </w:tc>
        <w:tc>
          <w:tcPr>
            <w:tcW w:w="3994"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隔油池</w:t>
            </w:r>
          </w:p>
        </w:tc>
        <w:tc>
          <w:tcPr>
            <w:tcW w:w="1663"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套</w:t>
            </w:r>
          </w:p>
        </w:tc>
        <w:tc>
          <w:tcPr>
            <w:tcW w:w="1665"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169</w:t>
            </w:r>
          </w:p>
        </w:tc>
      </w:tr>
      <w:tr>
        <w:tblPrEx>
          <w:tblCellMar>
            <w:top w:w="0" w:type="dxa"/>
            <w:left w:w="0" w:type="dxa"/>
            <w:bottom w:w="0" w:type="dxa"/>
            <w:right w:w="0" w:type="dxa"/>
          </w:tblCellMar>
        </w:tblPrEx>
        <w:trPr>
          <w:trHeight w:val="560" w:hRule="exact"/>
        </w:trPr>
        <w:tc>
          <w:tcPr>
            <w:tcW w:w="1918" w:type="dxa"/>
            <w:vMerge w:val="restart"/>
            <w:tcBorders>
              <w:top w:val="single" w:color="000000" w:sz="2" w:space="0"/>
              <w:left w:val="single" w:color="000000" w:sz="2" w:space="0"/>
              <w:right w:val="single" w:color="000000" w:sz="2" w:space="0"/>
            </w:tcBorders>
            <w:vAlign w:val="center"/>
          </w:tcPr>
          <w:p>
            <w:pPr>
              <w:jc w:val="center"/>
              <w:rPr>
                <w:rFonts w:asciiTheme="majorEastAsia" w:hAnsiTheme="majorEastAsia" w:eastAsiaTheme="majorEastAsia" w:cstheme="majorEastAsia"/>
              </w:rPr>
            </w:pPr>
          </w:p>
          <w:p>
            <w:pPr>
              <w:jc w:val="center"/>
              <w:rPr>
                <w:rFonts w:asciiTheme="majorEastAsia" w:hAnsiTheme="majorEastAsia" w:eastAsiaTheme="majorEastAsia" w:cstheme="majorEastAsia"/>
              </w:rPr>
            </w:pPr>
          </w:p>
          <w:p>
            <w:pPr>
              <w:jc w:val="center"/>
              <w:rPr>
                <w:rFonts w:asciiTheme="majorEastAsia" w:hAnsiTheme="majorEastAsia" w:eastAsiaTheme="majorEastAsia" w:cstheme="majorEastAsia"/>
              </w:rPr>
            </w:pPr>
          </w:p>
          <w:p>
            <w:pPr>
              <w:jc w:val="center"/>
              <w:rPr>
                <w:rFonts w:asciiTheme="majorEastAsia" w:hAnsiTheme="majorEastAsia" w:eastAsiaTheme="majorEastAsia" w:cstheme="majorEastAsia"/>
              </w:rPr>
            </w:pPr>
          </w:p>
          <w:p>
            <w:pPr>
              <w:jc w:val="center"/>
              <w:rPr>
                <w:rFonts w:asciiTheme="majorEastAsia" w:hAnsiTheme="majorEastAsia" w:eastAsiaTheme="majorEastAsia" w:cstheme="majorEastAsia"/>
              </w:rPr>
            </w:pPr>
          </w:p>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集中式处理设施</w:t>
            </w:r>
          </w:p>
        </w:tc>
        <w:tc>
          <w:tcPr>
            <w:tcW w:w="3994"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A2/O 一体化处理装置</w:t>
            </w:r>
          </w:p>
        </w:tc>
        <w:tc>
          <w:tcPr>
            <w:tcW w:w="1663"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个</w:t>
            </w:r>
          </w:p>
        </w:tc>
        <w:tc>
          <w:tcPr>
            <w:tcW w:w="1665"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79</w:t>
            </w:r>
          </w:p>
        </w:tc>
      </w:tr>
      <w:tr>
        <w:tblPrEx>
          <w:tblCellMar>
            <w:top w:w="0" w:type="dxa"/>
            <w:left w:w="0" w:type="dxa"/>
            <w:bottom w:w="0" w:type="dxa"/>
            <w:right w:w="0" w:type="dxa"/>
          </w:tblCellMar>
        </w:tblPrEx>
        <w:trPr>
          <w:trHeight w:val="560" w:hRule="exact"/>
        </w:trPr>
        <w:tc>
          <w:tcPr>
            <w:tcW w:w="1918" w:type="dxa"/>
            <w:vMerge w:val="continue"/>
            <w:tcBorders>
              <w:left w:val="single" w:color="000000" w:sz="2" w:space="0"/>
              <w:right w:val="single" w:color="000000" w:sz="2" w:space="0"/>
            </w:tcBorders>
            <w:vAlign w:val="center"/>
          </w:tcPr>
          <w:p>
            <w:pPr>
              <w:jc w:val="center"/>
              <w:rPr>
                <w:rFonts w:asciiTheme="majorEastAsia" w:hAnsiTheme="majorEastAsia" w:eastAsiaTheme="majorEastAsia" w:cstheme="majorEastAsia"/>
              </w:rPr>
            </w:pPr>
          </w:p>
        </w:tc>
        <w:tc>
          <w:tcPr>
            <w:tcW w:w="3994"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微动力+人工湿地</w:t>
            </w:r>
          </w:p>
        </w:tc>
        <w:tc>
          <w:tcPr>
            <w:tcW w:w="1663"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个</w:t>
            </w:r>
          </w:p>
        </w:tc>
        <w:tc>
          <w:tcPr>
            <w:tcW w:w="1665"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181</w:t>
            </w:r>
          </w:p>
        </w:tc>
      </w:tr>
      <w:tr>
        <w:tblPrEx>
          <w:tblCellMar>
            <w:top w:w="0" w:type="dxa"/>
            <w:left w:w="0" w:type="dxa"/>
            <w:bottom w:w="0" w:type="dxa"/>
            <w:right w:w="0" w:type="dxa"/>
          </w:tblCellMar>
        </w:tblPrEx>
        <w:trPr>
          <w:trHeight w:val="560" w:hRule="exact"/>
        </w:trPr>
        <w:tc>
          <w:tcPr>
            <w:tcW w:w="1918" w:type="dxa"/>
            <w:vMerge w:val="continue"/>
            <w:tcBorders>
              <w:left w:val="single" w:color="000000" w:sz="2" w:space="0"/>
              <w:right w:val="single" w:color="000000" w:sz="2" w:space="0"/>
            </w:tcBorders>
            <w:vAlign w:val="center"/>
          </w:tcPr>
          <w:p>
            <w:pPr>
              <w:jc w:val="center"/>
              <w:rPr>
                <w:rFonts w:asciiTheme="majorEastAsia" w:hAnsiTheme="majorEastAsia" w:eastAsiaTheme="majorEastAsia" w:cstheme="majorEastAsia"/>
              </w:rPr>
            </w:pPr>
          </w:p>
        </w:tc>
        <w:tc>
          <w:tcPr>
            <w:tcW w:w="3994"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微动力+稳定塘</w:t>
            </w:r>
          </w:p>
        </w:tc>
        <w:tc>
          <w:tcPr>
            <w:tcW w:w="1663"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个</w:t>
            </w:r>
          </w:p>
        </w:tc>
        <w:tc>
          <w:tcPr>
            <w:tcW w:w="1665"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10</w:t>
            </w:r>
          </w:p>
        </w:tc>
      </w:tr>
      <w:tr>
        <w:tblPrEx>
          <w:tblCellMar>
            <w:top w:w="0" w:type="dxa"/>
            <w:left w:w="0" w:type="dxa"/>
            <w:bottom w:w="0" w:type="dxa"/>
            <w:right w:w="0" w:type="dxa"/>
          </w:tblCellMar>
        </w:tblPrEx>
        <w:trPr>
          <w:trHeight w:val="560" w:hRule="exact"/>
        </w:trPr>
        <w:tc>
          <w:tcPr>
            <w:tcW w:w="1918" w:type="dxa"/>
            <w:vMerge w:val="continue"/>
            <w:tcBorders>
              <w:left w:val="single" w:color="000000" w:sz="2" w:space="0"/>
              <w:right w:val="single" w:color="000000" w:sz="2" w:space="0"/>
            </w:tcBorders>
            <w:vAlign w:val="center"/>
          </w:tcPr>
          <w:p>
            <w:pPr>
              <w:jc w:val="center"/>
              <w:rPr>
                <w:rFonts w:asciiTheme="majorEastAsia" w:hAnsiTheme="majorEastAsia" w:eastAsiaTheme="majorEastAsia" w:cstheme="majorEastAsia"/>
              </w:rPr>
            </w:pPr>
          </w:p>
        </w:tc>
        <w:tc>
          <w:tcPr>
            <w:tcW w:w="3994"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厌氧+人工湿地</w:t>
            </w:r>
          </w:p>
        </w:tc>
        <w:tc>
          <w:tcPr>
            <w:tcW w:w="1663"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个</w:t>
            </w:r>
          </w:p>
        </w:tc>
        <w:tc>
          <w:tcPr>
            <w:tcW w:w="1665"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147</w:t>
            </w:r>
          </w:p>
        </w:tc>
      </w:tr>
      <w:tr>
        <w:tblPrEx>
          <w:tblCellMar>
            <w:top w:w="0" w:type="dxa"/>
            <w:left w:w="0" w:type="dxa"/>
            <w:bottom w:w="0" w:type="dxa"/>
            <w:right w:w="0" w:type="dxa"/>
          </w:tblCellMar>
        </w:tblPrEx>
        <w:trPr>
          <w:trHeight w:val="560" w:hRule="exact"/>
        </w:trPr>
        <w:tc>
          <w:tcPr>
            <w:tcW w:w="1918" w:type="dxa"/>
            <w:vMerge w:val="continue"/>
            <w:tcBorders>
              <w:left w:val="single" w:color="000000" w:sz="2" w:space="0"/>
              <w:right w:val="single" w:color="000000" w:sz="2" w:space="0"/>
            </w:tcBorders>
            <w:vAlign w:val="center"/>
          </w:tcPr>
          <w:p>
            <w:pPr>
              <w:jc w:val="center"/>
              <w:rPr>
                <w:rFonts w:asciiTheme="majorEastAsia" w:hAnsiTheme="majorEastAsia" w:eastAsiaTheme="majorEastAsia" w:cstheme="majorEastAsia"/>
              </w:rPr>
            </w:pPr>
          </w:p>
        </w:tc>
        <w:tc>
          <w:tcPr>
            <w:tcW w:w="3994"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厌氧+稳定塘</w:t>
            </w:r>
          </w:p>
        </w:tc>
        <w:tc>
          <w:tcPr>
            <w:tcW w:w="1663"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个</w:t>
            </w:r>
          </w:p>
        </w:tc>
        <w:tc>
          <w:tcPr>
            <w:tcW w:w="1665"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6</w:t>
            </w:r>
          </w:p>
        </w:tc>
      </w:tr>
      <w:tr>
        <w:tblPrEx>
          <w:tblCellMar>
            <w:top w:w="0" w:type="dxa"/>
            <w:left w:w="0" w:type="dxa"/>
            <w:bottom w:w="0" w:type="dxa"/>
            <w:right w:w="0" w:type="dxa"/>
          </w:tblCellMar>
        </w:tblPrEx>
        <w:trPr>
          <w:trHeight w:val="560" w:hRule="exact"/>
        </w:trPr>
        <w:tc>
          <w:tcPr>
            <w:tcW w:w="1918" w:type="dxa"/>
            <w:vMerge w:val="continue"/>
            <w:tcBorders>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p>
        </w:tc>
        <w:tc>
          <w:tcPr>
            <w:tcW w:w="3994"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管网建设</w:t>
            </w:r>
          </w:p>
        </w:tc>
        <w:tc>
          <w:tcPr>
            <w:tcW w:w="1663"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m</w:t>
            </w:r>
          </w:p>
        </w:tc>
        <w:tc>
          <w:tcPr>
            <w:tcW w:w="1665"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407933</w:t>
            </w:r>
          </w:p>
        </w:tc>
      </w:tr>
      <w:tr>
        <w:tblPrEx>
          <w:tblCellMar>
            <w:top w:w="0" w:type="dxa"/>
            <w:left w:w="0" w:type="dxa"/>
            <w:bottom w:w="0" w:type="dxa"/>
            <w:right w:w="0" w:type="dxa"/>
          </w:tblCellMar>
        </w:tblPrEx>
        <w:trPr>
          <w:trHeight w:val="579" w:hRule="exact"/>
        </w:trPr>
        <w:tc>
          <w:tcPr>
            <w:tcW w:w="1918"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纳管</w:t>
            </w:r>
          </w:p>
        </w:tc>
        <w:tc>
          <w:tcPr>
            <w:tcW w:w="3994"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纳管村庄（城镇污水处理设施）</w:t>
            </w:r>
          </w:p>
        </w:tc>
        <w:tc>
          <w:tcPr>
            <w:tcW w:w="1663"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个</w:t>
            </w:r>
          </w:p>
        </w:tc>
        <w:tc>
          <w:tcPr>
            <w:tcW w:w="1665"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79</w:t>
            </w:r>
          </w:p>
        </w:tc>
      </w:tr>
    </w:tbl>
    <w:p>
      <w:pPr>
        <w:spacing w:line="360" w:lineRule="auto"/>
        <w:rPr>
          <w:rFonts w:ascii="黑体" w:hAnsi="黑体" w:eastAsia="黑体" w:cs="黑体"/>
          <w:b/>
          <w:bCs/>
          <w:sz w:val="30"/>
          <w:szCs w:val="30"/>
        </w:rPr>
      </w:pPr>
    </w:p>
    <w:p>
      <w:pPr>
        <w:spacing w:line="360" w:lineRule="auto"/>
      </w:pPr>
      <w:r>
        <w:rPr>
          <w:rFonts w:hint="eastAsia" w:ascii="黑体" w:hAnsi="黑体" w:eastAsia="黑体" w:cs="黑体"/>
          <w:b/>
          <w:bCs/>
          <w:sz w:val="30"/>
          <w:szCs w:val="30"/>
        </w:rPr>
        <w:t>6.2  工程建设投资估算</w:t>
      </w:r>
    </w:p>
    <w:p>
      <w:pPr>
        <w:spacing w:line="360" w:lineRule="auto"/>
        <w:ind w:firstLine="440" w:firstLineChars="200"/>
        <w:jc w:val="left"/>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本项目直接工程费用为114199.67万元（其中近期67905.15万元，中期19257.14万元，远期</w:t>
      </w:r>
    </w:p>
    <w:p>
      <w:pPr>
        <w:spacing w:line="360" w:lineRule="auto"/>
        <w:jc w:val="left"/>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27037.38万元），工程其他费用为22839.93万元，工程总投资137039.60万元。</w:t>
      </w:r>
    </w:p>
    <w:p>
      <w:pPr>
        <w:spacing w:line="360" w:lineRule="auto"/>
        <w:jc w:val="left"/>
        <w:rPr>
          <w:rFonts w:asciiTheme="majorEastAsia" w:hAnsiTheme="majorEastAsia" w:eastAsiaTheme="majorEastAsia" w:cstheme="majorEastAsia"/>
          <w:sz w:val="22"/>
          <w:szCs w:val="22"/>
        </w:rPr>
      </w:pPr>
    </w:p>
    <w:p>
      <w:pPr>
        <w:spacing w:line="360" w:lineRule="auto"/>
        <w:jc w:val="left"/>
        <w:rPr>
          <w:rFonts w:asciiTheme="majorEastAsia" w:hAnsiTheme="majorEastAsia" w:eastAsiaTheme="majorEastAsia" w:cstheme="majorEastAsia"/>
          <w:sz w:val="22"/>
          <w:szCs w:val="22"/>
        </w:rPr>
      </w:pPr>
    </w:p>
    <w:p>
      <w:pPr>
        <w:spacing w:line="360" w:lineRule="auto"/>
        <w:rPr>
          <w:rFonts w:ascii="黑体" w:hAnsi="黑体" w:eastAsia="黑体" w:cs="黑体"/>
          <w:b/>
          <w:bCs/>
          <w:sz w:val="30"/>
          <w:szCs w:val="30"/>
        </w:rPr>
      </w:pPr>
      <w:r>
        <w:rPr>
          <w:rFonts w:hint="eastAsia" w:ascii="黑体" w:hAnsi="黑体" w:eastAsia="黑体" w:cs="黑体"/>
          <w:b/>
          <w:bCs/>
          <w:sz w:val="30"/>
          <w:szCs w:val="30"/>
        </w:rPr>
        <w:t>6.3  运维资金估算</w:t>
      </w:r>
    </w:p>
    <w:p>
      <w:pPr>
        <w:spacing w:line="360" w:lineRule="auto"/>
        <w:ind w:firstLine="440" w:firstLineChars="200"/>
        <w:jc w:val="left"/>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综合运维费用包括巡查人员工工资、设备电费、药剂费、设备保养维修费用、管网养护费用等， 人工湿地在维护时，需安排工作人员进行病虫防治，枯枝秸秆需进行处置，稳定塘及水处理构筑物 需定期清理污泥。本次运维资金估算稳定塘、水池清淤按每年清理一次，每座清理一次1000元计。 其余费用计入生活污水的吨水处理费中。其中现有集中式污水处理设施每年的运维费用为24.56万 元，新建集中式污水处理设施每年的运维费用为188.96万元。估算的生活污水处理设施年运行费用如下表：</w:t>
      </w:r>
    </w:p>
    <w:p>
      <w:pPr>
        <w:spacing w:line="360" w:lineRule="auto"/>
        <w:jc w:val="center"/>
        <w:rPr>
          <w:rFonts w:ascii="黑体" w:hAnsi="黑体" w:eastAsia="黑体" w:cs="黑体"/>
          <w:b/>
          <w:bCs/>
          <w:sz w:val="22"/>
          <w:szCs w:val="22"/>
        </w:rPr>
      </w:pPr>
      <w:r>
        <w:rPr>
          <w:rFonts w:hint="eastAsia" w:ascii="黑体" w:hAnsi="黑体" w:eastAsia="黑体" w:cs="黑体"/>
          <w:b/>
          <w:bCs/>
          <w:sz w:val="22"/>
          <w:szCs w:val="22"/>
        </w:rPr>
        <w:t>表 6-2 现有污水处理设施运维费用分析统计表</w:t>
      </w:r>
    </w:p>
    <w:tbl>
      <w:tblPr>
        <w:tblStyle w:val="5"/>
        <w:tblW w:w="9400" w:type="dxa"/>
        <w:tblInd w:w="95" w:type="dxa"/>
        <w:tblLayout w:type="fixed"/>
        <w:tblCellMar>
          <w:top w:w="0" w:type="dxa"/>
          <w:left w:w="0" w:type="dxa"/>
          <w:bottom w:w="0" w:type="dxa"/>
          <w:right w:w="0" w:type="dxa"/>
        </w:tblCellMar>
      </w:tblPr>
      <w:tblGrid>
        <w:gridCol w:w="497"/>
        <w:gridCol w:w="1823"/>
        <w:gridCol w:w="900"/>
        <w:gridCol w:w="659"/>
        <w:gridCol w:w="866"/>
        <w:gridCol w:w="1125"/>
        <w:gridCol w:w="1116"/>
        <w:gridCol w:w="1100"/>
        <w:gridCol w:w="1314"/>
      </w:tblGrid>
      <w:tr>
        <w:tblPrEx>
          <w:tblCellMar>
            <w:top w:w="0" w:type="dxa"/>
            <w:left w:w="0" w:type="dxa"/>
            <w:bottom w:w="0" w:type="dxa"/>
            <w:right w:w="0" w:type="dxa"/>
          </w:tblCellMar>
        </w:tblPrEx>
        <w:trPr>
          <w:trHeight w:val="961" w:hRule="exact"/>
        </w:trPr>
        <w:tc>
          <w:tcPr>
            <w:tcW w:w="497"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b/>
                <w:bCs/>
              </w:rPr>
            </w:pPr>
            <w:r>
              <w:rPr>
                <w:rFonts w:hint="eastAsia" w:asciiTheme="majorEastAsia" w:hAnsiTheme="majorEastAsia" w:eastAsiaTheme="majorEastAsia" w:cstheme="majorEastAsia"/>
                <w:b/>
                <w:bCs/>
              </w:rPr>
              <w:t>序号</w:t>
            </w:r>
          </w:p>
        </w:tc>
        <w:tc>
          <w:tcPr>
            <w:tcW w:w="1823"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b/>
                <w:bCs/>
              </w:rPr>
            </w:pPr>
            <w:r>
              <w:rPr>
                <w:rFonts w:hint="eastAsia" w:asciiTheme="majorEastAsia" w:hAnsiTheme="majorEastAsia" w:eastAsiaTheme="majorEastAsia" w:cstheme="majorEastAsia"/>
                <w:b/>
                <w:bCs/>
              </w:rPr>
              <w:t>推荐工艺</w:t>
            </w:r>
          </w:p>
        </w:tc>
        <w:tc>
          <w:tcPr>
            <w:tcW w:w="900"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b/>
                <w:bCs/>
              </w:rPr>
            </w:pPr>
            <w:r>
              <w:rPr>
                <w:rFonts w:hint="eastAsia" w:asciiTheme="majorEastAsia" w:hAnsiTheme="majorEastAsia" w:eastAsiaTheme="majorEastAsia" w:cstheme="majorEastAsia"/>
                <w:b/>
                <w:bCs/>
              </w:rPr>
              <w:t>设计规模</w:t>
            </w:r>
          </w:p>
          <w:p>
            <w:pPr>
              <w:jc w:val="center"/>
              <w:rPr>
                <w:rFonts w:asciiTheme="majorEastAsia" w:hAnsiTheme="majorEastAsia" w:eastAsiaTheme="majorEastAsia" w:cstheme="majorEastAsia"/>
                <w:b/>
                <w:bCs/>
              </w:rPr>
            </w:pPr>
            <w:r>
              <w:rPr>
                <w:rFonts w:hint="eastAsia" w:asciiTheme="majorEastAsia" w:hAnsiTheme="majorEastAsia" w:eastAsiaTheme="majorEastAsia" w:cstheme="majorEastAsia"/>
                <w:b/>
                <w:bCs/>
              </w:rPr>
              <w:t>（m</w:t>
            </w:r>
            <w:r>
              <w:rPr>
                <w:rFonts w:hint="eastAsia" w:asciiTheme="majorEastAsia" w:hAnsiTheme="majorEastAsia" w:eastAsiaTheme="majorEastAsia" w:cstheme="majorEastAsia"/>
                <w:b/>
                <w:bCs/>
                <w:vertAlign w:val="superscript"/>
              </w:rPr>
              <w:t>3</w:t>
            </w:r>
            <w:r>
              <w:rPr>
                <w:rFonts w:hint="eastAsia" w:asciiTheme="majorEastAsia" w:hAnsiTheme="majorEastAsia" w:eastAsiaTheme="majorEastAsia" w:cstheme="majorEastAsia"/>
                <w:b/>
                <w:bCs/>
              </w:rPr>
              <w:t>/d）</w:t>
            </w:r>
          </w:p>
        </w:tc>
        <w:tc>
          <w:tcPr>
            <w:tcW w:w="659"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b/>
                <w:bCs/>
              </w:rPr>
            </w:pPr>
            <w:r>
              <w:rPr>
                <w:rFonts w:hint="eastAsia" w:asciiTheme="majorEastAsia" w:hAnsiTheme="majorEastAsia" w:eastAsiaTheme="majorEastAsia" w:cstheme="majorEastAsia"/>
                <w:b/>
                <w:bCs/>
              </w:rPr>
              <w:t>数量</w:t>
            </w:r>
          </w:p>
          <w:p>
            <w:pPr>
              <w:jc w:val="center"/>
              <w:rPr>
                <w:rFonts w:asciiTheme="majorEastAsia" w:hAnsiTheme="majorEastAsia" w:eastAsiaTheme="majorEastAsia" w:cstheme="majorEastAsia"/>
                <w:b/>
                <w:bCs/>
              </w:rPr>
            </w:pPr>
            <w:r>
              <w:rPr>
                <w:rFonts w:hint="eastAsia" w:asciiTheme="majorEastAsia" w:hAnsiTheme="majorEastAsia" w:eastAsiaTheme="majorEastAsia" w:cstheme="majorEastAsia"/>
                <w:b/>
                <w:bCs/>
              </w:rPr>
              <w:t>（个）</w:t>
            </w:r>
          </w:p>
        </w:tc>
        <w:tc>
          <w:tcPr>
            <w:tcW w:w="866"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b/>
                <w:bCs/>
              </w:rPr>
            </w:pPr>
            <w:r>
              <w:rPr>
                <w:rFonts w:hint="eastAsia" w:asciiTheme="majorEastAsia" w:hAnsiTheme="majorEastAsia" w:eastAsiaTheme="majorEastAsia" w:cstheme="majorEastAsia"/>
                <w:b/>
                <w:bCs/>
              </w:rPr>
              <w:t>污水处理</w:t>
            </w:r>
          </w:p>
          <w:p>
            <w:pPr>
              <w:jc w:val="center"/>
              <w:rPr>
                <w:rFonts w:asciiTheme="majorEastAsia" w:hAnsiTheme="majorEastAsia" w:eastAsiaTheme="majorEastAsia" w:cstheme="majorEastAsia"/>
                <w:b/>
                <w:bCs/>
              </w:rPr>
            </w:pPr>
            <w:r>
              <w:rPr>
                <w:rFonts w:hint="eastAsia" w:asciiTheme="majorEastAsia" w:hAnsiTheme="majorEastAsia" w:eastAsiaTheme="majorEastAsia" w:cstheme="majorEastAsia"/>
                <w:b/>
                <w:bCs/>
              </w:rPr>
              <w:t>单价</w:t>
            </w:r>
          </w:p>
          <w:p>
            <w:pPr>
              <w:jc w:val="center"/>
              <w:rPr>
                <w:rFonts w:asciiTheme="majorEastAsia" w:hAnsiTheme="majorEastAsia" w:eastAsiaTheme="majorEastAsia" w:cstheme="majorEastAsia"/>
                <w:b/>
                <w:bCs/>
              </w:rPr>
            </w:pPr>
            <w:r>
              <w:rPr>
                <w:rFonts w:hint="eastAsia" w:asciiTheme="majorEastAsia" w:hAnsiTheme="majorEastAsia" w:eastAsiaTheme="majorEastAsia" w:cstheme="majorEastAsia"/>
                <w:b/>
                <w:bCs/>
              </w:rPr>
              <w:t>（元/吨）</w:t>
            </w:r>
          </w:p>
        </w:tc>
        <w:tc>
          <w:tcPr>
            <w:tcW w:w="1125"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b/>
                <w:bCs/>
              </w:rPr>
            </w:pPr>
            <w:r>
              <w:rPr>
                <w:rFonts w:hint="eastAsia" w:asciiTheme="majorEastAsia" w:hAnsiTheme="majorEastAsia" w:eastAsiaTheme="majorEastAsia" w:cstheme="majorEastAsia"/>
                <w:b/>
                <w:bCs/>
              </w:rPr>
              <w:t>污水处理</w:t>
            </w:r>
          </w:p>
          <w:p>
            <w:pPr>
              <w:jc w:val="center"/>
              <w:rPr>
                <w:rFonts w:asciiTheme="majorEastAsia" w:hAnsiTheme="majorEastAsia" w:eastAsiaTheme="majorEastAsia" w:cstheme="majorEastAsia"/>
                <w:b/>
                <w:bCs/>
              </w:rPr>
            </w:pPr>
            <w:r>
              <w:rPr>
                <w:rFonts w:hint="eastAsia" w:asciiTheme="majorEastAsia" w:hAnsiTheme="majorEastAsia" w:eastAsiaTheme="majorEastAsia" w:cstheme="majorEastAsia"/>
                <w:b/>
                <w:bCs/>
              </w:rPr>
              <w:t>合价</w:t>
            </w:r>
          </w:p>
          <w:p>
            <w:pPr>
              <w:jc w:val="center"/>
              <w:rPr>
                <w:rFonts w:asciiTheme="majorEastAsia" w:hAnsiTheme="majorEastAsia" w:eastAsiaTheme="majorEastAsia" w:cstheme="majorEastAsia"/>
                <w:b/>
                <w:bCs/>
              </w:rPr>
            </w:pPr>
            <w:r>
              <w:rPr>
                <w:rFonts w:hint="eastAsia" w:asciiTheme="majorEastAsia" w:hAnsiTheme="majorEastAsia" w:eastAsiaTheme="majorEastAsia" w:cstheme="majorEastAsia"/>
                <w:b/>
                <w:bCs/>
              </w:rPr>
              <w:t>（万元/年）</w:t>
            </w:r>
          </w:p>
        </w:tc>
        <w:tc>
          <w:tcPr>
            <w:tcW w:w="1116"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b/>
                <w:bCs/>
              </w:rPr>
            </w:pPr>
            <w:r>
              <w:rPr>
                <w:rFonts w:hint="eastAsia" w:asciiTheme="majorEastAsia" w:hAnsiTheme="majorEastAsia" w:eastAsiaTheme="majorEastAsia" w:cstheme="majorEastAsia"/>
                <w:b/>
                <w:bCs/>
              </w:rPr>
              <w:t>水池清理费</w:t>
            </w:r>
          </w:p>
          <w:p>
            <w:pPr>
              <w:jc w:val="center"/>
              <w:rPr>
                <w:rFonts w:asciiTheme="majorEastAsia" w:hAnsiTheme="majorEastAsia" w:eastAsiaTheme="majorEastAsia" w:cstheme="majorEastAsia"/>
                <w:b/>
                <w:bCs/>
              </w:rPr>
            </w:pPr>
            <w:r>
              <w:rPr>
                <w:rFonts w:hint="eastAsia" w:asciiTheme="majorEastAsia" w:hAnsiTheme="majorEastAsia" w:eastAsiaTheme="majorEastAsia" w:cstheme="majorEastAsia"/>
                <w:b/>
                <w:bCs/>
              </w:rPr>
              <w:t>单价</w:t>
            </w:r>
          </w:p>
          <w:p>
            <w:pPr>
              <w:jc w:val="center"/>
              <w:rPr>
                <w:rFonts w:asciiTheme="majorEastAsia" w:hAnsiTheme="majorEastAsia" w:eastAsiaTheme="majorEastAsia" w:cstheme="majorEastAsia"/>
                <w:b/>
                <w:bCs/>
              </w:rPr>
            </w:pPr>
            <w:r>
              <w:rPr>
                <w:rFonts w:hint="eastAsia" w:asciiTheme="majorEastAsia" w:hAnsiTheme="majorEastAsia" w:eastAsiaTheme="majorEastAsia" w:cstheme="majorEastAsia"/>
                <w:b/>
                <w:bCs/>
              </w:rPr>
              <w:t>（万元/年）</w:t>
            </w:r>
          </w:p>
        </w:tc>
        <w:tc>
          <w:tcPr>
            <w:tcW w:w="1100"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b/>
                <w:bCs/>
              </w:rPr>
            </w:pPr>
            <w:r>
              <w:rPr>
                <w:rFonts w:hint="eastAsia" w:asciiTheme="majorEastAsia" w:hAnsiTheme="majorEastAsia" w:eastAsiaTheme="majorEastAsia" w:cstheme="majorEastAsia"/>
                <w:b/>
                <w:bCs/>
              </w:rPr>
              <w:t>水池清理费</w:t>
            </w:r>
          </w:p>
          <w:p>
            <w:pPr>
              <w:jc w:val="center"/>
              <w:rPr>
                <w:rFonts w:asciiTheme="majorEastAsia" w:hAnsiTheme="majorEastAsia" w:eastAsiaTheme="majorEastAsia" w:cstheme="majorEastAsia"/>
                <w:b/>
                <w:bCs/>
              </w:rPr>
            </w:pPr>
            <w:r>
              <w:rPr>
                <w:rFonts w:hint="eastAsia" w:asciiTheme="majorEastAsia" w:hAnsiTheme="majorEastAsia" w:eastAsiaTheme="majorEastAsia" w:cstheme="majorEastAsia"/>
                <w:b/>
                <w:bCs/>
              </w:rPr>
              <w:t>（万元/年）</w:t>
            </w:r>
          </w:p>
        </w:tc>
        <w:tc>
          <w:tcPr>
            <w:tcW w:w="1314"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b/>
                <w:bCs/>
              </w:rPr>
            </w:pPr>
            <w:r>
              <w:rPr>
                <w:rFonts w:hint="eastAsia" w:asciiTheme="majorEastAsia" w:hAnsiTheme="majorEastAsia" w:eastAsiaTheme="majorEastAsia" w:cstheme="majorEastAsia"/>
                <w:b/>
                <w:bCs/>
              </w:rPr>
              <w:t>综合运维费用</w:t>
            </w:r>
          </w:p>
          <w:p>
            <w:pPr>
              <w:jc w:val="center"/>
              <w:rPr>
                <w:rFonts w:asciiTheme="majorEastAsia" w:hAnsiTheme="majorEastAsia" w:eastAsiaTheme="majorEastAsia" w:cstheme="majorEastAsia"/>
                <w:b/>
                <w:bCs/>
              </w:rPr>
            </w:pPr>
            <w:r>
              <w:rPr>
                <w:rFonts w:hint="eastAsia" w:asciiTheme="majorEastAsia" w:hAnsiTheme="majorEastAsia" w:eastAsiaTheme="majorEastAsia" w:cstheme="majorEastAsia"/>
                <w:b/>
                <w:bCs/>
              </w:rPr>
              <w:t>（万元/年）</w:t>
            </w:r>
          </w:p>
        </w:tc>
      </w:tr>
      <w:tr>
        <w:tblPrEx>
          <w:tblCellMar>
            <w:top w:w="0" w:type="dxa"/>
            <w:left w:w="0" w:type="dxa"/>
            <w:bottom w:w="0" w:type="dxa"/>
            <w:right w:w="0" w:type="dxa"/>
          </w:tblCellMar>
        </w:tblPrEx>
        <w:trPr>
          <w:trHeight w:val="422" w:hRule="exact"/>
        </w:trPr>
        <w:tc>
          <w:tcPr>
            <w:tcW w:w="497"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1</w:t>
            </w:r>
          </w:p>
        </w:tc>
        <w:tc>
          <w:tcPr>
            <w:tcW w:w="1823"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A/O+人工湿地</w:t>
            </w:r>
          </w:p>
        </w:tc>
        <w:tc>
          <w:tcPr>
            <w:tcW w:w="900"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200</w:t>
            </w:r>
          </w:p>
        </w:tc>
        <w:tc>
          <w:tcPr>
            <w:tcW w:w="659"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1</w:t>
            </w:r>
          </w:p>
        </w:tc>
        <w:tc>
          <w:tcPr>
            <w:tcW w:w="866"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0.8</w:t>
            </w:r>
          </w:p>
        </w:tc>
        <w:tc>
          <w:tcPr>
            <w:tcW w:w="1125"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5.84</w:t>
            </w:r>
          </w:p>
        </w:tc>
        <w:tc>
          <w:tcPr>
            <w:tcW w:w="1116"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0.10</w:t>
            </w:r>
          </w:p>
        </w:tc>
        <w:tc>
          <w:tcPr>
            <w:tcW w:w="1100"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0.10</w:t>
            </w:r>
          </w:p>
        </w:tc>
        <w:tc>
          <w:tcPr>
            <w:tcW w:w="1314"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5.94</w:t>
            </w:r>
          </w:p>
        </w:tc>
      </w:tr>
      <w:tr>
        <w:tblPrEx>
          <w:tblCellMar>
            <w:top w:w="0" w:type="dxa"/>
            <w:left w:w="0" w:type="dxa"/>
            <w:bottom w:w="0" w:type="dxa"/>
            <w:right w:w="0" w:type="dxa"/>
          </w:tblCellMar>
        </w:tblPrEx>
        <w:trPr>
          <w:trHeight w:val="422" w:hRule="exact"/>
        </w:trPr>
        <w:tc>
          <w:tcPr>
            <w:tcW w:w="497"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2</w:t>
            </w:r>
          </w:p>
        </w:tc>
        <w:tc>
          <w:tcPr>
            <w:tcW w:w="1823"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A/O+人工湿地</w:t>
            </w:r>
          </w:p>
        </w:tc>
        <w:tc>
          <w:tcPr>
            <w:tcW w:w="900"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100</w:t>
            </w:r>
          </w:p>
        </w:tc>
        <w:tc>
          <w:tcPr>
            <w:tcW w:w="659"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2</w:t>
            </w:r>
          </w:p>
        </w:tc>
        <w:tc>
          <w:tcPr>
            <w:tcW w:w="866"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0.8</w:t>
            </w:r>
          </w:p>
        </w:tc>
        <w:tc>
          <w:tcPr>
            <w:tcW w:w="1125"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5.84</w:t>
            </w:r>
          </w:p>
        </w:tc>
        <w:tc>
          <w:tcPr>
            <w:tcW w:w="1116"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0.10</w:t>
            </w:r>
          </w:p>
        </w:tc>
        <w:tc>
          <w:tcPr>
            <w:tcW w:w="1100"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0.20</w:t>
            </w:r>
          </w:p>
        </w:tc>
        <w:tc>
          <w:tcPr>
            <w:tcW w:w="1314"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6.04</w:t>
            </w:r>
          </w:p>
        </w:tc>
      </w:tr>
      <w:tr>
        <w:tblPrEx>
          <w:tblCellMar>
            <w:top w:w="0" w:type="dxa"/>
            <w:left w:w="0" w:type="dxa"/>
            <w:bottom w:w="0" w:type="dxa"/>
            <w:right w:w="0" w:type="dxa"/>
          </w:tblCellMar>
        </w:tblPrEx>
        <w:trPr>
          <w:trHeight w:val="422" w:hRule="exact"/>
        </w:trPr>
        <w:tc>
          <w:tcPr>
            <w:tcW w:w="497"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3</w:t>
            </w:r>
          </w:p>
        </w:tc>
        <w:tc>
          <w:tcPr>
            <w:tcW w:w="1823"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A/O+人工湿地</w:t>
            </w:r>
          </w:p>
        </w:tc>
        <w:tc>
          <w:tcPr>
            <w:tcW w:w="900"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70</w:t>
            </w:r>
          </w:p>
        </w:tc>
        <w:tc>
          <w:tcPr>
            <w:tcW w:w="659"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1</w:t>
            </w:r>
          </w:p>
        </w:tc>
        <w:tc>
          <w:tcPr>
            <w:tcW w:w="866"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0.8</w:t>
            </w:r>
          </w:p>
        </w:tc>
        <w:tc>
          <w:tcPr>
            <w:tcW w:w="1125"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2.04</w:t>
            </w:r>
          </w:p>
        </w:tc>
        <w:tc>
          <w:tcPr>
            <w:tcW w:w="1116"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0.10</w:t>
            </w:r>
          </w:p>
        </w:tc>
        <w:tc>
          <w:tcPr>
            <w:tcW w:w="1100"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0.10</w:t>
            </w:r>
          </w:p>
        </w:tc>
        <w:tc>
          <w:tcPr>
            <w:tcW w:w="1314"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2.14</w:t>
            </w:r>
          </w:p>
        </w:tc>
      </w:tr>
      <w:tr>
        <w:tblPrEx>
          <w:tblCellMar>
            <w:top w:w="0" w:type="dxa"/>
            <w:left w:w="0" w:type="dxa"/>
            <w:bottom w:w="0" w:type="dxa"/>
            <w:right w:w="0" w:type="dxa"/>
          </w:tblCellMar>
        </w:tblPrEx>
        <w:trPr>
          <w:trHeight w:val="422" w:hRule="exact"/>
        </w:trPr>
        <w:tc>
          <w:tcPr>
            <w:tcW w:w="497"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4</w:t>
            </w:r>
          </w:p>
        </w:tc>
        <w:tc>
          <w:tcPr>
            <w:tcW w:w="1823"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A/O+人工湿地</w:t>
            </w:r>
          </w:p>
        </w:tc>
        <w:tc>
          <w:tcPr>
            <w:tcW w:w="900"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30</w:t>
            </w:r>
          </w:p>
        </w:tc>
        <w:tc>
          <w:tcPr>
            <w:tcW w:w="659"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1</w:t>
            </w:r>
          </w:p>
        </w:tc>
        <w:tc>
          <w:tcPr>
            <w:tcW w:w="866"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0.8</w:t>
            </w:r>
          </w:p>
        </w:tc>
        <w:tc>
          <w:tcPr>
            <w:tcW w:w="1125"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0.88</w:t>
            </w:r>
          </w:p>
        </w:tc>
        <w:tc>
          <w:tcPr>
            <w:tcW w:w="1116"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0.10</w:t>
            </w:r>
          </w:p>
        </w:tc>
        <w:tc>
          <w:tcPr>
            <w:tcW w:w="1100"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0.10</w:t>
            </w:r>
          </w:p>
        </w:tc>
        <w:tc>
          <w:tcPr>
            <w:tcW w:w="1314"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0.98</w:t>
            </w:r>
          </w:p>
        </w:tc>
      </w:tr>
      <w:tr>
        <w:tblPrEx>
          <w:tblCellMar>
            <w:top w:w="0" w:type="dxa"/>
            <w:left w:w="0" w:type="dxa"/>
            <w:bottom w:w="0" w:type="dxa"/>
            <w:right w:w="0" w:type="dxa"/>
          </w:tblCellMar>
        </w:tblPrEx>
        <w:trPr>
          <w:trHeight w:val="422" w:hRule="exact"/>
        </w:trPr>
        <w:tc>
          <w:tcPr>
            <w:tcW w:w="497"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5</w:t>
            </w:r>
          </w:p>
        </w:tc>
        <w:tc>
          <w:tcPr>
            <w:tcW w:w="1823"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A/O+人工湿地</w:t>
            </w:r>
          </w:p>
        </w:tc>
        <w:tc>
          <w:tcPr>
            <w:tcW w:w="900"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20</w:t>
            </w:r>
          </w:p>
        </w:tc>
        <w:tc>
          <w:tcPr>
            <w:tcW w:w="659"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2</w:t>
            </w:r>
          </w:p>
        </w:tc>
        <w:tc>
          <w:tcPr>
            <w:tcW w:w="866"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0.8</w:t>
            </w:r>
          </w:p>
        </w:tc>
        <w:tc>
          <w:tcPr>
            <w:tcW w:w="1125"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1.17</w:t>
            </w:r>
          </w:p>
        </w:tc>
        <w:tc>
          <w:tcPr>
            <w:tcW w:w="1116"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0.10</w:t>
            </w:r>
          </w:p>
        </w:tc>
        <w:tc>
          <w:tcPr>
            <w:tcW w:w="1100"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0.20</w:t>
            </w:r>
          </w:p>
        </w:tc>
        <w:tc>
          <w:tcPr>
            <w:tcW w:w="1314"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1.37</w:t>
            </w:r>
          </w:p>
        </w:tc>
      </w:tr>
      <w:tr>
        <w:tblPrEx>
          <w:tblCellMar>
            <w:top w:w="0" w:type="dxa"/>
            <w:left w:w="0" w:type="dxa"/>
            <w:bottom w:w="0" w:type="dxa"/>
            <w:right w:w="0" w:type="dxa"/>
          </w:tblCellMar>
        </w:tblPrEx>
        <w:trPr>
          <w:trHeight w:val="422" w:hRule="exact"/>
        </w:trPr>
        <w:tc>
          <w:tcPr>
            <w:tcW w:w="497"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6</w:t>
            </w:r>
          </w:p>
        </w:tc>
        <w:tc>
          <w:tcPr>
            <w:tcW w:w="1823"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A/O+人工湿地</w:t>
            </w:r>
          </w:p>
        </w:tc>
        <w:tc>
          <w:tcPr>
            <w:tcW w:w="900"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10</w:t>
            </w:r>
          </w:p>
        </w:tc>
        <w:tc>
          <w:tcPr>
            <w:tcW w:w="659"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2</w:t>
            </w:r>
          </w:p>
        </w:tc>
        <w:tc>
          <w:tcPr>
            <w:tcW w:w="866"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0.8</w:t>
            </w:r>
          </w:p>
        </w:tc>
        <w:tc>
          <w:tcPr>
            <w:tcW w:w="1125"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0.58</w:t>
            </w:r>
          </w:p>
        </w:tc>
        <w:tc>
          <w:tcPr>
            <w:tcW w:w="1116"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0.10</w:t>
            </w:r>
          </w:p>
        </w:tc>
        <w:tc>
          <w:tcPr>
            <w:tcW w:w="1100"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0.20</w:t>
            </w:r>
          </w:p>
        </w:tc>
        <w:tc>
          <w:tcPr>
            <w:tcW w:w="1314"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0.78</w:t>
            </w:r>
          </w:p>
        </w:tc>
      </w:tr>
      <w:tr>
        <w:tblPrEx>
          <w:tblCellMar>
            <w:top w:w="0" w:type="dxa"/>
            <w:left w:w="0" w:type="dxa"/>
            <w:bottom w:w="0" w:type="dxa"/>
            <w:right w:w="0" w:type="dxa"/>
          </w:tblCellMar>
        </w:tblPrEx>
        <w:trPr>
          <w:trHeight w:val="422" w:hRule="exact"/>
        </w:trPr>
        <w:tc>
          <w:tcPr>
            <w:tcW w:w="497"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7</w:t>
            </w:r>
          </w:p>
        </w:tc>
        <w:tc>
          <w:tcPr>
            <w:tcW w:w="1823"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A+人工湿地</w:t>
            </w:r>
          </w:p>
        </w:tc>
        <w:tc>
          <w:tcPr>
            <w:tcW w:w="900"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200</w:t>
            </w:r>
          </w:p>
        </w:tc>
        <w:tc>
          <w:tcPr>
            <w:tcW w:w="659"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1</w:t>
            </w:r>
          </w:p>
        </w:tc>
        <w:tc>
          <w:tcPr>
            <w:tcW w:w="866"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0.8</w:t>
            </w:r>
          </w:p>
        </w:tc>
        <w:tc>
          <w:tcPr>
            <w:tcW w:w="1125"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5.84</w:t>
            </w:r>
          </w:p>
        </w:tc>
        <w:tc>
          <w:tcPr>
            <w:tcW w:w="1116"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0.10</w:t>
            </w:r>
          </w:p>
        </w:tc>
        <w:tc>
          <w:tcPr>
            <w:tcW w:w="1100"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0.10</w:t>
            </w:r>
          </w:p>
        </w:tc>
        <w:tc>
          <w:tcPr>
            <w:tcW w:w="1314"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5.94</w:t>
            </w:r>
          </w:p>
        </w:tc>
      </w:tr>
      <w:tr>
        <w:tblPrEx>
          <w:tblCellMar>
            <w:top w:w="0" w:type="dxa"/>
            <w:left w:w="0" w:type="dxa"/>
            <w:bottom w:w="0" w:type="dxa"/>
            <w:right w:w="0" w:type="dxa"/>
          </w:tblCellMar>
        </w:tblPrEx>
        <w:trPr>
          <w:trHeight w:val="422" w:hRule="exact"/>
        </w:trPr>
        <w:tc>
          <w:tcPr>
            <w:tcW w:w="497"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8</w:t>
            </w:r>
          </w:p>
        </w:tc>
        <w:tc>
          <w:tcPr>
            <w:tcW w:w="1823"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微动力+人工湿地</w:t>
            </w:r>
          </w:p>
        </w:tc>
        <w:tc>
          <w:tcPr>
            <w:tcW w:w="900"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50</w:t>
            </w:r>
          </w:p>
        </w:tc>
        <w:tc>
          <w:tcPr>
            <w:tcW w:w="659"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1</w:t>
            </w:r>
          </w:p>
        </w:tc>
        <w:tc>
          <w:tcPr>
            <w:tcW w:w="866"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0.4</w:t>
            </w:r>
          </w:p>
        </w:tc>
        <w:tc>
          <w:tcPr>
            <w:tcW w:w="1125"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0.73</w:t>
            </w:r>
          </w:p>
        </w:tc>
        <w:tc>
          <w:tcPr>
            <w:tcW w:w="1116"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0.10</w:t>
            </w:r>
          </w:p>
        </w:tc>
        <w:tc>
          <w:tcPr>
            <w:tcW w:w="1100"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0.10</w:t>
            </w:r>
          </w:p>
        </w:tc>
        <w:tc>
          <w:tcPr>
            <w:tcW w:w="1314"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0.83</w:t>
            </w:r>
          </w:p>
        </w:tc>
      </w:tr>
      <w:tr>
        <w:tblPrEx>
          <w:tblCellMar>
            <w:top w:w="0" w:type="dxa"/>
            <w:left w:w="0" w:type="dxa"/>
            <w:bottom w:w="0" w:type="dxa"/>
            <w:right w:w="0" w:type="dxa"/>
          </w:tblCellMar>
        </w:tblPrEx>
        <w:trPr>
          <w:trHeight w:val="422" w:hRule="exact"/>
        </w:trPr>
        <w:tc>
          <w:tcPr>
            <w:tcW w:w="497"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9</w:t>
            </w:r>
          </w:p>
        </w:tc>
        <w:tc>
          <w:tcPr>
            <w:tcW w:w="1823"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微动力+人工湿地</w:t>
            </w:r>
          </w:p>
        </w:tc>
        <w:tc>
          <w:tcPr>
            <w:tcW w:w="900"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30</w:t>
            </w:r>
          </w:p>
        </w:tc>
        <w:tc>
          <w:tcPr>
            <w:tcW w:w="659"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1</w:t>
            </w:r>
          </w:p>
        </w:tc>
        <w:tc>
          <w:tcPr>
            <w:tcW w:w="866"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0.4</w:t>
            </w:r>
          </w:p>
        </w:tc>
        <w:tc>
          <w:tcPr>
            <w:tcW w:w="1125"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0.44</w:t>
            </w:r>
          </w:p>
        </w:tc>
        <w:tc>
          <w:tcPr>
            <w:tcW w:w="1116"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0.10</w:t>
            </w:r>
          </w:p>
        </w:tc>
        <w:tc>
          <w:tcPr>
            <w:tcW w:w="1100"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0.10</w:t>
            </w:r>
          </w:p>
        </w:tc>
        <w:tc>
          <w:tcPr>
            <w:tcW w:w="1314"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0.54</w:t>
            </w:r>
          </w:p>
        </w:tc>
      </w:tr>
      <w:tr>
        <w:tblPrEx>
          <w:tblCellMar>
            <w:top w:w="0" w:type="dxa"/>
            <w:left w:w="0" w:type="dxa"/>
            <w:bottom w:w="0" w:type="dxa"/>
            <w:right w:w="0" w:type="dxa"/>
          </w:tblCellMar>
        </w:tblPrEx>
        <w:trPr>
          <w:trHeight w:val="422" w:hRule="exact"/>
        </w:trPr>
        <w:tc>
          <w:tcPr>
            <w:tcW w:w="497"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p>
        </w:tc>
        <w:tc>
          <w:tcPr>
            <w:tcW w:w="1823"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合计</w:t>
            </w:r>
          </w:p>
        </w:tc>
        <w:tc>
          <w:tcPr>
            <w:tcW w:w="900"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p>
        </w:tc>
        <w:tc>
          <w:tcPr>
            <w:tcW w:w="659"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12</w:t>
            </w:r>
          </w:p>
        </w:tc>
        <w:tc>
          <w:tcPr>
            <w:tcW w:w="866"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p>
        </w:tc>
        <w:tc>
          <w:tcPr>
            <w:tcW w:w="1125"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23.36</w:t>
            </w:r>
          </w:p>
        </w:tc>
        <w:tc>
          <w:tcPr>
            <w:tcW w:w="1116"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p>
        </w:tc>
        <w:tc>
          <w:tcPr>
            <w:tcW w:w="1100"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1.20</w:t>
            </w:r>
          </w:p>
        </w:tc>
        <w:tc>
          <w:tcPr>
            <w:tcW w:w="1314"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24.56</w:t>
            </w:r>
          </w:p>
        </w:tc>
      </w:tr>
    </w:tbl>
    <w:p>
      <w:pPr>
        <w:spacing w:line="360" w:lineRule="auto"/>
        <w:jc w:val="center"/>
        <w:rPr>
          <w:rFonts w:ascii="黑体" w:hAnsi="黑体" w:eastAsia="黑体" w:cs="黑体"/>
          <w:b/>
          <w:bCs/>
          <w:sz w:val="22"/>
          <w:szCs w:val="22"/>
        </w:rPr>
      </w:pPr>
    </w:p>
    <w:p>
      <w:pPr>
        <w:spacing w:line="329" w:lineRule="exact"/>
        <w:ind w:left="2760" w:right="-20"/>
        <w:jc w:val="left"/>
        <w:rPr>
          <w:rFonts w:ascii="黑体" w:hAnsi="黑体" w:eastAsia="黑体" w:cs="黑体"/>
          <w:b/>
          <w:bCs/>
          <w:sz w:val="22"/>
          <w:szCs w:val="22"/>
        </w:rPr>
      </w:pPr>
      <w:r>
        <w:rPr>
          <w:rFonts w:hint="eastAsia" w:ascii="黑体" w:hAnsi="黑体" w:eastAsia="黑体" w:cs="黑体"/>
          <w:b/>
          <w:bCs/>
          <w:sz w:val="22"/>
          <w:szCs w:val="22"/>
        </w:rPr>
        <w:t>表 6- 3 新建污水处理设施运维费用分析统计表</w:t>
      </w:r>
    </w:p>
    <w:p>
      <w:pPr>
        <w:spacing w:line="329" w:lineRule="exact"/>
        <w:ind w:left="2760" w:right="-20"/>
        <w:jc w:val="left"/>
        <w:rPr>
          <w:rFonts w:ascii="黑体" w:hAnsi="黑体" w:eastAsia="黑体" w:cs="黑体"/>
          <w:b/>
          <w:bCs/>
          <w:sz w:val="22"/>
          <w:szCs w:val="22"/>
        </w:rPr>
      </w:pPr>
    </w:p>
    <w:tbl>
      <w:tblPr>
        <w:tblStyle w:val="5"/>
        <w:tblW w:w="9420" w:type="dxa"/>
        <w:tblInd w:w="95" w:type="dxa"/>
        <w:tblLayout w:type="fixed"/>
        <w:tblCellMar>
          <w:top w:w="0" w:type="dxa"/>
          <w:left w:w="0" w:type="dxa"/>
          <w:bottom w:w="0" w:type="dxa"/>
          <w:right w:w="0" w:type="dxa"/>
        </w:tblCellMar>
      </w:tblPr>
      <w:tblGrid>
        <w:gridCol w:w="505"/>
        <w:gridCol w:w="1915"/>
        <w:gridCol w:w="898"/>
        <w:gridCol w:w="581"/>
        <w:gridCol w:w="873"/>
        <w:gridCol w:w="1041"/>
        <w:gridCol w:w="1194"/>
        <w:gridCol w:w="1102"/>
        <w:gridCol w:w="1311"/>
      </w:tblGrid>
      <w:tr>
        <w:tblPrEx>
          <w:tblCellMar>
            <w:top w:w="0" w:type="dxa"/>
            <w:left w:w="0" w:type="dxa"/>
            <w:bottom w:w="0" w:type="dxa"/>
            <w:right w:w="0" w:type="dxa"/>
          </w:tblCellMar>
        </w:tblPrEx>
        <w:trPr>
          <w:trHeight w:val="925" w:hRule="exact"/>
        </w:trPr>
        <w:tc>
          <w:tcPr>
            <w:tcW w:w="505"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b/>
                <w:bCs/>
              </w:rPr>
            </w:pPr>
            <w:r>
              <w:rPr>
                <w:rFonts w:hint="eastAsia" w:asciiTheme="majorEastAsia" w:hAnsiTheme="majorEastAsia" w:eastAsiaTheme="majorEastAsia" w:cstheme="majorEastAsia"/>
                <w:b/>
                <w:bCs/>
              </w:rPr>
              <w:t>序号</w:t>
            </w:r>
          </w:p>
        </w:tc>
        <w:tc>
          <w:tcPr>
            <w:tcW w:w="1915"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b/>
                <w:bCs/>
              </w:rPr>
            </w:pPr>
            <w:r>
              <w:rPr>
                <w:rFonts w:hint="eastAsia" w:asciiTheme="majorEastAsia" w:hAnsiTheme="majorEastAsia" w:eastAsiaTheme="majorEastAsia" w:cstheme="majorEastAsia"/>
                <w:b/>
                <w:bCs/>
              </w:rPr>
              <w:t>推荐工艺</w:t>
            </w:r>
          </w:p>
        </w:tc>
        <w:tc>
          <w:tcPr>
            <w:tcW w:w="898"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b/>
                <w:bCs/>
              </w:rPr>
            </w:pPr>
            <w:r>
              <w:rPr>
                <w:rFonts w:hint="eastAsia" w:asciiTheme="majorEastAsia" w:hAnsiTheme="majorEastAsia" w:eastAsiaTheme="majorEastAsia" w:cstheme="majorEastAsia"/>
                <w:b/>
                <w:bCs/>
              </w:rPr>
              <w:t>设计规模</w:t>
            </w:r>
          </w:p>
          <w:p>
            <w:pPr>
              <w:jc w:val="center"/>
              <w:rPr>
                <w:rFonts w:asciiTheme="majorEastAsia" w:hAnsiTheme="majorEastAsia" w:eastAsiaTheme="majorEastAsia" w:cstheme="majorEastAsia"/>
                <w:b/>
                <w:bCs/>
              </w:rPr>
            </w:pPr>
            <w:r>
              <w:rPr>
                <w:rFonts w:hint="eastAsia" w:asciiTheme="majorEastAsia" w:hAnsiTheme="majorEastAsia" w:eastAsiaTheme="majorEastAsia" w:cstheme="majorEastAsia"/>
                <w:b/>
                <w:bCs/>
              </w:rPr>
              <w:t>（m3/d）</w:t>
            </w:r>
          </w:p>
        </w:tc>
        <w:tc>
          <w:tcPr>
            <w:tcW w:w="581"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b/>
                <w:bCs/>
              </w:rPr>
            </w:pPr>
            <w:r>
              <w:rPr>
                <w:rFonts w:hint="eastAsia" w:asciiTheme="majorEastAsia" w:hAnsiTheme="majorEastAsia" w:eastAsiaTheme="majorEastAsia" w:cstheme="majorEastAsia"/>
                <w:b/>
                <w:bCs/>
              </w:rPr>
              <w:t>数量</w:t>
            </w:r>
          </w:p>
          <w:p>
            <w:pPr>
              <w:jc w:val="center"/>
              <w:rPr>
                <w:rFonts w:asciiTheme="majorEastAsia" w:hAnsiTheme="majorEastAsia" w:eastAsiaTheme="majorEastAsia" w:cstheme="majorEastAsia"/>
                <w:b/>
                <w:bCs/>
              </w:rPr>
            </w:pPr>
            <w:r>
              <w:rPr>
                <w:rFonts w:hint="eastAsia" w:asciiTheme="majorEastAsia" w:hAnsiTheme="majorEastAsia" w:eastAsiaTheme="majorEastAsia" w:cstheme="majorEastAsia"/>
                <w:b/>
                <w:bCs/>
              </w:rPr>
              <w:t>（个）</w:t>
            </w:r>
          </w:p>
        </w:tc>
        <w:tc>
          <w:tcPr>
            <w:tcW w:w="873"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b/>
                <w:bCs/>
              </w:rPr>
            </w:pPr>
            <w:r>
              <w:rPr>
                <w:rFonts w:hint="eastAsia" w:asciiTheme="majorEastAsia" w:hAnsiTheme="majorEastAsia" w:eastAsiaTheme="majorEastAsia" w:cstheme="majorEastAsia"/>
                <w:b/>
                <w:bCs/>
              </w:rPr>
              <w:t>污水处理</w:t>
            </w:r>
          </w:p>
          <w:p>
            <w:pPr>
              <w:jc w:val="center"/>
              <w:rPr>
                <w:rFonts w:asciiTheme="majorEastAsia" w:hAnsiTheme="majorEastAsia" w:eastAsiaTheme="majorEastAsia" w:cstheme="majorEastAsia"/>
                <w:b/>
                <w:bCs/>
              </w:rPr>
            </w:pPr>
            <w:r>
              <w:rPr>
                <w:rFonts w:hint="eastAsia" w:asciiTheme="majorEastAsia" w:hAnsiTheme="majorEastAsia" w:eastAsiaTheme="majorEastAsia" w:cstheme="majorEastAsia"/>
                <w:b/>
                <w:bCs/>
              </w:rPr>
              <w:t>单价</w:t>
            </w:r>
          </w:p>
          <w:p>
            <w:pPr>
              <w:jc w:val="center"/>
              <w:rPr>
                <w:rFonts w:asciiTheme="majorEastAsia" w:hAnsiTheme="majorEastAsia" w:eastAsiaTheme="majorEastAsia" w:cstheme="majorEastAsia"/>
                <w:b/>
                <w:bCs/>
              </w:rPr>
            </w:pPr>
            <w:r>
              <w:rPr>
                <w:rFonts w:hint="eastAsia" w:asciiTheme="majorEastAsia" w:hAnsiTheme="majorEastAsia" w:eastAsiaTheme="majorEastAsia" w:cstheme="majorEastAsia"/>
                <w:b/>
                <w:bCs/>
              </w:rPr>
              <w:t>（元/吨）</w:t>
            </w:r>
          </w:p>
        </w:tc>
        <w:tc>
          <w:tcPr>
            <w:tcW w:w="1041"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b/>
                <w:bCs/>
              </w:rPr>
            </w:pPr>
            <w:r>
              <w:rPr>
                <w:rFonts w:hint="eastAsia" w:asciiTheme="majorEastAsia" w:hAnsiTheme="majorEastAsia" w:eastAsiaTheme="majorEastAsia" w:cstheme="majorEastAsia"/>
                <w:b/>
                <w:bCs/>
              </w:rPr>
              <w:t>污水处理</w:t>
            </w:r>
          </w:p>
          <w:p>
            <w:pPr>
              <w:jc w:val="center"/>
              <w:rPr>
                <w:rFonts w:asciiTheme="majorEastAsia" w:hAnsiTheme="majorEastAsia" w:eastAsiaTheme="majorEastAsia" w:cstheme="majorEastAsia"/>
                <w:b/>
                <w:bCs/>
              </w:rPr>
            </w:pPr>
            <w:r>
              <w:rPr>
                <w:rFonts w:hint="eastAsia" w:asciiTheme="majorEastAsia" w:hAnsiTheme="majorEastAsia" w:eastAsiaTheme="majorEastAsia" w:cstheme="majorEastAsia"/>
                <w:b/>
                <w:bCs/>
              </w:rPr>
              <w:t>合价</w:t>
            </w:r>
          </w:p>
          <w:p>
            <w:pPr>
              <w:jc w:val="center"/>
              <w:rPr>
                <w:rFonts w:asciiTheme="majorEastAsia" w:hAnsiTheme="majorEastAsia" w:eastAsiaTheme="majorEastAsia" w:cstheme="majorEastAsia"/>
                <w:b/>
                <w:bCs/>
              </w:rPr>
            </w:pPr>
            <w:r>
              <w:rPr>
                <w:rFonts w:hint="eastAsia" w:asciiTheme="majorEastAsia" w:hAnsiTheme="majorEastAsia" w:eastAsiaTheme="majorEastAsia" w:cstheme="majorEastAsia"/>
                <w:b/>
                <w:bCs/>
              </w:rPr>
              <w:t>（万元/年</w:t>
            </w:r>
          </w:p>
        </w:tc>
        <w:tc>
          <w:tcPr>
            <w:tcW w:w="1194"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b/>
                <w:bCs/>
              </w:rPr>
            </w:pPr>
            <w:r>
              <w:rPr>
                <w:rFonts w:hint="eastAsia" w:asciiTheme="majorEastAsia" w:hAnsiTheme="majorEastAsia" w:eastAsiaTheme="majorEastAsia" w:cstheme="majorEastAsia"/>
                <w:b/>
                <w:bCs/>
              </w:rPr>
              <w:t>水池清理费</w:t>
            </w:r>
          </w:p>
          <w:p>
            <w:pPr>
              <w:jc w:val="center"/>
              <w:rPr>
                <w:rFonts w:asciiTheme="majorEastAsia" w:hAnsiTheme="majorEastAsia" w:eastAsiaTheme="majorEastAsia" w:cstheme="majorEastAsia"/>
                <w:b/>
                <w:bCs/>
              </w:rPr>
            </w:pPr>
            <w:r>
              <w:rPr>
                <w:rFonts w:hint="eastAsia" w:asciiTheme="majorEastAsia" w:hAnsiTheme="majorEastAsia" w:eastAsiaTheme="majorEastAsia" w:cstheme="majorEastAsia"/>
                <w:b/>
                <w:bCs/>
              </w:rPr>
              <w:t>单价</w:t>
            </w:r>
          </w:p>
          <w:p>
            <w:pPr>
              <w:jc w:val="center"/>
              <w:rPr>
                <w:rFonts w:asciiTheme="majorEastAsia" w:hAnsiTheme="majorEastAsia" w:eastAsiaTheme="majorEastAsia" w:cstheme="majorEastAsia"/>
                <w:b/>
                <w:bCs/>
              </w:rPr>
            </w:pPr>
            <w:r>
              <w:rPr>
                <w:rFonts w:hint="eastAsia" w:asciiTheme="majorEastAsia" w:hAnsiTheme="majorEastAsia" w:eastAsiaTheme="majorEastAsia" w:cstheme="majorEastAsia"/>
                <w:b/>
                <w:bCs/>
              </w:rPr>
              <w:t>（万元/年）</w:t>
            </w:r>
          </w:p>
        </w:tc>
        <w:tc>
          <w:tcPr>
            <w:tcW w:w="1102"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b/>
                <w:bCs/>
              </w:rPr>
            </w:pPr>
            <w:r>
              <w:rPr>
                <w:rFonts w:hint="eastAsia" w:asciiTheme="majorEastAsia" w:hAnsiTheme="majorEastAsia" w:eastAsiaTheme="majorEastAsia" w:cstheme="majorEastAsia"/>
                <w:b/>
                <w:bCs/>
              </w:rPr>
              <w:t>水池清理费</w:t>
            </w:r>
          </w:p>
          <w:p>
            <w:pPr>
              <w:jc w:val="center"/>
              <w:rPr>
                <w:rFonts w:asciiTheme="majorEastAsia" w:hAnsiTheme="majorEastAsia" w:eastAsiaTheme="majorEastAsia" w:cstheme="majorEastAsia"/>
                <w:b/>
                <w:bCs/>
              </w:rPr>
            </w:pPr>
            <w:r>
              <w:rPr>
                <w:rFonts w:hint="eastAsia" w:asciiTheme="majorEastAsia" w:hAnsiTheme="majorEastAsia" w:eastAsiaTheme="majorEastAsia" w:cstheme="majorEastAsia"/>
                <w:b/>
                <w:bCs/>
              </w:rPr>
              <w:t>（万元/年）</w:t>
            </w:r>
          </w:p>
        </w:tc>
        <w:tc>
          <w:tcPr>
            <w:tcW w:w="1311"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b/>
                <w:bCs/>
              </w:rPr>
            </w:pPr>
            <w:r>
              <w:rPr>
                <w:rFonts w:hint="eastAsia" w:asciiTheme="majorEastAsia" w:hAnsiTheme="majorEastAsia" w:eastAsiaTheme="majorEastAsia" w:cstheme="majorEastAsia"/>
                <w:b/>
                <w:bCs/>
              </w:rPr>
              <w:t>综合运维费用</w:t>
            </w:r>
          </w:p>
          <w:p>
            <w:pPr>
              <w:jc w:val="center"/>
              <w:rPr>
                <w:rFonts w:asciiTheme="majorEastAsia" w:hAnsiTheme="majorEastAsia" w:eastAsiaTheme="majorEastAsia" w:cstheme="majorEastAsia"/>
                <w:b/>
                <w:bCs/>
              </w:rPr>
            </w:pPr>
            <w:r>
              <w:rPr>
                <w:rFonts w:hint="eastAsia" w:asciiTheme="majorEastAsia" w:hAnsiTheme="majorEastAsia" w:eastAsiaTheme="majorEastAsia" w:cstheme="majorEastAsia"/>
                <w:b/>
                <w:bCs/>
              </w:rPr>
              <w:t>（万元/年）</w:t>
            </w:r>
          </w:p>
        </w:tc>
      </w:tr>
      <w:tr>
        <w:tblPrEx>
          <w:tblCellMar>
            <w:top w:w="0" w:type="dxa"/>
            <w:left w:w="0" w:type="dxa"/>
            <w:bottom w:w="0" w:type="dxa"/>
            <w:right w:w="0" w:type="dxa"/>
          </w:tblCellMar>
        </w:tblPrEx>
        <w:trPr>
          <w:trHeight w:val="407" w:hRule="exact"/>
        </w:trPr>
        <w:tc>
          <w:tcPr>
            <w:tcW w:w="505"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1</w:t>
            </w:r>
          </w:p>
        </w:tc>
        <w:tc>
          <w:tcPr>
            <w:tcW w:w="1915"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A²/O一体化处理装置</w:t>
            </w:r>
          </w:p>
        </w:tc>
        <w:tc>
          <w:tcPr>
            <w:tcW w:w="898"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150</w:t>
            </w:r>
          </w:p>
        </w:tc>
        <w:tc>
          <w:tcPr>
            <w:tcW w:w="581"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2</w:t>
            </w:r>
          </w:p>
        </w:tc>
        <w:tc>
          <w:tcPr>
            <w:tcW w:w="873"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0.8</w:t>
            </w:r>
          </w:p>
        </w:tc>
        <w:tc>
          <w:tcPr>
            <w:tcW w:w="1041"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8.76</w:t>
            </w:r>
          </w:p>
        </w:tc>
        <w:tc>
          <w:tcPr>
            <w:tcW w:w="1194"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0.10</w:t>
            </w:r>
          </w:p>
        </w:tc>
        <w:tc>
          <w:tcPr>
            <w:tcW w:w="1102"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0.20</w:t>
            </w:r>
          </w:p>
        </w:tc>
        <w:tc>
          <w:tcPr>
            <w:tcW w:w="1311"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8.96</w:t>
            </w:r>
          </w:p>
        </w:tc>
      </w:tr>
      <w:tr>
        <w:tblPrEx>
          <w:tblCellMar>
            <w:top w:w="0" w:type="dxa"/>
            <w:left w:w="0" w:type="dxa"/>
            <w:bottom w:w="0" w:type="dxa"/>
            <w:right w:w="0" w:type="dxa"/>
          </w:tblCellMar>
        </w:tblPrEx>
        <w:trPr>
          <w:trHeight w:val="407" w:hRule="exact"/>
        </w:trPr>
        <w:tc>
          <w:tcPr>
            <w:tcW w:w="505"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2</w:t>
            </w:r>
          </w:p>
        </w:tc>
        <w:tc>
          <w:tcPr>
            <w:tcW w:w="1915"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A²/O一体化处理装置</w:t>
            </w:r>
          </w:p>
        </w:tc>
        <w:tc>
          <w:tcPr>
            <w:tcW w:w="898"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100</w:t>
            </w:r>
          </w:p>
        </w:tc>
        <w:tc>
          <w:tcPr>
            <w:tcW w:w="581"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2</w:t>
            </w:r>
          </w:p>
        </w:tc>
        <w:tc>
          <w:tcPr>
            <w:tcW w:w="873"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0.8</w:t>
            </w:r>
          </w:p>
        </w:tc>
        <w:tc>
          <w:tcPr>
            <w:tcW w:w="1041"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5.84</w:t>
            </w:r>
          </w:p>
        </w:tc>
        <w:tc>
          <w:tcPr>
            <w:tcW w:w="1194"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0.10</w:t>
            </w:r>
          </w:p>
        </w:tc>
        <w:tc>
          <w:tcPr>
            <w:tcW w:w="1102"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0.20</w:t>
            </w:r>
          </w:p>
        </w:tc>
        <w:tc>
          <w:tcPr>
            <w:tcW w:w="1311"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6.04</w:t>
            </w:r>
          </w:p>
        </w:tc>
      </w:tr>
      <w:tr>
        <w:tblPrEx>
          <w:tblCellMar>
            <w:top w:w="0" w:type="dxa"/>
            <w:left w:w="0" w:type="dxa"/>
            <w:bottom w:w="0" w:type="dxa"/>
            <w:right w:w="0" w:type="dxa"/>
          </w:tblCellMar>
        </w:tblPrEx>
        <w:trPr>
          <w:trHeight w:val="407" w:hRule="exact"/>
        </w:trPr>
        <w:tc>
          <w:tcPr>
            <w:tcW w:w="505"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3</w:t>
            </w:r>
          </w:p>
        </w:tc>
        <w:tc>
          <w:tcPr>
            <w:tcW w:w="1915"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A²/O一体化处理装置</w:t>
            </w:r>
          </w:p>
        </w:tc>
        <w:tc>
          <w:tcPr>
            <w:tcW w:w="898"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80</w:t>
            </w:r>
          </w:p>
        </w:tc>
        <w:tc>
          <w:tcPr>
            <w:tcW w:w="581"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1</w:t>
            </w:r>
          </w:p>
        </w:tc>
        <w:tc>
          <w:tcPr>
            <w:tcW w:w="873"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0.8</w:t>
            </w:r>
          </w:p>
        </w:tc>
        <w:tc>
          <w:tcPr>
            <w:tcW w:w="1041"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2.34</w:t>
            </w:r>
          </w:p>
        </w:tc>
        <w:tc>
          <w:tcPr>
            <w:tcW w:w="1194"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0.10</w:t>
            </w:r>
          </w:p>
        </w:tc>
        <w:tc>
          <w:tcPr>
            <w:tcW w:w="1102"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0.10</w:t>
            </w:r>
          </w:p>
        </w:tc>
        <w:tc>
          <w:tcPr>
            <w:tcW w:w="1311"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2.44</w:t>
            </w:r>
          </w:p>
        </w:tc>
      </w:tr>
      <w:tr>
        <w:tblPrEx>
          <w:tblCellMar>
            <w:top w:w="0" w:type="dxa"/>
            <w:left w:w="0" w:type="dxa"/>
            <w:bottom w:w="0" w:type="dxa"/>
            <w:right w:w="0" w:type="dxa"/>
          </w:tblCellMar>
        </w:tblPrEx>
        <w:trPr>
          <w:trHeight w:val="409" w:hRule="exact"/>
        </w:trPr>
        <w:tc>
          <w:tcPr>
            <w:tcW w:w="505"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4</w:t>
            </w:r>
          </w:p>
        </w:tc>
        <w:tc>
          <w:tcPr>
            <w:tcW w:w="1915"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A²/O一体化处理装置</w:t>
            </w:r>
          </w:p>
        </w:tc>
        <w:tc>
          <w:tcPr>
            <w:tcW w:w="898"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70</w:t>
            </w:r>
          </w:p>
        </w:tc>
        <w:tc>
          <w:tcPr>
            <w:tcW w:w="581"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3</w:t>
            </w:r>
          </w:p>
        </w:tc>
        <w:tc>
          <w:tcPr>
            <w:tcW w:w="873"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0.8</w:t>
            </w:r>
          </w:p>
        </w:tc>
        <w:tc>
          <w:tcPr>
            <w:tcW w:w="1041"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6.13</w:t>
            </w:r>
          </w:p>
        </w:tc>
        <w:tc>
          <w:tcPr>
            <w:tcW w:w="1194"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0.10</w:t>
            </w:r>
          </w:p>
        </w:tc>
        <w:tc>
          <w:tcPr>
            <w:tcW w:w="1102"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0.30</w:t>
            </w:r>
          </w:p>
        </w:tc>
        <w:tc>
          <w:tcPr>
            <w:tcW w:w="1311"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6.43</w:t>
            </w:r>
          </w:p>
        </w:tc>
      </w:tr>
    </w:tbl>
    <w:p>
      <w:pPr>
        <w:spacing w:line="360" w:lineRule="auto"/>
        <w:jc w:val="center"/>
        <w:rPr>
          <w:rFonts w:ascii="黑体" w:hAnsi="黑体" w:eastAsia="黑体" w:cs="黑体"/>
          <w:b/>
          <w:bCs/>
          <w:sz w:val="22"/>
          <w:szCs w:val="22"/>
        </w:rPr>
      </w:pPr>
    </w:p>
    <w:p>
      <w:pPr>
        <w:spacing w:line="360" w:lineRule="auto"/>
        <w:jc w:val="center"/>
        <w:rPr>
          <w:rFonts w:ascii="黑体" w:hAnsi="黑体" w:eastAsia="黑体" w:cs="黑体"/>
          <w:b/>
          <w:bCs/>
          <w:sz w:val="22"/>
          <w:szCs w:val="22"/>
        </w:rPr>
      </w:pPr>
    </w:p>
    <w:tbl>
      <w:tblPr>
        <w:tblStyle w:val="5"/>
        <w:tblW w:w="9440" w:type="dxa"/>
        <w:tblInd w:w="0" w:type="dxa"/>
        <w:tblLayout w:type="fixed"/>
        <w:tblCellMar>
          <w:top w:w="0" w:type="dxa"/>
          <w:left w:w="0" w:type="dxa"/>
          <w:bottom w:w="0" w:type="dxa"/>
          <w:right w:w="0" w:type="dxa"/>
        </w:tblCellMar>
      </w:tblPr>
      <w:tblGrid>
        <w:gridCol w:w="506"/>
        <w:gridCol w:w="1944"/>
        <w:gridCol w:w="874"/>
        <w:gridCol w:w="583"/>
        <w:gridCol w:w="875"/>
        <w:gridCol w:w="1043"/>
        <w:gridCol w:w="1198"/>
        <w:gridCol w:w="1104"/>
        <w:gridCol w:w="1313"/>
      </w:tblGrid>
      <w:tr>
        <w:tblPrEx>
          <w:tblCellMar>
            <w:top w:w="0" w:type="dxa"/>
            <w:left w:w="0" w:type="dxa"/>
            <w:bottom w:w="0" w:type="dxa"/>
            <w:right w:w="0" w:type="dxa"/>
          </w:tblCellMar>
        </w:tblPrEx>
        <w:trPr>
          <w:trHeight w:val="1005" w:hRule="exact"/>
        </w:trPr>
        <w:tc>
          <w:tcPr>
            <w:tcW w:w="506"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序号</w:t>
            </w:r>
          </w:p>
        </w:tc>
        <w:tc>
          <w:tcPr>
            <w:tcW w:w="1944"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推荐工艺</w:t>
            </w:r>
          </w:p>
        </w:tc>
        <w:tc>
          <w:tcPr>
            <w:tcW w:w="874"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设计规模</w:t>
            </w:r>
          </w:p>
          <w:p>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（m</w:t>
            </w:r>
            <w:r>
              <w:rPr>
                <w:rFonts w:hint="eastAsia" w:asciiTheme="majorEastAsia" w:hAnsiTheme="majorEastAsia" w:eastAsiaTheme="majorEastAsia" w:cstheme="majorEastAsia"/>
                <w:b/>
                <w:bCs/>
                <w:szCs w:val="21"/>
                <w:vertAlign w:val="superscript"/>
              </w:rPr>
              <w:t>3</w:t>
            </w:r>
            <w:r>
              <w:rPr>
                <w:rFonts w:hint="eastAsia" w:asciiTheme="majorEastAsia" w:hAnsiTheme="majorEastAsia" w:eastAsiaTheme="majorEastAsia" w:cstheme="majorEastAsia"/>
                <w:b/>
                <w:bCs/>
                <w:szCs w:val="21"/>
              </w:rPr>
              <w:t>/d）</w:t>
            </w:r>
          </w:p>
        </w:tc>
        <w:tc>
          <w:tcPr>
            <w:tcW w:w="583"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数量</w:t>
            </w:r>
          </w:p>
          <w:p>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（个）</w:t>
            </w:r>
          </w:p>
        </w:tc>
        <w:tc>
          <w:tcPr>
            <w:tcW w:w="875"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污水处理</w:t>
            </w:r>
          </w:p>
          <w:p>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单价</w:t>
            </w:r>
          </w:p>
          <w:p>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（元/吨）</w:t>
            </w:r>
          </w:p>
        </w:tc>
        <w:tc>
          <w:tcPr>
            <w:tcW w:w="1043"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污水处理</w:t>
            </w:r>
          </w:p>
          <w:p>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合价</w:t>
            </w:r>
          </w:p>
          <w:p>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（万元/年）</w:t>
            </w:r>
          </w:p>
        </w:tc>
        <w:tc>
          <w:tcPr>
            <w:tcW w:w="1198"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水池清理费</w:t>
            </w:r>
          </w:p>
          <w:p>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单价</w:t>
            </w:r>
          </w:p>
          <w:p>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 xml:space="preserve"> （万元/年）</w:t>
            </w:r>
          </w:p>
        </w:tc>
        <w:tc>
          <w:tcPr>
            <w:tcW w:w="1104"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水池清理费</w:t>
            </w:r>
          </w:p>
          <w:p>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（万元/年）</w:t>
            </w:r>
          </w:p>
        </w:tc>
        <w:tc>
          <w:tcPr>
            <w:tcW w:w="1313"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综合运维费用</w:t>
            </w:r>
          </w:p>
          <w:p>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（万元/年）</w:t>
            </w:r>
          </w:p>
        </w:tc>
      </w:tr>
      <w:tr>
        <w:tblPrEx>
          <w:tblCellMar>
            <w:top w:w="0" w:type="dxa"/>
            <w:left w:w="0" w:type="dxa"/>
            <w:bottom w:w="0" w:type="dxa"/>
            <w:right w:w="0" w:type="dxa"/>
          </w:tblCellMar>
        </w:tblPrEx>
        <w:trPr>
          <w:trHeight w:val="440" w:hRule="exact"/>
        </w:trPr>
        <w:tc>
          <w:tcPr>
            <w:tcW w:w="506"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5</w:t>
            </w:r>
          </w:p>
        </w:tc>
        <w:tc>
          <w:tcPr>
            <w:tcW w:w="1944"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A²/O一体化处理装置</w:t>
            </w:r>
          </w:p>
        </w:tc>
        <w:tc>
          <w:tcPr>
            <w:tcW w:w="874"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60</w:t>
            </w:r>
          </w:p>
        </w:tc>
        <w:tc>
          <w:tcPr>
            <w:tcW w:w="583"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w:t>
            </w:r>
          </w:p>
        </w:tc>
        <w:tc>
          <w:tcPr>
            <w:tcW w:w="875"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0.8</w:t>
            </w:r>
          </w:p>
        </w:tc>
        <w:tc>
          <w:tcPr>
            <w:tcW w:w="1043"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5.26</w:t>
            </w:r>
          </w:p>
        </w:tc>
        <w:tc>
          <w:tcPr>
            <w:tcW w:w="1198"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0.10</w:t>
            </w:r>
          </w:p>
        </w:tc>
        <w:tc>
          <w:tcPr>
            <w:tcW w:w="1104"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0.30</w:t>
            </w:r>
          </w:p>
        </w:tc>
        <w:tc>
          <w:tcPr>
            <w:tcW w:w="1313"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5.56</w:t>
            </w:r>
          </w:p>
        </w:tc>
      </w:tr>
      <w:tr>
        <w:tblPrEx>
          <w:tblCellMar>
            <w:top w:w="0" w:type="dxa"/>
            <w:left w:w="0" w:type="dxa"/>
            <w:bottom w:w="0" w:type="dxa"/>
            <w:right w:w="0" w:type="dxa"/>
          </w:tblCellMar>
        </w:tblPrEx>
        <w:trPr>
          <w:trHeight w:val="440" w:hRule="exact"/>
        </w:trPr>
        <w:tc>
          <w:tcPr>
            <w:tcW w:w="506"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6</w:t>
            </w:r>
          </w:p>
        </w:tc>
        <w:tc>
          <w:tcPr>
            <w:tcW w:w="1944"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A²/O一体化处理装置</w:t>
            </w:r>
          </w:p>
        </w:tc>
        <w:tc>
          <w:tcPr>
            <w:tcW w:w="874"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50</w:t>
            </w:r>
          </w:p>
        </w:tc>
        <w:tc>
          <w:tcPr>
            <w:tcW w:w="583"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10</w:t>
            </w:r>
          </w:p>
        </w:tc>
        <w:tc>
          <w:tcPr>
            <w:tcW w:w="875"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0.8</w:t>
            </w:r>
          </w:p>
        </w:tc>
        <w:tc>
          <w:tcPr>
            <w:tcW w:w="1043"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14.60</w:t>
            </w:r>
          </w:p>
        </w:tc>
        <w:tc>
          <w:tcPr>
            <w:tcW w:w="1198"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0.10</w:t>
            </w:r>
          </w:p>
        </w:tc>
        <w:tc>
          <w:tcPr>
            <w:tcW w:w="1104"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1.00</w:t>
            </w:r>
          </w:p>
        </w:tc>
        <w:tc>
          <w:tcPr>
            <w:tcW w:w="1313"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15.60</w:t>
            </w:r>
          </w:p>
        </w:tc>
      </w:tr>
      <w:tr>
        <w:tblPrEx>
          <w:tblCellMar>
            <w:top w:w="0" w:type="dxa"/>
            <w:left w:w="0" w:type="dxa"/>
            <w:bottom w:w="0" w:type="dxa"/>
            <w:right w:w="0" w:type="dxa"/>
          </w:tblCellMar>
        </w:tblPrEx>
        <w:trPr>
          <w:trHeight w:val="440" w:hRule="exact"/>
        </w:trPr>
        <w:tc>
          <w:tcPr>
            <w:tcW w:w="506"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7</w:t>
            </w:r>
          </w:p>
        </w:tc>
        <w:tc>
          <w:tcPr>
            <w:tcW w:w="1944"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A²/O一体化处理装置</w:t>
            </w:r>
          </w:p>
        </w:tc>
        <w:tc>
          <w:tcPr>
            <w:tcW w:w="874"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40</w:t>
            </w:r>
          </w:p>
        </w:tc>
        <w:tc>
          <w:tcPr>
            <w:tcW w:w="583"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11</w:t>
            </w:r>
          </w:p>
        </w:tc>
        <w:tc>
          <w:tcPr>
            <w:tcW w:w="875"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0.8</w:t>
            </w:r>
          </w:p>
        </w:tc>
        <w:tc>
          <w:tcPr>
            <w:tcW w:w="1043"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12.85</w:t>
            </w:r>
          </w:p>
        </w:tc>
        <w:tc>
          <w:tcPr>
            <w:tcW w:w="1198"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0.10</w:t>
            </w:r>
          </w:p>
        </w:tc>
        <w:tc>
          <w:tcPr>
            <w:tcW w:w="1104"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1.10</w:t>
            </w:r>
          </w:p>
        </w:tc>
        <w:tc>
          <w:tcPr>
            <w:tcW w:w="1313"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13.95</w:t>
            </w:r>
          </w:p>
        </w:tc>
      </w:tr>
      <w:tr>
        <w:tblPrEx>
          <w:tblCellMar>
            <w:top w:w="0" w:type="dxa"/>
            <w:left w:w="0" w:type="dxa"/>
            <w:bottom w:w="0" w:type="dxa"/>
            <w:right w:w="0" w:type="dxa"/>
          </w:tblCellMar>
        </w:tblPrEx>
        <w:trPr>
          <w:trHeight w:val="440" w:hRule="exact"/>
        </w:trPr>
        <w:tc>
          <w:tcPr>
            <w:tcW w:w="506"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8</w:t>
            </w:r>
          </w:p>
        </w:tc>
        <w:tc>
          <w:tcPr>
            <w:tcW w:w="1944"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A²/O一体化处理装置</w:t>
            </w:r>
          </w:p>
        </w:tc>
        <w:tc>
          <w:tcPr>
            <w:tcW w:w="874"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30</w:t>
            </w:r>
          </w:p>
        </w:tc>
        <w:tc>
          <w:tcPr>
            <w:tcW w:w="583"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12</w:t>
            </w:r>
          </w:p>
        </w:tc>
        <w:tc>
          <w:tcPr>
            <w:tcW w:w="875"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0.8</w:t>
            </w:r>
          </w:p>
        </w:tc>
        <w:tc>
          <w:tcPr>
            <w:tcW w:w="1043"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10.51</w:t>
            </w:r>
          </w:p>
        </w:tc>
        <w:tc>
          <w:tcPr>
            <w:tcW w:w="1198"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0.10</w:t>
            </w:r>
          </w:p>
        </w:tc>
        <w:tc>
          <w:tcPr>
            <w:tcW w:w="1104"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1.20</w:t>
            </w:r>
          </w:p>
        </w:tc>
        <w:tc>
          <w:tcPr>
            <w:tcW w:w="1313"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11.71</w:t>
            </w:r>
          </w:p>
        </w:tc>
      </w:tr>
      <w:tr>
        <w:tblPrEx>
          <w:tblCellMar>
            <w:top w:w="0" w:type="dxa"/>
            <w:left w:w="0" w:type="dxa"/>
            <w:bottom w:w="0" w:type="dxa"/>
            <w:right w:w="0" w:type="dxa"/>
          </w:tblCellMar>
        </w:tblPrEx>
        <w:trPr>
          <w:trHeight w:val="440" w:hRule="exact"/>
        </w:trPr>
        <w:tc>
          <w:tcPr>
            <w:tcW w:w="506"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9</w:t>
            </w:r>
          </w:p>
        </w:tc>
        <w:tc>
          <w:tcPr>
            <w:tcW w:w="1944"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A²/O一体化处理装置</w:t>
            </w:r>
          </w:p>
        </w:tc>
        <w:tc>
          <w:tcPr>
            <w:tcW w:w="874"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20</w:t>
            </w:r>
          </w:p>
        </w:tc>
        <w:tc>
          <w:tcPr>
            <w:tcW w:w="583"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34</w:t>
            </w:r>
          </w:p>
        </w:tc>
        <w:tc>
          <w:tcPr>
            <w:tcW w:w="875"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0.8</w:t>
            </w:r>
          </w:p>
        </w:tc>
        <w:tc>
          <w:tcPr>
            <w:tcW w:w="1043"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19.86</w:t>
            </w:r>
          </w:p>
        </w:tc>
        <w:tc>
          <w:tcPr>
            <w:tcW w:w="1198"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0.10</w:t>
            </w:r>
          </w:p>
        </w:tc>
        <w:tc>
          <w:tcPr>
            <w:tcW w:w="1104"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3.40</w:t>
            </w:r>
          </w:p>
        </w:tc>
        <w:tc>
          <w:tcPr>
            <w:tcW w:w="1313"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23.26</w:t>
            </w:r>
          </w:p>
        </w:tc>
      </w:tr>
      <w:tr>
        <w:tblPrEx>
          <w:tblCellMar>
            <w:top w:w="0" w:type="dxa"/>
            <w:left w:w="0" w:type="dxa"/>
            <w:bottom w:w="0" w:type="dxa"/>
            <w:right w:w="0" w:type="dxa"/>
          </w:tblCellMar>
        </w:tblPrEx>
        <w:trPr>
          <w:trHeight w:val="440" w:hRule="exact"/>
        </w:trPr>
        <w:tc>
          <w:tcPr>
            <w:tcW w:w="506"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10</w:t>
            </w:r>
          </w:p>
        </w:tc>
        <w:tc>
          <w:tcPr>
            <w:tcW w:w="1944"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A²/O一体化处理装置</w:t>
            </w:r>
          </w:p>
        </w:tc>
        <w:tc>
          <w:tcPr>
            <w:tcW w:w="874"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10</w:t>
            </w:r>
          </w:p>
        </w:tc>
        <w:tc>
          <w:tcPr>
            <w:tcW w:w="583"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w:t>
            </w:r>
          </w:p>
        </w:tc>
        <w:tc>
          <w:tcPr>
            <w:tcW w:w="875"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0.8</w:t>
            </w:r>
          </w:p>
        </w:tc>
        <w:tc>
          <w:tcPr>
            <w:tcW w:w="1043"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0.29</w:t>
            </w:r>
          </w:p>
        </w:tc>
        <w:tc>
          <w:tcPr>
            <w:tcW w:w="1198"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0.10</w:t>
            </w:r>
          </w:p>
        </w:tc>
        <w:tc>
          <w:tcPr>
            <w:tcW w:w="1104"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0.10</w:t>
            </w:r>
          </w:p>
        </w:tc>
        <w:tc>
          <w:tcPr>
            <w:tcW w:w="1313"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0.39</w:t>
            </w:r>
          </w:p>
        </w:tc>
      </w:tr>
      <w:tr>
        <w:tblPrEx>
          <w:tblCellMar>
            <w:top w:w="0" w:type="dxa"/>
            <w:left w:w="0" w:type="dxa"/>
            <w:bottom w:w="0" w:type="dxa"/>
            <w:right w:w="0" w:type="dxa"/>
          </w:tblCellMar>
        </w:tblPrEx>
        <w:trPr>
          <w:trHeight w:val="440" w:hRule="exact"/>
        </w:trPr>
        <w:tc>
          <w:tcPr>
            <w:tcW w:w="506"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11</w:t>
            </w:r>
          </w:p>
        </w:tc>
        <w:tc>
          <w:tcPr>
            <w:tcW w:w="1944"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微动力+人工湿地</w:t>
            </w:r>
          </w:p>
        </w:tc>
        <w:tc>
          <w:tcPr>
            <w:tcW w:w="874"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80</w:t>
            </w:r>
          </w:p>
        </w:tc>
        <w:tc>
          <w:tcPr>
            <w:tcW w:w="583"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w:t>
            </w:r>
          </w:p>
        </w:tc>
        <w:tc>
          <w:tcPr>
            <w:tcW w:w="875"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0.4</w:t>
            </w:r>
          </w:p>
        </w:tc>
        <w:tc>
          <w:tcPr>
            <w:tcW w:w="1043"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1.17</w:t>
            </w:r>
          </w:p>
        </w:tc>
        <w:tc>
          <w:tcPr>
            <w:tcW w:w="1198"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0.10</w:t>
            </w:r>
          </w:p>
        </w:tc>
        <w:tc>
          <w:tcPr>
            <w:tcW w:w="1104"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0.10</w:t>
            </w:r>
          </w:p>
        </w:tc>
        <w:tc>
          <w:tcPr>
            <w:tcW w:w="1313"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1.27</w:t>
            </w:r>
          </w:p>
        </w:tc>
      </w:tr>
      <w:tr>
        <w:tblPrEx>
          <w:tblCellMar>
            <w:top w:w="0" w:type="dxa"/>
            <w:left w:w="0" w:type="dxa"/>
            <w:bottom w:w="0" w:type="dxa"/>
            <w:right w:w="0" w:type="dxa"/>
          </w:tblCellMar>
        </w:tblPrEx>
        <w:trPr>
          <w:trHeight w:val="440" w:hRule="exact"/>
        </w:trPr>
        <w:tc>
          <w:tcPr>
            <w:tcW w:w="506"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12</w:t>
            </w:r>
          </w:p>
        </w:tc>
        <w:tc>
          <w:tcPr>
            <w:tcW w:w="1944"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微动力+人工湿地</w:t>
            </w:r>
          </w:p>
        </w:tc>
        <w:tc>
          <w:tcPr>
            <w:tcW w:w="874"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70</w:t>
            </w:r>
          </w:p>
        </w:tc>
        <w:tc>
          <w:tcPr>
            <w:tcW w:w="583"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w:t>
            </w:r>
          </w:p>
        </w:tc>
        <w:tc>
          <w:tcPr>
            <w:tcW w:w="875"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0.4</w:t>
            </w:r>
          </w:p>
        </w:tc>
        <w:tc>
          <w:tcPr>
            <w:tcW w:w="1043"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2.04</w:t>
            </w:r>
          </w:p>
        </w:tc>
        <w:tc>
          <w:tcPr>
            <w:tcW w:w="1198"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0.10</w:t>
            </w:r>
          </w:p>
        </w:tc>
        <w:tc>
          <w:tcPr>
            <w:tcW w:w="1104"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0.20</w:t>
            </w:r>
          </w:p>
        </w:tc>
        <w:tc>
          <w:tcPr>
            <w:tcW w:w="1313"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2.24</w:t>
            </w:r>
          </w:p>
        </w:tc>
      </w:tr>
      <w:tr>
        <w:tblPrEx>
          <w:tblCellMar>
            <w:top w:w="0" w:type="dxa"/>
            <w:left w:w="0" w:type="dxa"/>
            <w:bottom w:w="0" w:type="dxa"/>
            <w:right w:w="0" w:type="dxa"/>
          </w:tblCellMar>
        </w:tblPrEx>
        <w:trPr>
          <w:trHeight w:val="440" w:hRule="exact"/>
        </w:trPr>
        <w:tc>
          <w:tcPr>
            <w:tcW w:w="506"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13</w:t>
            </w:r>
          </w:p>
        </w:tc>
        <w:tc>
          <w:tcPr>
            <w:tcW w:w="1944"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微动力+人工湿地</w:t>
            </w:r>
          </w:p>
        </w:tc>
        <w:tc>
          <w:tcPr>
            <w:tcW w:w="874"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60</w:t>
            </w:r>
          </w:p>
        </w:tc>
        <w:tc>
          <w:tcPr>
            <w:tcW w:w="583"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w:t>
            </w:r>
          </w:p>
        </w:tc>
        <w:tc>
          <w:tcPr>
            <w:tcW w:w="875"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0.4</w:t>
            </w:r>
          </w:p>
        </w:tc>
        <w:tc>
          <w:tcPr>
            <w:tcW w:w="1043"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2.63</w:t>
            </w:r>
          </w:p>
        </w:tc>
        <w:tc>
          <w:tcPr>
            <w:tcW w:w="1198"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0.10</w:t>
            </w:r>
          </w:p>
        </w:tc>
        <w:tc>
          <w:tcPr>
            <w:tcW w:w="1104"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0.30</w:t>
            </w:r>
          </w:p>
        </w:tc>
        <w:tc>
          <w:tcPr>
            <w:tcW w:w="1313"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2.93</w:t>
            </w:r>
          </w:p>
        </w:tc>
      </w:tr>
      <w:tr>
        <w:tblPrEx>
          <w:tblCellMar>
            <w:top w:w="0" w:type="dxa"/>
            <w:left w:w="0" w:type="dxa"/>
            <w:bottom w:w="0" w:type="dxa"/>
            <w:right w:w="0" w:type="dxa"/>
          </w:tblCellMar>
        </w:tblPrEx>
        <w:trPr>
          <w:trHeight w:val="440" w:hRule="exact"/>
        </w:trPr>
        <w:tc>
          <w:tcPr>
            <w:tcW w:w="506"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14</w:t>
            </w:r>
          </w:p>
        </w:tc>
        <w:tc>
          <w:tcPr>
            <w:tcW w:w="1944"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微动力+人工湿地</w:t>
            </w:r>
          </w:p>
        </w:tc>
        <w:tc>
          <w:tcPr>
            <w:tcW w:w="874"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50</w:t>
            </w:r>
          </w:p>
        </w:tc>
        <w:tc>
          <w:tcPr>
            <w:tcW w:w="583"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8</w:t>
            </w:r>
          </w:p>
        </w:tc>
        <w:tc>
          <w:tcPr>
            <w:tcW w:w="875"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0.4</w:t>
            </w:r>
          </w:p>
        </w:tc>
        <w:tc>
          <w:tcPr>
            <w:tcW w:w="1043"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5.84</w:t>
            </w:r>
          </w:p>
        </w:tc>
        <w:tc>
          <w:tcPr>
            <w:tcW w:w="1198"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0.10</w:t>
            </w:r>
          </w:p>
        </w:tc>
        <w:tc>
          <w:tcPr>
            <w:tcW w:w="1104"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0.80</w:t>
            </w:r>
          </w:p>
        </w:tc>
        <w:tc>
          <w:tcPr>
            <w:tcW w:w="1313"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6.64</w:t>
            </w:r>
          </w:p>
        </w:tc>
      </w:tr>
      <w:tr>
        <w:tblPrEx>
          <w:tblCellMar>
            <w:top w:w="0" w:type="dxa"/>
            <w:left w:w="0" w:type="dxa"/>
            <w:bottom w:w="0" w:type="dxa"/>
            <w:right w:w="0" w:type="dxa"/>
          </w:tblCellMar>
        </w:tblPrEx>
        <w:trPr>
          <w:trHeight w:val="440" w:hRule="exact"/>
        </w:trPr>
        <w:tc>
          <w:tcPr>
            <w:tcW w:w="506"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15</w:t>
            </w:r>
          </w:p>
        </w:tc>
        <w:tc>
          <w:tcPr>
            <w:tcW w:w="1944"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微动力+人工湿地</w:t>
            </w:r>
          </w:p>
        </w:tc>
        <w:tc>
          <w:tcPr>
            <w:tcW w:w="874"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40</w:t>
            </w:r>
          </w:p>
        </w:tc>
        <w:tc>
          <w:tcPr>
            <w:tcW w:w="583"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w:t>
            </w:r>
          </w:p>
        </w:tc>
        <w:tc>
          <w:tcPr>
            <w:tcW w:w="875"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0.4</w:t>
            </w:r>
          </w:p>
        </w:tc>
        <w:tc>
          <w:tcPr>
            <w:tcW w:w="1043"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1.17</w:t>
            </w:r>
          </w:p>
        </w:tc>
        <w:tc>
          <w:tcPr>
            <w:tcW w:w="1198"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0.10</w:t>
            </w:r>
          </w:p>
        </w:tc>
        <w:tc>
          <w:tcPr>
            <w:tcW w:w="1104"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0.20</w:t>
            </w:r>
          </w:p>
        </w:tc>
        <w:tc>
          <w:tcPr>
            <w:tcW w:w="1313"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1.37</w:t>
            </w:r>
          </w:p>
        </w:tc>
      </w:tr>
      <w:tr>
        <w:tblPrEx>
          <w:tblCellMar>
            <w:top w:w="0" w:type="dxa"/>
            <w:left w:w="0" w:type="dxa"/>
            <w:bottom w:w="0" w:type="dxa"/>
            <w:right w:w="0" w:type="dxa"/>
          </w:tblCellMar>
        </w:tblPrEx>
        <w:trPr>
          <w:trHeight w:val="440" w:hRule="exact"/>
        </w:trPr>
        <w:tc>
          <w:tcPr>
            <w:tcW w:w="506"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16</w:t>
            </w:r>
          </w:p>
        </w:tc>
        <w:tc>
          <w:tcPr>
            <w:tcW w:w="1944"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微动力+人工湿地</w:t>
            </w:r>
          </w:p>
        </w:tc>
        <w:tc>
          <w:tcPr>
            <w:tcW w:w="874"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30</w:t>
            </w:r>
          </w:p>
        </w:tc>
        <w:tc>
          <w:tcPr>
            <w:tcW w:w="583"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11</w:t>
            </w:r>
          </w:p>
        </w:tc>
        <w:tc>
          <w:tcPr>
            <w:tcW w:w="875"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0.4</w:t>
            </w:r>
          </w:p>
        </w:tc>
        <w:tc>
          <w:tcPr>
            <w:tcW w:w="1043"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4.82</w:t>
            </w:r>
          </w:p>
        </w:tc>
        <w:tc>
          <w:tcPr>
            <w:tcW w:w="1198"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0.10</w:t>
            </w:r>
          </w:p>
        </w:tc>
        <w:tc>
          <w:tcPr>
            <w:tcW w:w="1104"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1.10</w:t>
            </w:r>
          </w:p>
        </w:tc>
        <w:tc>
          <w:tcPr>
            <w:tcW w:w="1313"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5.92</w:t>
            </w:r>
          </w:p>
        </w:tc>
      </w:tr>
      <w:tr>
        <w:tblPrEx>
          <w:tblCellMar>
            <w:top w:w="0" w:type="dxa"/>
            <w:left w:w="0" w:type="dxa"/>
            <w:bottom w:w="0" w:type="dxa"/>
            <w:right w:w="0" w:type="dxa"/>
          </w:tblCellMar>
        </w:tblPrEx>
        <w:trPr>
          <w:trHeight w:val="440" w:hRule="exact"/>
        </w:trPr>
        <w:tc>
          <w:tcPr>
            <w:tcW w:w="506"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17</w:t>
            </w:r>
          </w:p>
        </w:tc>
        <w:tc>
          <w:tcPr>
            <w:tcW w:w="1944"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微动力+人工湿地</w:t>
            </w:r>
          </w:p>
        </w:tc>
        <w:tc>
          <w:tcPr>
            <w:tcW w:w="874"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20</w:t>
            </w:r>
          </w:p>
        </w:tc>
        <w:tc>
          <w:tcPr>
            <w:tcW w:w="583"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29</w:t>
            </w:r>
          </w:p>
        </w:tc>
        <w:tc>
          <w:tcPr>
            <w:tcW w:w="875"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0.4</w:t>
            </w:r>
          </w:p>
        </w:tc>
        <w:tc>
          <w:tcPr>
            <w:tcW w:w="1043"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8.47</w:t>
            </w:r>
          </w:p>
        </w:tc>
        <w:tc>
          <w:tcPr>
            <w:tcW w:w="1198"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0.10</w:t>
            </w:r>
          </w:p>
        </w:tc>
        <w:tc>
          <w:tcPr>
            <w:tcW w:w="1104"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2.90</w:t>
            </w:r>
          </w:p>
        </w:tc>
        <w:tc>
          <w:tcPr>
            <w:tcW w:w="1313"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11.37</w:t>
            </w:r>
          </w:p>
        </w:tc>
      </w:tr>
      <w:tr>
        <w:tblPrEx>
          <w:tblCellMar>
            <w:top w:w="0" w:type="dxa"/>
            <w:left w:w="0" w:type="dxa"/>
            <w:bottom w:w="0" w:type="dxa"/>
            <w:right w:w="0" w:type="dxa"/>
          </w:tblCellMar>
        </w:tblPrEx>
        <w:trPr>
          <w:trHeight w:val="440" w:hRule="exact"/>
        </w:trPr>
        <w:tc>
          <w:tcPr>
            <w:tcW w:w="506"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18</w:t>
            </w:r>
          </w:p>
        </w:tc>
        <w:tc>
          <w:tcPr>
            <w:tcW w:w="1944"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微动力+人工湿地</w:t>
            </w:r>
          </w:p>
        </w:tc>
        <w:tc>
          <w:tcPr>
            <w:tcW w:w="874"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10</w:t>
            </w:r>
          </w:p>
        </w:tc>
        <w:tc>
          <w:tcPr>
            <w:tcW w:w="583"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72</w:t>
            </w:r>
          </w:p>
        </w:tc>
        <w:tc>
          <w:tcPr>
            <w:tcW w:w="875"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0.4</w:t>
            </w:r>
          </w:p>
        </w:tc>
        <w:tc>
          <w:tcPr>
            <w:tcW w:w="1043"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10.51</w:t>
            </w:r>
          </w:p>
        </w:tc>
        <w:tc>
          <w:tcPr>
            <w:tcW w:w="1198"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0.10</w:t>
            </w:r>
          </w:p>
        </w:tc>
        <w:tc>
          <w:tcPr>
            <w:tcW w:w="1104"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7.20</w:t>
            </w:r>
          </w:p>
        </w:tc>
        <w:tc>
          <w:tcPr>
            <w:tcW w:w="1313"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17.71</w:t>
            </w:r>
          </w:p>
        </w:tc>
      </w:tr>
      <w:tr>
        <w:tblPrEx>
          <w:tblCellMar>
            <w:top w:w="0" w:type="dxa"/>
            <w:left w:w="0" w:type="dxa"/>
            <w:bottom w:w="0" w:type="dxa"/>
            <w:right w:w="0" w:type="dxa"/>
          </w:tblCellMar>
        </w:tblPrEx>
        <w:trPr>
          <w:trHeight w:val="440" w:hRule="exact"/>
        </w:trPr>
        <w:tc>
          <w:tcPr>
            <w:tcW w:w="506"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19</w:t>
            </w:r>
          </w:p>
        </w:tc>
        <w:tc>
          <w:tcPr>
            <w:tcW w:w="1944"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微动力+人工湿地</w:t>
            </w:r>
          </w:p>
        </w:tc>
        <w:tc>
          <w:tcPr>
            <w:tcW w:w="874"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5</w:t>
            </w:r>
          </w:p>
        </w:tc>
        <w:tc>
          <w:tcPr>
            <w:tcW w:w="583"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53</w:t>
            </w:r>
          </w:p>
        </w:tc>
        <w:tc>
          <w:tcPr>
            <w:tcW w:w="875"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0.4</w:t>
            </w:r>
          </w:p>
        </w:tc>
        <w:tc>
          <w:tcPr>
            <w:tcW w:w="1043"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3.87</w:t>
            </w:r>
          </w:p>
        </w:tc>
        <w:tc>
          <w:tcPr>
            <w:tcW w:w="1198"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0.10</w:t>
            </w:r>
          </w:p>
        </w:tc>
        <w:tc>
          <w:tcPr>
            <w:tcW w:w="1104"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5.30</w:t>
            </w:r>
          </w:p>
        </w:tc>
        <w:tc>
          <w:tcPr>
            <w:tcW w:w="1313"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9.17</w:t>
            </w:r>
          </w:p>
        </w:tc>
      </w:tr>
      <w:tr>
        <w:tblPrEx>
          <w:tblCellMar>
            <w:top w:w="0" w:type="dxa"/>
            <w:left w:w="0" w:type="dxa"/>
            <w:bottom w:w="0" w:type="dxa"/>
            <w:right w:w="0" w:type="dxa"/>
          </w:tblCellMar>
        </w:tblPrEx>
        <w:trPr>
          <w:trHeight w:val="440" w:hRule="exact"/>
        </w:trPr>
        <w:tc>
          <w:tcPr>
            <w:tcW w:w="506"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20</w:t>
            </w:r>
          </w:p>
        </w:tc>
        <w:tc>
          <w:tcPr>
            <w:tcW w:w="1944"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微动力+稳定塘</w:t>
            </w:r>
          </w:p>
        </w:tc>
        <w:tc>
          <w:tcPr>
            <w:tcW w:w="874"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20</w:t>
            </w:r>
          </w:p>
        </w:tc>
        <w:tc>
          <w:tcPr>
            <w:tcW w:w="583"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w:t>
            </w:r>
          </w:p>
        </w:tc>
        <w:tc>
          <w:tcPr>
            <w:tcW w:w="875"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0.4</w:t>
            </w:r>
          </w:p>
        </w:tc>
        <w:tc>
          <w:tcPr>
            <w:tcW w:w="1043"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0.29</w:t>
            </w:r>
          </w:p>
        </w:tc>
        <w:tc>
          <w:tcPr>
            <w:tcW w:w="1198"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0.10</w:t>
            </w:r>
          </w:p>
        </w:tc>
        <w:tc>
          <w:tcPr>
            <w:tcW w:w="1104"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0.10</w:t>
            </w:r>
          </w:p>
        </w:tc>
        <w:tc>
          <w:tcPr>
            <w:tcW w:w="1313"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0.39</w:t>
            </w:r>
          </w:p>
        </w:tc>
      </w:tr>
      <w:tr>
        <w:tblPrEx>
          <w:tblCellMar>
            <w:top w:w="0" w:type="dxa"/>
            <w:left w:w="0" w:type="dxa"/>
            <w:bottom w:w="0" w:type="dxa"/>
            <w:right w:w="0" w:type="dxa"/>
          </w:tblCellMar>
        </w:tblPrEx>
        <w:trPr>
          <w:trHeight w:val="440" w:hRule="exact"/>
        </w:trPr>
        <w:tc>
          <w:tcPr>
            <w:tcW w:w="506"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21</w:t>
            </w:r>
          </w:p>
        </w:tc>
        <w:tc>
          <w:tcPr>
            <w:tcW w:w="1944"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微动力+稳定塘</w:t>
            </w:r>
          </w:p>
        </w:tc>
        <w:tc>
          <w:tcPr>
            <w:tcW w:w="874"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10</w:t>
            </w:r>
          </w:p>
        </w:tc>
        <w:tc>
          <w:tcPr>
            <w:tcW w:w="583"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6</w:t>
            </w:r>
          </w:p>
        </w:tc>
        <w:tc>
          <w:tcPr>
            <w:tcW w:w="875"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0.4</w:t>
            </w:r>
          </w:p>
        </w:tc>
        <w:tc>
          <w:tcPr>
            <w:tcW w:w="1043"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0.88</w:t>
            </w:r>
          </w:p>
        </w:tc>
        <w:tc>
          <w:tcPr>
            <w:tcW w:w="1198"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0.10</w:t>
            </w:r>
          </w:p>
        </w:tc>
        <w:tc>
          <w:tcPr>
            <w:tcW w:w="1104"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0.60</w:t>
            </w:r>
          </w:p>
        </w:tc>
        <w:tc>
          <w:tcPr>
            <w:tcW w:w="1313"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1.48</w:t>
            </w:r>
          </w:p>
        </w:tc>
      </w:tr>
      <w:tr>
        <w:tblPrEx>
          <w:tblCellMar>
            <w:top w:w="0" w:type="dxa"/>
            <w:left w:w="0" w:type="dxa"/>
            <w:bottom w:w="0" w:type="dxa"/>
            <w:right w:w="0" w:type="dxa"/>
          </w:tblCellMar>
        </w:tblPrEx>
        <w:trPr>
          <w:trHeight w:val="440" w:hRule="exact"/>
        </w:trPr>
        <w:tc>
          <w:tcPr>
            <w:tcW w:w="506"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22</w:t>
            </w:r>
          </w:p>
        </w:tc>
        <w:tc>
          <w:tcPr>
            <w:tcW w:w="1944"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微动力+稳定塘</w:t>
            </w:r>
          </w:p>
        </w:tc>
        <w:tc>
          <w:tcPr>
            <w:tcW w:w="874"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5</w:t>
            </w:r>
          </w:p>
        </w:tc>
        <w:tc>
          <w:tcPr>
            <w:tcW w:w="583"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w:t>
            </w:r>
          </w:p>
        </w:tc>
        <w:tc>
          <w:tcPr>
            <w:tcW w:w="875"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0.4</w:t>
            </w:r>
          </w:p>
        </w:tc>
        <w:tc>
          <w:tcPr>
            <w:tcW w:w="1043"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0.15</w:t>
            </w:r>
          </w:p>
        </w:tc>
        <w:tc>
          <w:tcPr>
            <w:tcW w:w="1198"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0.10</w:t>
            </w:r>
          </w:p>
        </w:tc>
        <w:tc>
          <w:tcPr>
            <w:tcW w:w="1104"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0.20</w:t>
            </w:r>
          </w:p>
        </w:tc>
        <w:tc>
          <w:tcPr>
            <w:tcW w:w="1313"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0.35</w:t>
            </w:r>
          </w:p>
        </w:tc>
      </w:tr>
      <w:tr>
        <w:tblPrEx>
          <w:tblCellMar>
            <w:top w:w="0" w:type="dxa"/>
            <w:left w:w="0" w:type="dxa"/>
            <w:bottom w:w="0" w:type="dxa"/>
            <w:right w:w="0" w:type="dxa"/>
          </w:tblCellMar>
        </w:tblPrEx>
        <w:trPr>
          <w:trHeight w:val="440" w:hRule="exact"/>
        </w:trPr>
        <w:tc>
          <w:tcPr>
            <w:tcW w:w="506"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23</w:t>
            </w:r>
          </w:p>
        </w:tc>
        <w:tc>
          <w:tcPr>
            <w:tcW w:w="1944"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厌氧+人工湿地</w:t>
            </w:r>
          </w:p>
        </w:tc>
        <w:tc>
          <w:tcPr>
            <w:tcW w:w="874"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30</w:t>
            </w:r>
          </w:p>
        </w:tc>
        <w:tc>
          <w:tcPr>
            <w:tcW w:w="583"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w:t>
            </w:r>
          </w:p>
        </w:tc>
        <w:tc>
          <w:tcPr>
            <w:tcW w:w="875"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0.4</w:t>
            </w:r>
          </w:p>
        </w:tc>
        <w:tc>
          <w:tcPr>
            <w:tcW w:w="1043"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0.88</w:t>
            </w:r>
          </w:p>
        </w:tc>
        <w:tc>
          <w:tcPr>
            <w:tcW w:w="1198"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0.10</w:t>
            </w:r>
          </w:p>
        </w:tc>
        <w:tc>
          <w:tcPr>
            <w:tcW w:w="1104"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0.20</w:t>
            </w:r>
          </w:p>
        </w:tc>
        <w:tc>
          <w:tcPr>
            <w:tcW w:w="1313"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1.08</w:t>
            </w:r>
          </w:p>
        </w:tc>
      </w:tr>
      <w:tr>
        <w:tblPrEx>
          <w:tblCellMar>
            <w:top w:w="0" w:type="dxa"/>
            <w:left w:w="0" w:type="dxa"/>
            <w:bottom w:w="0" w:type="dxa"/>
            <w:right w:w="0" w:type="dxa"/>
          </w:tblCellMar>
        </w:tblPrEx>
        <w:trPr>
          <w:trHeight w:val="440" w:hRule="exact"/>
        </w:trPr>
        <w:tc>
          <w:tcPr>
            <w:tcW w:w="506"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24</w:t>
            </w:r>
          </w:p>
        </w:tc>
        <w:tc>
          <w:tcPr>
            <w:tcW w:w="1944"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厌氧+人工湿地</w:t>
            </w:r>
          </w:p>
        </w:tc>
        <w:tc>
          <w:tcPr>
            <w:tcW w:w="874"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20</w:t>
            </w:r>
          </w:p>
        </w:tc>
        <w:tc>
          <w:tcPr>
            <w:tcW w:w="583"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w:t>
            </w:r>
          </w:p>
        </w:tc>
        <w:tc>
          <w:tcPr>
            <w:tcW w:w="875"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0.4</w:t>
            </w:r>
          </w:p>
        </w:tc>
        <w:tc>
          <w:tcPr>
            <w:tcW w:w="1043"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0.88</w:t>
            </w:r>
          </w:p>
        </w:tc>
        <w:tc>
          <w:tcPr>
            <w:tcW w:w="1198"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0.10</w:t>
            </w:r>
          </w:p>
        </w:tc>
        <w:tc>
          <w:tcPr>
            <w:tcW w:w="1104"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0.30</w:t>
            </w:r>
          </w:p>
        </w:tc>
        <w:tc>
          <w:tcPr>
            <w:tcW w:w="1313"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1.18</w:t>
            </w:r>
          </w:p>
        </w:tc>
      </w:tr>
      <w:tr>
        <w:tblPrEx>
          <w:tblCellMar>
            <w:top w:w="0" w:type="dxa"/>
            <w:left w:w="0" w:type="dxa"/>
            <w:bottom w:w="0" w:type="dxa"/>
            <w:right w:w="0" w:type="dxa"/>
          </w:tblCellMar>
        </w:tblPrEx>
        <w:trPr>
          <w:trHeight w:val="440" w:hRule="exact"/>
        </w:trPr>
        <w:tc>
          <w:tcPr>
            <w:tcW w:w="506"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25</w:t>
            </w:r>
          </w:p>
        </w:tc>
        <w:tc>
          <w:tcPr>
            <w:tcW w:w="1944"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厌氧+人工湿地</w:t>
            </w:r>
          </w:p>
        </w:tc>
        <w:tc>
          <w:tcPr>
            <w:tcW w:w="874"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10</w:t>
            </w:r>
          </w:p>
        </w:tc>
        <w:tc>
          <w:tcPr>
            <w:tcW w:w="583"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70</w:t>
            </w:r>
          </w:p>
        </w:tc>
        <w:tc>
          <w:tcPr>
            <w:tcW w:w="875"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0.4</w:t>
            </w:r>
          </w:p>
        </w:tc>
        <w:tc>
          <w:tcPr>
            <w:tcW w:w="1043"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10.22</w:t>
            </w:r>
          </w:p>
        </w:tc>
        <w:tc>
          <w:tcPr>
            <w:tcW w:w="1198"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0.10</w:t>
            </w:r>
          </w:p>
        </w:tc>
        <w:tc>
          <w:tcPr>
            <w:tcW w:w="1104"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7.00</w:t>
            </w:r>
          </w:p>
        </w:tc>
        <w:tc>
          <w:tcPr>
            <w:tcW w:w="1313"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17.22</w:t>
            </w:r>
          </w:p>
        </w:tc>
      </w:tr>
      <w:tr>
        <w:tblPrEx>
          <w:tblCellMar>
            <w:top w:w="0" w:type="dxa"/>
            <w:left w:w="0" w:type="dxa"/>
            <w:bottom w:w="0" w:type="dxa"/>
            <w:right w:w="0" w:type="dxa"/>
          </w:tblCellMar>
        </w:tblPrEx>
        <w:trPr>
          <w:trHeight w:val="440" w:hRule="exact"/>
        </w:trPr>
        <w:tc>
          <w:tcPr>
            <w:tcW w:w="506"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26</w:t>
            </w:r>
          </w:p>
        </w:tc>
        <w:tc>
          <w:tcPr>
            <w:tcW w:w="1944"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厌氧+人工湿地</w:t>
            </w:r>
          </w:p>
        </w:tc>
        <w:tc>
          <w:tcPr>
            <w:tcW w:w="874"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5</w:t>
            </w:r>
          </w:p>
        </w:tc>
        <w:tc>
          <w:tcPr>
            <w:tcW w:w="583"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73</w:t>
            </w:r>
          </w:p>
        </w:tc>
        <w:tc>
          <w:tcPr>
            <w:tcW w:w="875"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0.4</w:t>
            </w:r>
          </w:p>
        </w:tc>
        <w:tc>
          <w:tcPr>
            <w:tcW w:w="1043"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5.33</w:t>
            </w:r>
          </w:p>
        </w:tc>
        <w:tc>
          <w:tcPr>
            <w:tcW w:w="1198"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0.10</w:t>
            </w:r>
          </w:p>
        </w:tc>
        <w:tc>
          <w:tcPr>
            <w:tcW w:w="1104"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7.30</w:t>
            </w:r>
          </w:p>
        </w:tc>
        <w:tc>
          <w:tcPr>
            <w:tcW w:w="1313"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12.63</w:t>
            </w:r>
          </w:p>
        </w:tc>
      </w:tr>
      <w:tr>
        <w:tblPrEx>
          <w:tblCellMar>
            <w:top w:w="0" w:type="dxa"/>
            <w:left w:w="0" w:type="dxa"/>
            <w:bottom w:w="0" w:type="dxa"/>
            <w:right w:w="0" w:type="dxa"/>
          </w:tblCellMar>
        </w:tblPrEx>
        <w:trPr>
          <w:trHeight w:val="440" w:hRule="exact"/>
        </w:trPr>
        <w:tc>
          <w:tcPr>
            <w:tcW w:w="506"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27</w:t>
            </w:r>
          </w:p>
        </w:tc>
        <w:tc>
          <w:tcPr>
            <w:tcW w:w="1944"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厌氧+稳定塘</w:t>
            </w:r>
          </w:p>
        </w:tc>
        <w:tc>
          <w:tcPr>
            <w:tcW w:w="874"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5</w:t>
            </w:r>
          </w:p>
        </w:tc>
        <w:tc>
          <w:tcPr>
            <w:tcW w:w="583"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w:t>
            </w:r>
          </w:p>
        </w:tc>
        <w:tc>
          <w:tcPr>
            <w:tcW w:w="875"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0.4</w:t>
            </w:r>
          </w:p>
        </w:tc>
        <w:tc>
          <w:tcPr>
            <w:tcW w:w="1043"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0.07</w:t>
            </w:r>
          </w:p>
        </w:tc>
        <w:tc>
          <w:tcPr>
            <w:tcW w:w="1198"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0.10</w:t>
            </w:r>
          </w:p>
        </w:tc>
        <w:tc>
          <w:tcPr>
            <w:tcW w:w="1104"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0.10</w:t>
            </w:r>
          </w:p>
        </w:tc>
        <w:tc>
          <w:tcPr>
            <w:tcW w:w="1313"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0.17</w:t>
            </w:r>
          </w:p>
        </w:tc>
      </w:tr>
      <w:tr>
        <w:tblPrEx>
          <w:tblCellMar>
            <w:top w:w="0" w:type="dxa"/>
            <w:left w:w="0" w:type="dxa"/>
            <w:bottom w:w="0" w:type="dxa"/>
            <w:right w:w="0" w:type="dxa"/>
          </w:tblCellMar>
        </w:tblPrEx>
        <w:trPr>
          <w:trHeight w:val="440" w:hRule="exact"/>
        </w:trPr>
        <w:tc>
          <w:tcPr>
            <w:tcW w:w="506"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28</w:t>
            </w:r>
          </w:p>
        </w:tc>
        <w:tc>
          <w:tcPr>
            <w:tcW w:w="1944"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厌氧+稳定塘</w:t>
            </w:r>
          </w:p>
        </w:tc>
        <w:tc>
          <w:tcPr>
            <w:tcW w:w="874"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10</w:t>
            </w:r>
          </w:p>
        </w:tc>
        <w:tc>
          <w:tcPr>
            <w:tcW w:w="583"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w:t>
            </w:r>
          </w:p>
        </w:tc>
        <w:tc>
          <w:tcPr>
            <w:tcW w:w="875"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0.4</w:t>
            </w:r>
          </w:p>
        </w:tc>
        <w:tc>
          <w:tcPr>
            <w:tcW w:w="1043"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0.44</w:t>
            </w:r>
          </w:p>
        </w:tc>
        <w:tc>
          <w:tcPr>
            <w:tcW w:w="1198"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0.10</w:t>
            </w:r>
          </w:p>
        </w:tc>
        <w:tc>
          <w:tcPr>
            <w:tcW w:w="1104"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0.30</w:t>
            </w:r>
          </w:p>
        </w:tc>
        <w:tc>
          <w:tcPr>
            <w:tcW w:w="1313"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0.74</w:t>
            </w:r>
          </w:p>
        </w:tc>
      </w:tr>
      <w:tr>
        <w:tblPrEx>
          <w:tblCellMar>
            <w:top w:w="0" w:type="dxa"/>
            <w:left w:w="0" w:type="dxa"/>
            <w:bottom w:w="0" w:type="dxa"/>
            <w:right w:w="0" w:type="dxa"/>
          </w:tblCellMar>
        </w:tblPrEx>
        <w:trPr>
          <w:trHeight w:val="440" w:hRule="exact"/>
        </w:trPr>
        <w:tc>
          <w:tcPr>
            <w:tcW w:w="506"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29</w:t>
            </w:r>
          </w:p>
        </w:tc>
        <w:tc>
          <w:tcPr>
            <w:tcW w:w="1944"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厌氧+稳定塘</w:t>
            </w:r>
          </w:p>
        </w:tc>
        <w:tc>
          <w:tcPr>
            <w:tcW w:w="874"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20</w:t>
            </w:r>
          </w:p>
        </w:tc>
        <w:tc>
          <w:tcPr>
            <w:tcW w:w="583"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w:t>
            </w:r>
          </w:p>
        </w:tc>
        <w:tc>
          <w:tcPr>
            <w:tcW w:w="875"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0.4</w:t>
            </w:r>
          </w:p>
        </w:tc>
        <w:tc>
          <w:tcPr>
            <w:tcW w:w="1043"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0.58</w:t>
            </w:r>
          </w:p>
        </w:tc>
        <w:tc>
          <w:tcPr>
            <w:tcW w:w="1198"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0.10</w:t>
            </w:r>
          </w:p>
        </w:tc>
        <w:tc>
          <w:tcPr>
            <w:tcW w:w="1104"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0.20</w:t>
            </w:r>
          </w:p>
        </w:tc>
        <w:tc>
          <w:tcPr>
            <w:tcW w:w="1313"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0.78</w:t>
            </w:r>
          </w:p>
        </w:tc>
      </w:tr>
      <w:tr>
        <w:tblPrEx>
          <w:tblCellMar>
            <w:top w:w="0" w:type="dxa"/>
            <w:left w:w="0" w:type="dxa"/>
            <w:bottom w:w="0" w:type="dxa"/>
            <w:right w:w="0" w:type="dxa"/>
          </w:tblCellMar>
        </w:tblPrEx>
        <w:trPr>
          <w:trHeight w:val="451" w:hRule="exact"/>
        </w:trPr>
        <w:tc>
          <w:tcPr>
            <w:tcW w:w="506"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p>
        </w:tc>
        <w:tc>
          <w:tcPr>
            <w:tcW w:w="1944"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合计</w:t>
            </w:r>
          </w:p>
        </w:tc>
        <w:tc>
          <w:tcPr>
            <w:tcW w:w="874"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p>
        </w:tc>
        <w:tc>
          <w:tcPr>
            <w:tcW w:w="583"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423</w:t>
            </w:r>
          </w:p>
        </w:tc>
        <w:tc>
          <w:tcPr>
            <w:tcW w:w="875"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p>
        </w:tc>
        <w:tc>
          <w:tcPr>
            <w:tcW w:w="1043"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146.66</w:t>
            </w:r>
          </w:p>
        </w:tc>
        <w:tc>
          <w:tcPr>
            <w:tcW w:w="1198"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p>
        </w:tc>
        <w:tc>
          <w:tcPr>
            <w:tcW w:w="1104"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42.30</w:t>
            </w:r>
          </w:p>
        </w:tc>
        <w:tc>
          <w:tcPr>
            <w:tcW w:w="1313" w:type="dxa"/>
            <w:tcBorders>
              <w:top w:val="single" w:color="000000" w:sz="2" w:space="0"/>
              <w:left w:val="single" w:color="000000" w:sz="2" w:space="0"/>
              <w:bottom w:val="single" w:color="000000" w:sz="2" w:space="0"/>
              <w:right w:val="single" w:color="000000" w:sz="2"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188.96</w:t>
            </w:r>
          </w:p>
        </w:tc>
      </w:tr>
    </w:tbl>
    <w:p>
      <w:pPr>
        <w:spacing w:line="360" w:lineRule="auto"/>
        <w:jc w:val="center"/>
        <w:rPr>
          <w:rFonts w:ascii="黑体" w:hAnsi="黑体" w:eastAsia="黑体" w:cs="黑体"/>
          <w:b/>
          <w:bCs/>
          <w:sz w:val="22"/>
          <w:szCs w:val="22"/>
        </w:rPr>
      </w:pPr>
    </w:p>
    <w:p>
      <w:pPr>
        <w:spacing w:line="360" w:lineRule="auto"/>
        <w:rPr>
          <w:rFonts w:ascii="黑体" w:hAnsi="黑体" w:eastAsia="黑体" w:cs="黑体"/>
          <w:b/>
          <w:bCs/>
          <w:sz w:val="30"/>
          <w:szCs w:val="30"/>
        </w:rPr>
      </w:pPr>
      <w:r>
        <w:rPr>
          <w:rFonts w:hint="eastAsia" w:ascii="黑体" w:hAnsi="黑体" w:eastAsia="黑体" w:cs="黑体"/>
          <w:b/>
          <w:bCs/>
          <w:sz w:val="30"/>
          <w:szCs w:val="30"/>
        </w:rPr>
        <w:t>6.4  资金筹措</w:t>
      </w:r>
    </w:p>
    <w:p>
      <w:pPr>
        <w:spacing w:line="360" w:lineRule="auto"/>
        <w:ind w:firstLine="440" w:firstLineChars="200"/>
        <w:jc w:val="left"/>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农村生活污水治理设施建设和运营属于特殊专业领域，政府财政无法全部承担，也无法实现长效运行。必须按照“政府扶持、社会参与、农户自筹”的资金筹措原则，建立健全社会参与和农户自筹相结合的资金筹措机制，积极拓宽融资渠道，采取多元投资、多方参与的方式筹措建设与运维经费。</w:t>
      </w:r>
    </w:p>
    <w:p>
      <w:pPr>
        <w:spacing w:line="360" w:lineRule="auto"/>
        <w:ind w:firstLine="442" w:firstLineChars="200"/>
        <w:jc w:val="left"/>
        <w:rPr>
          <w:rFonts w:asciiTheme="majorEastAsia" w:hAnsiTheme="majorEastAsia" w:eastAsiaTheme="majorEastAsia" w:cstheme="majorEastAsia"/>
          <w:b/>
          <w:bCs/>
          <w:sz w:val="22"/>
          <w:szCs w:val="22"/>
        </w:rPr>
      </w:pPr>
      <w:r>
        <w:rPr>
          <w:rFonts w:hint="eastAsia" w:asciiTheme="majorEastAsia" w:hAnsiTheme="majorEastAsia" w:eastAsiaTheme="majorEastAsia" w:cstheme="majorEastAsia"/>
          <w:b/>
          <w:bCs/>
          <w:sz w:val="22"/>
          <w:szCs w:val="22"/>
        </w:rPr>
        <w:t>（1）增加财政预算资金投入</w:t>
      </w:r>
    </w:p>
    <w:p>
      <w:pPr>
        <w:spacing w:line="360" w:lineRule="auto"/>
        <w:ind w:firstLine="440" w:firstLineChars="200"/>
        <w:jc w:val="left"/>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各级政府在财政方面加大对农村生活污水治理设施建设方面的投入力度，拓宽财政支持来源。将农村生活污水治理项目优先纳入国民经济社会发展计划，按照建立公共财政的要求，把农村生活污水治理设施建设及运维资金纳入年度财政预算，设立农村污水治理专项资金，且保证逐年有所增长。</w:t>
      </w:r>
    </w:p>
    <w:p>
      <w:pPr>
        <w:spacing w:line="360" w:lineRule="auto"/>
        <w:ind w:firstLine="442" w:firstLineChars="200"/>
        <w:jc w:val="left"/>
        <w:rPr>
          <w:rFonts w:asciiTheme="majorEastAsia" w:hAnsiTheme="majorEastAsia" w:eastAsiaTheme="majorEastAsia" w:cstheme="majorEastAsia"/>
          <w:b/>
          <w:bCs/>
          <w:sz w:val="22"/>
          <w:szCs w:val="22"/>
        </w:rPr>
      </w:pPr>
      <w:r>
        <w:rPr>
          <w:rFonts w:hint="eastAsia" w:asciiTheme="majorEastAsia" w:hAnsiTheme="majorEastAsia" w:eastAsiaTheme="majorEastAsia" w:cstheme="majorEastAsia"/>
          <w:b/>
          <w:bCs/>
          <w:sz w:val="22"/>
          <w:szCs w:val="22"/>
        </w:rPr>
        <w:t>（2）积极争取中央环保专项资金和涉农资金</w:t>
      </w:r>
    </w:p>
    <w:p>
      <w:pPr>
        <w:spacing w:line="360" w:lineRule="auto"/>
        <w:ind w:firstLine="440" w:firstLineChars="200"/>
        <w:jc w:val="left"/>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充分利用国家环境保护和生态建设方面相关财政专项资金，积极主动地创造条件，配套地方资金，有序地安排农村生活污水治理项目的申报，争取国家专项资金补助；加大涉农资金整合力度， 争取涉农财政资金向农村生活污水治理倾斜。</w:t>
      </w:r>
    </w:p>
    <w:p>
      <w:pPr>
        <w:spacing w:line="360" w:lineRule="auto"/>
        <w:ind w:firstLine="442" w:firstLineChars="200"/>
        <w:jc w:val="left"/>
        <w:rPr>
          <w:rFonts w:asciiTheme="majorEastAsia" w:hAnsiTheme="majorEastAsia" w:eastAsiaTheme="majorEastAsia" w:cstheme="majorEastAsia"/>
          <w:sz w:val="22"/>
          <w:szCs w:val="22"/>
        </w:rPr>
      </w:pPr>
      <w:r>
        <w:rPr>
          <w:rFonts w:hint="eastAsia" w:asciiTheme="majorEastAsia" w:hAnsiTheme="majorEastAsia" w:eastAsiaTheme="majorEastAsia" w:cstheme="majorEastAsia"/>
          <w:b/>
          <w:bCs/>
          <w:sz w:val="22"/>
          <w:szCs w:val="22"/>
        </w:rPr>
        <w:t>（3）鼓励社会资金投入</w:t>
      </w:r>
    </w:p>
    <w:p>
      <w:pPr>
        <w:spacing w:line="360" w:lineRule="auto"/>
        <w:ind w:firstLine="440" w:firstLineChars="200"/>
        <w:jc w:val="left"/>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鼓励和引导企业、社会团体、个人等社会力量，通过投资、捐助、认建等形式，参与农村生活污水治理设施建设；鼓励各类社会资金投入环保事业，加强引导和规范管理，采用BOT、TOT、PPP等各种适合地区特点的融资模式；发挥政策性金融机构作用，加大信贷资金支持力度，筹集农村生活污水设施建设经费。</w:t>
      </w:r>
    </w:p>
    <w:p>
      <w:pPr>
        <w:spacing w:line="360" w:lineRule="auto"/>
        <w:ind w:firstLine="442" w:firstLineChars="200"/>
        <w:jc w:val="left"/>
        <w:rPr>
          <w:rFonts w:asciiTheme="majorEastAsia" w:hAnsiTheme="majorEastAsia" w:eastAsiaTheme="majorEastAsia" w:cstheme="majorEastAsia"/>
          <w:b/>
          <w:bCs/>
          <w:sz w:val="22"/>
          <w:szCs w:val="22"/>
        </w:rPr>
      </w:pPr>
      <w:r>
        <w:rPr>
          <w:rFonts w:hint="eastAsia" w:asciiTheme="majorEastAsia" w:hAnsiTheme="majorEastAsia" w:eastAsiaTheme="majorEastAsia" w:cstheme="majorEastAsia"/>
          <w:b/>
          <w:bCs/>
          <w:sz w:val="22"/>
          <w:szCs w:val="22"/>
        </w:rPr>
        <w:t>（4）探索农村生活污水收费制度</w:t>
      </w:r>
    </w:p>
    <w:p>
      <w:pPr>
        <w:spacing w:line="360" w:lineRule="auto"/>
        <w:ind w:firstLine="440" w:firstLineChars="200"/>
        <w:jc w:val="left"/>
        <w:rPr>
          <w:rFonts w:ascii="黑体" w:hAnsi="黑体" w:eastAsia="黑体" w:cs="黑体"/>
          <w:b/>
          <w:bCs/>
          <w:sz w:val="22"/>
          <w:szCs w:val="22"/>
        </w:rPr>
      </w:pPr>
      <w:r>
        <w:rPr>
          <w:rFonts w:hint="eastAsia" w:asciiTheme="majorEastAsia" w:hAnsiTheme="majorEastAsia" w:eastAsiaTheme="majorEastAsia" w:cstheme="majorEastAsia"/>
          <w:sz w:val="22"/>
          <w:szCs w:val="22"/>
        </w:rPr>
        <w:t>对使用自来水的农户将污水处理费用纳入自来水价中；对采用纳管处理模式、集中治理达标排放模式、分散治理达标排放模式的自供水农户按户或用水量支付污水治理费用，逐步实现受益农户 污水治理付费制度。对于不同收入阶层的居民承受能力问题，采用级差和累进收费的办法来解决， 特困家庭由政府对其实行调价补贴，以确保低收入居民的生活稳定</w:t>
      </w:r>
      <w:r>
        <w:rPr>
          <w:rFonts w:hint="eastAsia" w:ascii="黑体" w:hAnsi="黑体" w:eastAsia="黑体" w:cs="黑体"/>
          <w:b/>
          <w:bCs/>
          <w:sz w:val="22"/>
          <w:szCs w:val="22"/>
        </w:rPr>
        <w:t>。</w:t>
      </w:r>
    </w:p>
    <w:p>
      <w:pPr>
        <w:spacing w:line="360" w:lineRule="auto"/>
        <w:jc w:val="left"/>
        <w:rPr>
          <w:rFonts w:ascii="黑体" w:hAnsi="黑体" w:eastAsia="黑体" w:cs="黑体"/>
          <w:b/>
          <w:bCs/>
          <w:sz w:val="22"/>
          <w:szCs w:val="22"/>
        </w:rPr>
      </w:pPr>
    </w:p>
    <w:p>
      <w:pPr>
        <w:spacing w:line="360" w:lineRule="auto"/>
        <w:jc w:val="left"/>
        <w:rPr>
          <w:rFonts w:ascii="黑体" w:hAnsi="黑体" w:eastAsia="黑体" w:cs="黑体"/>
          <w:b/>
          <w:bCs/>
          <w:sz w:val="22"/>
          <w:szCs w:val="22"/>
        </w:rPr>
      </w:pPr>
    </w:p>
    <w:p>
      <w:pPr>
        <w:spacing w:line="360" w:lineRule="auto"/>
        <w:jc w:val="left"/>
        <w:rPr>
          <w:rFonts w:ascii="黑体" w:hAnsi="黑体" w:eastAsia="黑体" w:cs="黑体"/>
          <w:b/>
          <w:bCs/>
          <w:sz w:val="22"/>
          <w:szCs w:val="22"/>
        </w:rPr>
      </w:pPr>
    </w:p>
    <w:p>
      <w:pPr>
        <w:spacing w:line="360" w:lineRule="auto"/>
        <w:jc w:val="left"/>
        <w:rPr>
          <w:rFonts w:ascii="黑体" w:hAnsi="黑体" w:eastAsia="黑体" w:cs="黑体"/>
          <w:b/>
          <w:bCs/>
          <w:sz w:val="22"/>
          <w:szCs w:val="22"/>
        </w:rPr>
      </w:pPr>
    </w:p>
    <w:p>
      <w:pPr>
        <w:spacing w:line="360" w:lineRule="auto"/>
        <w:jc w:val="center"/>
        <w:rPr>
          <w:rFonts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第7章  环境效益分析</w:t>
      </w:r>
    </w:p>
    <w:p>
      <w:pPr>
        <w:spacing w:line="360" w:lineRule="auto"/>
        <w:rPr>
          <w:rFonts w:ascii="黑体" w:hAnsi="黑体" w:eastAsia="黑体" w:cs="黑体"/>
          <w:sz w:val="30"/>
          <w:szCs w:val="30"/>
        </w:rPr>
      </w:pPr>
    </w:p>
    <w:p>
      <w:pPr>
        <w:spacing w:line="360" w:lineRule="auto"/>
        <w:rPr>
          <w:rFonts w:ascii="黑体" w:hAnsi="黑体" w:eastAsia="黑体" w:cs="黑体"/>
          <w:b/>
          <w:bCs/>
          <w:sz w:val="30"/>
          <w:szCs w:val="30"/>
        </w:rPr>
      </w:pPr>
      <w:r>
        <w:rPr>
          <w:rFonts w:hint="eastAsia" w:ascii="黑体" w:hAnsi="黑体" w:eastAsia="黑体" w:cs="黑体"/>
          <w:b/>
          <w:bCs/>
          <w:sz w:val="30"/>
          <w:szCs w:val="30"/>
        </w:rPr>
        <w:t>7.1  环境效益分析</w:t>
      </w:r>
    </w:p>
    <w:p>
      <w:pPr>
        <w:spacing w:line="360" w:lineRule="auto"/>
        <w:ind w:firstLine="440" w:firstLineChars="200"/>
        <w:jc w:val="left"/>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通过规划的实施，桃源县农村生活污水将得到有效治理，改善生活污水四处漫流现象，项目区 的生态环境质量将得到明显的改善，生态宜居水平提高，饮用水源得到有效保护，并减少对沅江污 染物的排放量。</w:t>
      </w:r>
    </w:p>
    <w:p>
      <w:pPr>
        <w:spacing w:line="360" w:lineRule="auto"/>
        <w:ind w:firstLine="440" w:firstLineChars="200"/>
        <w:jc w:val="left"/>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项目建成后可大幅减少CODCr、BOD5、SS、NH3-N、TN、TP等污染物的排放。项目的环境效益显著，可大幅改善项目区内的环境污染现象，改善农民的卫生条件和生活环境，具有重要的现实意义。</w:t>
      </w:r>
    </w:p>
    <w:p>
      <w:pPr>
        <w:spacing w:line="360" w:lineRule="auto"/>
        <w:rPr>
          <w:rFonts w:ascii="黑体" w:hAnsi="黑体" w:eastAsia="黑体" w:cs="黑体"/>
          <w:b/>
          <w:bCs/>
          <w:sz w:val="30"/>
          <w:szCs w:val="30"/>
        </w:rPr>
      </w:pPr>
      <w:r>
        <w:rPr>
          <w:rFonts w:hint="eastAsia" w:ascii="黑体" w:hAnsi="黑体" w:eastAsia="黑体" w:cs="黑体"/>
          <w:b/>
          <w:bCs/>
          <w:sz w:val="30"/>
          <w:szCs w:val="30"/>
        </w:rPr>
        <w:t>7.2  社会效益分析</w:t>
      </w:r>
    </w:p>
    <w:p>
      <w:pPr>
        <w:spacing w:line="360" w:lineRule="auto"/>
        <w:ind w:firstLine="442" w:firstLineChars="200"/>
        <w:jc w:val="left"/>
        <w:rPr>
          <w:rFonts w:asciiTheme="majorEastAsia" w:hAnsiTheme="majorEastAsia" w:eastAsiaTheme="majorEastAsia" w:cstheme="majorEastAsia"/>
          <w:b/>
          <w:bCs/>
          <w:sz w:val="22"/>
          <w:szCs w:val="22"/>
        </w:rPr>
      </w:pPr>
      <w:r>
        <w:rPr>
          <w:rFonts w:hint="eastAsia" w:asciiTheme="majorEastAsia" w:hAnsiTheme="majorEastAsia" w:eastAsiaTheme="majorEastAsia" w:cstheme="majorEastAsia"/>
          <w:b/>
          <w:bCs/>
          <w:sz w:val="22"/>
          <w:szCs w:val="22"/>
        </w:rPr>
        <w:t>（1）提升生态意识，树立科学发展观</w:t>
      </w:r>
    </w:p>
    <w:p>
      <w:pPr>
        <w:spacing w:line="360" w:lineRule="auto"/>
        <w:ind w:firstLine="440" w:firstLineChars="200"/>
        <w:jc w:val="left"/>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通过加强生态宣传教育，培养村民生态意识，让村民在项目实施中得到实惠，促使村民逐步形</w:t>
      </w:r>
    </w:p>
    <w:p>
      <w:pPr>
        <w:spacing w:line="360" w:lineRule="auto"/>
        <w:jc w:val="left"/>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成更加符合生态理念的价值观念、思维模式、行为准则，树立起全面、协调、可持续的发展观。</w:t>
      </w:r>
    </w:p>
    <w:p>
      <w:pPr>
        <w:spacing w:line="360" w:lineRule="auto"/>
        <w:ind w:firstLine="442" w:firstLineChars="200"/>
        <w:jc w:val="left"/>
        <w:rPr>
          <w:rFonts w:asciiTheme="majorEastAsia" w:hAnsiTheme="majorEastAsia" w:eastAsiaTheme="majorEastAsia" w:cstheme="majorEastAsia"/>
          <w:b/>
          <w:bCs/>
          <w:sz w:val="22"/>
          <w:szCs w:val="22"/>
        </w:rPr>
      </w:pPr>
      <w:r>
        <w:rPr>
          <w:rFonts w:hint="eastAsia" w:asciiTheme="majorEastAsia" w:hAnsiTheme="majorEastAsia" w:eastAsiaTheme="majorEastAsia" w:cstheme="majorEastAsia"/>
          <w:b/>
          <w:bCs/>
          <w:sz w:val="22"/>
          <w:szCs w:val="22"/>
        </w:rPr>
        <w:t>（2）提高村民生活质量，保障村民健康生活</w:t>
      </w:r>
    </w:p>
    <w:p>
      <w:pPr>
        <w:spacing w:line="360" w:lineRule="auto"/>
        <w:ind w:firstLine="440" w:firstLineChars="200"/>
        <w:jc w:val="left"/>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通过规划的实施，将完善项目区基础设施建设、改善村容村貌的，显著提高项目区群众的生活水平和质量，打造山更绿、水更清、天更蓝的优美乡村，为村民缔造一个桃园环境，保障村民的生 产生活井然有序、健康安心。</w:t>
      </w:r>
    </w:p>
    <w:p>
      <w:pPr>
        <w:spacing w:line="360" w:lineRule="auto"/>
        <w:ind w:firstLine="442" w:firstLineChars="200"/>
        <w:jc w:val="left"/>
        <w:rPr>
          <w:rFonts w:asciiTheme="majorEastAsia" w:hAnsiTheme="majorEastAsia" w:eastAsiaTheme="majorEastAsia" w:cstheme="majorEastAsia"/>
          <w:b/>
          <w:bCs/>
          <w:sz w:val="22"/>
          <w:szCs w:val="22"/>
        </w:rPr>
      </w:pPr>
      <w:r>
        <w:rPr>
          <w:rFonts w:hint="eastAsia" w:asciiTheme="majorEastAsia" w:hAnsiTheme="majorEastAsia" w:eastAsiaTheme="majorEastAsia" w:cstheme="majorEastAsia"/>
          <w:b/>
          <w:bCs/>
          <w:sz w:val="22"/>
          <w:szCs w:val="22"/>
        </w:rPr>
        <w:t>（3）发挥示范效应，促进区域社会经济发展</w:t>
      </w:r>
    </w:p>
    <w:p>
      <w:pPr>
        <w:spacing w:line="360" w:lineRule="auto"/>
        <w:ind w:firstLine="440" w:firstLineChars="200"/>
        <w:jc w:val="left"/>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规划的实施，将有效改善项目区农村的水质、生态及人居环境，并有效辐射周边乡镇，势必对当地影响产生积极影响，促进区域社会经济发展。</w:t>
      </w:r>
    </w:p>
    <w:p>
      <w:pPr>
        <w:spacing w:line="360" w:lineRule="auto"/>
        <w:ind w:firstLine="442" w:firstLineChars="200"/>
        <w:jc w:val="left"/>
        <w:rPr>
          <w:rFonts w:asciiTheme="majorEastAsia" w:hAnsiTheme="majorEastAsia" w:eastAsiaTheme="majorEastAsia" w:cstheme="majorEastAsia"/>
          <w:b/>
          <w:bCs/>
          <w:sz w:val="22"/>
          <w:szCs w:val="22"/>
        </w:rPr>
      </w:pPr>
      <w:r>
        <w:rPr>
          <w:rFonts w:hint="eastAsia" w:asciiTheme="majorEastAsia" w:hAnsiTheme="majorEastAsia" w:eastAsiaTheme="majorEastAsia" w:cstheme="majorEastAsia"/>
          <w:b/>
          <w:bCs/>
          <w:sz w:val="22"/>
          <w:szCs w:val="22"/>
        </w:rPr>
        <w:t>（4）强化生态行为，形成公众参与机制</w:t>
      </w:r>
    </w:p>
    <w:p>
      <w:pPr>
        <w:spacing w:line="360" w:lineRule="auto"/>
        <w:ind w:firstLine="440" w:firstLineChars="200"/>
        <w:jc w:val="left"/>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通过规划的实施，教育和引导村民按照可持续发展的要求，约束自己的生产、生活方式，将使</w:t>
      </w:r>
    </w:p>
    <w:p>
      <w:pPr>
        <w:spacing w:line="360" w:lineRule="auto"/>
        <w:jc w:val="left"/>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村民逐步改变不适合环保要求的生活和生产方式，积极推行生态行为。通过制定公众参与的保障措 施、鼓励政策，让村民了解自己的环保权力，使村民逐步形成对农村生态保护与可持续利用的监督、 生产、资源开发与维护等各个环节的普遍关注与积极参与，提高村民在自然资源开发、农业开发项 目决策方面的参与主动性。</w:t>
      </w:r>
    </w:p>
    <w:p>
      <w:pPr>
        <w:spacing w:line="360" w:lineRule="auto"/>
        <w:ind w:firstLine="440" w:firstLineChars="200"/>
        <w:jc w:val="left"/>
        <w:rPr>
          <w:rFonts w:asciiTheme="majorEastAsia" w:hAnsiTheme="majorEastAsia" w:eastAsiaTheme="majorEastAsia" w:cstheme="majorEastAsia"/>
          <w:sz w:val="22"/>
          <w:szCs w:val="22"/>
        </w:rPr>
      </w:pPr>
    </w:p>
    <w:p>
      <w:pPr>
        <w:spacing w:line="360" w:lineRule="auto"/>
        <w:rPr>
          <w:rFonts w:ascii="黑体" w:hAnsi="黑体" w:eastAsia="黑体" w:cs="黑体"/>
          <w:b/>
          <w:bCs/>
          <w:sz w:val="30"/>
          <w:szCs w:val="30"/>
        </w:rPr>
      </w:pPr>
      <w:r>
        <w:rPr>
          <w:rFonts w:hint="eastAsia" w:ascii="黑体" w:hAnsi="黑体" w:eastAsia="黑体" w:cs="黑体"/>
          <w:b/>
          <w:bCs/>
          <w:sz w:val="30"/>
          <w:szCs w:val="30"/>
        </w:rPr>
        <w:t>7.3  经济效益分析</w:t>
      </w:r>
    </w:p>
    <w:p>
      <w:pPr>
        <w:spacing w:line="360" w:lineRule="auto"/>
        <w:ind w:firstLine="440" w:firstLineChars="200"/>
        <w:jc w:val="left"/>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农村生活污水治理属于公益性项目，因此效益主要体现在社会效益方面，而经济效益则体现在 潜在经济效益方面。</w:t>
      </w:r>
    </w:p>
    <w:p>
      <w:pPr>
        <w:spacing w:line="360" w:lineRule="auto"/>
        <w:ind w:firstLine="440" w:firstLineChars="200"/>
        <w:jc w:val="left"/>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桃源县农村生活污水治理规划的实施，能促进区内社会环境的进一步稳定，带动地区的建设和 发展，使城乡面貌迅速改观，也有利于进一步引导区域用地布局，创造良好城乡风貌，积累基础设 施建设资金，加快经济发展速度，推动城乡进程、土地开发、旅游业、服务业及加工业的发展，使 国民经济、城镇建设和社会各项事业得到持续发展。</w:t>
      </w:r>
    </w:p>
    <w:p>
      <w:pPr>
        <w:spacing w:line="360" w:lineRule="auto"/>
        <w:ind w:firstLine="440" w:firstLineChars="200"/>
        <w:jc w:val="left"/>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同时，规划的实施将对地方水系的保护有着广泛的影响，把社会经济发展与环境保护目标协调 好，将给地方的经济带来巨大的益处，如促进渔业养殖业的生产，减少疾病，从而降低医药费开支， 提高乡村健康卫生水平等。</w:t>
      </w:r>
    </w:p>
    <w:p>
      <w:pPr>
        <w:spacing w:line="360" w:lineRule="auto"/>
        <w:jc w:val="center"/>
        <w:rPr>
          <w:rFonts w:ascii="黑体" w:hAnsi="黑体" w:eastAsia="黑体" w:cs="黑体"/>
          <w:b/>
          <w:bCs/>
          <w:sz w:val="22"/>
          <w:szCs w:val="22"/>
        </w:rPr>
      </w:pPr>
    </w:p>
    <w:p>
      <w:pPr>
        <w:spacing w:line="360" w:lineRule="auto"/>
        <w:jc w:val="center"/>
        <w:rPr>
          <w:rFonts w:ascii="黑体" w:hAnsi="黑体" w:eastAsia="黑体" w:cs="黑体"/>
          <w:b/>
          <w:bCs/>
          <w:sz w:val="22"/>
          <w:szCs w:val="22"/>
        </w:rPr>
      </w:pPr>
    </w:p>
    <w:p>
      <w:pPr>
        <w:spacing w:line="360" w:lineRule="auto"/>
        <w:jc w:val="center"/>
        <w:rPr>
          <w:rFonts w:ascii="黑体" w:hAnsi="黑体" w:eastAsia="黑体" w:cs="黑体"/>
          <w:b/>
          <w:bCs/>
          <w:sz w:val="22"/>
          <w:szCs w:val="22"/>
        </w:rPr>
      </w:pPr>
    </w:p>
    <w:p>
      <w:pPr>
        <w:spacing w:line="360" w:lineRule="auto"/>
        <w:jc w:val="center"/>
        <w:rPr>
          <w:rFonts w:ascii="黑体" w:hAnsi="黑体" w:eastAsia="黑体" w:cs="黑体"/>
          <w:b/>
          <w:bCs/>
          <w:sz w:val="22"/>
          <w:szCs w:val="22"/>
        </w:rPr>
      </w:pPr>
    </w:p>
    <w:p>
      <w:pPr>
        <w:spacing w:line="360" w:lineRule="auto"/>
        <w:jc w:val="center"/>
        <w:rPr>
          <w:rFonts w:ascii="黑体" w:hAnsi="黑体" w:eastAsia="黑体" w:cs="黑体"/>
          <w:b/>
          <w:bCs/>
          <w:sz w:val="22"/>
          <w:szCs w:val="22"/>
        </w:rPr>
      </w:pPr>
    </w:p>
    <w:p>
      <w:pPr>
        <w:spacing w:line="360" w:lineRule="auto"/>
        <w:jc w:val="center"/>
        <w:rPr>
          <w:rFonts w:ascii="黑体" w:hAnsi="黑体" w:eastAsia="黑体" w:cs="黑体"/>
          <w:b/>
          <w:bCs/>
          <w:sz w:val="22"/>
          <w:szCs w:val="22"/>
        </w:rPr>
      </w:pPr>
    </w:p>
    <w:p>
      <w:pPr>
        <w:spacing w:line="360" w:lineRule="auto"/>
        <w:jc w:val="center"/>
        <w:rPr>
          <w:rFonts w:ascii="黑体" w:hAnsi="黑体" w:eastAsia="黑体" w:cs="黑体"/>
          <w:b/>
          <w:bCs/>
          <w:sz w:val="22"/>
          <w:szCs w:val="22"/>
        </w:rPr>
      </w:pPr>
    </w:p>
    <w:p>
      <w:pPr>
        <w:spacing w:line="360" w:lineRule="auto"/>
        <w:jc w:val="center"/>
        <w:rPr>
          <w:rFonts w:ascii="黑体" w:hAnsi="黑体" w:eastAsia="黑体" w:cs="黑体"/>
          <w:b/>
          <w:bCs/>
          <w:sz w:val="22"/>
          <w:szCs w:val="22"/>
        </w:rPr>
      </w:pPr>
    </w:p>
    <w:p>
      <w:pPr>
        <w:spacing w:line="360" w:lineRule="auto"/>
        <w:jc w:val="center"/>
        <w:rPr>
          <w:rFonts w:ascii="黑体" w:hAnsi="黑体" w:eastAsia="黑体" w:cs="黑体"/>
          <w:b/>
          <w:bCs/>
          <w:sz w:val="22"/>
          <w:szCs w:val="22"/>
        </w:rPr>
      </w:pPr>
    </w:p>
    <w:p>
      <w:pPr>
        <w:spacing w:line="360" w:lineRule="auto"/>
        <w:jc w:val="center"/>
        <w:rPr>
          <w:rFonts w:ascii="黑体" w:hAnsi="黑体" w:eastAsia="黑体" w:cs="黑体"/>
          <w:b/>
          <w:bCs/>
          <w:sz w:val="22"/>
          <w:szCs w:val="22"/>
        </w:rPr>
      </w:pPr>
    </w:p>
    <w:p>
      <w:pPr>
        <w:spacing w:line="360" w:lineRule="auto"/>
        <w:jc w:val="center"/>
        <w:rPr>
          <w:rFonts w:ascii="黑体" w:hAnsi="黑体" w:eastAsia="黑体" w:cs="黑体"/>
          <w:b/>
          <w:bCs/>
          <w:sz w:val="22"/>
          <w:szCs w:val="22"/>
        </w:rPr>
      </w:pPr>
    </w:p>
    <w:p>
      <w:pPr>
        <w:spacing w:line="360" w:lineRule="auto"/>
        <w:jc w:val="center"/>
        <w:rPr>
          <w:rFonts w:ascii="黑体" w:hAnsi="黑体" w:eastAsia="黑体" w:cs="黑体"/>
          <w:b/>
          <w:bCs/>
          <w:sz w:val="22"/>
          <w:szCs w:val="22"/>
        </w:rPr>
      </w:pPr>
    </w:p>
    <w:p>
      <w:pPr>
        <w:spacing w:line="360" w:lineRule="auto"/>
        <w:jc w:val="center"/>
        <w:rPr>
          <w:rFonts w:ascii="黑体" w:hAnsi="黑体" w:eastAsia="黑体" w:cs="黑体"/>
          <w:b/>
          <w:bCs/>
          <w:sz w:val="22"/>
          <w:szCs w:val="22"/>
        </w:rPr>
      </w:pPr>
    </w:p>
    <w:p>
      <w:pPr>
        <w:spacing w:line="360" w:lineRule="auto"/>
        <w:jc w:val="center"/>
        <w:rPr>
          <w:rFonts w:ascii="黑体" w:hAnsi="黑体" w:eastAsia="黑体" w:cs="黑体"/>
          <w:b/>
          <w:bCs/>
          <w:sz w:val="22"/>
          <w:szCs w:val="22"/>
        </w:rPr>
      </w:pPr>
    </w:p>
    <w:p>
      <w:pPr>
        <w:spacing w:line="360" w:lineRule="auto"/>
        <w:jc w:val="center"/>
        <w:rPr>
          <w:rFonts w:ascii="黑体" w:hAnsi="黑体" w:eastAsia="黑体" w:cs="黑体"/>
          <w:b/>
          <w:bCs/>
          <w:sz w:val="22"/>
          <w:szCs w:val="22"/>
        </w:rPr>
      </w:pPr>
    </w:p>
    <w:p>
      <w:pPr>
        <w:spacing w:line="360" w:lineRule="auto"/>
        <w:jc w:val="center"/>
        <w:rPr>
          <w:rFonts w:ascii="黑体" w:hAnsi="黑体" w:eastAsia="黑体" w:cs="黑体"/>
          <w:b/>
          <w:bCs/>
          <w:sz w:val="22"/>
          <w:szCs w:val="22"/>
        </w:rPr>
      </w:pPr>
    </w:p>
    <w:p>
      <w:pPr>
        <w:spacing w:line="360" w:lineRule="auto"/>
        <w:jc w:val="center"/>
        <w:rPr>
          <w:rFonts w:ascii="黑体" w:hAnsi="黑体" w:eastAsia="黑体" w:cs="黑体"/>
          <w:b/>
          <w:bCs/>
          <w:sz w:val="22"/>
          <w:szCs w:val="22"/>
        </w:rPr>
      </w:pPr>
    </w:p>
    <w:p>
      <w:pPr>
        <w:spacing w:line="360" w:lineRule="auto"/>
        <w:jc w:val="center"/>
        <w:rPr>
          <w:rFonts w:ascii="黑体" w:hAnsi="黑体" w:eastAsia="黑体" w:cs="黑体"/>
          <w:b/>
          <w:bCs/>
          <w:sz w:val="22"/>
          <w:szCs w:val="22"/>
        </w:rPr>
      </w:pPr>
    </w:p>
    <w:p>
      <w:pPr>
        <w:spacing w:line="360" w:lineRule="auto"/>
        <w:jc w:val="center"/>
        <w:rPr>
          <w:rFonts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第8章</w:t>
      </w:r>
      <w:r>
        <w:rPr>
          <w:rFonts w:hint="eastAsia" w:asciiTheme="majorEastAsia" w:hAnsiTheme="majorEastAsia" w:eastAsiaTheme="majorEastAsia" w:cstheme="majorEastAsia"/>
          <w:b/>
          <w:bCs/>
          <w:sz w:val="44"/>
          <w:szCs w:val="44"/>
        </w:rPr>
        <w:tab/>
      </w:r>
      <w:r>
        <w:rPr>
          <w:rFonts w:hint="eastAsia" w:asciiTheme="majorEastAsia" w:hAnsiTheme="majorEastAsia" w:eastAsiaTheme="majorEastAsia" w:cstheme="majorEastAsia"/>
          <w:b/>
          <w:bCs/>
          <w:sz w:val="44"/>
          <w:szCs w:val="44"/>
        </w:rPr>
        <w:t>保障措施</w:t>
      </w:r>
    </w:p>
    <w:p>
      <w:pPr>
        <w:spacing w:line="360" w:lineRule="auto"/>
        <w:rPr>
          <w:rFonts w:ascii="黑体" w:hAnsi="黑体" w:eastAsia="黑体" w:cs="黑体"/>
          <w:sz w:val="30"/>
          <w:szCs w:val="30"/>
        </w:rPr>
      </w:pPr>
    </w:p>
    <w:p>
      <w:pPr>
        <w:spacing w:line="520" w:lineRule="exact"/>
        <w:rPr>
          <w:rFonts w:ascii="黑体" w:hAnsi="黑体" w:eastAsia="黑体" w:cs="黑体"/>
          <w:b/>
          <w:bCs/>
          <w:sz w:val="30"/>
          <w:szCs w:val="30"/>
        </w:rPr>
      </w:pPr>
      <w:r>
        <w:rPr>
          <w:rFonts w:hint="eastAsia" w:ascii="黑体" w:hAnsi="黑体" w:eastAsia="黑体" w:cs="黑体"/>
          <w:b/>
          <w:bCs/>
          <w:sz w:val="30"/>
          <w:szCs w:val="30"/>
        </w:rPr>
        <w:t>8.1  组织保障</w:t>
      </w:r>
    </w:p>
    <w:p>
      <w:pPr>
        <w:spacing w:line="520" w:lineRule="exact"/>
        <w:ind w:firstLine="440" w:firstLineChars="200"/>
        <w:jc w:val="left"/>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落实以县级政府为责任主体，乡镇（街道）为管理主体，村组织为落实主体，农户为受益主体</w:t>
      </w:r>
    </w:p>
    <w:p>
      <w:pPr>
        <w:spacing w:line="520" w:lineRule="exact"/>
        <w:jc w:val="left"/>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以及运维机构为服务主体的五位一体的区域农村生活污水治理设施运维管理体系。细化各职能部门 分工，建立目标责任制，健全考核机制。继续深化相关建设与运维管理的政策、文件、办法的落实， 明确权利，落实责任，齐抓共管，确保生活污水处理工作扎实推进。</w:t>
      </w:r>
    </w:p>
    <w:p>
      <w:pPr>
        <w:spacing w:line="520" w:lineRule="exact"/>
        <w:ind w:firstLine="440" w:firstLineChars="200"/>
        <w:jc w:val="left"/>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从项目的建设、施工、验收等全方位落实管理体系，制定设施运行维护管理办法和考核办法， 对全县设施运行维护管理工作进行指导、监督和考核，并对治理后排放的水质进行监督。加强设计 图纸审查与施工监督力度，将问题消灭在建设过程中，缩短建设到移交运维周期，各部门通力合作， 为设施达标、出水达标提供有力保障。</w:t>
      </w:r>
    </w:p>
    <w:p>
      <w:pPr>
        <w:spacing w:line="520" w:lineRule="exact"/>
        <w:rPr>
          <w:rFonts w:ascii="黑体" w:hAnsi="黑体" w:eastAsia="黑体" w:cs="黑体"/>
          <w:b/>
          <w:bCs/>
          <w:sz w:val="30"/>
          <w:szCs w:val="30"/>
        </w:rPr>
      </w:pPr>
      <w:r>
        <w:rPr>
          <w:rFonts w:hint="eastAsia" w:ascii="黑体" w:hAnsi="黑体" w:eastAsia="黑体" w:cs="黑体"/>
          <w:b/>
          <w:bCs/>
          <w:sz w:val="30"/>
          <w:szCs w:val="30"/>
        </w:rPr>
        <w:t>8.2  资金保障</w:t>
      </w:r>
    </w:p>
    <w:p>
      <w:pPr>
        <w:spacing w:line="520" w:lineRule="exact"/>
        <w:ind w:firstLine="440" w:firstLineChars="200"/>
        <w:jc w:val="left"/>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农村生活污水专项治理工程量大、投资高，单独依靠任何一个方面都难以完全解决资金缺口的 问题，应积极拓宽融资渠道，采取多元投资、多方参与等方式筹措建设资金。各级财政应加大对乡 镇污水处理设施建设的扶持力度，设立农村污水处理专项资金，建设及运维资金纳入年度财政预算， 并积极申请省、市相关经费补助，同时鼓励引导和支持企业、社会团体、个人等社会力量，通过投 资、捐助、认建等形式，参与农村生活污水治理设施建设与改造。</w:t>
      </w:r>
    </w:p>
    <w:p>
      <w:pPr>
        <w:spacing w:line="520" w:lineRule="exact"/>
        <w:ind w:firstLine="440" w:firstLineChars="200"/>
        <w:jc w:val="left"/>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项目在资金管理上严格按照国家的规定执行，实行专人管理、专户贮存、专帐核算。严格财经 纪律，加强对项目资金的监管力度，按项目计划和施工进度投放资金，坚持执行资金跟着项目走的 原则，确保资金的专款专用。</w:t>
      </w:r>
    </w:p>
    <w:p>
      <w:pPr>
        <w:spacing w:line="520" w:lineRule="exact"/>
        <w:rPr>
          <w:rFonts w:ascii="黑体" w:hAnsi="黑体" w:eastAsia="黑体" w:cs="黑体"/>
          <w:b/>
          <w:bCs/>
          <w:sz w:val="30"/>
          <w:szCs w:val="30"/>
        </w:rPr>
      </w:pPr>
      <w:r>
        <w:rPr>
          <w:rFonts w:hint="eastAsia" w:ascii="黑体" w:hAnsi="黑体" w:eastAsia="黑体" w:cs="黑体"/>
          <w:b/>
          <w:bCs/>
          <w:sz w:val="30"/>
          <w:szCs w:val="30"/>
        </w:rPr>
        <w:t>8.3  技术保障</w:t>
      </w:r>
    </w:p>
    <w:p>
      <w:pPr>
        <w:spacing w:line="520" w:lineRule="exact"/>
        <w:ind w:firstLine="440" w:firstLineChars="200"/>
        <w:jc w:val="left"/>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农村生活污水治理设施的建设、改造方案应严把审核关，组织专家会审，并结合桃源县农村实 际情况，按方案高标准实施建设。施工招标阶段应通过公开招标选用有工程经验的施工单位进行施 工。建成后的农村生活污水治理设施应当组织专业技术人员按标准进行专项验收，“验收合格一批， 移交接收一批”。农村污水处理设施运行管理应该交付给有经验单位，并配备运维总工程师，水处</w:t>
      </w:r>
    </w:p>
    <w:p>
      <w:pPr>
        <w:spacing w:line="360" w:lineRule="auto"/>
        <w:jc w:val="left"/>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理专家，统筹各工艺运行终端的技术维护管理，及时制定水质超标处理方案，定期开展农村生活污</w:t>
      </w:r>
    </w:p>
    <w:p>
      <w:pPr>
        <w:spacing w:line="360" w:lineRule="auto"/>
        <w:jc w:val="left"/>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水治理设施的运维管理培训。建立物联网平台，实现实时掌握现场数据，对所有污水站点基础信息 档案进行管理，站点水质水量、设施管理人员、基础信息等资料均可在物联网平台软件中进行查询， 并在PC及手机端进行直观展现。</w:t>
      </w:r>
    </w:p>
    <w:p>
      <w:pPr>
        <w:spacing w:line="360" w:lineRule="auto"/>
        <w:ind w:firstLine="440" w:firstLineChars="200"/>
        <w:jc w:val="left"/>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加强与其他县市的交流学习，与国内外知名院校和科研机构合作。同时，加强对本地施工队伍的培训，引进装备化的技术工艺，避免由于人员素质导致的施工质量问题。开展针对桃源县污水处理设施运行管理中普遍性问题的技术公关和示范，并通过示范工程进行新技术的推广。为桃源县的农村生活污水治理工程建设提供技术保障。</w:t>
      </w:r>
    </w:p>
    <w:p>
      <w:pPr>
        <w:spacing w:line="360" w:lineRule="auto"/>
        <w:rPr>
          <w:rFonts w:ascii="黑体" w:hAnsi="黑体" w:eastAsia="黑体" w:cs="黑体"/>
          <w:b/>
          <w:bCs/>
          <w:sz w:val="30"/>
          <w:szCs w:val="30"/>
        </w:rPr>
      </w:pPr>
      <w:r>
        <w:rPr>
          <w:rFonts w:hint="eastAsia" w:ascii="黑体" w:hAnsi="黑体" w:eastAsia="黑体" w:cs="黑体"/>
          <w:b/>
          <w:bCs/>
          <w:sz w:val="30"/>
          <w:szCs w:val="30"/>
        </w:rPr>
        <w:t>8.4  建设质量保障</w:t>
      </w:r>
    </w:p>
    <w:p>
      <w:pPr>
        <w:spacing w:line="360" w:lineRule="auto"/>
        <w:ind w:firstLine="440" w:firstLineChars="200"/>
        <w:jc w:val="left"/>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加强农村生活污水治理设施建设的设计、用材、施工、竣工过程中的质量控制，加强监督管理。 确定农村生活污水治理设施竣工与运维移交准则，切实树立起“质量是工程建设生命”的理念，严 把工程建设每一个环节的质量关。</w:t>
      </w:r>
    </w:p>
    <w:p>
      <w:pPr>
        <w:spacing w:line="360" w:lineRule="auto"/>
        <w:rPr>
          <w:rFonts w:ascii="黑体" w:hAnsi="黑体" w:eastAsia="黑体" w:cs="黑体"/>
          <w:b/>
          <w:bCs/>
          <w:sz w:val="30"/>
          <w:szCs w:val="30"/>
        </w:rPr>
      </w:pPr>
      <w:r>
        <w:rPr>
          <w:rFonts w:hint="eastAsia" w:ascii="黑体" w:hAnsi="黑体" w:eastAsia="黑体" w:cs="黑体"/>
          <w:b/>
          <w:bCs/>
          <w:sz w:val="30"/>
          <w:szCs w:val="30"/>
        </w:rPr>
        <w:t>8.5  监管保障</w:t>
      </w:r>
    </w:p>
    <w:p>
      <w:pPr>
        <w:spacing w:line="360" w:lineRule="auto"/>
        <w:ind w:firstLine="440" w:firstLineChars="200"/>
        <w:jc w:val="left"/>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建立健全督查机制，制定切实可行的考核办法，并建立对第三方运维管理机构运维成效的考核 评价机制，采取定期督查、不定期抽查与重点复查等手段开展运维成效的督查考核。充分利用信息 化管理手段，健全农村生活污水治理设施长效管理绩效考核评价体系。</w:t>
      </w:r>
    </w:p>
    <w:p>
      <w:pPr>
        <w:spacing w:line="360" w:lineRule="auto"/>
        <w:rPr>
          <w:rFonts w:ascii="黑体" w:hAnsi="黑体" w:eastAsia="黑体" w:cs="黑体"/>
          <w:b/>
          <w:bCs/>
          <w:sz w:val="30"/>
          <w:szCs w:val="30"/>
        </w:rPr>
      </w:pPr>
      <w:r>
        <w:rPr>
          <w:rFonts w:hint="eastAsia" w:ascii="黑体" w:hAnsi="黑体" w:eastAsia="黑体" w:cs="黑体"/>
          <w:b/>
          <w:bCs/>
          <w:sz w:val="30"/>
          <w:szCs w:val="30"/>
        </w:rPr>
        <w:t>8.6  公众参与</w:t>
      </w:r>
    </w:p>
    <w:p>
      <w:pPr>
        <w:spacing w:line="360" w:lineRule="auto"/>
        <w:ind w:firstLine="440" w:firstLineChars="200"/>
        <w:jc w:val="left"/>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建立促进全民参与的宣教引导机制。通过电视、广播、报纸、新媒体等手段广泛宣传生活污水 治理的重要性和必要性，增强全社会环保意识，积极发挥农户的主观能动性，实现共建共享，形成 全社会开展生活污水治理的良好氛围。</w:t>
      </w:r>
    </w:p>
    <w:p>
      <w:pPr>
        <w:spacing w:line="360" w:lineRule="auto"/>
        <w:ind w:firstLine="440" w:firstLineChars="200"/>
        <w:jc w:val="left"/>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健全信息公开和监督机制，利用网络、村务公开栏公示等方式公布农村生活污水治理计划、项</w:t>
      </w:r>
    </w:p>
    <w:p>
      <w:pPr>
        <w:spacing w:line="360" w:lineRule="auto"/>
        <w:jc w:val="left"/>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目建设、资金使用等信息，接受农民群众和社会的监督。各实施村要明确不少于1名村级监督员， 并将监督员名单予以公布；各乡镇（街道）可邀请人大代表，政协委员、党员代表、村代表和社会 组织进行监督，参与工程管理各个环节，构筑全方位、多层次、立体式的监督体系。</w:t>
      </w:r>
    </w:p>
    <w:sectPr>
      <w:footerReference r:id="rId3" w:type="default"/>
      <w:pgSz w:w="11906" w:h="16838"/>
      <w:pgMar w:top="1701" w:right="1247" w:bottom="1701" w:left="1247" w:header="851" w:footer="992" w:gutter="0"/>
      <w:pgNumType w:fmt="numberInDash"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ascii="Times New Roman" w:hAnsi="Times New Roman" w:cs="Times New Roman"/>
                              <w:szCs w:val="21"/>
                            </w:rPr>
                            <w:fldChar w:fldCharType="begin"/>
                          </w:r>
                          <w:r>
                            <w:rPr>
                              <w:rFonts w:ascii="Times New Roman" w:hAnsi="Times New Roman" w:cs="Times New Roman"/>
                              <w:szCs w:val="21"/>
                            </w:rPr>
                            <w:instrText xml:space="preserve"> PAGE  \* MERGEFORMAT </w:instrText>
                          </w:r>
                          <w:r>
                            <w:rPr>
                              <w:rFonts w:ascii="Times New Roman" w:hAnsi="Times New Roman" w:cs="Times New Roman"/>
                              <w:szCs w:val="21"/>
                            </w:rPr>
                            <w:fldChar w:fldCharType="separate"/>
                          </w:r>
                          <w:r>
                            <w:rPr>
                              <w:rFonts w:ascii="Times New Roman" w:hAnsi="Times New Roman" w:cs="Times New Roman"/>
                              <w:szCs w:val="21"/>
                            </w:rPr>
                            <w:t>- 15 -</w:t>
                          </w:r>
                          <w:r>
                            <w:rPr>
                              <w:rFonts w:ascii="Times New Roman" w:hAnsi="Times New Roman" w:cs="Times New Roman"/>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pPr>
                      <w:snapToGrid w:val="0"/>
                      <w:rPr>
                        <w:sz w:val="18"/>
                      </w:rPr>
                    </w:pPr>
                    <w:r>
                      <w:rPr>
                        <w:rFonts w:ascii="Times New Roman" w:hAnsi="Times New Roman" w:cs="Times New Roman"/>
                        <w:szCs w:val="21"/>
                      </w:rPr>
                      <w:fldChar w:fldCharType="begin"/>
                    </w:r>
                    <w:r>
                      <w:rPr>
                        <w:rFonts w:ascii="Times New Roman" w:hAnsi="Times New Roman" w:cs="Times New Roman"/>
                        <w:szCs w:val="21"/>
                      </w:rPr>
                      <w:instrText xml:space="preserve"> PAGE  \* MERGEFORMAT </w:instrText>
                    </w:r>
                    <w:r>
                      <w:rPr>
                        <w:rFonts w:ascii="Times New Roman" w:hAnsi="Times New Roman" w:cs="Times New Roman"/>
                        <w:szCs w:val="21"/>
                      </w:rPr>
                      <w:fldChar w:fldCharType="separate"/>
                    </w:r>
                    <w:r>
                      <w:rPr>
                        <w:rFonts w:ascii="Times New Roman" w:hAnsi="Times New Roman" w:cs="Times New Roman"/>
                        <w:szCs w:val="21"/>
                      </w:rPr>
                      <w:t>- 15 -</w:t>
                    </w:r>
                    <w:r>
                      <w:rPr>
                        <w:rFonts w:ascii="Times New Roman" w:hAnsi="Times New Roman" w:cs="Times New Roman"/>
                        <w:szCs w:val="21"/>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9E03CC"/>
    <w:multiLevelType w:val="singleLevel"/>
    <w:tmpl w:val="629E03CC"/>
    <w:lvl w:ilvl="0" w:tentative="0">
      <w:start w:val="4"/>
      <w:numFmt w:val="decimal"/>
      <w:suff w:val="nothing"/>
      <w:lvlText w:val="（%1）"/>
      <w:lvlJc w:val="left"/>
    </w:lvl>
  </w:abstractNum>
  <w:abstractNum w:abstractNumId="1">
    <w:nsid w:val="629E0483"/>
    <w:multiLevelType w:val="singleLevel"/>
    <w:tmpl w:val="629E0483"/>
    <w:lvl w:ilvl="0" w:tentative="0">
      <w:start w:val="1"/>
      <w:numFmt w:val="decimal"/>
      <w:suff w:val="nothing"/>
      <w:lvlText w:val="（%1）"/>
      <w:lvlJc w:val="left"/>
    </w:lvl>
  </w:abstractNum>
  <w:abstractNum w:abstractNumId="2">
    <w:nsid w:val="629F0556"/>
    <w:multiLevelType w:val="singleLevel"/>
    <w:tmpl w:val="629F0556"/>
    <w:lvl w:ilvl="0" w:tentative="0">
      <w:start w:val="3"/>
      <w:numFmt w:val="decimal"/>
      <w:suff w:val="nothing"/>
      <w:lvlText w:val="（%1）"/>
      <w:lvlJc w:val="left"/>
    </w:lvl>
  </w:abstractNum>
  <w:abstractNum w:abstractNumId="3">
    <w:nsid w:val="629F52D4"/>
    <w:multiLevelType w:val="singleLevel"/>
    <w:tmpl w:val="629F52D4"/>
    <w:lvl w:ilvl="0" w:tentative="0">
      <w:start w:val="2"/>
      <w:numFmt w:val="decimal"/>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182513"/>
    <w:rsid w:val="003B6A9C"/>
    <w:rsid w:val="0057409E"/>
    <w:rsid w:val="008D350C"/>
    <w:rsid w:val="00923ED0"/>
    <w:rsid w:val="00A54A66"/>
    <w:rsid w:val="00BD79EF"/>
    <w:rsid w:val="00C22B48"/>
    <w:rsid w:val="00C3275F"/>
    <w:rsid w:val="00D61FCD"/>
    <w:rsid w:val="00DC1023"/>
    <w:rsid w:val="0116333B"/>
    <w:rsid w:val="01683E26"/>
    <w:rsid w:val="016D5E40"/>
    <w:rsid w:val="02413007"/>
    <w:rsid w:val="03E216D7"/>
    <w:rsid w:val="04DB3B8F"/>
    <w:rsid w:val="069C1711"/>
    <w:rsid w:val="07F953E6"/>
    <w:rsid w:val="084F0F62"/>
    <w:rsid w:val="08E92764"/>
    <w:rsid w:val="0A832F09"/>
    <w:rsid w:val="0E8241E5"/>
    <w:rsid w:val="0EE44523"/>
    <w:rsid w:val="10835FAE"/>
    <w:rsid w:val="10D12D1A"/>
    <w:rsid w:val="10D410FB"/>
    <w:rsid w:val="128E7B27"/>
    <w:rsid w:val="12EC1284"/>
    <w:rsid w:val="13BE704D"/>
    <w:rsid w:val="1453410D"/>
    <w:rsid w:val="14634C86"/>
    <w:rsid w:val="15A3147C"/>
    <w:rsid w:val="15D4619E"/>
    <w:rsid w:val="16232CA2"/>
    <w:rsid w:val="16250FB8"/>
    <w:rsid w:val="163301C9"/>
    <w:rsid w:val="16A61D96"/>
    <w:rsid w:val="16C73933"/>
    <w:rsid w:val="1784197E"/>
    <w:rsid w:val="1A025C4A"/>
    <w:rsid w:val="1AFD4ECB"/>
    <w:rsid w:val="1C204511"/>
    <w:rsid w:val="1CD2686A"/>
    <w:rsid w:val="1CE32249"/>
    <w:rsid w:val="1D9E2A6C"/>
    <w:rsid w:val="1F230495"/>
    <w:rsid w:val="1FD22964"/>
    <w:rsid w:val="206707D2"/>
    <w:rsid w:val="21721E07"/>
    <w:rsid w:val="217A61DA"/>
    <w:rsid w:val="22357442"/>
    <w:rsid w:val="223E1511"/>
    <w:rsid w:val="22AC1791"/>
    <w:rsid w:val="23DC131E"/>
    <w:rsid w:val="2581734A"/>
    <w:rsid w:val="25C50749"/>
    <w:rsid w:val="27376C47"/>
    <w:rsid w:val="28D22CE6"/>
    <w:rsid w:val="297954CA"/>
    <w:rsid w:val="2A2C7195"/>
    <w:rsid w:val="2AEA2D36"/>
    <w:rsid w:val="2B5401C8"/>
    <w:rsid w:val="2DD725BA"/>
    <w:rsid w:val="2E4C7B57"/>
    <w:rsid w:val="2FF15131"/>
    <w:rsid w:val="30E97590"/>
    <w:rsid w:val="340462C9"/>
    <w:rsid w:val="35332444"/>
    <w:rsid w:val="368E776F"/>
    <w:rsid w:val="37B6180C"/>
    <w:rsid w:val="3AF16047"/>
    <w:rsid w:val="3D1C4E8C"/>
    <w:rsid w:val="3F117D78"/>
    <w:rsid w:val="3F8D3925"/>
    <w:rsid w:val="3FA45105"/>
    <w:rsid w:val="403F5491"/>
    <w:rsid w:val="412E4F35"/>
    <w:rsid w:val="41E11F1B"/>
    <w:rsid w:val="42084964"/>
    <w:rsid w:val="447811D2"/>
    <w:rsid w:val="44F409B4"/>
    <w:rsid w:val="456B61E2"/>
    <w:rsid w:val="45A94E6F"/>
    <w:rsid w:val="477E77FE"/>
    <w:rsid w:val="481D33C5"/>
    <w:rsid w:val="483451F4"/>
    <w:rsid w:val="48BF2E57"/>
    <w:rsid w:val="48FD1652"/>
    <w:rsid w:val="49B9383F"/>
    <w:rsid w:val="4A8A71D3"/>
    <w:rsid w:val="4AB26D24"/>
    <w:rsid w:val="4B2D65E0"/>
    <w:rsid w:val="4B4413EA"/>
    <w:rsid w:val="4BAF4DBC"/>
    <w:rsid w:val="4C2F5373"/>
    <w:rsid w:val="4D26691C"/>
    <w:rsid w:val="4D2674A7"/>
    <w:rsid w:val="4D8F611E"/>
    <w:rsid w:val="4EBD5EE2"/>
    <w:rsid w:val="4F68755C"/>
    <w:rsid w:val="4FEA295F"/>
    <w:rsid w:val="518115DD"/>
    <w:rsid w:val="5183346E"/>
    <w:rsid w:val="5201520F"/>
    <w:rsid w:val="53A86086"/>
    <w:rsid w:val="53E2650C"/>
    <w:rsid w:val="552256CD"/>
    <w:rsid w:val="569743C8"/>
    <w:rsid w:val="56BC1839"/>
    <w:rsid w:val="56CE0B09"/>
    <w:rsid w:val="58156F1B"/>
    <w:rsid w:val="58984E5A"/>
    <w:rsid w:val="59451AFB"/>
    <w:rsid w:val="5A2C5AED"/>
    <w:rsid w:val="5A617FB9"/>
    <w:rsid w:val="5B483311"/>
    <w:rsid w:val="5BB43DD5"/>
    <w:rsid w:val="5E834CCC"/>
    <w:rsid w:val="5F6538D4"/>
    <w:rsid w:val="5FA7128B"/>
    <w:rsid w:val="600B2714"/>
    <w:rsid w:val="604A5487"/>
    <w:rsid w:val="61587277"/>
    <w:rsid w:val="61C80335"/>
    <w:rsid w:val="62912755"/>
    <w:rsid w:val="62AF6CD6"/>
    <w:rsid w:val="63485BD0"/>
    <w:rsid w:val="653F43DD"/>
    <w:rsid w:val="69D5422A"/>
    <w:rsid w:val="69E20D8C"/>
    <w:rsid w:val="6A513736"/>
    <w:rsid w:val="6A76066D"/>
    <w:rsid w:val="6AEC7470"/>
    <w:rsid w:val="6BA42E0E"/>
    <w:rsid w:val="6C2C73B1"/>
    <w:rsid w:val="6D977693"/>
    <w:rsid w:val="6EDD3384"/>
    <w:rsid w:val="6F432678"/>
    <w:rsid w:val="70081009"/>
    <w:rsid w:val="716107EA"/>
    <w:rsid w:val="7191486B"/>
    <w:rsid w:val="73187705"/>
    <w:rsid w:val="73211198"/>
    <w:rsid w:val="74500D1C"/>
    <w:rsid w:val="74E07790"/>
    <w:rsid w:val="758D1519"/>
    <w:rsid w:val="75D07E88"/>
    <w:rsid w:val="76A11BC7"/>
    <w:rsid w:val="776442A8"/>
    <w:rsid w:val="7993600C"/>
    <w:rsid w:val="7A8D600F"/>
    <w:rsid w:val="7C2A7AFF"/>
    <w:rsid w:val="7D1A6828"/>
    <w:rsid w:val="7D9C33DB"/>
    <w:rsid w:val="7DEC725B"/>
    <w:rsid w:val="7E630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批注框文本 Char"/>
    <w:basedOn w:val="7"/>
    <w:link w:val="2"/>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52</Pages>
  <Words>5741</Words>
  <Characters>32726</Characters>
  <Lines>272</Lines>
  <Paragraphs>76</Paragraphs>
  <TotalTime>48</TotalTime>
  <ScaleCrop>false</ScaleCrop>
  <LinksUpToDate>false</LinksUpToDate>
  <CharactersWithSpaces>38391</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2022-06-06T09:43:00Z</dcterms:created>
  <dc:creator>User</dc:creator>
  <cp:lastModifiedBy>珍惜</cp:lastModifiedBy>
  <dcterms:modified xsi:type="dcterms:W3CDTF">2022-06-30T02:28:03Z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243CFC4A728A4BCEA2EDB5CC7043C62F</vt:lpwstr>
  </property>
</Properties>
</file>