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line="240" w:lineRule="auto"/>
        <w:ind w:right="0"/>
        <w:jc w:val="both"/>
        <w:textAlignment w:val="auto"/>
        <w:outlineLvl w:val="9"/>
        <w:rPr>
          <w:rFonts w:hint="default" w:ascii="Times New Roman" w:hAnsi="Times New Roman" w:eastAsia="黑体" w:cs="Times New Roman"/>
          <w:b w:val="0"/>
          <w:bCs w:val="0"/>
        </w:rPr>
      </w:pPr>
      <w:bookmarkStart w:id="0" w:name="_GoBack"/>
      <w:bookmarkEnd w:id="0"/>
      <w:r>
        <w:rPr>
          <w:rFonts w:hint="default" w:ascii="Times New Roman" w:hAnsi="Times New Roman" w:eastAsia="黑体" w:cs="Times New Roman"/>
          <w:b w:val="0"/>
          <w:bCs w:val="0"/>
        </w:rPr>
        <w:t>附件2：</w:t>
      </w:r>
    </w:p>
    <w:tbl>
      <w:tblPr>
        <w:tblStyle w:val="6"/>
        <w:tblpPr w:leftFromText="180" w:rightFromText="180" w:vertAnchor="text" w:horzAnchor="page" w:tblpXSpec="center" w:tblpY="1504"/>
        <w:tblOverlap w:val="never"/>
        <w:tblW w:w="8793" w:type="dxa"/>
        <w:jc w:val="center"/>
        <w:tblLayout w:type="fixed"/>
        <w:tblCellMar>
          <w:top w:w="0" w:type="dxa"/>
          <w:left w:w="108" w:type="dxa"/>
          <w:bottom w:w="0" w:type="dxa"/>
          <w:right w:w="108" w:type="dxa"/>
        </w:tblCellMar>
      </w:tblPr>
      <w:tblGrid>
        <w:gridCol w:w="710"/>
        <w:gridCol w:w="1495"/>
        <w:gridCol w:w="4849"/>
        <w:gridCol w:w="851"/>
        <w:gridCol w:w="888"/>
      </w:tblGrid>
      <w:tr>
        <w:tblPrEx>
          <w:tblCellMar>
            <w:top w:w="0" w:type="dxa"/>
            <w:left w:w="108" w:type="dxa"/>
            <w:bottom w:w="0" w:type="dxa"/>
            <w:right w:w="108" w:type="dxa"/>
          </w:tblCellMar>
        </w:tblPrEx>
        <w:trPr>
          <w:trHeight w:val="494" w:hRule="atLeast"/>
          <w:jc w:val="center"/>
        </w:trPr>
        <w:tc>
          <w:tcPr>
            <w:tcW w:w="710"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序号</w:t>
            </w:r>
          </w:p>
        </w:tc>
        <w:tc>
          <w:tcPr>
            <w:tcW w:w="1495" w:type="dxa"/>
            <w:tcBorders>
              <w:top w:val="single" w:color="auto" w:sz="8" w:space="0"/>
              <w:left w:val="nil"/>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项目及分值</w:t>
            </w:r>
          </w:p>
        </w:tc>
        <w:tc>
          <w:tcPr>
            <w:tcW w:w="4849" w:type="dxa"/>
            <w:tcBorders>
              <w:top w:val="single" w:color="auto" w:sz="8" w:space="0"/>
              <w:left w:val="nil"/>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评分标准</w:t>
            </w:r>
          </w:p>
        </w:tc>
        <w:tc>
          <w:tcPr>
            <w:tcW w:w="851" w:type="dxa"/>
            <w:tcBorders>
              <w:top w:val="single" w:color="auto" w:sz="8" w:space="0"/>
              <w:left w:val="nil"/>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得分</w:t>
            </w:r>
          </w:p>
        </w:tc>
        <w:tc>
          <w:tcPr>
            <w:tcW w:w="888" w:type="dxa"/>
            <w:tcBorders>
              <w:top w:val="single" w:color="auto" w:sz="8" w:space="0"/>
              <w:left w:val="nil"/>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bCs/>
                <w:sz w:val="24"/>
                <w:szCs w:val="24"/>
              </w:rPr>
            </w:pPr>
            <w:r>
              <w:rPr>
                <w:rFonts w:hint="default" w:ascii="Times New Roman" w:hAnsi="Times New Roman" w:cs="Times New Roman"/>
                <w:b/>
                <w:bCs/>
                <w:sz w:val="24"/>
                <w:szCs w:val="24"/>
              </w:rPr>
              <w:t>备注</w:t>
            </w:r>
          </w:p>
        </w:tc>
      </w:tr>
      <w:tr>
        <w:tblPrEx>
          <w:tblCellMar>
            <w:top w:w="0" w:type="dxa"/>
            <w:left w:w="108" w:type="dxa"/>
            <w:bottom w:w="0" w:type="dxa"/>
            <w:right w:w="108" w:type="dxa"/>
          </w:tblCellMar>
        </w:tblPrEx>
        <w:trPr>
          <w:trHeight w:val="1455"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sz w:val="24"/>
                <w:szCs w:val="24"/>
                <w:lang w:eastAsia="zh-CN"/>
              </w:rPr>
            </w:pPr>
            <w:r>
              <w:rPr>
                <w:rFonts w:hint="default" w:ascii="Times New Roman" w:hAnsi="Times New Roman" w:cs="Times New Roman"/>
                <w:b w:val="0"/>
                <w:bCs w:val="0"/>
                <w:sz w:val="24"/>
                <w:szCs w:val="24"/>
              </w:rPr>
              <w:t>基本条件</w:t>
            </w:r>
          </w:p>
          <w:p>
            <w:pPr>
              <w:pStyle w:val="2"/>
              <w:rPr>
                <w:rFonts w:hint="eastAsia"/>
                <w:lang w:eastAsia="zh-CN"/>
              </w:rPr>
            </w:pP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未依法依规，有不良记录，未取得合法营业执照和</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湖南省农作物病虫害专业化统防统治服务组织标志</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《授权书》，一律不参与评分。需提供工商营业执照、法人身份证明、银行开户许可证、及专防标志使用授权书复印件</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967"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管理制度（20分）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有固定的经营场所计5分，有独立、健全的财务管理、资产管理（农药、械管理等）、人员管理（技术人员、机防人员等）、档案管理制度、农药包装废弃物处理等制度，各计3分</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968"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sz w:val="24"/>
                <w:szCs w:val="24"/>
                <w:lang w:eastAsia="zh-CN"/>
              </w:rPr>
            </w:pPr>
            <w:r>
              <w:rPr>
                <w:rFonts w:hint="default" w:ascii="Times New Roman" w:hAnsi="Times New Roman" w:cs="Times New Roman"/>
                <w:b w:val="0"/>
                <w:bCs w:val="0"/>
                <w:sz w:val="24"/>
                <w:szCs w:val="24"/>
              </w:rPr>
              <w:t>作业机械与机防手</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日作业能力在3000亩以上的作业机械与机手计满分，每少300亩，扣2分。</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826"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sz w:val="24"/>
                <w:szCs w:val="24"/>
                <w:lang w:eastAsia="zh-CN"/>
              </w:rPr>
            </w:pPr>
            <w:r>
              <w:rPr>
                <w:rFonts w:hint="default" w:ascii="Times New Roman" w:hAnsi="Times New Roman" w:cs="Times New Roman"/>
                <w:b w:val="0"/>
                <w:bCs w:val="0"/>
                <w:sz w:val="24"/>
                <w:szCs w:val="24"/>
              </w:rPr>
              <w:t>专技人员</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有1人农业专业技术人员或农校毕业从事农业生产工作5年以上人员，计4分；每增加1名，加2分。</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1008"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实施方案</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（30分）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有完善的项目实施方案（包括技术方案、施药配方、喷药器械等）总分25分；有完善的项目资金使用方案总分5分；方案不完善或者使用药剂、使用器械等不合理，酌情扣分。</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730"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6</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sz w:val="24"/>
                <w:szCs w:val="24"/>
                <w:lang w:eastAsia="zh-CN"/>
              </w:rPr>
            </w:pPr>
            <w:r>
              <w:rPr>
                <w:rFonts w:hint="default" w:ascii="Times New Roman" w:hAnsi="Times New Roman" w:cs="Times New Roman"/>
                <w:b w:val="0"/>
                <w:bCs w:val="0"/>
                <w:sz w:val="24"/>
                <w:szCs w:val="24"/>
              </w:rPr>
              <w:t>工作业绩</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2023年专业化防治面积达1万亩以上计5分，每上升5000亩，加1分；满分10分。有农户花名册和合同</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772"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7</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数据填报</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每年按时在中华人民共和国农业农村部</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植保植检信息管理系统</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rPr>
              <w:t>进行数据填报，有备案表截图。</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616"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8</w:t>
            </w:r>
          </w:p>
        </w:tc>
        <w:tc>
          <w:tcPr>
            <w:tcW w:w="1495"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Times New Roman" w:hAnsi="Times New Roman" w:eastAsia="仿宋_GB2312" w:cs="Times New Roman"/>
                <w:b w:val="0"/>
                <w:bCs w:val="0"/>
                <w:sz w:val="24"/>
                <w:szCs w:val="24"/>
                <w:lang w:eastAsia="zh-CN"/>
              </w:rPr>
            </w:pPr>
            <w:r>
              <w:rPr>
                <w:rFonts w:hint="default" w:ascii="Times New Roman" w:hAnsi="Times New Roman" w:cs="Times New Roman"/>
                <w:b w:val="0"/>
                <w:bCs w:val="0"/>
                <w:sz w:val="24"/>
                <w:szCs w:val="24"/>
              </w:rPr>
              <w:t>社会评价</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3年内未出现作业事故或社会纠纷的计2分；获市级表彰一次记0.5分、省级一次计1分、部级一次计1.5分；获得市级以上植保新技术推广成果、植保新技术专利等知识产权及转化，一项计1分，最高5分。</w:t>
            </w: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r>
        <w:tblPrEx>
          <w:tblCellMar>
            <w:top w:w="0" w:type="dxa"/>
            <w:left w:w="108" w:type="dxa"/>
            <w:bottom w:w="0" w:type="dxa"/>
            <w:right w:w="108" w:type="dxa"/>
          </w:tblCellMar>
        </w:tblPrEx>
        <w:trPr>
          <w:trHeight w:val="737" w:hRule="atLeast"/>
          <w:jc w:val="center"/>
        </w:trPr>
        <w:tc>
          <w:tcPr>
            <w:tcW w:w="710" w:type="dxa"/>
            <w:tcBorders>
              <w:top w:val="nil"/>
              <w:left w:val="single" w:color="auto" w:sz="8" w:space="0"/>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合计</w:t>
            </w:r>
          </w:p>
        </w:tc>
        <w:tc>
          <w:tcPr>
            <w:tcW w:w="1495" w:type="dxa"/>
            <w:tcBorders>
              <w:top w:val="nil"/>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100分</w:t>
            </w:r>
          </w:p>
        </w:tc>
        <w:tc>
          <w:tcPr>
            <w:tcW w:w="4849"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51"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c>
          <w:tcPr>
            <w:tcW w:w="888" w:type="dxa"/>
            <w:tcBorders>
              <w:top w:val="nil"/>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cs="Times New Roman"/>
                <w:b w:val="0"/>
                <w:bCs w:val="0"/>
                <w:sz w:val="24"/>
                <w:szCs w:val="24"/>
              </w:rPr>
            </w:pPr>
          </w:p>
        </w:tc>
      </w:tr>
    </w:tbl>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default"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桃源县2024年水稻生产万亩示范片专业化统防统治项目实施承担单位遴选评分细则</w:t>
      </w:r>
    </w:p>
    <w:sectPr>
      <w:footerReference r:id="rId3" w:type="default"/>
      <w:pgSz w:w="11906" w:h="16838"/>
      <w:pgMar w:top="1984" w:right="1474" w:bottom="1417" w:left="1588" w:header="851" w:footer="1134" w:gutter="0"/>
      <w:pgNumType w:fmt="decimal" w:start="2"/>
      <w:cols w:space="425" w:num="1"/>
      <w:docGrid w:type="linesAndChars" w:linePitch="61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58"/>
  <w:drawingGridVerticalSpacing w:val="305"/>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OTQ3OWQ2MzdkNmFmYjI4OWNiYTFmY2IwZDYzNDcifQ=="/>
    <w:docVar w:name="KSO_WPS_MARK_KEY" w:val="be36af8a-f644-437a-80b2-901852d9530f"/>
  </w:docVars>
  <w:rsids>
    <w:rsidRoot w:val="00182DD6"/>
    <w:rsid w:val="00175D26"/>
    <w:rsid w:val="00182DD6"/>
    <w:rsid w:val="0028306F"/>
    <w:rsid w:val="002F18E1"/>
    <w:rsid w:val="003B2634"/>
    <w:rsid w:val="004717F5"/>
    <w:rsid w:val="00557169"/>
    <w:rsid w:val="00620304"/>
    <w:rsid w:val="006B26E7"/>
    <w:rsid w:val="0079491C"/>
    <w:rsid w:val="007B52A2"/>
    <w:rsid w:val="007C5E9D"/>
    <w:rsid w:val="00800E05"/>
    <w:rsid w:val="008617D8"/>
    <w:rsid w:val="008B5F18"/>
    <w:rsid w:val="009D295F"/>
    <w:rsid w:val="009F517F"/>
    <w:rsid w:val="00A813E1"/>
    <w:rsid w:val="00B752B1"/>
    <w:rsid w:val="00BA4408"/>
    <w:rsid w:val="00D3498B"/>
    <w:rsid w:val="00D36AE8"/>
    <w:rsid w:val="00DE4AB2"/>
    <w:rsid w:val="00E67A2C"/>
    <w:rsid w:val="00ED06FB"/>
    <w:rsid w:val="00F44678"/>
    <w:rsid w:val="00F64732"/>
    <w:rsid w:val="00F70816"/>
    <w:rsid w:val="00FD6966"/>
    <w:rsid w:val="2ADC31ED"/>
    <w:rsid w:val="3EEA2F2A"/>
    <w:rsid w:val="5F533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color w:val="000000"/>
      <w:kern w:val="2"/>
      <w:sz w:val="3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Date"/>
    <w:basedOn w:val="1"/>
    <w:next w:val="1"/>
    <w:link w:val="10"/>
    <w:semiHidden/>
    <w:unhideWhenUsed/>
    <w:uiPriority w:val="99"/>
    <w:pPr>
      <w:ind w:left="100" w:leftChars="2500"/>
    </w:p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rFonts w:ascii="Calibri" w:hAnsi="Calibri" w:eastAsia="宋体" w:cs="Times New Roman"/>
      <w:sz w:val="18"/>
      <w:szCs w:val="18"/>
    </w:rPr>
  </w:style>
  <w:style w:type="character" w:customStyle="1" w:styleId="9">
    <w:name w:val="页脚 Char"/>
    <w:basedOn w:val="7"/>
    <w:link w:val="4"/>
    <w:semiHidden/>
    <w:uiPriority w:val="99"/>
    <w:rPr>
      <w:rFonts w:ascii="Calibri" w:hAnsi="Calibri" w:eastAsia="宋体" w:cs="Times New Roman"/>
      <w:sz w:val="18"/>
      <w:szCs w:val="18"/>
    </w:rPr>
  </w:style>
  <w:style w:type="character" w:customStyle="1" w:styleId="10">
    <w:name w:val="日期 Char"/>
    <w:basedOn w:val="7"/>
    <w:link w:val="3"/>
    <w:semiHidden/>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778</Words>
  <Characters>811</Characters>
  <Lines>20</Lines>
  <Paragraphs>5</Paragraphs>
  <TotalTime>17</TotalTime>
  <ScaleCrop>false</ScaleCrop>
  <LinksUpToDate>false</LinksUpToDate>
  <CharactersWithSpaces>824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2024-03-15T01:46:00Z</dcterms:created>
  <dc:creator>微软用户</dc:creator>
  <cp:lastModifiedBy>珍惜</cp:lastModifiedBy>
  <cp:lastPrinted>2024-04-09T00:44:00Z</cp:lastPrinted>
  <dcterms:modified xsi:type="dcterms:W3CDTF">2024-04-10T01:12:54Z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66C74C5CF36C4E8D9E3C6EB28679FA6A</vt:lpwstr>
  </property>
</Properties>
</file>