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_GB2312" w:hAnsi="Times New Roman" w:eastAsia="仿宋_GB2312"/>
          <w:b/>
          <w:spacing w:val="-20"/>
          <w:kern w:val="0"/>
          <w:sz w:val="32"/>
          <w:szCs w:val="32"/>
        </w:rPr>
      </w:pPr>
    </w:p>
    <w:p>
      <w:pPr>
        <w:widowControl/>
        <w:shd w:val="clear" w:color="auto" w:fill="FFFFFF"/>
        <w:rPr>
          <w:rFonts w:hint="eastAsia" w:ascii="黑体" w:hAnsi="黑体" w:eastAsia="黑体" w:cs="黑体"/>
          <w:b w:val="0"/>
          <w:bCs/>
          <w:spacing w:val="-2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20"/>
          <w:kern w:val="0"/>
          <w:sz w:val="32"/>
          <w:szCs w:val="32"/>
        </w:rPr>
        <w:t>附件：</w:t>
      </w:r>
    </w:p>
    <w:p>
      <w:pPr>
        <w:widowControl/>
        <w:shd w:val="clear" w:color="auto" w:fill="FFFFFF"/>
        <w:rPr>
          <w:rFonts w:hint="eastAsia" w:ascii="黑体" w:hAnsi="黑体" w:eastAsia="黑体" w:cs="黑体"/>
          <w:b w:val="0"/>
          <w:bCs/>
          <w:spacing w:val="-20"/>
          <w:kern w:val="0"/>
          <w:sz w:val="32"/>
          <w:szCs w:val="32"/>
        </w:rPr>
      </w:pPr>
    </w:p>
    <w:p>
      <w:pPr>
        <w:spacing w:line="380" w:lineRule="exact"/>
        <w:ind w:left="210" w:leftChars="100"/>
        <w:jc w:val="center"/>
        <w:rPr>
          <w:rFonts w:ascii="仿宋_GB2312" w:hAnsi="宋体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sz w:val="30"/>
          <w:szCs w:val="30"/>
        </w:rPr>
        <w:t>桃源县2024年晚稻病虫</w:t>
      </w:r>
      <w:bookmarkStart w:id="0" w:name="_GoBack"/>
      <w:bookmarkEnd w:id="0"/>
      <w:r>
        <w:rPr>
          <w:rFonts w:hint="eastAsia" w:ascii="仿宋_GB2312" w:hAnsi="宋体" w:eastAsia="仿宋_GB2312" w:cs="宋体"/>
          <w:b/>
          <w:sz w:val="30"/>
          <w:szCs w:val="30"/>
        </w:rPr>
        <w:t>害绿色防控核心示范区建设项目</w:t>
      </w:r>
    </w:p>
    <w:tbl>
      <w:tblPr>
        <w:tblStyle w:val="5"/>
        <w:tblpPr w:leftFromText="180" w:rightFromText="180" w:vertAnchor="text" w:horzAnchor="margin" w:tblpY="408"/>
        <w:tblOverlap w:val="never"/>
        <w:tblW w:w="879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275"/>
        <w:gridCol w:w="5069"/>
        <w:gridCol w:w="851"/>
        <w:gridCol w:w="8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序号</w:t>
            </w:r>
          </w:p>
        </w:tc>
        <w:tc>
          <w:tcPr>
            <w:tcW w:w="127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项目及分值</w:t>
            </w:r>
          </w:p>
        </w:tc>
        <w:tc>
          <w:tcPr>
            <w:tcW w:w="50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评分标准</w:t>
            </w:r>
          </w:p>
        </w:tc>
        <w:tc>
          <w:tcPr>
            <w:tcW w:w="8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得分</w:t>
            </w:r>
          </w:p>
        </w:tc>
        <w:tc>
          <w:tcPr>
            <w:tcW w:w="8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spacing w:line="340" w:lineRule="exact"/>
              <w:jc w:val="center"/>
              <w:rPr>
                <w:b/>
                <w:bCs w:val="0"/>
                <w:sz w:val="28"/>
                <w:szCs w:val="28"/>
              </w:rPr>
            </w:pPr>
            <w:r>
              <w:rPr>
                <w:rFonts w:hint="eastAsia"/>
                <w:b/>
                <w:bCs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基本条件</w:t>
            </w:r>
          </w:p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 w:color="auto" w:fill="FFFFFF"/>
              <w:spacing w:line="320" w:lineRule="exact"/>
              <w:jc w:val="both"/>
              <w:rPr>
                <w:rFonts w:ascii="宋体" w:hAnsi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楷体"/>
                <w:bCs/>
                <w:color w:val="333333"/>
                <w:kern w:val="0"/>
                <w:szCs w:val="21"/>
              </w:rPr>
              <w:t>未依法依规，有不良记录，未取得合法营业执照和</w:t>
            </w:r>
            <w:r>
              <w:rPr>
                <w:rFonts w:hint="eastAsia" w:ascii="宋体" w:hAnsi="宋体"/>
                <w:color w:val="333333"/>
                <w:kern w:val="0"/>
                <w:szCs w:val="21"/>
              </w:rPr>
              <w:t>“湖南省农作物病虫害专业化统防统治服务组织标志”《授权书》，一律不参与评分。需提供</w:t>
            </w:r>
            <w:r>
              <w:rPr>
                <w:rFonts w:hint="eastAsia" w:ascii="宋体" w:hAnsi="宋体" w:cs="楷体"/>
                <w:bCs/>
                <w:color w:val="333333"/>
                <w:kern w:val="0"/>
                <w:szCs w:val="21"/>
              </w:rPr>
              <w:t>工商营业执照、法人身份证明、银行开户许可证、及专防标志使用授权书复印件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管理制度（20分）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楷体"/>
                <w:bCs/>
                <w:color w:val="333333"/>
                <w:kern w:val="0"/>
                <w:szCs w:val="21"/>
              </w:rPr>
              <w:t>有固定的经营场所计5分，有</w:t>
            </w:r>
            <w:r>
              <w:rPr>
                <w:rFonts w:hint="eastAsia" w:ascii="宋体" w:hAnsi="宋体"/>
                <w:color w:val="424242"/>
                <w:szCs w:val="21"/>
                <w:shd w:val="clear" w:color="auto" w:fill="FFFFFF"/>
              </w:rPr>
              <w:t>独立、健全的财务管理、资产管理（农药、械管理等）、</w:t>
            </w:r>
            <w:r>
              <w:rPr>
                <w:rFonts w:hint="eastAsia" w:ascii="宋体" w:hAnsi="宋体" w:cs="楷体"/>
                <w:bCs/>
                <w:color w:val="333333"/>
                <w:kern w:val="0"/>
                <w:szCs w:val="21"/>
              </w:rPr>
              <w:t>人员管理（技术人员、机防人员等）、档案管理制度、农药包装废弃物处理等制度，各计3分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作业机械与机防手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（10分）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日作业能力在3000亩以上的作业机械与机手计满分，每少300亩，扣2分。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专技人员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（10分）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有1人农业专业技术人员或农校毕业从事农业生产工作5年以上人员，计6分；每增加1名，加2分，最多4分。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实施方案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（35分）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有完善的项目实施方案（新技术、新药剂等绿色防控技术措施的运用）总分30分；有完善的项目资金使用方案总分5分；方案不完善或者使用药剂、使用器械等不合理，酌情扣分。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工作业绩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（15分）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近3年内，承担过农业部门相关绿色防控试验示范，每开展一次计5分，最多10分；积极探索水稻病虫害绿色防控技术推广，并得到植保部门肯定的计5分。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数据填报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每年按时在</w:t>
            </w:r>
            <w:r>
              <w:rPr>
                <w:rFonts w:hint="eastAsia" w:ascii="宋体" w:hAnsi="宋体"/>
                <w:szCs w:val="21"/>
                <w:shd w:val="clear" w:color="auto" w:fill="FFFFFF"/>
              </w:rPr>
              <w:t>中华人民共和国农业农村部“植保植检信息管理系统”进行数据</w:t>
            </w:r>
            <w:r>
              <w:rPr>
                <w:rFonts w:hint="eastAsia" w:ascii="宋体" w:hAnsi="宋体"/>
                <w:szCs w:val="21"/>
              </w:rPr>
              <w:t>填报，有备案表截图。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</w:rPr>
              <w:t>社会评价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（5分）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3年内未出现作业事故或社会纠纷的计2分；获市级表彰一次记0.5分、省级一次计1分、部级一次计1.5分；获得市级以上植保新技术推广成果、植保新技术专利等知识产权及转化，一项计1分，最高5分。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both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2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105" w:firstLineChars="50"/>
              <w:jc w:val="center"/>
            </w:pPr>
            <w:r>
              <w:rPr>
                <w:rFonts w:hint="eastAsia"/>
              </w:rPr>
              <w:t>100分</w:t>
            </w:r>
          </w:p>
        </w:tc>
        <w:tc>
          <w:tcPr>
            <w:tcW w:w="50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8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spacing w:line="380" w:lineRule="exact"/>
        <w:ind w:left="210" w:leftChars="100"/>
        <w:jc w:val="center"/>
        <w:rPr>
          <w:rFonts w:hint="eastAsia" w:ascii="仿宋_GB2312" w:hAnsi="宋体" w:eastAsia="仿宋_GB2312" w:cs="宋体"/>
          <w:b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0"/>
          <w:szCs w:val="30"/>
        </w:rPr>
        <w:t>实施承担</w:t>
      </w:r>
      <w:r>
        <w:rPr>
          <w:rFonts w:hint="eastAsia" w:ascii="仿宋_GB2312" w:hAnsi="宋体" w:eastAsia="仿宋_GB2312" w:cs="宋体"/>
          <w:b/>
          <w:sz w:val="30"/>
          <w:szCs w:val="30"/>
        </w:rPr>
        <w:t>单位遴选评分细则</w:t>
      </w:r>
    </w:p>
    <w:p>
      <w:pPr>
        <w:spacing w:line="380" w:lineRule="exact"/>
        <w:ind w:left="210" w:leftChars="100"/>
        <w:jc w:val="center"/>
        <w:rPr>
          <w:rFonts w:hint="eastAsia" w:ascii="仿宋_GB2312" w:hAnsi="宋体" w:eastAsia="仿宋_GB2312" w:cs="宋体"/>
          <w:b/>
          <w:sz w:val="30"/>
          <w:szCs w:val="30"/>
        </w:rPr>
      </w:pPr>
    </w:p>
    <w:p>
      <w:pPr>
        <w:spacing w:line="600" w:lineRule="exact"/>
        <w:rPr>
          <w:rFonts w:ascii="Times New Roman" w:hAnsi="Times New Roman" w:eastAsia="仿宋_GB2312"/>
          <w:sz w:val="32"/>
          <w:szCs w:val="32"/>
        </w:rPr>
      </w:pPr>
    </w:p>
    <w:sectPr>
      <w:footerReference r:id="rId3" w:type="default"/>
      <w:pgSz w:w="11906" w:h="16838"/>
      <w:pgMar w:top="1701" w:right="1417" w:bottom="1247" w:left="164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dtC+L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  <w:docVar w:name="KSO_WPS_MARK_KEY" w:val="90ddd350-9f2f-471b-badc-763c526c46b4"/>
  </w:docVars>
  <w:rsids>
    <w:rsidRoot w:val="00182DD6"/>
    <w:rsid w:val="00031375"/>
    <w:rsid w:val="000E101B"/>
    <w:rsid w:val="00175D26"/>
    <w:rsid w:val="00182DD6"/>
    <w:rsid w:val="001B3A5C"/>
    <w:rsid w:val="0028306F"/>
    <w:rsid w:val="002F18E1"/>
    <w:rsid w:val="002F3302"/>
    <w:rsid w:val="003739A8"/>
    <w:rsid w:val="003B2634"/>
    <w:rsid w:val="004717F5"/>
    <w:rsid w:val="00557169"/>
    <w:rsid w:val="00620304"/>
    <w:rsid w:val="006B26E7"/>
    <w:rsid w:val="0079491C"/>
    <w:rsid w:val="007B52A2"/>
    <w:rsid w:val="007C5E9D"/>
    <w:rsid w:val="00800E05"/>
    <w:rsid w:val="008617D8"/>
    <w:rsid w:val="008B5F18"/>
    <w:rsid w:val="00985351"/>
    <w:rsid w:val="009D295F"/>
    <w:rsid w:val="009F517F"/>
    <w:rsid w:val="00A813E1"/>
    <w:rsid w:val="00B752B1"/>
    <w:rsid w:val="00B90F63"/>
    <w:rsid w:val="00BA4408"/>
    <w:rsid w:val="00CA3BCB"/>
    <w:rsid w:val="00D3498B"/>
    <w:rsid w:val="00D36AE8"/>
    <w:rsid w:val="00DE4AB2"/>
    <w:rsid w:val="00E67A2C"/>
    <w:rsid w:val="00ED06FB"/>
    <w:rsid w:val="00F44678"/>
    <w:rsid w:val="00F64732"/>
    <w:rsid w:val="00F70816"/>
    <w:rsid w:val="00FD6966"/>
    <w:rsid w:val="00FF4806"/>
    <w:rsid w:val="02C266F3"/>
    <w:rsid w:val="035C5045"/>
    <w:rsid w:val="03CC1A1D"/>
    <w:rsid w:val="07F12200"/>
    <w:rsid w:val="0FBC1346"/>
    <w:rsid w:val="11AE4CBE"/>
    <w:rsid w:val="123553DF"/>
    <w:rsid w:val="18757159"/>
    <w:rsid w:val="1B140288"/>
    <w:rsid w:val="1F3A2287"/>
    <w:rsid w:val="20B971DB"/>
    <w:rsid w:val="216B497A"/>
    <w:rsid w:val="223B09B3"/>
    <w:rsid w:val="22454AAB"/>
    <w:rsid w:val="23C2284B"/>
    <w:rsid w:val="24FB6014"/>
    <w:rsid w:val="256C394C"/>
    <w:rsid w:val="259124D5"/>
    <w:rsid w:val="263537A8"/>
    <w:rsid w:val="288B5901"/>
    <w:rsid w:val="295E6B72"/>
    <w:rsid w:val="297B5976"/>
    <w:rsid w:val="2D766B80"/>
    <w:rsid w:val="2F9D4288"/>
    <w:rsid w:val="2FF64F5E"/>
    <w:rsid w:val="31496359"/>
    <w:rsid w:val="31D41A4F"/>
    <w:rsid w:val="3BA1126C"/>
    <w:rsid w:val="3C995FCD"/>
    <w:rsid w:val="3EC11C25"/>
    <w:rsid w:val="40736F4F"/>
    <w:rsid w:val="45611A6C"/>
    <w:rsid w:val="461D3BE5"/>
    <w:rsid w:val="48D83DF3"/>
    <w:rsid w:val="49DF11B1"/>
    <w:rsid w:val="4A7665AE"/>
    <w:rsid w:val="4E6D2D32"/>
    <w:rsid w:val="4EA763BF"/>
    <w:rsid w:val="52552155"/>
    <w:rsid w:val="538928BA"/>
    <w:rsid w:val="543F741C"/>
    <w:rsid w:val="54E762B4"/>
    <w:rsid w:val="56F97D56"/>
    <w:rsid w:val="5A843DDB"/>
    <w:rsid w:val="5E914D18"/>
    <w:rsid w:val="60591866"/>
    <w:rsid w:val="609F7795"/>
    <w:rsid w:val="61371BA7"/>
    <w:rsid w:val="685F3791"/>
    <w:rsid w:val="6BF012D0"/>
    <w:rsid w:val="6BF32B6E"/>
    <w:rsid w:val="6C21573C"/>
    <w:rsid w:val="6C681353"/>
    <w:rsid w:val="6DF350A8"/>
    <w:rsid w:val="73076EFF"/>
    <w:rsid w:val="745919DD"/>
    <w:rsid w:val="7E575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2265</Words>
  <Characters>2359</Characters>
  <Lines>17</Lines>
  <Paragraphs>5</Paragraphs>
  <TotalTime>49</TotalTime>
  <ScaleCrop>false</ScaleCrop>
  <LinksUpToDate>false</LinksUpToDate>
  <CharactersWithSpaces>2394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2024-08-22T08:56:00Z</dcterms:created>
  <dc:creator>微软用户</dc:creator>
  <cp:lastModifiedBy>珍惜</cp:lastModifiedBy>
  <cp:lastPrinted>2024-08-23T07:50:00Z</cp:lastPrinted>
  <dcterms:modified xsi:type="dcterms:W3CDTF">2024-08-23T08:35:52Z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AC87F5DCC7124F73B1803C8593EC9BE3</vt:lpwstr>
  </property>
</Properties>
</file>