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桃源县2024年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农田退水“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零直排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”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项目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代理公司比选评分细则</w:t>
      </w:r>
    </w:p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按照资料准备完整度及装订情况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评分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ed1e3e2f-7ef1-473e-a143-025815d7db72"/>
  </w:docVars>
  <w:rsids>
    <w:rsidRoot w:val="009B180C"/>
    <w:rsid w:val="000263BD"/>
    <w:rsid w:val="00110D76"/>
    <w:rsid w:val="00156D86"/>
    <w:rsid w:val="001F112A"/>
    <w:rsid w:val="00400174"/>
    <w:rsid w:val="00403728"/>
    <w:rsid w:val="004A2437"/>
    <w:rsid w:val="009B180C"/>
    <w:rsid w:val="00DC6752"/>
    <w:rsid w:val="00E36B9A"/>
    <w:rsid w:val="43B7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qFormat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semiHidden/>
    <w:qFormat/>
    <w:uiPriority w:val="99"/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224</Words>
  <Characters>236</Characters>
  <Lines>1</Lines>
  <Paragraphs>1</Paragraphs>
  <TotalTime>20</TotalTime>
  <ScaleCrop>false</ScaleCrop>
  <LinksUpToDate>false</LinksUpToDate>
  <CharactersWithSpaces>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2023-07-28T07:34:00Z</dcterms:created>
  <dc:creator>User</dc:creator>
  <cp:lastModifiedBy>珍惜</cp:lastModifiedBy>
  <dcterms:modified xsi:type="dcterms:W3CDTF">2024-10-10T05:50:43Z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00A893248CBC494E94BAE7A23F0492A0</vt:lpwstr>
  </property>
</Properties>
</file>