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52"/>
          <w:szCs w:val="52"/>
        </w:rPr>
      </w:pPr>
      <w:r>
        <w:rPr>
          <w:rFonts w:eastAsia="方正小标宋_GBK"/>
          <w:sz w:val="52"/>
          <w:szCs w:val="52"/>
        </w:rPr>
        <w:t>20</w:t>
      </w:r>
      <w:r>
        <w:rPr>
          <w:rFonts w:hint="eastAsia" w:eastAsia="方正小标宋_GBK"/>
          <w:sz w:val="52"/>
          <w:szCs w:val="52"/>
          <w:lang w:val="en-US" w:eastAsia="zh-CN"/>
        </w:rPr>
        <w:t>23</w:t>
      </w:r>
      <w:r>
        <w:rPr>
          <w:rFonts w:hint="eastAsia" w:eastAsia="方正小标宋_GBK" w:cs="方正小标宋_GBK"/>
          <w:sz w:val="52"/>
          <w:szCs w:val="52"/>
        </w:rPr>
        <w:t>年度</w:t>
      </w:r>
      <w:r>
        <w:rPr>
          <w:rFonts w:hint="eastAsia" w:eastAsia="方正小标宋_GBK"/>
          <w:sz w:val="52"/>
          <w:szCs w:val="52"/>
          <w:lang w:eastAsia="zh-CN"/>
        </w:rPr>
        <w:t>桃源县枫树维吾尔族回族乡人民政府</w:t>
      </w:r>
      <w:r>
        <w:rPr>
          <w:rFonts w:hint="eastAsia" w:eastAsia="方正小标宋_GBK" w:cs="方正小标宋_GBK"/>
          <w:sz w:val="52"/>
          <w:szCs w:val="52"/>
        </w:rPr>
        <w:t>整体支出绩效自评报告</w:t>
      </w:r>
    </w:p>
    <w:p>
      <w:pPr>
        <w:jc w:val="center"/>
        <w:rPr>
          <w:rFonts w:eastAsia="方正小标宋_GBK"/>
          <w:b/>
          <w:bCs/>
          <w:sz w:val="52"/>
          <w:szCs w:val="5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eastAsia="仿宋" w:cs="仿宋"/>
          <w:sz w:val="32"/>
          <w:szCs w:val="32"/>
        </w:rPr>
      </w:pPr>
      <w:r>
        <w:rPr>
          <w:rFonts w:hint="eastAsia" w:eastAsia="仿宋" w:cs="仿宋"/>
          <w:sz w:val="32"/>
          <w:szCs w:val="32"/>
        </w:rPr>
        <w:t>单位名称：</w:t>
      </w:r>
      <w:r>
        <w:rPr>
          <w:rFonts w:hint="eastAsia" w:eastAsia="仿宋" w:cs="仿宋"/>
          <w:sz w:val="32"/>
          <w:szCs w:val="32"/>
          <w:lang w:eastAsia="zh-CN"/>
        </w:rPr>
        <w:t>桃源县枫树维吾尔族回族乡人民政府</w:t>
      </w:r>
    </w:p>
    <w:p>
      <w:pPr>
        <w:spacing w:line="600" w:lineRule="exact"/>
        <w:ind w:firstLine="3200" w:firstLineChars="10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eastAsia="仿宋" w:cs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10</w:t>
      </w:r>
      <w:r>
        <w:rPr>
          <w:rFonts w:hint="eastAsia" w:eastAsia="仿宋" w:cs="仿宋"/>
          <w:sz w:val="32"/>
          <w:szCs w:val="32"/>
        </w:rPr>
        <w:t>月</w:t>
      </w:r>
      <w:r>
        <w:rPr>
          <w:rFonts w:hint="eastAsia" w:eastAsia="仿宋"/>
          <w:sz w:val="32"/>
          <w:szCs w:val="32"/>
          <w:lang w:val="en-US" w:eastAsia="zh-CN"/>
        </w:rPr>
        <w:t>14</w:t>
      </w:r>
      <w:r>
        <w:rPr>
          <w:rFonts w:hint="eastAsia" w:eastAsia="仿宋" w:cs="仿宋"/>
          <w:sz w:val="32"/>
          <w:szCs w:val="32"/>
        </w:rPr>
        <w:t>日</w:t>
      </w: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eastAsia="方正小标宋_GBK" w:cs="方正小标宋_GBK"/>
          <w:sz w:val="44"/>
          <w:szCs w:val="44"/>
          <w:lang w:eastAsia="zh-CN"/>
        </w:rPr>
      </w:pPr>
      <w:r>
        <w:rPr>
          <w:rFonts w:eastAsia="方正小标宋_GBK"/>
          <w:sz w:val="44"/>
          <w:szCs w:val="44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3</w:t>
      </w:r>
      <w:r>
        <w:rPr>
          <w:rFonts w:hint="eastAsia" w:eastAsia="方正小标宋_GBK" w:cs="方正小标宋_GBK"/>
          <w:sz w:val="44"/>
          <w:szCs w:val="44"/>
        </w:rPr>
        <w:t>年度</w:t>
      </w:r>
      <w:r>
        <w:rPr>
          <w:rFonts w:hint="eastAsia" w:eastAsia="方正小标宋_GBK" w:cs="方正小标宋_GBK"/>
          <w:sz w:val="44"/>
          <w:szCs w:val="44"/>
          <w:lang w:eastAsia="zh-CN"/>
        </w:rPr>
        <w:t>桃源县枫树维吾尔族回族乡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 w:cs="方正小标宋_GBK"/>
          <w:sz w:val="44"/>
          <w:szCs w:val="44"/>
          <w:lang w:eastAsia="zh-CN"/>
        </w:rPr>
        <w:t>人民政府</w:t>
      </w:r>
      <w:r>
        <w:rPr>
          <w:rFonts w:hint="eastAsia" w:eastAsia="方正小标宋_GBK" w:cs="方正小标宋_GBK"/>
          <w:sz w:val="44"/>
          <w:szCs w:val="44"/>
        </w:rPr>
        <w:t>整体支出绩效自评报告</w:t>
      </w:r>
    </w:p>
    <w:p>
      <w:pPr>
        <w:spacing w:line="560" w:lineRule="exact"/>
        <w:rPr>
          <w:rFonts w:eastAsia="黑体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一、部门（单位）基本情况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（一）机构、人员构成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桃源县枫树维吾尔族回族乡人民政府是</w:t>
      </w:r>
      <w:r>
        <w:rPr>
          <w:rFonts w:hint="eastAsia" w:cs="仿宋_GB2312"/>
          <w:sz w:val="32"/>
          <w:szCs w:val="32"/>
        </w:rPr>
        <w:t>一级预算单位，下设有</w:t>
      </w:r>
      <w:r>
        <w:rPr>
          <w:rFonts w:hint="eastAsia" w:cs="仿宋_GB2312"/>
          <w:sz w:val="32"/>
          <w:szCs w:val="32"/>
          <w:lang w:eastAsia="zh-CN"/>
        </w:rPr>
        <w:t>财政所、农业综合服务中心、社会事务综合服务中心、综合执法大队、政务中心、退役军人服务站</w:t>
      </w:r>
      <w:r>
        <w:rPr>
          <w:rFonts w:hint="eastAsia" w:cs="仿宋_GB2312"/>
          <w:sz w:val="32"/>
          <w:szCs w:val="32"/>
          <w:lang w:val="en-US" w:eastAsia="zh-CN"/>
        </w:rPr>
        <w:t>6个中心站所；白洋河村、红旗村、庄家桥村、大马山村、金凤桥村、金鸡村、桐岭村、维回新村、苏家堆村、万福新村、丰渡嘴村、田河坝村12个村居</w:t>
      </w:r>
      <w:r>
        <w:rPr>
          <w:rFonts w:hint="eastAsia" w:cs="仿宋_GB2312"/>
          <w:sz w:val="32"/>
          <w:szCs w:val="32"/>
          <w:lang w:eastAsia="zh-CN"/>
        </w:rPr>
        <w:t>。单位人</w:t>
      </w:r>
      <w:r>
        <w:rPr>
          <w:rFonts w:hint="eastAsia" w:cs="仿宋_GB2312"/>
          <w:sz w:val="32"/>
          <w:szCs w:val="32"/>
        </w:rPr>
        <w:t>员编制</w:t>
      </w:r>
      <w:r>
        <w:rPr>
          <w:rFonts w:hint="eastAsia"/>
          <w:sz w:val="32"/>
          <w:szCs w:val="32"/>
          <w:lang w:val="en-US" w:eastAsia="zh-CN"/>
        </w:rPr>
        <w:t>77</w:t>
      </w:r>
      <w:r>
        <w:rPr>
          <w:rFonts w:hint="eastAsia" w:cs="仿宋_GB2312"/>
          <w:sz w:val="32"/>
          <w:szCs w:val="32"/>
        </w:rPr>
        <w:t>人</w:t>
      </w:r>
      <w:r>
        <w:rPr>
          <w:rFonts w:hint="eastAsia" w:cs="仿宋_GB2312"/>
          <w:sz w:val="32"/>
          <w:szCs w:val="32"/>
          <w:lang w:val="en-US" w:eastAsia="zh-CN"/>
        </w:rPr>
        <w:t>。</w:t>
      </w:r>
      <w:r>
        <w:rPr>
          <w:rFonts w:hint="eastAsia" w:cs="仿宋_GB2312"/>
          <w:sz w:val="32"/>
          <w:szCs w:val="32"/>
        </w:rPr>
        <w:t>截止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hint="eastAsia" w:cs="仿宋_GB2312"/>
          <w:sz w:val="32"/>
          <w:szCs w:val="32"/>
        </w:rPr>
        <w:t>月份在编在职人员</w:t>
      </w:r>
      <w:r>
        <w:rPr>
          <w:rFonts w:hint="eastAsia"/>
          <w:sz w:val="32"/>
          <w:szCs w:val="32"/>
          <w:lang w:val="en-US" w:eastAsia="zh-CN"/>
        </w:rPr>
        <w:t>77</w:t>
      </w:r>
      <w:r>
        <w:rPr>
          <w:rFonts w:hint="eastAsia" w:cs="仿宋_GB2312"/>
          <w:sz w:val="32"/>
          <w:szCs w:val="32"/>
        </w:rPr>
        <w:t>人，离退休人员</w:t>
      </w:r>
      <w:r>
        <w:rPr>
          <w:rFonts w:hint="eastAsia" w:cs="仿宋_GB2312"/>
          <w:sz w:val="32"/>
          <w:szCs w:val="32"/>
          <w:lang w:val="en-US" w:eastAsia="zh-CN"/>
        </w:rPr>
        <w:t>34</w:t>
      </w:r>
      <w:r>
        <w:rPr>
          <w:rFonts w:hint="eastAsia" w:cs="仿宋_GB2312"/>
          <w:sz w:val="32"/>
          <w:szCs w:val="32"/>
        </w:rPr>
        <w:t>人。纳入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年部门整体支出绩效评价范围的预算单位包括：</w:t>
      </w:r>
      <w:r>
        <w:rPr>
          <w:rFonts w:hint="eastAsia" w:cs="仿宋_GB2312"/>
          <w:sz w:val="32"/>
          <w:szCs w:val="32"/>
          <w:lang w:eastAsia="zh-CN"/>
        </w:rPr>
        <w:t>桃源县枫树维吾尔族回族乡人民政府</w:t>
      </w:r>
      <w:r>
        <w:rPr>
          <w:rFonts w:hint="eastAsia" w:cs="仿宋_GB2312"/>
          <w:sz w:val="32"/>
          <w:szCs w:val="32"/>
        </w:rPr>
        <w:t>和</w:t>
      </w:r>
      <w:r>
        <w:rPr>
          <w:rFonts w:hint="eastAsia" w:cs="仿宋_GB2312"/>
          <w:sz w:val="32"/>
          <w:szCs w:val="32"/>
          <w:lang w:eastAsia="zh-CN"/>
        </w:rPr>
        <w:t>财政所、农业综合服务中心、社会事务综合服务中心、综合执法大队、政务中心、退役军人服务站</w:t>
      </w:r>
      <w:r>
        <w:rPr>
          <w:rFonts w:hint="eastAsia" w:cs="仿宋_GB2312"/>
          <w:sz w:val="32"/>
          <w:szCs w:val="32"/>
          <w:lang w:val="en-US" w:eastAsia="zh-CN"/>
        </w:rPr>
        <w:t>6个中心站所。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（二）单位主要职责</w:t>
      </w:r>
    </w:p>
    <w:p>
      <w:pPr>
        <w:widowControl/>
        <w:spacing w:line="640" w:lineRule="exact"/>
        <w:ind w:firstLine="640" w:firstLineChars="200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桃源县枫树维吾尔族回族乡人民政府党委工作职责是保证党的路线、方针、政策的坚决贯彻执行；保证监督职能；教育和管理职能；服从和服务于经济建设的职能；负责抓好本乡党建工作、群团工作、精神文明建设工作、新闻宣传工作；完成上级党委、政府交给的其他工作任务。</w:t>
      </w:r>
    </w:p>
    <w:p>
      <w:pPr>
        <w:widowControl/>
        <w:spacing w:line="640" w:lineRule="exact"/>
        <w:ind w:firstLine="640" w:firstLineChars="200"/>
        <w:rPr>
          <w:rFonts w:hint="eastAsia" w:cs="仿宋_GB2312"/>
          <w:sz w:val="32"/>
          <w:szCs w:val="32"/>
          <w:lang w:eastAsia="zh-CN"/>
        </w:rPr>
      </w:pPr>
      <w:r>
        <w:rPr>
          <w:rFonts w:hint="eastAsia" w:cs="仿宋_GB2312"/>
          <w:sz w:val="32"/>
          <w:szCs w:val="32"/>
          <w:lang w:eastAsia="zh-CN"/>
        </w:rPr>
        <w:t>人民政府的工作职能是制定和组织实施经济、科技和社会发展计划，制定资源开发技术改造和产业结构调整方案，组织指导好各业生产，搞好商品流通，协调好对外的经济交流与合作，抓好招商引资，人才引进项目开发，不断培育市场体系，组织经济运行，促进经济发展；制定并组织实施村乡建设规划，部署重点工程建设，地方道路建设及公共设施，水利设施的管理，负责土地、林木、水等自然资源和生态环境的保护，做好护林防火工作；负责本行政区域内的民政、计划生育、文化教育、卫生、体育等社会公益事业的综合性工作，维护一切经济单位和个人的正当经济权益，取缔非法经济活动，调解和处理民事纠纷，打击刑事犯罪维护社会稳定；按计划组织本级财政收入和地方税的征收，完成国家财政计划，不断培植税源，管好财政资金，增强财政实力；抓好精神文明建设，丰富群众文化生活，提倡移风易俗，反对封建迷信，破除陈规陋习，树立社会主义新风尚；完成上级政府交办的其他工作任务。</w:t>
      </w:r>
    </w:p>
    <w:p>
      <w:pPr>
        <w:spacing w:line="500" w:lineRule="exact"/>
        <w:jc w:val="left"/>
        <w:rPr>
          <w:rFonts w:hint="eastAsia"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二、</w:t>
      </w:r>
      <w:r>
        <w:rPr>
          <w:rFonts w:hint="eastAsia" w:eastAsia="黑体" w:cs="黑体"/>
          <w:sz w:val="32"/>
          <w:szCs w:val="32"/>
        </w:rPr>
        <w:t>部门财务情况</w:t>
      </w:r>
    </w:p>
    <w:p>
      <w:pPr>
        <w:widowControl/>
        <w:spacing w:line="500" w:lineRule="exact"/>
        <w:ind w:firstLine="640" w:firstLineChars="20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  <w:lang w:val="en-US" w:eastAsia="zh-CN"/>
        </w:rPr>
        <w:t>部门整体支出情况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</w:t>
      </w:r>
      <w:r>
        <w:rPr>
          <w:rFonts w:hint="eastAsia" w:cs="仿宋_GB2312"/>
          <w:sz w:val="32"/>
          <w:szCs w:val="32"/>
          <w:lang w:val="en-US" w:eastAsia="zh-CN"/>
        </w:rPr>
        <w:t>度部门整体支出合计3068.47万元，其中：基本支出1928.71万元，占62.86%；项目支出1139.77万元，占37.14%；上缴上级支出0万元，占0%；经营支出0万元，占0%；对附属单位补助支出0万元，占0%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rFonts w:hint="eastAsia" w:cs="仿宋_GB2312"/>
          <w:sz w:val="32"/>
          <w:szCs w:val="32"/>
        </w:rPr>
        <w:t>部门</w:t>
      </w:r>
      <w:r>
        <w:rPr>
          <w:rFonts w:hint="eastAsia" w:cs="仿宋_GB2312"/>
          <w:sz w:val="32"/>
          <w:szCs w:val="32"/>
          <w:lang w:val="en-US" w:eastAsia="zh-CN"/>
        </w:rPr>
        <w:t>预算</w:t>
      </w:r>
      <w:r>
        <w:rPr>
          <w:rFonts w:hint="eastAsia" w:cs="仿宋_GB2312"/>
          <w:sz w:val="32"/>
          <w:szCs w:val="32"/>
        </w:rPr>
        <w:t>收支</w:t>
      </w:r>
      <w:r>
        <w:rPr>
          <w:rFonts w:hint="eastAsia" w:cs="仿宋_GB2312"/>
          <w:sz w:val="32"/>
          <w:szCs w:val="32"/>
          <w:lang w:val="en-US" w:eastAsia="zh-CN"/>
        </w:rPr>
        <w:t>决算</w:t>
      </w:r>
      <w:r>
        <w:rPr>
          <w:rFonts w:hint="eastAsia" w:cs="仿宋_GB2312"/>
          <w:sz w:val="32"/>
          <w:szCs w:val="32"/>
        </w:rPr>
        <w:t>情况</w:t>
      </w:r>
    </w:p>
    <w:p>
      <w:pPr>
        <w:widowControl/>
        <w:spacing w:line="50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年部门年初预算收入</w:t>
      </w:r>
      <w:r>
        <w:rPr>
          <w:rFonts w:hint="eastAsia" w:cs="仿宋_GB2312"/>
          <w:sz w:val="32"/>
          <w:szCs w:val="32"/>
          <w:lang w:val="en-US" w:eastAsia="zh-CN"/>
        </w:rPr>
        <w:t>3590.35</w:t>
      </w:r>
      <w:r>
        <w:rPr>
          <w:rFonts w:hint="eastAsia" w:cs="仿宋_GB2312"/>
          <w:sz w:val="32"/>
          <w:szCs w:val="32"/>
        </w:rPr>
        <w:t>万元，年内调整预算</w:t>
      </w:r>
      <w:r>
        <w:rPr>
          <w:rFonts w:hint="eastAsia" w:cs="仿宋_GB2312"/>
          <w:sz w:val="32"/>
          <w:szCs w:val="32"/>
          <w:lang w:val="en-US" w:eastAsia="zh-CN"/>
        </w:rPr>
        <w:t>521.88</w:t>
      </w:r>
      <w:r>
        <w:rPr>
          <w:rFonts w:hint="eastAsia" w:cs="仿宋_GB2312"/>
          <w:sz w:val="32"/>
          <w:szCs w:val="32"/>
        </w:rPr>
        <w:t>万元，</w:t>
      </w:r>
      <w:r>
        <w:rPr>
          <w:rFonts w:hint="eastAsia" w:cs="仿宋_GB2312"/>
          <w:sz w:val="32"/>
          <w:szCs w:val="32"/>
          <w:lang w:val="en-US" w:eastAsia="zh-CN"/>
        </w:rPr>
        <w:t>2023年部门预算收入3068.47</w:t>
      </w:r>
      <w:r>
        <w:rPr>
          <w:rFonts w:hint="eastAsia" w:cs="仿宋_GB2312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3001.51</w:t>
      </w:r>
      <w:r>
        <w:rPr>
          <w:rFonts w:hint="eastAsia" w:cs="仿宋_GB2312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政府性基金预算支出18.49万元，国有资本经营预算财政拨款0.47万元，其他收入支出48万元。</w:t>
      </w:r>
      <w:r>
        <w:rPr>
          <w:rFonts w:hint="eastAsia" w:cs="仿宋_GB2312"/>
          <w:sz w:val="32"/>
          <w:szCs w:val="32"/>
        </w:rPr>
        <w:t>上年结转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万元，其中：一般公共预算拨款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政府性基金预算支出40万元</w:t>
      </w:r>
      <w:r>
        <w:rPr>
          <w:rFonts w:hint="eastAsia" w:cs="仿宋_GB2312"/>
          <w:sz w:val="32"/>
          <w:szCs w:val="32"/>
        </w:rPr>
        <w:t>。全年可执行预算合计</w:t>
      </w:r>
      <w:r>
        <w:rPr>
          <w:rFonts w:hint="eastAsia" w:cs="仿宋_GB2312"/>
          <w:sz w:val="32"/>
          <w:szCs w:val="32"/>
          <w:lang w:val="en-US" w:eastAsia="zh-CN"/>
        </w:rPr>
        <w:t>3068.47</w:t>
      </w:r>
      <w:r>
        <w:rPr>
          <w:rFonts w:hint="eastAsia" w:cs="仿宋_GB2312"/>
          <w:sz w:val="32"/>
          <w:szCs w:val="32"/>
        </w:rPr>
        <w:t>万元，其中：一般公共预算拨款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3001.51</w:t>
      </w:r>
      <w:r>
        <w:rPr>
          <w:rFonts w:hint="eastAsia" w:cs="仿宋_GB2312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政府性基金预算支出18.49万元，国有资本经营预算财政拨款0.4万元，其他收入支出48万元。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年部门年初预算支出</w:t>
      </w:r>
      <w:r>
        <w:rPr>
          <w:rFonts w:hint="eastAsia" w:cs="仿宋_GB2312"/>
          <w:sz w:val="32"/>
          <w:szCs w:val="32"/>
          <w:lang w:val="en-US" w:eastAsia="zh-CN"/>
        </w:rPr>
        <w:t>3590.35</w:t>
      </w:r>
      <w:r>
        <w:rPr>
          <w:rFonts w:hint="eastAsia" w:cs="仿宋_GB2312"/>
          <w:sz w:val="32"/>
          <w:szCs w:val="32"/>
        </w:rPr>
        <w:t>万元，其中：基本支出</w:t>
      </w:r>
      <w:r>
        <w:rPr>
          <w:rFonts w:hint="eastAsia" w:cs="仿宋_GB2312"/>
          <w:sz w:val="32"/>
          <w:szCs w:val="32"/>
          <w:lang w:val="en-US" w:eastAsia="zh-CN"/>
        </w:rPr>
        <w:t>1214.35</w:t>
      </w:r>
      <w:r>
        <w:rPr>
          <w:rFonts w:hint="eastAsia" w:cs="仿宋_GB2312"/>
          <w:sz w:val="32"/>
          <w:szCs w:val="32"/>
        </w:rPr>
        <w:t>万元，项目支出</w:t>
      </w:r>
      <w:r>
        <w:rPr>
          <w:rFonts w:hint="eastAsia" w:cs="仿宋_GB2312"/>
          <w:sz w:val="32"/>
          <w:szCs w:val="32"/>
          <w:lang w:val="en-US" w:eastAsia="zh-CN"/>
        </w:rPr>
        <w:t>2376</w:t>
      </w:r>
      <w:r>
        <w:rPr>
          <w:rFonts w:hint="eastAsia" w:cs="仿宋_GB2312"/>
          <w:sz w:val="32"/>
          <w:szCs w:val="32"/>
        </w:rPr>
        <w:t>万元。部门决算支出</w:t>
      </w:r>
      <w:r>
        <w:rPr>
          <w:rFonts w:hint="eastAsia" w:cs="仿宋_GB2312"/>
          <w:sz w:val="32"/>
          <w:szCs w:val="32"/>
          <w:lang w:val="en-US" w:eastAsia="zh-CN"/>
        </w:rPr>
        <w:t>3068.47</w:t>
      </w:r>
      <w:r>
        <w:rPr>
          <w:rFonts w:hint="eastAsia" w:cs="仿宋_GB2312"/>
          <w:sz w:val="32"/>
          <w:szCs w:val="32"/>
        </w:rPr>
        <w:t>万元，其中：基本支出</w:t>
      </w:r>
      <w:r>
        <w:rPr>
          <w:rFonts w:hint="eastAsia" w:cs="仿宋_GB2312"/>
          <w:sz w:val="32"/>
          <w:szCs w:val="32"/>
          <w:lang w:val="en-US" w:eastAsia="zh-CN"/>
        </w:rPr>
        <w:t>1928.71</w:t>
      </w:r>
      <w:r>
        <w:rPr>
          <w:rFonts w:hint="eastAsia" w:cs="仿宋_GB2312"/>
          <w:sz w:val="32"/>
          <w:szCs w:val="32"/>
        </w:rPr>
        <w:t>万元，项目支出</w:t>
      </w:r>
      <w:r>
        <w:rPr>
          <w:rFonts w:hint="eastAsia" w:cs="仿宋_GB2312"/>
          <w:sz w:val="32"/>
          <w:szCs w:val="32"/>
          <w:lang w:val="en-US" w:eastAsia="zh-CN"/>
        </w:rPr>
        <w:t>1139.77</w:t>
      </w:r>
      <w:r>
        <w:rPr>
          <w:rFonts w:hint="eastAsia" w:cs="仿宋_GB2312"/>
          <w:sz w:val="32"/>
          <w:szCs w:val="32"/>
        </w:rPr>
        <w:t>万元。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年末结转结余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万元。</w:t>
      </w:r>
    </w:p>
    <w:p>
      <w:pPr>
        <w:widowControl/>
        <w:numPr>
          <w:ilvl w:val="0"/>
          <w:numId w:val="1"/>
        </w:numPr>
        <w:spacing w:line="500" w:lineRule="exact"/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eastAsia="zh-CN"/>
        </w:rPr>
        <w:t>“</w:t>
      </w:r>
      <w:r>
        <w:rPr>
          <w:rFonts w:hint="eastAsia" w:cs="仿宋_GB2312"/>
          <w:sz w:val="32"/>
          <w:szCs w:val="32"/>
          <w:lang w:val="en-US" w:eastAsia="zh-CN"/>
        </w:rPr>
        <w:t>三公经费</w:t>
      </w:r>
      <w:r>
        <w:rPr>
          <w:rFonts w:hint="eastAsia" w:cs="仿宋_GB2312"/>
          <w:sz w:val="32"/>
          <w:szCs w:val="32"/>
          <w:lang w:eastAsia="zh-CN"/>
        </w:rPr>
        <w:t>”</w:t>
      </w:r>
      <w:r>
        <w:rPr>
          <w:rFonts w:hint="eastAsia" w:cs="仿宋_GB2312"/>
          <w:sz w:val="32"/>
          <w:szCs w:val="32"/>
          <w:lang w:val="en-US" w:eastAsia="zh-CN"/>
        </w:rPr>
        <w:t>支出使用和管理情况</w:t>
      </w:r>
    </w:p>
    <w:p>
      <w:pPr>
        <w:pStyle w:val="12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2023年度“三公”经费财政拨款支出预算为14.58万元，支出决算为14.5万元，完成预算的99.45%，其中：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1、因公出国（境）费支出预算为0万元，支出决算为0万元（完成年初预算比例因年初预算金额为0，无法计算超预算百分比），决算数等于预算数的主要原因是乡镇无需未安排出国出境；与上年相比持平，持平的主要原因是今年及去年均未安排出国出境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640" w:firstLineChars="20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2、公务接待费支出预算为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14.58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万元，支出决算为14.5万元，完成预算的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99.45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%，决算数小于预算数的主要原因是节约开支，控制接待人次数以及疫情影响，与上年相比减少0.08万元，减少0.55%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减少的主要原因是节约开支，控制接待人次数以及疫情影响经济下滑。</w:t>
      </w:r>
    </w:p>
    <w:p>
      <w:pPr>
        <w:pStyle w:val="12"/>
        <w:spacing w:line="360" w:lineRule="auto"/>
        <w:ind w:firstLine="640" w:firstLineChars="200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3、公务用车购置费支出预算为0万元，支出决算为0万元（完成年初预算比例因年初预算金额为0，无法计算超预算百分比），决算数等于预算数的主要原因是本乡镇无公务车，与上年相比持平，持平的主要原因是本乡镇无公务车。</w:t>
      </w:r>
    </w:p>
    <w:p>
      <w:pPr>
        <w:pStyle w:val="12"/>
        <w:spacing w:line="360" w:lineRule="auto"/>
        <w:ind w:firstLine="640" w:firstLine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4、公务用车运行维护费支出预算为0万元，支出决算为0万元（完成年初预算比例因年初预算金额为0，无法计算超预算百分比），决算数等于预算数的主要原因是本乡镇无公务车，与上年相比持平，持平的主要原因是本乡镇无公务车。</w:t>
      </w:r>
    </w:p>
    <w:p>
      <w:pPr>
        <w:spacing w:line="500" w:lineRule="exact"/>
        <w:jc w:val="left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  <w:lang w:val="en-US" w:eastAsia="zh-CN"/>
        </w:rPr>
        <w:t>三、部门绩效目标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一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</w:rPr>
        <w:t>部门绩效总目标</w:t>
      </w:r>
    </w:p>
    <w:p>
      <w:pPr>
        <w:widowControl/>
        <w:spacing w:line="500" w:lineRule="exact"/>
        <w:ind w:firstLine="640" w:firstLineChars="200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eastAsia="zh-CN"/>
        </w:rPr>
        <w:t>紧紧围绕创先争优，促进经济社会事业协调健康发展；抓好城乡基础设施建设，促进生产条件全面改善，确保发展后劲；抓好乡村振兴，巩固脱贫成效；抓好城乡居民医保，社会养老保险扩面，是居民老有所依，老有所养。抓好平安建设工作，确保社会和谐稳定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二</w:t>
      </w:r>
      <w:r>
        <w:rPr>
          <w:rFonts w:hint="eastAsia"/>
          <w:sz w:val="32"/>
          <w:szCs w:val="32"/>
          <w:lang w:eastAsia="zh-CN"/>
        </w:rPr>
        <w:t>）</w:t>
      </w:r>
      <w:r>
        <w:rPr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</w:rPr>
        <w:t>部门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年度绩效目标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1、</w:t>
      </w:r>
      <w:r>
        <w:rPr>
          <w:rFonts w:hint="eastAsia" w:cs="仿宋_GB2312"/>
          <w:sz w:val="32"/>
          <w:szCs w:val="32"/>
        </w:rPr>
        <w:t>产出指标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①数量指标。</w:t>
      </w:r>
      <w:r>
        <w:rPr>
          <w:rFonts w:hint="eastAsia" w:cs="仿宋_GB2312"/>
          <w:sz w:val="32"/>
          <w:szCs w:val="32"/>
          <w:lang w:eastAsia="zh-CN"/>
        </w:rPr>
        <w:t>工资福利支出</w:t>
      </w:r>
      <w:r>
        <w:rPr>
          <w:rFonts w:hint="eastAsia" w:cs="仿宋_GB2312"/>
          <w:sz w:val="32"/>
          <w:szCs w:val="32"/>
          <w:lang w:val="en-US" w:eastAsia="zh-CN"/>
        </w:rPr>
        <w:t>607.18万元，社会保障和就业支出141.33万元，住房公积金58.77万元，其他工资福利支出52.72万元，对个人和家庭补助14.35万元，农林水支出700万元，站所补助532万元，社会管理实务支出120万元，村级转移支付395万元，乡村环境整治经费500万元，彩票公益金40万元，灾害防治及应急经费34万元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  <w:highlight w:val="yellow"/>
        </w:rPr>
      </w:pPr>
      <w:r>
        <w:rPr>
          <w:rFonts w:hint="eastAsia" w:cs="仿宋_GB2312"/>
          <w:sz w:val="32"/>
          <w:szCs w:val="32"/>
        </w:rPr>
        <w:t>②质量指标。</w:t>
      </w:r>
      <w:r>
        <w:rPr>
          <w:rFonts w:hint="eastAsia" w:cs="仿宋_GB2312"/>
          <w:sz w:val="32"/>
          <w:szCs w:val="32"/>
          <w:lang w:val="en-US" w:eastAsia="zh-CN"/>
        </w:rPr>
        <w:t>工程建设质量合格率，项目验收合格率、机关事务正常运转率均为100%，城乡医保工作覆盖有效提升。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③时效指标。</w:t>
      </w:r>
      <w:r>
        <w:rPr>
          <w:rFonts w:hint="eastAsia" w:cs="仿宋_GB2312"/>
          <w:sz w:val="32"/>
          <w:szCs w:val="32"/>
          <w:lang w:eastAsia="zh-CN"/>
        </w:rPr>
        <w:t>各项</w:t>
      </w:r>
      <w:r>
        <w:rPr>
          <w:rFonts w:hint="eastAsia" w:cs="仿宋_GB2312"/>
          <w:sz w:val="32"/>
          <w:szCs w:val="32"/>
        </w:rPr>
        <w:t>任务完成及时率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</w:rPr>
        <w:t>④成本指标。成本发生规范合理率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2、</w:t>
      </w:r>
      <w:r>
        <w:rPr>
          <w:rFonts w:hint="eastAsia" w:cs="仿宋_GB2312"/>
          <w:sz w:val="32"/>
          <w:szCs w:val="32"/>
        </w:rPr>
        <w:t>效益指标</w:t>
      </w:r>
    </w:p>
    <w:p>
      <w:pPr>
        <w:widowControl/>
        <w:spacing w:line="500" w:lineRule="exact"/>
        <w:ind w:firstLine="640" w:firstLineChars="200"/>
        <w:rPr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</w:rPr>
        <w:t>①</w:t>
      </w:r>
      <w:r>
        <w:rPr>
          <w:rFonts w:hint="eastAsia" w:cs="仿宋_GB2312"/>
          <w:sz w:val="32"/>
          <w:szCs w:val="32"/>
          <w:highlight w:val="none"/>
          <w:lang w:eastAsia="zh-CN"/>
        </w:rPr>
        <w:t>经济效益指标。人均收入和地区经济增长，利用新建、整修的基本设施发展农业。</w:t>
      </w:r>
    </w:p>
    <w:p>
      <w:pPr>
        <w:widowControl/>
        <w:spacing w:line="500" w:lineRule="exact"/>
        <w:ind w:firstLine="640" w:firstLineChars="200"/>
        <w:rPr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</w:rPr>
        <w:t>②</w:t>
      </w:r>
      <w:r>
        <w:rPr>
          <w:rFonts w:hint="eastAsia" w:cs="仿宋_GB2312"/>
          <w:sz w:val="32"/>
          <w:szCs w:val="32"/>
          <w:highlight w:val="none"/>
          <w:lang w:eastAsia="zh-CN"/>
        </w:rPr>
        <w:t>社会效益指标。</w:t>
      </w:r>
      <w:r>
        <w:rPr>
          <w:rFonts w:hint="eastAsia" w:cs="仿宋_GB2312"/>
          <w:sz w:val="32"/>
          <w:szCs w:val="32"/>
          <w:highlight w:val="none"/>
        </w:rPr>
        <w:t>提升</w:t>
      </w:r>
      <w:r>
        <w:rPr>
          <w:rFonts w:hint="eastAsia" w:cs="仿宋_GB2312"/>
          <w:sz w:val="32"/>
          <w:szCs w:val="32"/>
          <w:highlight w:val="none"/>
          <w:lang w:eastAsia="zh-CN"/>
        </w:rPr>
        <w:t>干部作风</w:t>
      </w:r>
      <w:r>
        <w:rPr>
          <w:rFonts w:hint="eastAsia" w:cs="仿宋_GB2312"/>
          <w:sz w:val="32"/>
          <w:szCs w:val="32"/>
          <w:highlight w:val="none"/>
        </w:rPr>
        <w:t>建设</w:t>
      </w:r>
      <w:r>
        <w:rPr>
          <w:rFonts w:hint="eastAsia" w:cs="仿宋_GB2312"/>
          <w:sz w:val="32"/>
          <w:szCs w:val="32"/>
          <w:highlight w:val="none"/>
          <w:lang w:eastAsia="zh-CN"/>
        </w:rPr>
        <w:t>，提升居民生活环境，提升基础设施质量，提升安全教育宣传度，降低安全事故发生率，提升群众生活幸福指数</w:t>
      </w:r>
      <w:r>
        <w:rPr>
          <w:rFonts w:hint="eastAsia" w:cs="仿宋_GB2312"/>
          <w:sz w:val="32"/>
          <w:szCs w:val="32"/>
          <w:highlight w:val="none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</w:rPr>
        <w:t>③</w:t>
      </w:r>
      <w:r>
        <w:rPr>
          <w:rFonts w:hint="eastAsia" w:cs="仿宋_GB2312"/>
          <w:sz w:val="32"/>
          <w:szCs w:val="32"/>
          <w:highlight w:val="none"/>
          <w:lang w:eastAsia="zh-CN"/>
        </w:rPr>
        <w:t>生态效益指标。</w:t>
      </w:r>
      <w:r>
        <w:rPr>
          <w:rFonts w:hint="eastAsia" w:cs="仿宋_GB2312"/>
          <w:sz w:val="32"/>
          <w:szCs w:val="32"/>
          <w:highlight w:val="none"/>
        </w:rPr>
        <w:t>提升</w:t>
      </w:r>
      <w:r>
        <w:rPr>
          <w:rFonts w:hint="eastAsia" w:cs="仿宋_GB2312"/>
          <w:sz w:val="32"/>
          <w:szCs w:val="32"/>
          <w:highlight w:val="none"/>
          <w:lang w:eastAsia="zh-CN"/>
        </w:rPr>
        <w:t>人居环境，提升居民出行便捷度</w:t>
      </w:r>
      <w:r>
        <w:rPr>
          <w:rFonts w:hint="eastAsia" w:cs="仿宋_GB2312"/>
          <w:sz w:val="32"/>
          <w:szCs w:val="32"/>
          <w:highlight w:val="none"/>
        </w:rPr>
        <w:t>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</w:rPr>
        <w:t>④</w:t>
      </w:r>
      <w:r>
        <w:rPr>
          <w:rFonts w:hint="eastAsia" w:cs="仿宋_GB2312"/>
          <w:sz w:val="32"/>
          <w:szCs w:val="32"/>
          <w:highlight w:val="none"/>
          <w:lang w:eastAsia="zh-CN"/>
        </w:rPr>
        <w:t>可持续影响指标。为辖区后续发展打下坚实基础。</w:t>
      </w:r>
    </w:p>
    <w:p>
      <w:pPr>
        <w:widowControl/>
        <w:numPr>
          <w:numId w:val="0"/>
        </w:numPr>
        <w:spacing w:line="500" w:lineRule="exact"/>
        <w:ind w:firstLine="640" w:firstLineChars="200"/>
        <w:rPr>
          <w:rFonts w:hint="eastAsia" w:cs="仿宋_GB2312"/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>3、</w:t>
      </w:r>
      <w:r>
        <w:rPr>
          <w:rFonts w:hint="eastAsia" w:cs="仿宋_GB2312"/>
          <w:sz w:val="32"/>
          <w:szCs w:val="32"/>
          <w:highlight w:val="none"/>
        </w:rPr>
        <w:t>满意度</w:t>
      </w:r>
      <w:r>
        <w:rPr>
          <w:rFonts w:hint="eastAsia" w:cs="仿宋_GB2312"/>
          <w:sz w:val="32"/>
          <w:szCs w:val="32"/>
          <w:highlight w:val="none"/>
          <w:lang w:eastAsia="zh-CN"/>
        </w:rPr>
        <w:t>指标</w:t>
      </w:r>
      <w:r>
        <w:rPr>
          <w:rFonts w:hint="eastAsia" w:cs="仿宋_GB2312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spacing w:line="500" w:lineRule="exact"/>
        <w:rPr>
          <w:sz w:val="32"/>
          <w:szCs w:val="32"/>
          <w:highlight w:val="none"/>
        </w:rPr>
      </w:pPr>
      <w:r>
        <w:rPr>
          <w:rFonts w:hint="eastAsia" w:cs="仿宋_GB2312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cs="仿宋_GB2312"/>
          <w:sz w:val="32"/>
          <w:szCs w:val="32"/>
          <w:highlight w:val="none"/>
        </w:rPr>
        <w:t>①</w:t>
      </w:r>
      <w:r>
        <w:rPr>
          <w:rFonts w:hint="eastAsia" w:cs="仿宋_GB2312"/>
          <w:sz w:val="32"/>
          <w:szCs w:val="32"/>
          <w:highlight w:val="none"/>
          <w:lang w:eastAsia="zh-CN"/>
        </w:rPr>
        <w:t>居民满意度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90%以上</w:t>
      </w:r>
      <w:r>
        <w:rPr>
          <w:rFonts w:hint="eastAsia" w:cs="仿宋_GB2312"/>
          <w:sz w:val="32"/>
          <w:szCs w:val="32"/>
          <w:highlight w:val="none"/>
        </w:rPr>
        <w:t>，社会公众满意度</w:t>
      </w:r>
      <w:r>
        <w:rPr>
          <w:sz w:val="32"/>
          <w:szCs w:val="32"/>
          <w:highlight w:val="none"/>
        </w:rPr>
        <w:t>90%</w:t>
      </w:r>
      <w:r>
        <w:rPr>
          <w:rFonts w:hint="eastAsia" w:cs="仿宋_GB2312"/>
          <w:sz w:val="32"/>
          <w:szCs w:val="32"/>
          <w:highlight w:val="none"/>
        </w:rPr>
        <w:t>以上。</w:t>
      </w:r>
    </w:p>
    <w:p>
      <w:pPr>
        <w:pStyle w:val="10"/>
        <w:widowControl/>
        <w:spacing w:line="500" w:lineRule="exact"/>
        <w:ind w:firstLine="3168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</w:rPr>
        <w:t>、</w:t>
      </w:r>
      <w:r>
        <w:rPr>
          <w:rFonts w:ascii="黑体" w:hAnsi="黑体" w:eastAsia="黑体" w:cs="Times New Roman"/>
          <w:kern w:val="0"/>
          <w:sz w:val="32"/>
          <w:szCs w:val="32"/>
        </w:rPr>
        <w:t>绩效评价工作情况</w:t>
      </w:r>
    </w:p>
    <w:p>
      <w:pPr>
        <w:widowControl/>
        <w:spacing w:line="500" w:lineRule="exact"/>
        <w:ind w:firstLine="640" w:firstLineChars="200"/>
        <w:rPr>
          <w:sz w:val="30"/>
          <w:szCs w:val="30"/>
        </w:rPr>
      </w:pPr>
      <w:r>
        <w:rPr>
          <w:rFonts w:hint="eastAsia" w:cs="仿宋_GB2312"/>
          <w:sz w:val="32"/>
          <w:szCs w:val="32"/>
          <w:lang w:eastAsia="zh-CN"/>
        </w:rPr>
        <w:t>桃源县枫树维吾</w:t>
      </w:r>
      <w:r>
        <w:rPr>
          <w:rFonts w:hint="eastAsia" w:cs="仿宋_GB2312"/>
          <w:sz w:val="32"/>
          <w:szCs w:val="32"/>
          <w:highlight w:val="none"/>
          <w:lang w:eastAsia="zh-CN"/>
        </w:rPr>
        <w:t>尔族回族乡人民政府本级202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cs="仿宋_GB2312"/>
          <w:sz w:val="32"/>
          <w:szCs w:val="32"/>
          <w:highlight w:val="none"/>
          <w:lang w:eastAsia="zh-CN"/>
        </w:rPr>
        <w:t>年度一般公共预算财政拨款年初结转和结余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cs="仿宋_GB2312"/>
          <w:sz w:val="32"/>
          <w:szCs w:val="32"/>
          <w:highlight w:val="none"/>
          <w:lang w:eastAsia="zh-CN"/>
        </w:rPr>
        <w:t>万元，本年收入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3001.51</w:t>
      </w:r>
      <w:r>
        <w:rPr>
          <w:rFonts w:hint="eastAsia" w:cs="仿宋_GB2312"/>
          <w:sz w:val="32"/>
          <w:szCs w:val="32"/>
          <w:highlight w:val="none"/>
          <w:lang w:eastAsia="zh-CN"/>
        </w:rPr>
        <w:t>万元，本年支出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3001.51</w:t>
      </w:r>
      <w:r>
        <w:rPr>
          <w:rFonts w:hint="eastAsia" w:cs="仿宋_GB2312"/>
          <w:sz w:val="32"/>
          <w:szCs w:val="32"/>
          <w:highlight w:val="none"/>
          <w:lang w:eastAsia="zh-CN"/>
        </w:rPr>
        <w:t>万元，年末结转和结余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cs="仿宋_GB2312"/>
          <w:sz w:val="32"/>
          <w:szCs w:val="32"/>
          <w:highlight w:val="none"/>
          <w:lang w:eastAsia="zh-CN"/>
        </w:rPr>
        <w:t>万元。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（一）基本支出情况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sz w:val="32"/>
          <w:szCs w:val="32"/>
          <w:lang w:eastAsia="zh-CN"/>
        </w:rPr>
        <w:t>桃源县枫树维吾尔族回族乡人民政府</w:t>
      </w:r>
      <w:r>
        <w:rPr>
          <w:rFonts w:hint="eastAsia" w:cs="仿宋_GB2312"/>
          <w:sz w:val="32"/>
          <w:szCs w:val="32"/>
        </w:rPr>
        <w:t>本级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年度一般公共预算财政拨款基本支出年初结转和结余</w:t>
      </w:r>
      <w:r>
        <w:rPr>
          <w:rFonts w:hint="eastAsia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万元，本年收入</w:t>
      </w:r>
      <w:r>
        <w:rPr>
          <w:rFonts w:hint="eastAsia" w:cs="仿宋_GB2312"/>
          <w:sz w:val="32"/>
          <w:szCs w:val="32"/>
          <w:lang w:val="en-US" w:eastAsia="zh-CN"/>
        </w:rPr>
        <w:t>1880.71</w:t>
      </w:r>
      <w:r>
        <w:rPr>
          <w:rFonts w:hint="eastAsia" w:cs="仿宋_GB2312"/>
          <w:sz w:val="32"/>
          <w:szCs w:val="32"/>
        </w:rPr>
        <w:t>万元，本年支出</w:t>
      </w:r>
      <w:r>
        <w:rPr>
          <w:rFonts w:hint="eastAsia" w:cs="仿宋_GB2312"/>
          <w:sz w:val="32"/>
          <w:szCs w:val="32"/>
          <w:lang w:val="en-US" w:eastAsia="zh-CN"/>
        </w:rPr>
        <w:t>1880.71</w:t>
      </w:r>
      <w:r>
        <w:rPr>
          <w:rFonts w:hint="eastAsia" w:cs="仿宋_GB2312"/>
          <w:sz w:val="32"/>
          <w:szCs w:val="32"/>
        </w:rPr>
        <w:t>万元，年末结转和结余</w:t>
      </w:r>
      <w:r>
        <w:rPr>
          <w:sz w:val="32"/>
          <w:szCs w:val="32"/>
        </w:rPr>
        <w:t>0</w:t>
      </w:r>
      <w:r>
        <w:rPr>
          <w:rFonts w:hint="eastAsia" w:cs="仿宋_GB2312"/>
          <w:sz w:val="32"/>
          <w:szCs w:val="32"/>
        </w:rPr>
        <w:t>万元。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（二）项目支出情况</w:t>
      </w:r>
    </w:p>
    <w:p>
      <w:pPr>
        <w:widowControl/>
        <w:spacing w:line="500" w:lineRule="exact"/>
        <w:ind w:firstLine="640" w:firstLineChars="200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桃源县枫树维吾尔族回族乡人民政府本级202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年度一般公共预算财政拨款项目支出年初结转和结余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万元，本年收入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1120.81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万元，本年支出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1120.81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万元，年末结转和结余0万元。</w:t>
      </w:r>
    </w:p>
    <w:p>
      <w:pPr>
        <w:pStyle w:val="10"/>
        <w:widowControl/>
        <w:spacing w:line="500" w:lineRule="exact"/>
        <w:ind w:firstLine="31680"/>
        <w:jc w:val="left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1、政府性基金预算支出情况</w:t>
      </w:r>
    </w:p>
    <w:p>
      <w:pPr>
        <w:pStyle w:val="10"/>
        <w:widowControl/>
        <w:spacing w:line="500" w:lineRule="exact"/>
        <w:ind w:firstLine="31680"/>
        <w:jc w:val="left"/>
        <w:rPr>
          <w:rFonts w:hint="eastAsia" w:cs="仿宋_GB2312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  <w:lang w:eastAsia="zh-CN"/>
        </w:rPr>
        <w:t>桃源县枫树维吾尔族回族乡人民政府</w:t>
      </w:r>
      <w:r>
        <w:rPr>
          <w:rFonts w:hint="eastAsia" w:cs="仿宋_GB2312"/>
          <w:sz w:val="32"/>
          <w:szCs w:val="32"/>
        </w:rPr>
        <w:t>本级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年度一般公共预算财政拨款项目支出年初结转和结余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万元，本年收入</w:t>
      </w:r>
      <w:r>
        <w:rPr>
          <w:rFonts w:hint="eastAsia" w:cs="仿宋_GB2312"/>
          <w:sz w:val="32"/>
          <w:szCs w:val="32"/>
          <w:lang w:val="en-US" w:eastAsia="zh-CN"/>
        </w:rPr>
        <w:t>18.49</w:t>
      </w:r>
      <w:r>
        <w:rPr>
          <w:rFonts w:hint="eastAsia" w:cs="仿宋_GB2312"/>
          <w:sz w:val="32"/>
          <w:szCs w:val="32"/>
        </w:rPr>
        <w:t>万元，本年支出</w:t>
      </w:r>
      <w:r>
        <w:rPr>
          <w:rFonts w:hint="eastAsia" w:cs="仿宋_GB2312"/>
          <w:sz w:val="32"/>
          <w:szCs w:val="32"/>
          <w:lang w:val="en-US" w:eastAsia="zh-CN"/>
        </w:rPr>
        <w:t>18.49</w:t>
      </w:r>
      <w:r>
        <w:rPr>
          <w:rFonts w:hint="eastAsia" w:cs="仿宋_GB2312"/>
          <w:sz w:val="32"/>
          <w:szCs w:val="32"/>
        </w:rPr>
        <w:t>万元，年末结转和结余</w:t>
      </w:r>
      <w:r>
        <w:rPr>
          <w:rFonts w:hint="eastAsia" w:cs="仿宋_GB2312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万元。</w:t>
      </w:r>
    </w:p>
    <w:p>
      <w:pPr>
        <w:pStyle w:val="10"/>
        <w:widowControl/>
        <w:spacing w:line="500" w:lineRule="exact"/>
        <w:ind w:firstLine="31680"/>
        <w:jc w:val="left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2、</w:t>
      </w:r>
      <w:r>
        <w:rPr>
          <w:rFonts w:hint="eastAsia" w:cs="仿宋_GB2312"/>
          <w:sz w:val="32"/>
          <w:szCs w:val="32"/>
        </w:rPr>
        <w:t>国有资本经营预算支出情况</w:t>
      </w:r>
    </w:p>
    <w:p>
      <w:pPr>
        <w:pStyle w:val="10"/>
        <w:widowControl/>
        <w:spacing w:line="500" w:lineRule="exact"/>
        <w:ind w:firstLine="31680"/>
        <w:jc w:val="left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 xml:space="preserve"> </w:t>
      </w:r>
      <w:r>
        <w:rPr>
          <w:rFonts w:hint="eastAsia" w:cs="仿宋_GB2312"/>
          <w:sz w:val="32"/>
          <w:szCs w:val="32"/>
          <w:lang w:eastAsia="zh-CN"/>
        </w:rPr>
        <w:t>桃源县枫树维吾尔族回族乡人民政府</w:t>
      </w:r>
      <w:r>
        <w:rPr>
          <w:rFonts w:hint="eastAsia" w:cs="仿宋_GB2312"/>
          <w:sz w:val="32"/>
          <w:szCs w:val="32"/>
        </w:rPr>
        <w:t>本级202</w:t>
      </w:r>
      <w:r>
        <w:rPr>
          <w:rFonts w:hint="eastAsia" w:cs="仿宋_GB2312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年度一般公共预算财政拨款项目支出年初结转和结余</w:t>
      </w:r>
      <w:r>
        <w:rPr>
          <w:rFonts w:hint="eastAsia" w:cs="仿宋_GB2312"/>
          <w:sz w:val="32"/>
          <w:szCs w:val="32"/>
          <w:lang w:val="en-US" w:eastAsia="zh-CN"/>
        </w:rPr>
        <w:t>0</w:t>
      </w:r>
      <w:r>
        <w:rPr>
          <w:rFonts w:hint="eastAsia" w:cs="仿宋_GB2312"/>
          <w:sz w:val="32"/>
          <w:szCs w:val="32"/>
        </w:rPr>
        <w:t>万元，本年收入</w:t>
      </w:r>
      <w:r>
        <w:rPr>
          <w:rFonts w:hint="eastAsia" w:cs="仿宋_GB2312"/>
          <w:sz w:val="32"/>
          <w:szCs w:val="32"/>
          <w:lang w:val="en-US" w:eastAsia="zh-CN"/>
        </w:rPr>
        <w:t>1.01</w:t>
      </w:r>
      <w:r>
        <w:rPr>
          <w:rFonts w:hint="eastAsia" w:cs="仿宋_GB2312"/>
          <w:sz w:val="32"/>
          <w:szCs w:val="32"/>
        </w:rPr>
        <w:t>万元，本年支出</w:t>
      </w:r>
      <w:r>
        <w:rPr>
          <w:rFonts w:hint="eastAsia" w:cs="仿宋_GB2312"/>
          <w:sz w:val="32"/>
          <w:szCs w:val="32"/>
          <w:lang w:val="en-US" w:eastAsia="zh-CN"/>
        </w:rPr>
        <w:t>0.47</w:t>
      </w:r>
      <w:r>
        <w:rPr>
          <w:rFonts w:hint="eastAsia" w:cs="仿宋_GB2312"/>
          <w:sz w:val="32"/>
          <w:szCs w:val="32"/>
        </w:rPr>
        <w:t>万元，年末结转和结余</w:t>
      </w:r>
      <w:r>
        <w:rPr>
          <w:rFonts w:hint="eastAsia" w:cs="仿宋_GB2312"/>
          <w:sz w:val="32"/>
          <w:szCs w:val="32"/>
          <w:lang w:val="en-US" w:eastAsia="zh-CN"/>
        </w:rPr>
        <w:t>0.47</w:t>
      </w:r>
      <w:r>
        <w:rPr>
          <w:rFonts w:hint="eastAsia" w:cs="仿宋_GB2312"/>
          <w:sz w:val="32"/>
          <w:szCs w:val="32"/>
        </w:rPr>
        <w:t>万元。</w:t>
      </w:r>
    </w:p>
    <w:p>
      <w:pPr>
        <w:pStyle w:val="10"/>
        <w:widowControl/>
        <w:spacing w:line="500" w:lineRule="exact"/>
        <w:ind w:firstLine="31680"/>
        <w:jc w:val="left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3、</w:t>
      </w:r>
      <w:r>
        <w:rPr>
          <w:rFonts w:hint="eastAsia" w:cs="仿宋_GB2312"/>
          <w:sz w:val="32"/>
          <w:szCs w:val="32"/>
        </w:rPr>
        <w:t>社会保险基金预算支出情况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cs="仿宋_GB2312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  <w:r>
        <w:rPr>
          <w:rFonts w:hint="eastAsia" w:ascii="Times New Roman" w:hAnsi="Times New Roman" w:cs="仿宋_GB2312"/>
          <w:sz w:val="32"/>
          <w:szCs w:val="32"/>
        </w:rPr>
        <w:t>无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五、综合评价结果</w:t>
      </w:r>
    </w:p>
    <w:p>
      <w:pPr>
        <w:pStyle w:val="10"/>
        <w:widowControl/>
        <w:spacing w:line="50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根据部门整体支出绩效评价指标评分标准，202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年我单位部门整体绩效评价自评分为</w:t>
      </w: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分。</w:t>
      </w:r>
    </w:p>
    <w:p>
      <w:pPr>
        <w:widowControl/>
        <w:spacing w:line="5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六、部门整体支出绩效情况</w:t>
      </w:r>
      <w:bookmarkStart w:id="0" w:name="_GoBack"/>
      <w:bookmarkEnd w:id="0"/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（一）部门产出指标完成情况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数量指标。惠农惠民补贴覆盖率</w:t>
      </w:r>
      <w:r>
        <w:rPr>
          <w:rFonts w:hint="eastAsia" w:cs="仿宋_GB2312"/>
          <w:sz w:val="32"/>
          <w:szCs w:val="32"/>
          <w:lang w:val="en-US" w:eastAsia="zh-CN"/>
        </w:rPr>
        <w:t>100%；开展党建活动次数次；做好秸秆禁烧日常巡查，人员经费保障人数77人。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质量指标。</w:t>
      </w:r>
      <w:r>
        <w:rPr>
          <w:rFonts w:hint="eastAsia" w:cs="仿宋_GB2312"/>
          <w:sz w:val="32"/>
          <w:szCs w:val="32"/>
          <w:lang w:eastAsia="zh-CN"/>
        </w:rPr>
        <w:t>工程建设质量合格率、</w:t>
      </w:r>
      <w:r>
        <w:rPr>
          <w:rFonts w:hint="eastAsia" w:cs="仿宋_GB2312"/>
          <w:sz w:val="32"/>
          <w:szCs w:val="32"/>
        </w:rPr>
        <w:t>项目验收合格率</w:t>
      </w:r>
      <w:r>
        <w:rPr>
          <w:rFonts w:hint="eastAsia" w:cs="仿宋_GB2312"/>
          <w:sz w:val="32"/>
          <w:szCs w:val="32"/>
          <w:lang w:eastAsia="zh-CN"/>
        </w:rPr>
        <w:t>、机关事务正常运转率</w:t>
      </w:r>
      <w:r>
        <w:rPr>
          <w:rFonts w:hint="eastAsia" w:cs="仿宋_GB2312"/>
          <w:sz w:val="32"/>
          <w:szCs w:val="32"/>
          <w:lang w:val="en-US" w:eastAsia="zh-CN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 w:cs="仿宋_GB2312"/>
          <w:sz w:val="32"/>
          <w:szCs w:val="32"/>
        </w:rPr>
        <w:t>时效指标。任务完成及时率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4.</w:t>
      </w:r>
      <w:r>
        <w:rPr>
          <w:rFonts w:hint="eastAsia" w:cs="仿宋_GB2312"/>
          <w:sz w:val="32"/>
          <w:szCs w:val="32"/>
        </w:rPr>
        <w:t>成本指标。成本发生规范合理率</w:t>
      </w:r>
      <w:r>
        <w:rPr>
          <w:sz w:val="32"/>
          <w:szCs w:val="32"/>
        </w:rPr>
        <w:t>100%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（二）部门效益指标完成情况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 xml:space="preserve"> </w:t>
      </w:r>
      <w:r>
        <w:rPr>
          <w:sz w:val="32"/>
          <w:szCs w:val="32"/>
          <w:highlight w:val="none"/>
        </w:rPr>
        <w:t>1</w:t>
      </w:r>
      <w:r>
        <w:rPr>
          <w:rFonts w:hint="eastAsia" w:cs="仿宋_GB2312"/>
          <w:sz w:val="32"/>
          <w:szCs w:val="32"/>
        </w:rPr>
        <w:t>.提</w:t>
      </w:r>
      <w:r>
        <w:rPr>
          <w:rFonts w:hint="eastAsia" w:cs="仿宋_GB2312"/>
          <w:sz w:val="32"/>
          <w:szCs w:val="32"/>
          <w:lang w:eastAsia="zh-CN"/>
        </w:rPr>
        <w:t>升辖区居民收入。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2.提升居民居住环境，提升居民生活幸福指数。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</w:rPr>
        <w:t>3.</w:t>
      </w:r>
      <w:r>
        <w:rPr>
          <w:rFonts w:hint="eastAsia" w:cs="仿宋_GB2312"/>
          <w:sz w:val="32"/>
          <w:szCs w:val="32"/>
          <w:lang w:val="en-US" w:eastAsia="zh-CN"/>
        </w:rPr>
        <w:t>提升基础设施建设，完善道路硬化，及时更换维修路灯，沟渠建设，保证居民用水。</w:t>
      </w:r>
    </w:p>
    <w:p>
      <w:pPr>
        <w:widowControl/>
        <w:spacing w:line="500" w:lineRule="exact"/>
        <w:ind w:firstLine="640" w:firstLineChars="200"/>
        <w:rPr>
          <w:rFonts w:hint="eastAsia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cs="仿宋_GB2312"/>
          <w:sz w:val="32"/>
          <w:szCs w:val="32"/>
        </w:rPr>
        <w:t>4.满意度。</w:t>
      </w:r>
      <w:r>
        <w:rPr>
          <w:rFonts w:hint="eastAsia" w:cs="仿宋_GB2312"/>
          <w:sz w:val="32"/>
          <w:szCs w:val="32"/>
          <w:highlight w:val="none"/>
          <w:lang w:eastAsia="zh-CN"/>
        </w:rPr>
        <w:t>居民满意度</w:t>
      </w:r>
      <w:r>
        <w:rPr>
          <w:rFonts w:hint="eastAsia" w:cs="仿宋_GB2312"/>
          <w:sz w:val="32"/>
          <w:szCs w:val="32"/>
          <w:highlight w:val="none"/>
          <w:lang w:val="en-US" w:eastAsia="zh-CN"/>
        </w:rPr>
        <w:t>90%以上</w:t>
      </w:r>
      <w:r>
        <w:rPr>
          <w:rFonts w:hint="eastAsia" w:cs="仿宋_GB2312"/>
          <w:sz w:val="32"/>
          <w:szCs w:val="32"/>
          <w:highlight w:val="none"/>
        </w:rPr>
        <w:t>，</w:t>
      </w:r>
      <w:r>
        <w:rPr>
          <w:rFonts w:hint="eastAsia" w:cs="仿宋_GB2312"/>
          <w:sz w:val="32"/>
          <w:szCs w:val="32"/>
        </w:rPr>
        <w:t>社会公众满意度95%。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七、存在的问题及原因分析</w:t>
      </w:r>
    </w:p>
    <w:p>
      <w:pPr>
        <w:widowControl/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（一）存在的问题</w:t>
      </w:r>
    </w:p>
    <w:p>
      <w:pPr>
        <w:widowControl/>
        <w:spacing w:line="500" w:lineRule="exact"/>
        <w:ind w:firstLine="645"/>
        <w:jc w:val="left"/>
        <w:rPr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部门预算</w:t>
      </w:r>
      <w:r>
        <w:rPr>
          <w:rFonts w:hint="eastAsia" w:cs="仿宋_GB2312"/>
          <w:sz w:val="32"/>
          <w:szCs w:val="32"/>
          <w:lang w:eastAsia="zh-CN"/>
        </w:rPr>
        <w:t>调整较大</w:t>
      </w:r>
      <w:r>
        <w:rPr>
          <w:rFonts w:hint="eastAsia" w:cs="仿宋_GB2312"/>
          <w:sz w:val="32"/>
          <w:szCs w:val="32"/>
        </w:rPr>
        <w:t>。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 w:cs="仿宋_GB2312"/>
          <w:sz w:val="32"/>
          <w:szCs w:val="32"/>
        </w:rPr>
        <w:t>年全年预算调整</w:t>
      </w:r>
      <w:r>
        <w:rPr>
          <w:rFonts w:hint="eastAsia" w:cs="仿宋_GB2312"/>
          <w:sz w:val="32"/>
          <w:szCs w:val="32"/>
          <w:lang w:val="en-US" w:eastAsia="zh-CN"/>
        </w:rPr>
        <w:t>521.88</w:t>
      </w:r>
      <w:r>
        <w:rPr>
          <w:rFonts w:hint="eastAsia" w:cs="仿宋_GB2312"/>
          <w:sz w:val="32"/>
          <w:szCs w:val="32"/>
        </w:rPr>
        <w:t>万元，调整率</w:t>
      </w:r>
      <w:r>
        <w:rPr>
          <w:rFonts w:hint="eastAsia"/>
          <w:sz w:val="32"/>
          <w:szCs w:val="32"/>
          <w:lang w:val="en-US" w:eastAsia="zh-CN"/>
        </w:rPr>
        <w:t>14.54</w:t>
      </w:r>
      <w:r>
        <w:rPr>
          <w:sz w:val="32"/>
          <w:szCs w:val="32"/>
        </w:rPr>
        <w:t>%</w:t>
      </w:r>
      <w:r>
        <w:rPr>
          <w:rFonts w:hint="eastAsia" w:cs="仿宋_GB2312"/>
          <w:sz w:val="32"/>
          <w:szCs w:val="32"/>
        </w:rPr>
        <w:t>。</w:t>
      </w:r>
    </w:p>
    <w:p>
      <w:pPr>
        <w:widowControl/>
        <w:spacing w:line="500" w:lineRule="exact"/>
        <w:ind w:firstLine="645"/>
        <w:jc w:val="left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2.</w:t>
      </w:r>
      <w:r>
        <w:rPr>
          <w:rFonts w:hint="eastAsia" w:cs="仿宋_GB2312"/>
          <w:sz w:val="32"/>
          <w:szCs w:val="32"/>
        </w:rPr>
        <w:t>绩效目标欠完整</w:t>
      </w:r>
      <w:r>
        <w:rPr>
          <w:rFonts w:hint="eastAsia" w:cs="仿宋_GB2312"/>
          <w:sz w:val="32"/>
          <w:szCs w:val="32"/>
          <w:lang w:eastAsia="zh-CN"/>
        </w:rPr>
        <w:t>、庞统不细致</w:t>
      </w:r>
      <w:r>
        <w:rPr>
          <w:rFonts w:hint="eastAsia" w:cs="仿宋_GB2312"/>
          <w:sz w:val="32"/>
          <w:szCs w:val="32"/>
        </w:rPr>
        <w:t>。单位部分专项资金绩效目标未纳入整体绩效目标中来。</w:t>
      </w:r>
    </w:p>
    <w:p>
      <w:pPr>
        <w:pStyle w:val="8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预算管理缺乏科学的制度，导致预算工作不够严谨。</w:t>
      </w:r>
    </w:p>
    <w:p>
      <w:pPr>
        <w:pStyle w:val="8"/>
        <w:numPr>
          <w:ilvl w:val="0"/>
          <w:numId w:val="2"/>
        </w:num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原因分析</w:t>
      </w:r>
    </w:p>
    <w:p>
      <w:pPr>
        <w:widowControl/>
        <w:spacing w:line="500" w:lineRule="exact"/>
        <w:ind w:firstLine="645"/>
        <w:jc w:val="left"/>
        <w:rPr>
          <w:rFonts w:hint="eastAsia" w:cs="仿宋_GB2312"/>
          <w:sz w:val="32"/>
          <w:szCs w:val="32"/>
        </w:rPr>
      </w:pPr>
      <w:r>
        <w:rPr>
          <w:sz w:val="32"/>
          <w:szCs w:val="32"/>
        </w:rPr>
        <w:t>1.</w:t>
      </w:r>
      <w:r>
        <w:rPr>
          <w:rFonts w:hint="eastAsia" w:cs="仿宋_GB2312"/>
          <w:sz w:val="32"/>
          <w:szCs w:val="32"/>
        </w:rPr>
        <w:t>部门预算调整</w:t>
      </w:r>
      <w:r>
        <w:rPr>
          <w:rFonts w:hint="eastAsia" w:cs="仿宋_GB2312"/>
          <w:sz w:val="32"/>
          <w:szCs w:val="32"/>
          <w:lang w:eastAsia="zh-CN"/>
        </w:rPr>
        <w:t>较小</w:t>
      </w:r>
      <w:r>
        <w:rPr>
          <w:rFonts w:hint="eastAsia" w:cs="仿宋_GB2312"/>
          <w:sz w:val="32"/>
          <w:szCs w:val="32"/>
        </w:rPr>
        <w:t>的主要原因为部分专项资金年度工作计划确定较迟，指标下达时间较晚</w:t>
      </w:r>
      <w:r>
        <w:rPr>
          <w:rFonts w:hint="eastAsia" w:cs="仿宋_GB2312"/>
          <w:sz w:val="32"/>
          <w:szCs w:val="32"/>
          <w:lang w:eastAsia="zh-CN"/>
        </w:rPr>
        <w:t>，没有充分的纳入预算中</w:t>
      </w:r>
      <w:r>
        <w:rPr>
          <w:rFonts w:hint="eastAsia" w:cs="仿宋_GB2312"/>
          <w:sz w:val="32"/>
          <w:szCs w:val="32"/>
        </w:rPr>
        <w:t>。</w:t>
      </w:r>
    </w:p>
    <w:p>
      <w:pPr>
        <w:pStyle w:val="8"/>
        <w:ind w:firstLine="600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仿宋_GB2312"/>
          <w:kern w:val="2"/>
          <w:sz w:val="32"/>
          <w:szCs w:val="32"/>
          <w:lang w:val="en-US" w:eastAsia="zh-CN" w:bidi="ar-SA"/>
        </w:rPr>
        <w:t>2.绩效工作管理模式不够成熟，培训程度不够，较不能科学有序开展绩效相关工作。</w:t>
      </w:r>
    </w:p>
    <w:p>
      <w:pPr>
        <w:widowControl/>
        <w:spacing w:line="5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八、</w:t>
      </w:r>
      <w:r>
        <w:rPr>
          <w:rFonts w:ascii="黑体" w:hAnsi="黑体" w:eastAsia="黑体" w:cs="Times New Roman"/>
          <w:kern w:val="0"/>
          <w:sz w:val="32"/>
          <w:szCs w:val="32"/>
        </w:rPr>
        <w:t>有关建议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（一）加强</w:t>
      </w:r>
      <w:r>
        <w:rPr>
          <w:rFonts w:hint="eastAsia" w:eastAsia="楷体_GB2312" w:cs="楷体_GB2312"/>
          <w:sz w:val="32"/>
          <w:szCs w:val="32"/>
          <w:lang w:eastAsia="zh-CN"/>
        </w:rPr>
        <w:t>对政府工作的了解和认知，完善对绩效目标的设立。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预算指标设置应充分考虑本乡镇的现实情况，日常应多多参与和了解政府的工作实际，根据实际订立详细科学可执行的绩效目标，同时也能保证预算编制的合理性、准确性、严谨性，不脱离实际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（二）</w:t>
      </w:r>
      <w:r>
        <w:rPr>
          <w:rFonts w:hint="eastAsia" w:eastAsia="楷体_GB2312" w:cs="楷体_GB2312"/>
          <w:sz w:val="32"/>
          <w:szCs w:val="32"/>
          <w:lang w:eastAsia="zh-CN"/>
        </w:rPr>
        <w:t>规范财务管理，为科学准确绩效管理工作做好基础工作。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进一步加强财务人员对财务的处理分析能力，规范单位会计核算，提高会计报表的科学准确性，为预算决算提供更为精准的数据，更是学准确绩效管理工作打好基础工作。</w:t>
      </w:r>
    </w:p>
    <w:p>
      <w:pPr>
        <w:spacing w:line="50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hint="eastAsia" w:eastAsia="楷体_GB2312" w:cs="楷体_GB2312"/>
          <w:sz w:val="32"/>
          <w:szCs w:val="32"/>
        </w:rPr>
        <w:t>（三）</w:t>
      </w:r>
      <w:r>
        <w:rPr>
          <w:rFonts w:hint="eastAsia" w:eastAsia="楷体_GB2312" w:cs="楷体_GB2312"/>
          <w:sz w:val="32"/>
          <w:szCs w:val="32"/>
          <w:lang w:eastAsia="zh-CN"/>
        </w:rPr>
        <w:t>完善绩效管理</w:t>
      </w:r>
      <w:r>
        <w:rPr>
          <w:rFonts w:hint="eastAsia" w:eastAsia="楷体_GB2312" w:cs="楷体_GB2312"/>
          <w:sz w:val="32"/>
          <w:szCs w:val="32"/>
        </w:rPr>
        <w:t>制度建设</w:t>
      </w:r>
      <w:r>
        <w:rPr>
          <w:rFonts w:hint="eastAsia" w:eastAsia="楷体_GB2312" w:cs="楷体_GB2312"/>
          <w:sz w:val="32"/>
          <w:szCs w:val="32"/>
          <w:lang w:eastAsia="zh-CN"/>
        </w:rPr>
        <w:t>，加强绩效管理培训。</w:t>
      </w:r>
    </w:p>
    <w:p>
      <w:pPr>
        <w:spacing w:line="500" w:lineRule="exact"/>
        <w:ind w:firstLine="640" w:firstLineChars="200"/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cs="仿宋_GB2312"/>
          <w:kern w:val="2"/>
          <w:sz w:val="32"/>
          <w:szCs w:val="32"/>
          <w:lang w:val="en-US" w:eastAsia="zh-CN" w:bidi="ar-SA"/>
        </w:rPr>
        <w:t>单位应高度重视绩效目标申报工作，组织全体工作人员认真学习绩效目标管理的政策文件，深入理解绩效目标填报的相关要求，培养和形成绩效意识，将绩效和项目挂钩，确保绩效目表填报更加全面准确</w:t>
      </w:r>
      <w:r>
        <w:rPr>
          <w:rFonts w:hint="eastAsia" w:ascii="Calibri" w:hAnsi="Calibri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8"/>
        <w:spacing w:line="500" w:lineRule="exact"/>
        <w:rPr>
          <w:sz w:val="30"/>
          <w:szCs w:val="30"/>
        </w:rPr>
      </w:pPr>
    </w:p>
    <w:p>
      <w:pPr>
        <w:pStyle w:val="8"/>
        <w:spacing w:line="500" w:lineRule="exact"/>
        <w:rPr>
          <w:sz w:val="30"/>
          <w:szCs w:val="30"/>
        </w:rPr>
      </w:pP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rFonts w:hint="eastAsia" w:cs="仿宋_GB2312"/>
          <w:sz w:val="30"/>
          <w:szCs w:val="30"/>
        </w:rPr>
        <w:t>附件：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1.</w:t>
      </w:r>
      <w:r>
        <w:rPr>
          <w:rFonts w:hint="eastAsia" w:cs="仿宋_GB2312"/>
          <w:sz w:val="30"/>
          <w:szCs w:val="30"/>
        </w:rPr>
        <w:t>部门整体支出绩效评价基础数据表</w:t>
      </w:r>
    </w:p>
    <w:p>
      <w:pPr>
        <w:widowControl/>
        <w:spacing w:line="500" w:lineRule="exact"/>
        <w:ind w:firstLine="645"/>
        <w:jc w:val="left"/>
        <w:rPr>
          <w:sz w:val="30"/>
          <w:szCs w:val="30"/>
        </w:rPr>
      </w:pPr>
      <w:r>
        <w:rPr>
          <w:sz w:val="30"/>
          <w:szCs w:val="30"/>
        </w:rPr>
        <w:t>2.</w:t>
      </w:r>
      <w:r>
        <w:rPr>
          <w:rFonts w:hint="eastAsia" w:cs="仿宋_GB2312"/>
          <w:sz w:val="30"/>
          <w:szCs w:val="30"/>
        </w:rPr>
        <w:t>部门整体支出绩效自评表</w:t>
      </w:r>
    </w:p>
    <w:p>
      <w:pPr>
        <w:widowControl/>
        <w:spacing w:line="500" w:lineRule="exact"/>
        <w:ind w:firstLine="645"/>
        <w:jc w:val="left"/>
        <w:rPr>
          <w:rFonts w:eastAsia="仿宋"/>
          <w:color w:val="000000"/>
          <w:sz w:val="32"/>
          <w:szCs w:val="32"/>
        </w:rPr>
      </w:pPr>
      <w:r>
        <w:rPr>
          <w:sz w:val="30"/>
          <w:szCs w:val="30"/>
        </w:rPr>
        <w:t>3.</w:t>
      </w:r>
      <w:r>
        <w:rPr>
          <w:rFonts w:hint="eastAsia" w:cs="仿宋_GB2312"/>
          <w:sz w:val="30"/>
          <w:szCs w:val="30"/>
        </w:rPr>
        <w:t>项目支出绩效自评表</w:t>
      </w:r>
    </w:p>
    <w:p>
      <w:pPr>
        <w:spacing w:line="500" w:lineRule="exact"/>
        <w:rPr>
          <w:rFonts w:eastAsia="仿宋_GB2312"/>
          <w:sz w:val="30"/>
          <w:szCs w:val="30"/>
        </w:rPr>
      </w:pPr>
    </w:p>
    <w:p>
      <w:pPr>
        <w:widowControl/>
        <w:spacing w:line="500" w:lineRule="exact"/>
        <w:ind w:firstLine="645"/>
        <w:jc w:val="right"/>
        <w:rPr>
          <w:sz w:val="30"/>
          <w:szCs w:val="30"/>
        </w:rPr>
      </w:pPr>
      <w:r>
        <w:rPr>
          <w:rFonts w:hint="eastAsia" w:cs="仿宋_GB2312"/>
          <w:sz w:val="30"/>
          <w:szCs w:val="30"/>
          <w:lang w:eastAsia="zh-CN"/>
        </w:rPr>
        <w:t>桃源县枫树维吾尔族回族乡人民政府</w:t>
      </w:r>
    </w:p>
    <w:p>
      <w:pPr>
        <w:widowControl/>
        <w:spacing w:line="500" w:lineRule="exact"/>
        <w:ind w:firstLine="645"/>
        <w:jc w:val="center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</w:t>
      </w:r>
      <w:r>
        <w:rPr>
          <w:sz w:val="30"/>
          <w:szCs w:val="30"/>
        </w:rPr>
        <w:t>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rFonts w:hint="eastAsia" w:cs="仿宋_GB2312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 w:cs="仿宋_GB2312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14</w:t>
      </w:r>
      <w:r>
        <w:rPr>
          <w:rFonts w:hint="eastAsia" w:cs="仿宋_GB2312"/>
          <w:sz w:val="30"/>
          <w:szCs w:val="30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A4194"/>
    <w:multiLevelType w:val="singleLevel"/>
    <w:tmpl w:val="9CCA41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82DD9B"/>
    <w:multiLevelType w:val="singleLevel"/>
    <w:tmpl w:val="D382DD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jUwM2U3NWVkMWRjOWI3MmU2ZDQ2OWFmOGU5Y2QifQ=="/>
  </w:docVars>
  <w:rsids>
    <w:rsidRoot w:val="D7F5C6E8"/>
    <w:rsid w:val="001415C9"/>
    <w:rsid w:val="001B55C7"/>
    <w:rsid w:val="005E0FC8"/>
    <w:rsid w:val="0067612B"/>
    <w:rsid w:val="0098274A"/>
    <w:rsid w:val="00AF68E9"/>
    <w:rsid w:val="00D8462A"/>
    <w:rsid w:val="00F9223E"/>
    <w:rsid w:val="00FE30B0"/>
    <w:rsid w:val="047C0ACB"/>
    <w:rsid w:val="063C77A2"/>
    <w:rsid w:val="06C905A4"/>
    <w:rsid w:val="0B5404DC"/>
    <w:rsid w:val="0DD90D3A"/>
    <w:rsid w:val="0DF74594"/>
    <w:rsid w:val="0E4A19E1"/>
    <w:rsid w:val="0E6E7C06"/>
    <w:rsid w:val="11DB685C"/>
    <w:rsid w:val="12861CEF"/>
    <w:rsid w:val="1390598E"/>
    <w:rsid w:val="1A39233A"/>
    <w:rsid w:val="1B494EC2"/>
    <w:rsid w:val="1C3C383D"/>
    <w:rsid w:val="1CA27B8F"/>
    <w:rsid w:val="1D8A7671"/>
    <w:rsid w:val="1EAA7380"/>
    <w:rsid w:val="1EF714FC"/>
    <w:rsid w:val="1EFD53CA"/>
    <w:rsid w:val="22DD2D2C"/>
    <w:rsid w:val="235C1499"/>
    <w:rsid w:val="27703055"/>
    <w:rsid w:val="27EA55BE"/>
    <w:rsid w:val="29481BA4"/>
    <w:rsid w:val="29AE648F"/>
    <w:rsid w:val="2D2E6F01"/>
    <w:rsid w:val="2F5B4E97"/>
    <w:rsid w:val="30A80B2E"/>
    <w:rsid w:val="310444A3"/>
    <w:rsid w:val="321E2D8E"/>
    <w:rsid w:val="34206DDA"/>
    <w:rsid w:val="35973B40"/>
    <w:rsid w:val="35AC1DA6"/>
    <w:rsid w:val="37E58B0E"/>
    <w:rsid w:val="38104D2C"/>
    <w:rsid w:val="3A274460"/>
    <w:rsid w:val="3ABB7F1C"/>
    <w:rsid w:val="3ABE1FBB"/>
    <w:rsid w:val="3C9B0042"/>
    <w:rsid w:val="3FFD445E"/>
    <w:rsid w:val="411524B7"/>
    <w:rsid w:val="412419B4"/>
    <w:rsid w:val="43D96F5B"/>
    <w:rsid w:val="44EC735C"/>
    <w:rsid w:val="47187264"/>
    <w:rsid w:val="4A2762B8"/>
    <w:rsid w:val="4C322962"/>
    <w:rsid w:val="4CAA147B"/>
    <w:rsid w:val="4D0733F4"/>
    <w:rsid w:val="4FA56EB6"/>
    <w:rsid w:val="53C6520D"/>
    <w:rsid w:val="57BDA83F"/>
    <w:rsid w:val="596153FE"/>
    <w:rsid w:val="59C14C0B"/>
    <w:rsid w:val="5ADE12D6"/>
    <w:rsid w:val="5BEE0DC7"/>
    <w:rsid w:val="5C767DF4"/>
    <w:rsid w:val="603F1089"/>
    <w:rsid w:val="62391B1E"/>
    <w:rsid w:val="63D0539D"/>
    <w:rsid w:val="65133E1E"/>
    <w:rsid w:val="666E5614"/>
    <w:rsid w:val="669F0BB1"/>
    <w:rsid w:val="677FA283"/>
    <w:rsid w:val="6797658B"/>
    <w:rsid w:val="68801A39"/>
    <w:rsid w:val="6A3D62B6"/>
    <w:rsid w:val="6A7476A4"/>
    <w:rsid w:val="6DE433D5"/>
    <w:rsid w:val="6FD150C3"/>
    <w:rsid w:val="6FFB3938"/>
    <w:rsid w:val="733D355C"/>
    <w:rsid w:val="73BB10EE"/>
    <w:rsid w:val="73EFEEE1"/>
    <w:rsid w:val="73FD3F17"/>
    <w:rsid w:val="73FF14E9"/>
    <w:rsid w:val="75EFACF8"/>
    <w:rsid w:val="76185E2E"/>
    <w:rsid w:val="766E0C8E"/>
    <w:rsid w:val="767D0299"/>
    <w:rsid w:val="76FFF031"/>
    <w:rsid w:val="77DFCB2B"/>
    <w:rsid w:val="781E1395"/>
    <w:rsid w:val="79EFB67C"/>
    <w:rsid w:val="7B9FD535"/>
    <w:rsid w:val="7CFF7E7A"/>
    <w:rsid w:val="7EC30D06"/>
    <w:rsid w:val="7EC33A42"/>
    <w:rsid w:val="7EFF463A"/>
    <w:rsid w:val="7FDB96EE"/>
    <w:rsid w:val="7FF883F1"/>
    <w:rsid w:val="7FFBAC53"/>
    <w:rsid w:val="AFE7C9D5"/>
    <w:rsid w:val="B3EBCEAB"/>
    <w:rsid w:val="BADC89D7"/>
    <w:rsid w:val="BB8A37A5"/>
    <w:rsid w:val="BEFBB108"/>
    <w:rsid w:val="BEFFD95C"/>
    <w:rsid w:val="C7BDD227"/>
    <w:rsid w:val="CFBFD52F"/>
    <w:rsid w:val="D77F75A2"/>
    <w:rsid w:val="D7F5C6E8"/>
    <w:rsid w:val="E7CB99EC"/>
    <w:rsid w:val="EA7DE20A"/>
    <w:rsid w:val="ECDFDB4D"/>
    <w:rsid w:val="F79133C9"/>
    <w:rsid w:val="F7BBB70C"/>
    <w:rsid w:val="FE6F07B6"/>
    <w:rsid w:val="FFAD7386"/>
    <w:rsid w:val="FFC33333"/>
    <w:rsid w:val="FFEF4B48"/>
    <w:rsid w:val="FFFB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99"/>
  </w:style>
  <w:style w:type="paragraph" w:customStyle="1" w:styleId="8">
    <w:name w:val="BodyText"/>
    <w:basedOn w:val="1"/>
    <w:qFormat/>
    <w:uiPriority w:val="99"/>
    <w:pPr>
      <w:spacing w:after="120"/>
      <w:textAlignment w:val="baseline"/>
    </w:pPr>
    <w:rPr>
      <w:rFonts w:eastAsia="宋体"/>
      <w:sz w:val="32"/>
      <w:szCs w:val="32"/>
    </w:rPr>
  </w:style>
  <w:style w:type="character" w:customStyle="1" w:styleId="9">
    <w:name w:val="Footer Char"/>
    <w:basedOn w:val="6"/>
    <w:link w:val="2"/>
    <w:semiHidden/>
    <w:qFormat/>
    <w:uiPriority w:val="99"/>
    <w:rPr>
      <w:rFonts w:eastAsia="仿宋_GB2312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11">
    <w:name w:val="Header Char"/>
    <w:basedOn w:val="6"/>
    <w:link w:val="3"/>
    <w:qFormat/>
    <w:locked/>
    <w:uiPriority w:val="99"/>
    <w:rPr>
      <w:rFonts w:eastAsia="仿宋_GB2312"/>
      <w:kern w:val="2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9</Pages>
  <Words>677</Words>
  <Characters>3862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Administrator</cp:lastModifiedBy>
  <cp:lastPrinted>2024-09-20T01:37:00Z</cp:lastPrinted>
  <dcterms:modified xsi:type="dcterms:W3CDTF">2024-10-14T02:09:54Z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832D3F2BFC22475886013039A5191CBB_13</vt:lpwstr>
  </property>
</Properties>
</file>