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/>
          <w:b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default" w:ascii="Times New Roman" w:hAnsi="Times New Roman" w:eastAsia="黑体" w:cs="Times New Roman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9"/>
        <w:tabs>
          <w:tab w:val="left" w:pos="1134"/>
        </w:tabs>
        <w:suppressAutoHyphens w:val="0"/>
        <w:spacing w:after="0"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合作社准入标准</w:t>
      </w:r>
    </w:p>
    <w:p>
      <w:pPr>
        <w:pStyle w:val="9"/>
        <w:tabs>
          <w:tab w:val="left" w:pos="1134"/>
        </w:tabs>
        <w:suppressAutoHyphens w:val="0"/>
        <w:spacing w:after="0"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38" w:type="dxa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50"/>
        <w:gridCol w:w="6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评审内容及评审标准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注册合规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在市场监督管理局登记注册的五证合一（营业执照、组织机构代码证、税务登记证、社会保险登记证、统计登记证）复印件并盖章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成员组成和直接受益人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准入前不少5名成员，并附有详细的成员信息表（包括姓名、性别、身份证号码、职业、家庭住址、贫困状况、股份额度百分比、联系信息等）。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商业计划书准入后，项目的直接受益者应以农民为主，达到20人以上（含原有成员），至少占同一项目县农民的80%；项目参与受益人中， 12%应来自以前建档立卡的贫困家庭，至少35%为女性、20%为青年（18-45岁）。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股份构成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strike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应出示合作社股份构成的副本并盖章。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利润分配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有明确的书面利润分配计划。利润分配计划应由章程或成员（代表）会议决议确定。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环境标准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致力于遵循与农业废弃物管理、水土流失控制和水资源管理、资源循环利用、减少化肥农药施用以及其他可持续和气候智能型农业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畜牧业实践和技术相关的国家标准和良好实践。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人员配备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配备专门的财务人员或委托农村商业管理机构或会计机构进行记账、会计核算。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财务管理和信息披露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财务软件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使用电脑化财务软件进行记账。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财务记录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根据财务管理要求，及时进行财务信息记录和更新。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财务报表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年度财务报表，包括成员权益变动、损益表、盈余分配表、资产负债表等，由监事会审查并由成员参考。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定期会议制度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成员（代表）会议、理事会、监事会依法设置良好、有效运作，有“三会”的签字和会议记录。</w:t>
            </w:r>
          </w:p>
        </w:tc>
      </w:tr>
    </w:tbl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青年妇女创业准入标准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7"/>
        <w:tblW w:w="830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325"/>
        <w:gridCol w:w="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参与阶段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评审指标（权重）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ind w:firstLine="506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准入前的基本情况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营业证件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营业执照、组织机构代码证书、税务登记证（或实行了“三证合一”、“五证合一”登记制度改革的新证）齐全，注册业务范围与农业综合经营相关；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青年/妇女创业者信息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妇女18-55岁；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男性18-45岁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环境污染及水土资源的记录情况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没有环境及水土资源处罚记录，2分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有相关处罚记录，0分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经营主体或法人征信记录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近3年内无不良记录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业务范围与征集公告中优先支持的产业符合度</w:t>
            </w:r>
          </w:p>
        </w:tc>
        <w:tc>
          <w:tcPr>
            <w:tcW w:w="48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符合征集公告中优先支持的产业；</w:t>
            </w:r>
          </w:p>
        </w:tc>
      </w:tr>
    </w:tbl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仿宋" w:hAnsi="仿宋" w:eastAsia="仿宋" w:cs="仿宋"/>
          <w:bCs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农业生产和农村服务支持准入标准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7"/>
        <w:tblW w:w="830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325"/>
        <w:gridCol w:w="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4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参与阶段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评审指标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ind w:firstLine="506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准入前的基本情况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营业证件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营业执照、组织机构代码证书、税务登记证（或实行了“三证合一”、“五证合一”登记制度改革的新证）齐全，注册业务范围与农业综合经营相关；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环境污染及水土资源的记录情况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没有环境及水土资源处罚记录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经营主体或法人征信记录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近3年内无不良记录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092" w:type="dxa"/>
            <w:vMerge w:val="continue"/>
          </w:tcPr>
          <w:p>
            <w:pPr>
              <w:ind w:firstLine="504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业务范围</w:t>
            </w:r>
          </w:p>
        </w:tc>
        <w:tc>
          <w:tcPr>
            <w:tcW w:w="48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粮食生产关键薄弱环节和小农户提供专业化社会化服务，构建现代农业服务平台。1、建设撂荒地托管平台，种好用好撂荒地；2、建设代耕代种、代管代收、生产托管等服务平台，引导小农户开展现代农业生产；3、健全农资经营网络平台，保障农业投入品供应；4、建设粮食流通交易平台，拓展产品销路。5、建设智慧农业等服务平台，加快现代农业技术推广。</w:t>
            </w:r>
          </w:p>
        </w:tc>
      </w:tr>
    </w:tbl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134"/>
        </w:tabs>
        <w:suppressAutoHyphens w:val="0"/>
        <w:spacing w:after="0" w:line="360" w:lineRule="auto"/>
        <w:jc w:val="both"/>
        <w:rPr>
          <w:rFonts w:hint="eastAsia" w:ascii="宋体" w:hAnsi="宋体" w:eastAsia="宋体" w:cs="宋体"/>
          <w:bCs/>
          <w:i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bidi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不同模式商业计划的融资规则</w:t>
      </w:r>
    </w:p>
    <w:tbl>
      <w:tblPr>
        <w:tblStyle w:val="7"/>
        <w:tblW w:w="8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719"/>
        <w:gridCol w:w="888"/>
        <w:gridCol w:w="1287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商业计划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合作社+农户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非合作社+农户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（含企业+合作社+农户）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家庭家场+农户</w:t>
            </w:r>
          </w:p>
        </w:tc>
        <w:tc>
          <w:tcPr>
            <w:tcW w:w="1287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村集体经济组织+农户</w:t>
            </w:r>
          </w:p>
        </w:tc>
        <w:tc>
          <w:tcPr>
            <w:tcW w:w="2339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企业+农户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农发基金贷款支持的活动</w:t>
            </w:r>
          </w:p>
        </w:tc>
        <w:tc>
          <w:tcPr>
            <w:tcW w:w="4894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优良种畜、园地新建和提质改造（包括种苗、有机肥、二次嫁接等）生产系统；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农业生产设备设施，相关产品的预加工和加工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；存储、干燥、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冷藏等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设施；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.品牌建设与市场营销</w:t>
            </w:r>
          </w:p>
          <w:p>
            <w:pP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培训及新品种与技术的试验、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休闲农业与乡村旅游</w:t>
            </w:r>
          </w:p>
          <w:p>
            <w:pPr>
              <w:widowControl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9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1.用于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农户投入，包括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优良种畜、园地新建和提质改造（包括种苗、有机肥、二次嫁接等）生产系统；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农业生产基础设施（如喷灌、滴灌、温室大棚等）；牲畜生产基础设施；品牌建设与市场营销；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培训及新品种与技术的试验、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休闲农业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与乡村旅游。</w:t>
            </w:r>
          </w:p>
          <w:p>
            <w:pP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2.用于企业采购农业生产、预加工、加工、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存储、干燥、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冷藏等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3.原则上直接支持企业的资金不超过40%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农发基金贷款不支持的活动</w:t>
            </w:r>
          </w:p>
        </w:tc>
        <w:tc>
          <w:tcPr>
            <w:tcW w:w="7233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每年的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经常性营运和投入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费用（每年生产投入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中的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化肥、农场劳动力等）或流动资金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农发基金贷款限额</w:t>
            </w:r>
          </w:p>
        </w:tc>
        <w:tc>
          <w:tcPr>
            <w:tcW w:w="2719" w:type="dxa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商业计划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总投资的60%，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原则上控制在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200万元人民币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</w:p>
        </w:tc>
        <w:tc>
          <w:tcPr>
            <w:tcW w:w="888" w:type="dxa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每个受益户不超过30000元人民币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或每个受益人不超过10000元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人民币</w:t>
            </w:r>
          </w:p>
        </w:tc>
        <w:tc>
          <w:tcPr>
            <w:tcW w:w="1287" w:type="dxa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原则上控制在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200万元人民币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</w:p>
        </w:tc>
        <w:tc>
          <w:tcPr>
            <w:tcW w:w="2339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商业计划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总投资的50%，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原则上控制在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200万元人民币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以内。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公司承诺再额外带动30户及以上农户，按额外带动每户不超过15000元、合计不超过45万元人民币作为激励资金，这部分资金不需要自筹配套，即限额可控制在245万元人民币以内。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农发基金贷款折股量化或资金分配安排</w:t>
            </w:r>
          </w:p>
        </w:tc>
        <w:tc>
          <w:tcPr>
            <w:tcW w:w="2719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以资本形式作为农民或合作社成员的股份，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优待原建档立卡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贫困户成员，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贫困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和普通户的比例为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1.5:1。（例如：若合作社有100位成员，其中50位为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贫困户，则每个普通户占0.8%股，每个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贫困户占1.2%股）。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9" w:type="dxa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农发基金投入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不低于6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0%的资金应分配给所带动的农户，其中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贫困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和普通户按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1.5:1的比例进行资金分配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（经营主体、农户）联合融资要求</w:t>
            </w:r>
          </w:p>
        </w:tc>
        <w:tc>
          <w:tcPr>
            <w:tcW w:w="7233" w:type="dxa"/>
            <w:gridSpan w:val="4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1.联合融资贡献必须是新增加的或追加的</w:t>
            </w:r>
          </w:p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2.合作社或非合作社融资可包括商业计划中与劳务、流动资金、年度投入以及运营/经常性费用等有关的所有费用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选择方法</w:t>
            </w:r>
          </w:p>
        </w:tc>
        <w:tc>
          <w:tcPr>
            <w:tcW w:w="7233" w:type="dxa"/>
            <w:gridSpan w:val="4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县商业计划书评选委员会评选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受益群体目标</w:t>
            </w:r>
          </w:p>
        </w:tc>
        <w:tc>
          <w:tcPr>
            <w:tcW w:w="7233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80%的直接受益人应为居住在同一项目县的农民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，受益人中</w:t>
            </w:r>
            <w: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12%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为脆弱农户或</w:t>
            </w:r>
            <w: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原建档立卡贫困户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、至少</w:t>
            </w:r>
            <w: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35%为女性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20%为青年（18-45岁）</w:t>
            </w:r>
            <w:r>
              <w:rPr>
                <w:rFonts w:hint="eastAsia" w:cs="MS Mincho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400" w:lineRule="exact"/>
        <w:jc w:val="both"/>
        <w:rPr>
          <w:rFonts w:hint="eastAsia" w:ascii="宋体" w:hAnsi="宋体" w:cs="宋体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p/>
    <w:p/>
    <w:p/>
    <w:p/>
    <w:p/>
    <w:p/>
    <w:p/>
    <w:p/>
    <w:p/>
    <w:p/>
    <w:p/>
    <w:p/>
    <w:p/>
    <w:p/>
    <w:p>
      <w:pPr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桃源县商业、创业计划投资预算表</w:t>
      </w:r>
    </w:p>
    <w:p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83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64"/>
        <w:gridCol w:w="975"/>
        <w:gridCol w:w="613"/>
        <w:gridCol w:w="1075"/>
        <w:gridCol w:w="123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以各种经营主体为平台的商业计划投资模式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特色农业种植投入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开垦、整地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整地、开沟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②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新品种引进、示范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丑柑、杨梅等水果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③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有机肥等肥料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绿色防控（杀虫灯）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特色农业养殖投入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栏舍（养鸡）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其它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产业设施建设（经营主体）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大棚设施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平方米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②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喷滴灌工程</w:t>
            </w:r>
            <w:r>
              <w:rPr>
                <w:rStyle w:val="13"/>
                <w:rFonts w:eastAsia="宋体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水肥一体化）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③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灌溉设施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渠道新建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渠道改造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山塘整修、加固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处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蓄水池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④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管网建设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canals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⑤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生产观光道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加工能力提升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厂房等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平方米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②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台套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③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仓储设施等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平方米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仓储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平方米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冷藏库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平方米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品牌建设与市场营销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绿色农产品基地认证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②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有机农产品基地认证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③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品牌培育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④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农超对接窗口等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⑤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农社对接窗口等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对于商业计划内的农户的培训、新品种与技术的试验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农户培训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>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5"/>
                <w:lang w:val="en-US" w:eastAsia="zh-CN" w:bidi="ar"/>
              </w:rPr>
              <w:t>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新品种与新技术引进、试验、推广等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lang w:val="en-US" w:eastAsia="zh-CN" w:bidi="ar"/>
              </w:rPr>
              <w:t>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其它产业服务内容</w:t>
            </w:r>
            <w:r>
              <w:rPr>
                <w:rStyle w:val="1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（现代农业示范）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项目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农家乐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种养综合农业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现代农业示范（水果、蔬菜精细农业）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46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建筑工程预算表</w:t>
      </w:r>
    </w:p>
    <w:p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8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806"/>
        <w:gridCol w:w="788"/>
        <w:gridCol w:w="681"/>
        <w:gridCol w:w="1163"/>
        <w:gridCol w:w="1262"/>
        <w:gridCol w:w="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堰塘整修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堤身防渗、加固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土方外运1km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外运土方回填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砂石垫层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C20砼护坡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C20砼边墩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C20砼阻滑墙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C20砼压顶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沥青杉板伸缩缝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模板制安拆除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放水涵管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土方回填夯实（利用料）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溢洪道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C20砼底板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DN400预制砼管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渠道衬砌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渠道机械土方开挖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土方回填夯实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外运土方回填 1km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人工修坡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C20砼渠道衬砌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渠底清淤外运1km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农业生产和农村服务支持投资预算表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1904" w:tblpY="129"/>
        <w:tblOverlap w:val="never"/>
        <w:tblW w:w="827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75"/>
        <w:gridCol w:w="1200"/>
        <w:gridCol w:w="675"/>
        <w:gridCol w:w="1063"/>
        <w:gridCol w:w="650"/>
        <w:gridCol w:w="1087"/>
        <w:gridCol w:w="5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计划投资 （万元）</w:t>
            </w:r>
          </w:p>
        </w:tc>
        <w:tc>
          <w:tcPr>
            <w:tcW w:w="5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新品种、新技术推广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设施大棚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农机设施设备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烘干设备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初加工生产线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深加工生产线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农产品物流中心建设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农作物病虫害防控体系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农作物秸秆还田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580afcda-f214-4f92-a802-be1855ae2149"/>
  </w:docVars>
  <w:rsids>
    <w:rsidRoot w:val="3C134B24"/>
    <w:rsid w:val="09876EC4"/>
    <w:rsid w:val="0CB832EC"/>
    <w:rsid w:val="0D1B4016"/>
    <w:rsid w:val="2DBD691D"/>
    <w:rsid w:val="307249EE"/>
    <w:rsid w:val="31570A76"/>
    <w:rsid w:val="343D52A3"/>
    <w:rsid w:val="3C134B24"/>
    <w:rsid w:val="46B37F07"/>
    <w:rsid w:val="48BA3092"/>
    <w:rsid w:val="5185290B"/>
    <w:rsid w:val="586A4C47"/>
    <w:rsid w:val="598875C1"/>
    <w:rsid w:val="62206ADF"/>
    <w:rsid w:val="70FB4F5B"/>
    <w:rsid w:val="75B21877"/>
    <w:rsid w:val="764C03B6"/>
    <w:rsid w:val="79D97847"/>
    <w:rsid w:val="7AB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en-GB" w:eastAsia="en-GB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IFAD paragraph numbering"/>
    <w:basedOn w:val="1"/>
    <w:qFormat/>
    <w:uiPriority w:val="0"/>
    <w:pPr>
      <w:widowControl/>
      <w:suppressAutoHyphens/>
      <w:spacing w:after="120" w:line="264" w:lineRule="auto"/>
      <w:jc w:val="left"/>
    </w:pPr>
    <w:rPr>
      <w:rFonts w:ascii="Arial" w:hAnsi="Arial" w:eastAsia="MS Mincho" w:cs="Arial"/>
      <w:sz w:val="20"/>
      <w:szCs w:val="20"/>
      <w:lang w:val="en-CA" w:eastAsia="en-US"/>
    </w:rPr>
  </w:style>
  <w:style w:type="character" w:customStyle="1" w:styleId="10">
    <w:name w:val="font112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3590</Words>
  <Characters>3829</Characters>
  <Lines>0</Lines>
  <Paragraphs>0</Paragraphs>
  <TotalTime>19</TotalTime>
  <ScaleCrop>false</ScaleCrop>
  <LinksUpToDate>false</LinksUpToDate>
  <CharactersWithSpaces>3882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2024-11-23T01:31:00Z</dcterms:created>
  <dc:creator>Lenovo</dc:creator>
  <cp:lastModifiedBy>珍惜</cp:lastModifiedBy>
  <cp:lastPrinted>2024-11-26T00:48:00Z</cp:lastPrinted>
  <dcterms:modified xsi:type="dcterms:W3CDTF">2024-11-26T01:57:37Z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599218234D0F48608C897141A13D81D3</vt:lpwstr>
  </property>
</Properties>
</file>